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emf" ContentType="image/x-emf"/>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rPr>
          <w:rFonts w:eastAsia="楷体_GB2312"/>
          <w:sz w:val="28"/>
        </w:rPr>
      </w:pPr>
    </w:p>
    <w:p>
      <w:pPr>
        <w:rPr>
          <w:rFonts w:eastAsia="楷体_GB2312"/>
          <w:sz w:val="28"/>
        </w:rPr>
      </w:pPr>
      <w:r>
        <w:rPr>
          <w:rFonts w:eastAsia="楷体_GB2312"/>
          <w:sz w:val="28"/>
        </w:rPr>
        <w:t xml:space="preserve">                                                审批编号:</w:t>
      </w:r>
    </w:p>
    <w:p/>
    <w:p/>
    <w:p/>
    <w:p/>
    <w:p/>
    <w:p>
      <w:pPr>
        <w:ind w:right="-89"/>
        <w:jc w:val="center"/>
        <w:rPr>
          <w:rFonts w:ascii="楷体" w:hAnsi="楷体" w:eastAsia="楷体"/>
          <w:b/>
          <w:sz w:val="48"/>
          <w:szCs w:val="48"/>
        </w:rPr>
      </w:pPr>
      <w:r>
        <w:rPr>
          <w:rFonts w:hint="eastAsia" w:ascii="楷体" w:hAnsi="楷体" w:eastAsia="楷体"/>
          <w:b/>
          <w:sz w:val="48"/>
          <w:szCs w:val="48"/>
        </w:rPr>
        <w:t>建 设 项 目 环 境 影 响 报 告 表</w:t>
      </w:r>
    </w:p>
    <w:p>
      <w:pPr>
        <w:ind w:right="-89"/>
        <w:jc w:val="center"/>
        <w:rPr>
          <w:rFonts w:ascii="楷体" w:hAnsi="楷体" w:eastAsia="楷体"/>
          <w:b/>
          <w:sz w:val="48"/>
          <w:szCs w:val="48"/>
        </w:rPr>
      </w:pPr>
    </w:p>
    <w:p>
      <w:pPr>
        <w:ind w:right="-89"/>
        <w:jc w:val="center"/>
        <w:rPr>
          <w:rFonts w:ascii="楷体" w:hAnsi="楷体" w:eastAsia="楷体"/>
          <w:b/>
          <w:sz w:val="48"/>
          <w:szCs w:val="48"/>
        </w:rPr>
      </w:pPr>
    </w:p>
    <w:p>
      <w:pPr>
        <w:jc w:val="center"/>
        <w:rPr>
          <w:b/>
          <w:sz w:val="28"/>
        </w:rPr>
      </w:pPr>
    </w:p>
    <w:p/>
    <w:p/>
    <w:p/>
    <w:p/>
    <w:p/>
    <w:p/>
    <w:p/>
    <w:p/>
    <w:p/>
    <w:p/>
    <w:p/>
    <w:p>
      <w:pPr>
        <w:adjustRightInd w:val="0"/>
        <w:snapToGrid w:val="0"/>
        <w:spacing w:line="360" w:lineRule="auto"/>
        <w:ind w:firstLine="1280" w:firstLineChars="400"/>
        <w:jc w:val="left"/>
        <w:rPr>
          <w:rFonts w:ascii="宋体" w:hAnsi="宋体" w:cs="___WRD_EMBED_SUB_44"/>
          <w:sz w:val="32"/>
          <w:u w:val="single"/>
        </w:rPr>
      </w:pPr>
      <w:r>
        <w:rPr>
          <w:rFonts w:ascii="宋体" w:hAnsi="宋体"/>
          <w:sz w:val="32"/>
        </w:rPr>
        <w:t>项目名称:</w:t>
      </w:r>
      <w:r>
        <w:rPr>
          <w:rFonts w:hint="eastAsia" w:ascii="宋体" w:hAnsi="宋体"/>
          <w:sz w:val="32"/>
          <w:u w:val="single"/>
        </w:rPr>
        <w:t xml:space="preserve"> </w:t>
      </w:r>
      <w:r>
        <w:rPr>
          <w:rFonts w:hint="eastAsia" w:ascii="宋体" w:hAnsi="宋体" w:cs="微软雅黑"/>
          <w:sz w:val="32"/>
          <w:u w:val="single"/>
        </w:rPr>
        <w:t>华能威海发电有限责任公司海水淡化项目</w:t>
      </w:r>
      <w:r>
        <w:rPr>
          <w:rFonts w:ascii="宋体" w:hAnsi="宋体" w:cs="___WRD_EMBED_SUB_44"/>
          <w:sz w:val="32"/>
          <w:u w:val="single"/>
        </w:rPr>
        <w:t xml:space="preserve">   </w:t>
      </w:r>
    </w:p>
    <w:p>
      <w:pPr>
        <w:adjustRightInd w:val="0"/>
        <w:snapToGrid w:val="0"/>
        <w:spacing w:line="360" w:lineRule="auto"/>
        <w:jc w:val="center"/>
        <w:rPr>
          <w:rFonts w:ascii="宋体" w:hAnsi="宋体"/>
          <w:sz w:val="32"/>
          <w:u w:val="single"/>
        </w:rPr>
      </w:pPr>
    </w:p>
    <w:p>
      <w:pPr>
        <w:pStyle w:val="34"/>
        <w:adjustRightInd w:val="0"/>
        <w:snapToGrid w:val="0"/>
        <w:spacing w:line="360" w:lineRule="auto"/>
        <w:jc w:val="center"/>
        <w:rPr>
          <w:rFonts w:ascii="宋体" w:hAnsi="宋体" w:eastAsia="宋体"/>
          <w:spacing w:val="-20"/>
          <w:sz w:val="24"/>
          <w:szCs w:val="32"/>
          <w:u w:val="single"/>
        </w:rPr>
      </w:pPr>
      <w:r>
        <w:rPr>
          <w:rFonts w:ascii="宋体" w:hAnsi="宋体" w:eastAsia="宋体"/>
        </w:rPr>
        <w:t>建设单位(盖章):</w:t>
      </w:r>
      <w:r>
        <w:rPr>
          <w:rFonts w:hint="eastAsia"/>
        </w:rPr>
        <w:t xml:space="preserve"> </w:t>
      </w:r>
      <w:r>
        <w:rPr>
          <w:rFonts w:hint="eastAsia" w:ascii="宋体" w:hAnsi="宋体" w:eastAsia="宋体"/>
          <w:u w:val="single"/>
        </w:rPr>
        <w:t xml:space="preserve">华能威海发电有限责任公司 </w:t>
      </w:r>
      <w:r>
        <w:rPr>
          <w:rFonts w:ascii="宋体" w:hAnsi="宋体" w:eastAsia="宋体"/>
          <w:u w:val="single"/>
        </w:rPr>
        <w:t xml:space="preserve">  </w:t>
      </w:r>
    </w:p>
    <w:p>
      <w:pPr>
        <w:adjustRightInd w:val="0"/>
        <w:snapToGrid w:val="0"/>
        <w:spacing w:line="360" w:lineRule="auto"/>
        <w:jc w:val="center"/>
        <w:rPr>
          <w:rFonts w:ascii="宋体" w:hAnsi="宋体"/>
          <w:u w:val="single"/>
        </w:rPr>
      </w:pPr>
    </w:p>
    <w:p>
      <w:pPr>
        <w:adjustRightInd w:val="0"/>
        <w:snapToGrid w:val="0"/>
        <w:spacing w:line="360" w:lineRule="auto"/>
        <w:jc w:val="center"/>
        <w:rPr>
          <w:rFonts w:ascii="宋体" w:hAnsi="宋体"/>
          <w:u w:val="single"/>
        </w:rPr>
      </w:pPr>
    </w:p>
    <w:p>
      <w:pPr>
        <w:adjustRightInd w:val="0"/>
        <w:snapToGrid w:val="0"/>
        <w:spacing w:line="360" w:lineRule="auto"/>
        <w:jc w:val="center"/>
        <w:rPr>
          <w:rFonts w:ascii="宋体" w:hAnsi="宋体"/>
          <w:u w:val="single"/>
        </w:rPr>
      </w:pPr>
    </w:p>
    <w:p>
      <w:pPr>
        <w:adjustRightInd w:val="0"/>
        <w:snapToGrid w:val="0"/>
        <w:spacing w:line="360" w:lineRule="auto"/>
        <w:jc w:val="center"/>
        <w:rPr>
          <w:rFonts w:ascii="宋体" w:hAnsi="宋体"/>
          <w:u w:val="single"/>
        </w:rPr>
      </w:pPr>
    </w:p>
    <w:p>
      <w:pPr>
        <w:adjustRightInd w:val="0"/>
        <w:snapToGrid w:val="0"/>
        <w:spacing w:line="360" w:lineRule="auto"/>
        <w:jc w:val="center"/>
        <w:rPr>
          <w:rFonts w:ascii="宋体" w:hAnsi="宋体"/>
          <w:u w:val="single"/>
        </w:rPr>
      </w:pPr>
    </w:p>
    <w:p>
      <w:pPr>
        <w:adjustRightInd w:val="0"/>
        <w:snapToGrid w:val="0"/>
        <w:spacing w:line="360" w:lineRule="auto"/>
        <w:jc w:val="center"/>
        <w:rPr>
          <w:rFonts w:ascii="宋体" w:hAnsi="宋体"/>
          <w:u w:val="single"/>
        </w:rPr>
      </w:pPr>
    </w:p>
    <w:p>
      <w:pPr>
        <w:adjustRightInd w:val="0"/>
        <w:snapToGrid w:val="0"/>
        <w:spacing w:line="360" w:lineRule="auto"/>
        <w:jc w:val="center"/>
        <w:rPr>
          <w:rFonts w:ascii="宋体" w:hAnsi="宋体"/>
          <w:u w:val="single"/>
        </w:rPr>
      </w:pPr>
    </w:p>
    <w:p>
      <w:pPr>
        <w:adjustRightInd w:val="0"/>
        <w:snapToGrid w:val="0"/>
        <w:spacing w:line="360" w:lineRule="auto"/>
        <w:jc w:val="center"/>
        <w:rPr>
          <w:rFonts w:ascii="宋体" w:hAnsi="宋体"/>
          <w:u w:val="single"/>
        </w:rPr>
      </w:pPr>
    </w:p>
    <w:p>
      <w:pPr>
        <w:spacing w:line="360" w:lineRule="auto"/>
        <w:rPr>
          <w:color w:val="000000"/>
          <w:sz w:val="28"/>
          <w:szCs w:val="21"/>
        </w:rPr>
      </w:pPr>
      <w:r>
        <w:rPr>
          <w:color w:val="000000"/>
          <w:szCs w:val="21"/>
        </w:rPr>
        <w:t xml:space="preserve">                          </w:t>
      </w:r>
      <w:r>
        <w:rPr>
          <w:color w:val="000000"/>
          <w:sz w:val="28"/>
          <w:szCs w:val="21"/>
        </w:rPr>
        <w:t>编 制 单 位：中国海洋大学</w:t>
      </w:r>
    </w:p>
    <w:p>
      <w:pPr>
        <w:spacing w:line="360" w:lineRule="auto"/>
        <w:ind w:firstLine="2800" w:firstLineChars="1000"/>
        <w:jc w:val="left"/>
        <w:rPr>
          <w:color w:val="000000"/>
          <w:sz w:val="28"/>
          <w:szCs w:val="21"/>
        </w:rPr>
      </w:pPr>
      <w:r>
        <w:rPr>
          <w:color w:val="000000"/>
          <w:sz w:val="28"/>
          <w:szCs w:val="21"/>
        </w:rPr>
        <w:t>编 制 日 期:  2020年9月</w:t>
      </w:r>
    </w:p>
    <w:p>
      <w:pPr>
        <w:adjustRightInd w:val="0"/>
        <w:snapToGrid w:val="0"/>
        <w:spacing w:line="360" w:lineRule="auto"/>
        <w:jc w:val="center"/>
        <w:rPr>
          <w:color w:val="000000"/>
          <w:sz w:val="28"/>
          <w:szCs w:val="21"/>
        </w:rPr>
      </w:pPr>
      <w:r>
        <w:rPr>
          <w:color w:val="000000"/>
          <w:sz w:val="28"/>
          <w:szCs w:val="21"/>
        </w:rPr>
        <w:t>国 家 生 态 环 境 部 制</w:t>
      </w:r>
    </w:p>
    <w:p>
      <w:pPr>
        <w:adjustRightInd w:val="0"/>
        <w:snapToGrid w:val="0"/>
        <w:spacing w:line="360" w:lineRule="auto"/>
        <w:jc w:val="center"/>
        <w:rPr>
          <w:rFonts w:ascii="楷体" w:hAnsi="楷体" w:eastAsia="楷体"/>
          <w:sz w:val="32"/>
          <w:szCs w:val="32"/>
        </w:rPr>
      </w:pPr>
    </w:p>
    <w:p>
      <w:pPr>
        <w:jc w:val="center"/>
        <w:rPr>
          <w:rFonts w:eastAsia="楷体_GB2312"/>
          <w:sz w:val="32"/>
          <w:szCs w:val="32"/>
        </w:rPr>
        <w:sectPr>
          <w:headerReference r:id="rId5" w:type="first"/>
          <w:footerReference r:id="rId8" w:type="first"/>
          <w:headerReference r:id="rId3" w:type="default"/>
          <w:footerReference r:id="rId6" w:type="default"/>
          <w:headerReference r:id="rId4" w:type="even"/>
          <w:footerReference r:id="rId7" w:type="even"/>
          <w:pgSz w:w="11907" w:h="16840"/>
          <w:pgMar w:top="1440" w:right="1531" w:bottom="1440" w:left="1531" w:header="851" w:footer="992" w:gutter="0"/>
          <w:cols w:space="720" w:num="1"/>
          <w:titlePg/>
          <w:docGrid w:linePitch="312" w:charSpace="0"/>
        </w:sectPr>
      </w:pPr>
    </w:p>
    <w:p>
      <w:pPr>
        <w:ind w:right="-89"/>
        <w:jc w:val="center"/>
        <w:rPr>
          <w:rFonts w:eastAsia="楷体_GB2312"/>
          <w:sz w:val="32"/>
        </w:rPr>
      </w:pPr>
      <w:r>
        <w:rPr>
          <w:rFonts w:eastAsia="楷体_GB2312"/>
          <w:sz w:val="32"/>
        </w:rPr>
        <w:t>《建设项目环境影响报告表》编制说明</w:t>
      </w:r>
    </w:p>
    <w:p>
      <w:pPr>
        <w:ind w:right="-2659"/>
        <w:rPr>
          <w:rFonts w:eastAsia="楷体_GB2312"/>
          <w:sz w:val="32"/>
        </w:rPr>
      </w:pPr>
    </w:p>
    <w:p>
      <w:pPr>
        <w:pStyle w:val="34"/>
        <w:spacing w:line="360" w:lineRule="auto"/>
        <w:ind w:right="-89" w:firstLine="640" w:firstLineChars="200"/>
      </w:pPr>
      <w:r>
        <w:t>1、本表由具有从事环境影响评价工作资质的单位编制。本表一式四份，一律打印填写。</w:t>
      </w:r>
    </w:p>
    <w:p>
      <w:pPr>
        <w:spacing w:line="360" w:lineRule="auto"/>
        <w:ind w:right="-89" w:firstLine="640" w:firstLineChars="200"/>
        <w:rPr>
          <w:rFonts w:eastAsia="楷体_GB2312"/>
          <w:sz w:val="32"/>
        </w:rPr>
      </w:pPr>
      <w:r>
        <w:rPr>
          <w:rFonts w:eastAsia="楷体_GB2312"/>
          <w:sz w:val="32"/>
        </w:rPr>
        <w:t>2、项目名称——指项目立项批复时的名称，应不超过30个字(两个英文段作一个汉字)。</w:t>
      </w:r>
    </w:p>
    <w:p>
      <w:pPr>
        <w:spacing w:line="360" w:lineRule="auto"/>
        <w:ind w:right="-89" w:firstLine="640" w:firstLineChars="200"/>
        <w:rPr>
          <w:rFonts w:eastAsia="楷体_GB2312"/>
          <w:sz w:val="32"/>
        </w:rPr>
      </w:pPr>
      <w:r>
        <w:rPr>
          <w:rFonts w:eastAsia="楷体_GB2312"/>
          <w:sz w:val="32"/>
        </w:rPr>
        <w:t>3、建设地点——指项目所在地详细地址，公路、铁路应填写起止地点。</w:t>
      </w:r>
    </w:p>
    <w:p>
      <w:pPr>
        <w:spacing w:line="360" w:lineRule="auto"/>
        <w:ind w:left="630" w:right="-2659"/>
        <w:rPr>
          <w:rFonts w:eastAsia="楷体_GB2312"/>
          <w:sz w:val="32"/>
        </w:rPr>
      </w:pPr>
      <w:r>
        <w:rPr>
          <w:rFonts w:eastAsia="楷体_GB2312"/>
          <w:sz w:val="32"/>
        </w:rPr>
        <w:t>4、行业类别——按国标填写。</w:t>
      </w:r>
    </w:p>
    <w:p>
      <w:pPr>
        <w:spacing w:line="360" w:lineRule="auto"/>
        <w:ind w:left="630" w:right="-2659"/>
        <w:rPr>
          <w:rFonts w:eastAsia="楷体_GB2312"/>
          <w:sz w:val="32"/>
        </w:rPr>
      </w:pPr>
      <w:r>
        <w:rPr>
          <w:rFonts w:eastAsia="楷体_GB2312"/>
          <w:sz w:val="32"/>
        </w:rPr>
        <w:t>5、总投资——指项目投资总额。</w:t>
      </w:r>
    </w:p>
    <w:p>
      <w:pPr>
        <w:spacing w:line="360" w:lineRule="auto"/>
        <w:ind w:right="-89" w:firstLine="640" w:firstLineChars="200"/>
        <w:rPr>
          <w:rFonts w:eastAsia="楷体_GB2312"/>
          <w:sz w:val="32"/>
        </w:rPr>
      </w:pPr>
      <w:r>
        <w:rPr>
          <w:rFonts w:eastAsia="楷体_GB2312"/>
          <w:sz w:val="32"/>
        </w:rPr>
        <w:t>6、主要环境保护目标——指项目周围一定范围内集中居民住宅区、学校、医院、保护文物、风景名胜区、水源地和生态敏感点等，应尽可能给出保护目标、性质、规模和距厂界距离等。</w:t>
      </w:r>
    </w:p>
    <w:p>
      <w:pPr>
        <w:spacing w:line="360" w:lineRule="auto"/>
        <w:ind w:right="-89" w:firstLine="640" w:firstLineChars="200"/>
        <w:rPr>
          <w:rFonts w:eastAsia="楷体_GB2312"/>
          <w:sz w:val="32"/>
        </w:rPr>
      </w:pPr>
      <w:r>
        <w:rPr>
          <w:rFonts w:eastAsia="楷体_GB2312"/>
          <w:sz w:val="32"/>
        </w:rPr>
        <w:t>7、结论与建议——给出本项目清洁生产、达标排放和总量控制的分析结论，确定污染防治措施的有效性，说明本项目对环境造成的影响，给出建设项目环境可行性的明确结论，同时提出减少环境影响的其他建议。</w:t>
      </w:r>
    </w:p>
    <w:p>
      <w:pPr>
        <w:spacing w:line="360" w:lineRule="auto"/>
        <w:ind w:right="-89" w:firstLine="640" w:firstLineChars="200"/>
        <w:rPr>
          <w:rFonts w:eastAsia="楷体_GB2312"/>
          <w:sz w:val="32"/>
        </w:rPr>
      </w:pPr>
      <w:r>
        <w:rPr>
          <w:rFonts w:eastAsia="楷体_GB2312"/>
          <w:sz w:val="32"/>
        </w:rPr>
        <w:t>8、预审意见——由行业主管部门填写意见，无主管部门的项目，可不填。</w:t>
      </w:r>
    </w:p>
    <w:p>
      <w:pPr>
        <w:spacing w:line="360" w:lineRule="auto"/>
        <w:ind w:right="-89" w:firstLine="627" w:firstLineChars="196"/>
        <w:rPr>
          <w:rFonts w:eastAsia="楷体_GB2312"/>
          <w:sz w:val="32"/>
        </w:rPr>
      </w:pPr>
      <w:r>
        <w:rPr>
          <w:rFonts w:eastAsia="楷体_GB2312"/>
          <w:sz w:val="32"/>
        </w:rPr>
        <w:t>9、审批意见——由负责审批该项目的环境保护行政主管部门批复。</w:t>
      </w:r>
    </w:p>
    <w:p>
      <w:pPr>
        <w:spacing w:line="360" w:lineRule="auto"/>
        <w:ind w:right="-89" w:firstLine="627" w:firstLineChars="196"/>
        <w:rPr>
          <w:rFonts w:eastAsia="楷体_GB2312"/>
          <w:sz w:val="32"/>
        </w:rPr>
      </w:pPr>
    </w:p>
    <w:p>
      <w:pPr>
        <w:spacing w:line="360" w:lineRule="auto"/>
        <w:ind w:right="-89"/>
        <w:rPr>
          <w:rFonts w:eastAsia="楷体_GB2312"/>
          <w:sz w:val="32"/>
        </w:rPr>
      </w:pPr>
    </w:p>
    <w:p>
      <w:pPr>
        <w:spacing w:beforeLines="200"/>
        <w:jc w:val="center"/>
        <w:rPr>
          <w:rFonts w:eastAsia="黑体"/>
          <w:sz w:val="30"/>
        </w:rPr>
        <w:sectPr>
          <w:footerReference r:id="rId10" w:type="first"/>
          <w:footerReference r:id="rId9" w:type="default"/>
          <w:pgSz w:w="11907" w:h="16840"/>
          <w:pgMar w:top="1440" w:right="1531" w:bottom="1440" w:left="1531" w:header="851" w:footer="992" w:gutter="0"/>
          <w:pgNumType w:start="0"/>
          <w:cols w:space="720" w:num="1"/>
          <w:titlePg/>
          <w:docGrid w:linePitch="312" w:charSpace="0"/>
        </w:sectPr>
      </w:pPr>
    </w:p>
    <w:p>
      <w:pPr>
        <w:jc w:val="left"/>
        <w:outlineLvl w:val="0"/>
        <w:rPr>
          <w:rFonts w:eastAsia="黑体"/>
          <w:sz w:val="30"/>
        </w:rPr>
      </w:pPr>
      <w:r>
        <w:rPr>
          <w:rFonts w:eastAsia="黑体"/>
          <w:sz w:val="30"/>
        </w:rPr>
        <w:t>建设项目基本情况</w:t>
      </w:r>
    </w:p>
    <w:tbl>
      <w:tblPr>
        <w:tblStyle w:val="88"/>
        <w:tblW w:w="906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831"/>
        <w:gridCol w:w="1782"/>
        <w:gridCol w:w="711"/>
        <w:gridCol w:w="997"/>
        <w:gridCol w:w="981"/>
        <w:gridCol w:w="411"/>
        <w:gridCol w:w="506"/>
        <w:gridCol w:w="187"/>
        <w:gridCol w:w="406"/>
        <w:gridCol w:w="124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88" w:hRule="atLeast"/>
          <w:jc w:val="center"/>
        </w:trPr>
        <w:tc>
          <w:tcPr>
            <w:tcW w:w="1831" w:type="dxa"/>
            <w:vAlign w:val="center"/>
          </w:tcPr>
          <w:p>
            <w:pPr>
              <w:jc w:val="center"/>
              <w:rPr>
                <w:sz w:val="24"/>
              </w:rPr>
            </w:pPr>
            <w:r>
              <w:rPr>
                <w:sz w:val="24"/>
              </w:rPr>
              <w:t>项目名称</w:t>
            </w:r>
          </w:p>
        </w:tc>
        <w:tc>
          <w:tcPr>
            <w:tcW w:w="7230" w:type="dxa"/>
            <w:gridSpan w:val="9"/>
            <w:vAlign w:val="center"/>
          </w:tcPr>
          <w:p>
            <w:pPr>
              <w:pStyle w:val="155"/>
              <w:ind w:firstLine="0" w:firstLineChars="0"/>
              <w:jc w:val="center"/>
            </w:pPr>
            <w:r>
              <w:rPr>
                <w:rFonts w:hint="eastAsia"/>
              </w:rPr>
              <w:t>华能威海发电有限责任公司海水淡化项目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422" w:hRule="atLeast"/>
          <w:jc w:val="center"/>
        </w:trPr>
        <w:tc>
          <w:tcPr>
            <w:tcW w:w="1831" w:type="dxa"/>
            <w:vAlign w:val="center"/>
          </w:tcPr>
          <w:p>
            <w:pPr>
              <w:jc w:val="center"/>
              <w:rPr>
                <w:sz w:val="24"/>
              </w:rPr>
            </w:pPr>
            <w:r>
              <w:rPr>
                <w:sz w:val="24"/>
              </w:rPr>
              <w:t>建设单位</w:t>
            </w:r>
          </w:p>
        </w:tc>
        <w:tc>
          <w:tcPr>
            <w:tcW w:w="7230" w:type="dxa"/>
            <w:gridSpan w:val="9"/>
            <w:vAlign w:val="center"/>
          </w:tcPr>
          <w:p>
            <w:pPr>
              <w:pStyle w:val="155"/>
              <w:ind w:firstLine="0" w:firstLineChars="0"/>
              <w:jc w:val="center"/>
            </w:pPr>
            <w:r>
              <w:rPr>
                <w:rFonts w:hint="eastAsia"/>
              </w:rPr>
              <w:t>华能威海发电有限责任公司</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458" w:hRule="atLeast"/>
          <w:jc w:val="center"/>
        </w:trPr>
        <w:tc>
          <w:tcPr>
            <w:tcW w:w="1831" w:type="dxa"/>
            <w:vAlign w:val="center"/>
          </w:tcPr>
          <w:p>
            <w:pPr>
              <w:jc w:val="center"/>
              <w:rPr>
                <w:sz w:val="24"/>
              </w:rPr>
            </w:pPr>
            <w:r>
              <w:rPr>
                <w:sz w:val="24"/>
              </w:rPr>
              <w:t>法人代表</w:t>
            </w:r>
          </w:p>
        </w:tc>
        <w:tc>
          <w:tcPr>
            <w:tcW w:w="3490" w:type="dxa"/>
            <w:gridSpan w:val="3"/>
            <w:vAlign w:val="center"/>
          </w:tcPr>
          <w:p>
            <w:pPr>
              <w:pStyle w:val="155"/>
              <w:ind w:firstLine="0" w:firstLineChars="0"/>
              <w:jc w:val="center"/>
            </w:pPr>
            <w:r>
              <w:rPr>
                <w:rFonts w:hint="eastAsia"/>
              </w:rPr>
              <w:t>杨广灵</w:t>
            </w:r>
          </w:p>
        </w:tc>
        <w:tc>
          <w:tcPr>
            <w:tcW w:w="1898" w:type="dxa"/>
            <w:gridSpan w:val="3"/>
            <w:vAlign w:val="center"/>
          </w:tcPr>
          <w:p>
            <w:pPr>
              <w:jc w:val="center"/>
              <w:rPr>
                <w:sz w:val="24"/>
              </w:rPr>
            </w:pPr>
            <w:r>
              <w:rPr>
                <w:sz w:val="24"/>
              </w:rPr>
              <w:t>联系人</w:t>
            </w:r>
          </w:p>
        </w:tc>
        <w:tc>
          <w:tcPr>
            <w:tcW w:w="1842" w:type="dxa"/>
            <w:gridSpan w:val="3"/>
            <w:vAlign w:val="center"/>
          </w:tcPr>
          <w:p>
            <w:pPr>
              <w:pStyle w:val="155"/>
              <w:ind w:firstLine="0" w:firstLineChars="0"/>
              <w:jc w:val="center"/>
              <w:rPr>
                <w:spacing w:val="-10"/>
              </w:rPr>
            </w:pPr>
            <w:r>
              <w:rPr>
                <w:rFonts w:hint="eastAsia"/>
                <w:spacing w:val="-10"/>
              </w:rPr>
              <w:t>杨爱娟</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3" w:hRule="atLeast"/>
          <w:jc w:val="center"/>
        </w:trPr>
        <w:tc>
          <w:tcPr>
            <w:tcW w:w="1831" w:type="dxa"/>
            <w:vAlign w:val="center"/>
          </w:tcPr>
          <w:p>
            <w:pPr>
              <w:jc w:val="center"/>
              <w:rPr>
                <w:sz w:val="24"/>
              </w:rPr>
            </w:pPr>
            <w:r>
              <w:rPr>
                <w:sz w:val="24"/>
              </w:rPr>
              <w:t>通讯地址</w:t>
            </w:r>
          </w:p>
        </w:tc>
        <w:tc>
          <w:tcPr>
            <w:tcW w:w="7230" w:type="dxa"/>
            <w:gridSpan w:val="9"/>
            <w:vAlign w:val="center"/>
          </w:tcPr>
          <w:p>
            <w:pPr>
              <w:jc w:val="center"/>
              <w:rPr>
                <w:sz w:val="24"/>
              </w:rPr>
            </w:pPr>
            <w:r>
              <w:rPr>
                <w:rFonts w:hint="eastAsia"/>
                <w:sz w:val="24"/>
              </w:rPr>
              <w:t>威海市经济开发区海埠路58号华能威海电厂</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1831" w:type="dxa"/>
            <w:vAlign w:val="center"/>
          </w:tcPr>
          <w:p>
            <w:pPr>
              <w:jc w:val="center"/>
              <w:rPr>
                <w:sz w:val="24"/>
              </w:rPr>
            </w:pPr>
            <w:r>
              <w:rPr>
                <w:sz w:val="24"/>
              </w:rPr>
              <w:t>联系电话</w:t>
            </w:r>
          </w:p>
        </w:tc>
        <w:tc>
          <w:tcPr>
            <w:tcW w:w="1782" w:type="dxa"/>
            <w:vAlign w:val="center"/>
          </w:tcPr>
          <w:p>
            <w:pPr>
              <w:jc w:val="center"/>
              <w:rPr>
                <w:spacing w:val="-10"/>
                <w:sz w:val="24"/>
              </w:rPr>
            </w:pPr>
            <w:r>
              <w:rPr>
                <w:rFonts w:hint="eastAsia"/>
                <w:spacing w:val="-10"/>
                <w:sz w:val="24"/>
              </w:rPr>
              <w:t>1</w:t>
            </w:r>
            <w:r>
              <w:rPr>
                <w:spacing w:val="-10"/>
                <w:sz w:val="24"/>
              </w:rPr>
              <w:t>3869003632</w:t>
            </w:r>
          </w:p>
        </w:tc>
        <w:tc>
          <w:tcPr>
            <w:tcW w:w="711" w:type="dxa"/>
            <w:vAlign w:val="center"/>
          </w:tcPr>
          <w:p>
            <w:pPr>
              <w:jc w:val="center"/>
              <w:rPr>
                <w:sz w:val="24"/>
              </w:rPr>
            </w:pPr>
            <w:r>
              <w:rPr>
                <w:sz w:val="24"/>
              </w:rPr>
              <w:t>传真</w:t>
            </w:r>
          </w:p>
        </w:tc>
        <w:tc>
          <w:tcPr>
            <w:tcW w:w="1978" w:type="dxa"/>
            <w:gridSpan w:val="2"/>
            <w:vAlign w:val="center"/>
          </w:tcPr>
          <w:p>
            <w:pPr>
              <w:jc w:val="center"/>
              <w:rPr>
                <w:spacing w:val="-10"/>
                <w:sz w:val="24"/>
              </w:rPr>
            </w:pPr>
            <w:r>
              <w:rPr>
                <w:rFonts w:hint="eastAsia"/>
                <w:spacing w:val="-10"/>
                <w:sz w:val="24"/>
              </w:rPr>
              <w:t>0</w:t>
            </w:r>
            <w:r>
              <w:rPr>
                <w:spacing w:val="-10"/>
                <w:sz w:val="24"/>
              </w:rPr>
              <w:t>631</w:t>
            </w:r>
            <w:r>
              <w:rPr>
                <w:rFonts w:hint="eastAsia"/>
                <w:spacing w:val="-10"/>
                <w:sz w:val="24"/>
              </w:rPr>
              <w:t>-</w:t>
            </w:r>
            <w:r>
              <w:rPr>
                <w:spacing w:val="-10"/>
                <w:sz w:val="24"/>
              </w:rPr>
              <w:t>5909047</w:t>
            </w:r>
          </w:p>
        </w:tc>
        <w:tc>
          <w:tcPr>
            <w:tcW w:w="1104" w:type="dxa"/>
            <w:gridSpan w:val="3"/>
            <w:vAlign w:val="center"/>
          </w:tcPr>
          <w:p>
            <w:pPr>
              <w:jc w:val="center"/>
              <w:rPr>
                <w:sz w:val="24"/>
              </w:rPr>
            </w:pPr>
            <w:r>
              <w:rPr>
                <w:sz w:val="24"/>
              </w:rPr>
              <w:t>邮政</w:t>
            </w:r>
          </w:p>
          <w:p>
            <w:pPr>
              <w:jc w:val="center"/>
              <w:rPr>
                <w:sz w:val="24"/>
              </w:rPr>
            </w:pPr>
            <w:r>
              <w:rPr>
                <w:sz w:val="24"/>
              </w:rPr>
              <w:t>编码</w:t>
            </w:r>
          </w:p>
        </w:tc>
        <w:tc>
          <w:tcPr>
            <w:tcW w:w="1655" w:type="dxa"/>
            <w:gridSpan w:val="2"/>
            <w:vAlign w:val="center"/>
          </w:tcPr>
          <w:p>
            <w:pPr>
              <w:jc w:val="center"/>
              <w:rPr>
                <w:spacing w:val="-10"/>
                <w:sz w:val="24"/>
              </w:rPr>
            </w:pPr>
            <w:r>
              <w:rPr>
                <w:spacing w:val="-10"/>
                <w:sz w:val="24"/>
              </w:rPr>
              <w:t>264205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00" w:hRule="atLeast"/>
          <w:jc w:val="center"/>
        </w:trPr>
        <w:tc>
          <w:tcPr>
            <w:tcW w:w="1831" w:type="dxa"/>
            <w:vAlign w:val="center"/>
          </w:tcPr>
          <w:p>
            <w:pPr>
              <w:jc w:val="center"/>
              <w:rPr>
                <w:sz w:val="24"/>
              </w:rPr>
            </w:pPr>
            <w:r>
              <w:rPr>
                <w:sz w:val="24"/>
              </w:rPr>
              <w:t>建设地点</w:t>
            </w:r>
          </w:p>
        </w:tc>
        <w:tc>
          <w:tcPr>
            <w:tcW w:w="7230" w:type="dxa"/>
            <w:gridSpan w:val="9"/>
            <w:vAlign w:val="center"/>
          </w:tcPr>
          <w:p>
            <w:pPr>
              <w:jc w:val="center"/>
              <w:rPr>
                <w:sz w:val="24"/>
              </w:rPr>
            </w:pPr>
            <w:r>
              <w:rPr>
                <w:rFonts w:hint="eastAsia"/>
                <w:sz w:val="24"/>
              </w:rPr>
              <w:t>华能威海电厂内一期老厂房区域</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98" w:hRule="atLeast"/>
          <w:jc w:val="center"/>
        </w:trPr>
        <w:tc>
          <w:tcPr>
            <w:tcW w:w="1831" w:type="dxa"/>
            <w:vAlign w:val="center"/>
          </w:tcPr>
          <w:p>
            <w:pPr>
              <w:jc w:val="center"/>
              <w:rPr>
                <w:sz w:val="24"/>
              </w:rPr>
            </w:pPr>
            <w:r>
              <w:rPr>
                <w:sz w:val="24"/>
              </w:rPr>
              <w:t>立项审批</w:t>
            </w:r>
          </w:p>
          <w:p>
            <w:pPr>
              <w:jc w:val="center"/>
              <w:rPr>
                <w:sz w:val="24"/>
              </w:rPr>
            </w:pPr>
            <w:r>
              <w:rPr>
                <w:sz w:val="24"/>
              </w:rPr>
              <w:t>部门</w:t>
            </w:r>
          </w:p>
        </w:tc>
        <w:tc>
          <w:tcPr>
            <w:tcW w:w="3490" w:type="dxa"/>
            <w:gridSpan w:val="3"/>
            <w:vAlign w:val="center"/>
          </w:tcPr>
          <w:p>
            <w:pPr>
              <w:jc w:val="center"/>
              <w:rPr>
                <w:sz w:val="24"/>
              </w:rPr>
            </w:pPr>
            <w:r>
              <w:rPr>
                <w:rFonts w:hint="eastAsia"/>
                <w:sz w:val="24"/>
              </w:rPr>
              <w:t>中国华能集团有限公司</w:t>
            </w:r>
          </w:p>
        </w:tc>
        <w:tc>
          <w:tcPr>
            <w:tcW w:w="1392" w:type="dxa"/>
            <w:gridSpan w:val="2"/>
            <w:vAlign w:val="center"/>
          </w:tcPr>
          <w:p>
            <w:pPr>
              <w:jc w:val="center"/>
              <w:rPr>
                <w:sz w:val="24"/>
              </w:rPr>
            </w:pPr>
            <w:r>
              <w:rPr>
                <w:sz w:val="24"/>
              </w:rPr>
              <w:t>批准文号</w:t>
            </w:r>
          </w:p>
        </w:tc>
        <w:tc>
          <w:tcPr>
            <w:tcW w:w="2348" w:type="dxa"/>
            <w:gridSpan w:val="4"/>
            <w:vAlign w:val="center"/>
          </w:tcPr>
          <w:p>
            <w:pPr>
              <w:jc w:val="center"/>
              <w:rPr>
                <w:sz w:val="24"/>
              </w:rPr>
            </w:pPr>
            <w:r>
              <w:rPr>
                <w:rFonts w:hint="eastAsia"/>
                <w:sz w:val="24"/>
              </w:rPr>
              <w:t>华能生产函[</w:t>
            </w:r>
            <w:r>
              <w:rPr>
                <w:sz w:val="24"/>
              </w:rPr>
              <w:t>2020]107</w:t>
            </w:r>
            <w:r>
              <w:rPr>
                <w:rFonts w:hint="eastAsia"/>
                <w:sz w:val="24"/>
              </w:rPr>
              <w:t>号</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0" w:hRule="atLeast"/>
          <w:jc w:val="center"/>
        </w:trPr>
        <w:tc>
          <w:tcPr>
            <w:tcW w:w="1831" w:type="dxa"/>
            <w:vAlign w:val="center"/>
          </w:tcPr>
          <w:p>
            <w:pPr>
              <w:jc w:val="center"/>
              <w:rPr>
                <w:sz w:val="24"/>
              </w:rPr>
            </w:pPr>
            <w:r>
              <w:rPr>
                <w:sz w:val="24"/>
              </w:rPr>
              <w:t>建设性质</w:t>
            </w:r>
          </w:p>
        </w:tc>
        <w:tc>
          <w:tcPr>
            <w:tcW w:w="3490" w:type="dxa"/>
            <w:gridSpan w:val="3"/>
            <w:vAlign w:val="center"/>
          </w:tcPr>
          <w:p>
            <w:pPr>
              <w:jc w:val="center"/>
              <w:rPr>
                <w:sz w:val="24"/>
              </w:rPr>
            </w:pPr>
            <w:r>
              <w:rPr>
                <w:sz w:val="24"/>
              </w:rPr>
              <w:t>新建</w:t>
            </w:r>
            <w:r>
              <w:rPr>
                <w:rFonts w:ascii="Segoe UI Symbol" w:hAnsi="Segoe UI Symbol" w:cs="Segoe UI Symbol"/>
                <w:sz w:val="24"/>
              </w:rPr>
              <w:t>☑</w:t>
            </w:r>
            <w:r>
              <w:rPr>
                <w:sz w:val="24"/>
              </w:rPr>
              <w:t xml:space="preserve">  改扩建□   技改□</w:t>
            </w:r>
          </w:p>
        </w:tc>
        <w:tc>
          <w:tcPr>
            <w:tcW w:w="1392" w:type="dxa"/>
            <w:gridSpan w:val="2"/>
            <w:vAlign w:val="center"/>
          </w:tcPr>
          <w:p>
            <w:pPr>
              <w:jc w:val="center"/>
              <w:rPr>
                <w:sz w:val="24"/>
              </w:rPr>
            </w:pPr>
            <w:r>
              <w:rPr>
                <w:sz w:val="24"/>
              </w:rPr>
              <w:t>行业类别</w:t>
            </w:r>
          </w:p>
          <w:p>
            <w:pPr>
              <w:jc w:val="center"/>
              <w:rPr>
                <w:sz w:val="24"/>
              </w:rPr>
            </w:pPr>
            <w:r>
              <w:rPr>
                <w:sz w:val="24"/>
              </w:rPr>
              <w:t>及代码</w:t>
            </w:r>
          </w:p>
        </w:tc>
        <w:tc>
          <w:tcPr>
            <w:tcW w:w="2348" w:type="dxa"/>
            <w:gridSpan w:val="4"/>
            <w:vAlign w:val="center"/>
          </w:tcPr>
          <w:p>
            <w:pPr>
              <w:jc w:val="center"/>
              <w:rPr>
                <w:sz w:val="24"/>
              </w:rPr>
            </w:pPr>
            <w:r>
              <w:rPr>
                <w:sz w:val="24"/>
              </w:rPr>
              <w:t>海水淡化处理E4630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22" w:hRule="atLeast"/>
          <w:jc w:val="center"/>
        </w:trPr>
        <w:tc>
          <w:tcPr>
            <w:tcW w:w="1831" w:type="dxa"/>
            <w:vAlign w:val="center"/>
          </w:tcPr>
          <w:p>
            <w:pPr>
              <w:jc w:val="center"/>
              <w:rPr>
                <w:sz w:val="24"/>
              </w:rPr>
            </w:pPr>
            <w:r>
              <w:rPr>
                <w:sz w:val="24"/>
              </w:rPr>
              <w:t>占地面积</w:t>
            </w:r>
          </w:p>
          <w:p>
            <w:pPr>
              <w:jc w:val="center"/>
              <w:rPr>
                <w:sz w:val="24"/>
              </w:rPr>
            </w:pPr>
            <w:r>
              <w:rPr>
                <w:sz w:val="24"/>
              </w:rPr>
              <w:t>(平方米)</w:t>
            </w:r>
          </w:p>
        </w:tc>
        <w:tc>
          <w:tcPr>
            <w:tcW w:w="3490" w:type="dxa"/>
            <w:gridSpan w:val="3"/>
            <w:vAlign w:val="center"/>
          </w:tcPr>
          <w:p>
            <w:pPr>
              <w:jc w:val="center"/>
              <w:rPr>
                <w:sz w:val="24"/>
              </w:rPr>
            </w:pPr>
            <w:r>
              <w:rPr>
                <w:sz w:val="24"/>
              </w:rPr>
              <w:t>24965</w:t>
            </w:r>
          </w:p>
        </w:tc>
        <w:tc>
          <w:tcPr>
            <w:tcW w:w="1392" w:type="dxa"/>
            <w:gridSpan w:val="2"/>
            <w:vAlign w:val="center"/>
          </w:tcPr>
          <w:p>
            <w:pPr>
              <w:jc w:val="center"/>
              <w:rPr>
                <w:sz w:val="24"/>
              </w:rPr>
            </w:pPr>
            <w:r>
              <w:rPr>
                <w:sz w:val="24"/>
              </w:rPr>
              <w:t>绿化面积</w:t>
            </w:r>
          </w:p>
          <w:p>
            <w:pPr>
              <w:jc w:val="center"/>
              <w:rPr>
                <w:spacing w:val="-10"/>
                <w:sz w:val="24"/>
              </w:rPr>
            </w:pPr>
            <w:r>
              <w:rPr>
                <w:spacing w:val="-10"/>
                <w:sz w:val="24"/>
              </w:rPr>
              <w:t>(平方米)</w:t>
            </w:r>
          </w:p>
        </w:tc>
        <w:tc>
          <w:tcPr>
            <w:tcW w:w="2348" w:type="dxa"/>
            <w:gridSpan w:val="4"/>
            <w:vAlign w:val="center"/>
          </w:tcPr>
          <w:p>
            <w:pPr>
              <w:jc w:val="center"/>
              <w:rPr>
                <w:sz w:val="24"/>
              </w:rPr>
            </w:pPr>
            <w:r>
              <w:rPr>
                <w:rFonts w:hint="eastAsia"/>
                <w:sz w:val="24"/>
              </w:rPr>
              <w:t>9</w:t>
            </w:r>
            <w:r>
              <w:rPr>
                <w:sz w:val="24"/>
              </w:rPr>
              <w:t>744</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40" w:hRule="atLeast"/>
          <w:jc w:val="center"/>
        </w:trPr>
        <w:tc>
          <w:tcPr>
            <w:tcW w:w="1831" w:type="dxa"/>
            <w:vAlign w:val="center"/>
          </w:tcPr>
          <w:p>
            <w:pPr>
              <w:jc w:val="center"/>
              <w:rPr>
                <w:sz w:val="24"/>
              </w:rPr>
            </w:pPr>
            <w:r>
              <w:rPr>
                <w:sz w:val="24"/>
              </w:rPr>
              <w:t>总投资</w:t>
            </w:r>
          </w:p>
          <w:p>
            <w:pPr>
              <w:jc w:val="center"/>
              <w:rPr>
                <w:sz w:val="24"/>
              </w:rPr>
            </w:pPr>
            <w:r>
              <w:rPr>
                <w:sz w:val="24"/>
              </w:rPr>
              <w:t>(万元)</w:t>
            </w:r>
          </w:p>
        </w:tc>
        <w:tc>
          <w:tcPr>
            <w:tcW w:w="1782" w:type="dxa"/>
            <w:vAlign w:val="center"/>
          </w:tcPr>
          <w:p>
            <w:pPr>
              <w:jc w:val="center"/>
              <w:rPr>
                <w:sz w:val="24"/>
              </w:rPr>
            </w:pPr>
            <w:r>
              <w:rPr>
                <w:sz w:val="24"/>
              </w:rPr>
              <w:t>72700</w:t>
            </w:r>
          </w:p>
        </w:tc>
        <w:tc>
          <w:tcPr>
            <w:tcW w:w="1708" w:type="dxa"/>
            <w:gridSpan w:val="2"/>
            <w:vAlign w:val="center"/>
          </w:tcPr>
          <w:p>
            <w:pPr>
              <w:jc w:val="center"/>
              <w:rPr>
                <w:sz w:val="24"/>
              </w:rPr>
            </w:pPr>
            <w:r>
              <w:rPr>
                <w:sz w:val="24"/>
              </w:rPr>
              <w:t>其中：</w:t>
            </w:r>
          </w:p>
          <w:p>
            <w:pPr>
              <w:jc w:val="center"/>
              <w:rPr>
                <w:sz w:val="24"/>
              </w:rPr>
            </w:pPr>
            <w:r>
              <w:rPr>
                <w:sz w:val="24"/>
              </w:rPr>
              <w:t>环保投资</w:t>
            </w:r>
          </w:p>
          <w:p>
            <w:pPr>
              <w:jc w:val="center"/>
              <w:rPr>
                <w:sz w:val="24"/>
              </w:rPr>
            </w:pPr>
            <w:r>
              <w:rPr>
                <w:sz w:val="24"/>
              </w:rPr>
              <w:t>(万元)</w:t>
            </w:r>
          </w:p>
        </w:tc>
        <w:tc>
          <w:tcPr>
            <w:tcW w:w="1392" w:type="dxa"/>
            <w:gridSpan w:val="2"/>
            <w:vAlign w:val="center"/>
          </w:tcPr>
          <w:p>
            <w:pPr>
              <w:jc w:val="center"/>
              <w:rPr>
                <w:sz w:val="24"/>
              </w:rPr>
            </w:pPr>
            <w:r>
              <w:rPr>
                <w:sz w:val="24"/>
              </w:rPr>
              <w:t>600</w:t>
            </w:r>
          </w:p>
        </w:tc>
        <w:tc>
          <w:tcPr>
            <w:tcW w:w="1099" w:type="dxa"/>
            <w:gridSpan w:val="3"/>
            <w:vAlign w:val="center"/>
          </w:tcPr>
          <w:p>
            <w:pPr>
              <w:jc w:val="center"/>
              <w:rPr>
                <w:sz w:val="24"/>
              </w:rPr>
            </w:pPr>
            <w:r>
              <w:rPr>
                <w:sz w:val="24"/>
              </w:rPr>
              <w:t>环保投资占总投资比例</w:t>
            </w:r>
          </w:p>
        </w:tc>
        <w:tc>
          <w:tcPr>
            <w:tcW w:w="1249" w:type="dxa"/>
            <w:vAlign w:val="center"/>
          </w:tcPr>
          <w:p>
            <w:pPr>
              <w:jc w:val="center"/>
              <w:rPr>
                <w:sz w:val="24"/>
              </w:rPr>
            </w:pPr>
            <w:r>
              <w:rPr>
                <w:sz w:val="24"/>
              </w:rPr>
              <w:t>0.83%</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20" w:hRule="atLeast"/>
          <w:jc w:val="center"/>
        </w:trPr>
        <w:tc>
          <w:tcPr>
            <w:tcW w:w="1831" w:type="dxa"/>
            <w:vAlign w:val="center"/>
          </w:tcPr>
          <w:p>
            <w:pPr>
              <w:jc w:val="center"/>
              <w:rPr>
                <w:sz w:val="24"/>
              </w:rPr>
            </w:pPr>
            <w:r>
              <w:rPr>
                <w:sz w:val="24"/>
              </w:rPr>
              <w:t>评价经费</w:t>
            </w:r>
          </w:p>
          <w:p>
            <w:pPr>
              <w:jc w:val="center"/>
              <w:rPr>
                <w:sz w:val="24"/>
              </w:rPr>
            </w:pPr>
            <w:r>
              <w:rPr>
                <w:sz w:val="24"/>
              </w:rPr>
              <w:t>(万元)</w:t>
            </w:r>
          </w:p>
        </w:tc>
        <w:tc>
          <w:tcPr>
            <w:tcW w:w="1782" w:type="dxa"/>
            <w:shd w:val="clear" w:color="auto" w:fill="auto"/>
            <w:vAlign w:val="center"/>
          </w:tcPr>
          <w:p>
            <w:pPr>
              <w:jc w:val="center"/>
              <w:rPr>
                <w:sz w:val="24"/>
                <w:highlight w:val="magenta"/>
              </w:rPr>
            </w:pPr>
          </w:p>
        </w:tc>
        <w:tc>
          <w:tcPr>
            <w:tcW w:w="1708" w:type="dxa"/>
            <w:gridSpan w:val="2"/>
            <w:vAlign w:val="center"/>
          </w:tcPr>
          <w:p>
            <w:pPr>
              <w:jc w:val="center"/>
              <w:rPr>
                <w:sz w:val="24"/>
              </w:rPr>
            </w:pPr>
            <w:r>
              <w:rPr>
                <w:sz w:val="24"/>
              </w:rPr>
              <w:t>预期投产</w:t>
            </w:r>
          </w:p>
          <w:p>
            <w:pPr>
              <w:jc w:val="center"/>
              <w:rPr>
                <w:sz w:val="24"/>
              </w:rPr>
            </w:pPr>
            <w:r>
              <w:rPr>
                <w:sz w:val="24"/>
              </w:rPr>
              <w:t>日期</w:t>
            </w:r>
          </w:p>
        </w:tc>
        <w:tc>
          <w:tcPr>
            <w:tcW w:w="3740" w:type="dxa"/>
            <w:gridSpan w:val="6"/>
            <w:shd w:val="clear" w:color="auto" w:fill="auto"/>
            <w:vAlign w:val="center"/>
          </w:tcPr>
          <w:p>
            <w:pPr>
              <w:jc w:val="center"/>
              <w:rPr>
                <w:sz w:val="24"/>
              </w:rPr>
            </w:pPr>
            <w:r>
              <w:rPr>
                <w:rFonts w:hint="eastAsia"/>
                <w:sz w:val="24"/>
              </w:rPr>
              <w:t>一期投产</w:t>
            </w:r>
            <w:r>
              <w:rPr>
                <w:sz w:val="24"/>
              </w:rPr>
              <w:t>2021</w:t>
            </w:r>
            <w:r>
              <w:rPr>
                <w:rFonts w:hint="eastAsia"/>
                <w:sz w:val="24"/>
              </w:rPr>
              <w:t>年</w:t>
            </w:r>
            <w:r>
              <w:rPr>
                <w:sz w:val="24"/>
              </w:rPr>
              <w:t>12</w:t>
            </w:r>
            <w:r>
              <w:rPr>
                <w:rFonts w:hint="eastAsia"/>
                <w:sz w:val="24"/>
              </w:rPr>
              <w:t>月</w:t>
            </w:r>
          </w:p>
          <w:p>
            <w:pPr>
              <w:jc w:val="center"/>
              <w:rPr>
                <w:sz w:val="24"/>
              </w:rPr>
            </w:pPr>
            <w:r>
              <w:rPr>
                <w:rFonts w:hint="eastAsia"/>
                <w:sz w:val="24"/>
              </w:rPr>
              <w:t>二期投产2</w:t>
            </w:r>
            <w:r>
              <w:rPr>
                <w:sz w:val="24"/>
              </w:rPr>
              <w:t>023</w:t>
            </w:r>
            <w:r>
              <w:rPr>
                <w:rFonts w:hint="eastAsia"/>
                <w:sz w:val="24"/>
              </w:rPr>
              <w:t>年4月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 w:hRule="atLeast"/>
          <w:jc w:val="center"/>
        </w:trPr>
        <w:tc>
          <w:tcPr>
            <w:tcW w:w="9061" w:type="dxa"/>
            <w:gridSpan w:val="10"/>
            <w:vAlign w:val="center"/>
          </w:tcPr>
          <w:p>
            <w:pPr>
              <w:adjustRightInd w:val="0"/>
              <w:snapToGrid w:val="0"/>
              <w:spacing w:beforeLines="50" w:line="360" w:lineRule="auto"/>
              <w:rPr>
                <w:rFonts w:eastAsia="楷体_GB2312"/>
              </w:rPr>
            </w:pPr>
            <w:r>
              <w:rPr>
                <w:rFonts w:eastAsia="楷体_GB2312"/>
                <w:sz w:val="24"/>
              </w:rPr>
              <w:t>工程内容及规模：</w:t>
            </w:r>
          </w:p>
          <w:p>
            <w:pPr>
              <w:adjustRightInd w:val="0"/>
              <w:snapToGrid w:val="0"/>
              <w:spacing w:line="360" w:lineRule="auto"/>
              <w:ind w:firstLine="482" w:firstLineChars="200"/>
              <w:rPr>
                <w:b/>
                <w:sz w:val="24"/>
              </w:rPr>
            </w:pPr>
            <w:r>
              <w:rPr>
                <w:b/>
                <w:sz w:val="24"/>
              </w:rPr>
              <w:t>1</w:t>
            </w:r>
            <w:r>
              <w:rPr>
                <w:rFonts w:hint="eastAsia" w:hAnsi="宋体"/>
                <w:b/>
                <w:sz w:val="24"/>
              </w:rPr>
              <w:t>.</w:t>
            </w:r>
            <w:r>
              <w:rPr>
                <w:rFonts w:hAnsi="宋体"/>
                <w:b/>
                <w:sz w:val="24"/>
              </w:rPr>
              <w:t xml:space="preserve"> 项目</w:t>
            </w:r>
            <w:r>
              <w:rPr>
                <w:rFonts w:hint="eastAsia" w:hAnsi="宋体"/>
                <w:b/>
                <w:sz w:val="24"/>
              </w:rPr>
              <w:t>背景</w:t>
            </w:r>
          </w:p>
          <w:p>
            <w:pPr>
              <w:pStyle w:val="45"/>
              <w:adjustRightInd w:val="0"/>
              <w:snapToGrid w:val="0"/>
              <w:spacing w:line="360" w:lineRule="auto"/>
              <w:ind w:firstLine="480" w:firstLineChars="200"/>
              <w:rPr>
                <w:rFonts w:ascii="Times New Roman" w:hAnsi="Times New Roman"/>
                <w:sz w:val="24"/>
              </w:rPr>
            </w:pPr>
            <w:r>
              <w:rPr>
                <w:rFonts w:hint="eastAsia" w:ascii="Times New Roman" w:hAnsi="Times New Roman"/>
                <w:sz w:val="24"/>
              </w:rPr>
              <w:t>华能威海发电有限责任公司是华能国际电力股份有限公司和威海产业投资集团合资建设。</w:t>
            </w:r>
          </w:p>
          <w:p>
            <w:pPr>
              <w:spacing w:before="120" w:after="120" w:line="360" w:lineRule="auto"/>
              <w:ind w:firstLine="426"/>
              <w:rPr>
                <w:rFonts w:ascii="Calibri" w:hAnsi="Calibri"/>
                <w:sz w:val="24"/>
                <w:szCs w:val="22"/>
              </w:rPr>
            </w:pPr>
            <w:r>
              <w:rPr>
                <w:rFonts w:hint="eastAsia"/>
                <w:sz w:val="24"/>
              </w:rPr>
              <w:t>为保障威海市用水安全，2019年10月，威海市人民政府在第17届人民政府第 67 次常务会议中，形成了《关于推进华能威海电厂海水淡化工程的意见》。意见中明确提出：根据《威海市水安全保障总体规划》及《威海市海水淡化专项规划》，依托华能威海发电有限责任公司建设海水淡化工程，包括海水淡化厂和配套输水设施两部分。因此，根据该意见，华能威海发电有限责任公司拟利用电厂内原建筑拆除位置，并利用留存的循环水泵房和汽机房，新建本项目。项目海水淡化总产水10万m</w:t>
            </w:r>
            <w:r>
              <w:rPr>
                <w:rFonts w:hint="eastAsia"/>
                <w:sz w:val="24"/>
                <w:vertAlign w:val="superscript"/>
              </w:rPr>
              <w:t>3</w:t>
            </w:r>
            <w:r>
              <w:rPr>
                <w:rFonts w:hint="eastAsia"/>
                <w:sz w:val="24"/>
              </w:rPr>
              <w:t>/d，分两期建设，一期产水3万m</w:t>
            </w:r>
            <w:r>
              <w:rPr>
                <w:rFonts w:hint="eastAsia"/>
                <w:sz w:val="24"/>
                <w:vertAlign w:val="superscript"/>
              </w:rPr>
              <w:t>3</w:t>
            </w:r>
            <w:r>
              <w:rPr>
                <w:rFonts w:hint="eastAsia"/>
                <w:sz w:val="24"/>
              </w:rPr>
              <w:t>/d，二期产水7万m</w:t>
            </w:r>
            <w:r>
              <w:rPr>
                <w:rFonts w:hint="eastAsia"/>
                <w:sz w:val="24"/>
                <w:vertAlign w:val="superscript"/>
              </w:rPr>
              <w:t>3</w:t>
            </w:r>
            <w:r>
              <w:rPr>
                <w:rFonts w:hint="eastAsia"/>
                <w:sz w:val="24"/>
              </w:rPr>
              <w:t>/d。一期采用反渗透海水淡化工艺，即“V型滤池→清水池→超滤给水泵→超滤自清洗过滤器→超滤膜组件→中间水池(兼反洗)→海水反渗透给水泵→海水反渗透保安过滤器→海水RO高压泵(带PX型能量回收装置)→海水RO膜组件（夏季部分进二级反渗透处理，二级反渗透产水和一级反渗透产水进行混掺）→一级反渗透产水池”；</w:t>
            </w:r>
            <w:r>
              <w:rPr>
                <w:rFonts w:hint="eastAsia"/>
                <w:sz w:val="24"/>
                <w:szCs w:val="22"/>
              </w:rPr>
              <w:t>二期工程产水</w:t>
            </w:r>
            <w:r>
              <w:rPr>
                <w:sz w:val="24"/>
                <w:szCs w:val="22"/>
              </w:rPr>
              <w:t>7</w:t>
            </w:r>
            <w:r>
              <w:rPr>
                <w:rFonts w:hint="eastAsia"/>
                <w:sz w:val="24"/>
                <w:szCs w:val="22"/>
              </w:rPr>
              <w:t>万</w:t>
            </w:r>
            <w:r>
              <w:rPr>
                <w:sz w:val="24"/>
                <w:szCs w:val="22"/>
              </w:rPr>
              <w:t>m</w:t>
            </w:r>
            <w:r>
              <w:rPr>
                <w:sz w:val="24"/>
                <w:szCs w:val="22"/>
                <w:vertAlign w:val="superscript"/>
              </w:rPr>
              <w:t>3</w:t>
            </w:r>
            <w:r>
              <w:rPr>
                <w:sz w:val="24"/>
                <w:szCs w:val="22"/>
              </w:rPr>
              <w:t>/d</w:t>
            </w:r>
            <w:r>
              <w:rPr>
                <w:rFonts w:hint="eastAsia"/>
                <w:sz w:val="24"/>
                <w:szCs w:val="22"/>
              </w:rPr>
              <w:t>，采用</w:t>
            </w:r>
            <w:r>
              <w:rPr>
                <w:sz w:val="24"/>
                <w:szCs w:val="22"/>
              </w:rPr>
              <w:t>2</w:t>
            </w:r>
            <w:r>
              <w:rPr>
                <w:rFonts w:hint="eastAsia"/>
                <w:sz w:val="24"/>
                <w:szCs w:val="22"/>
              </w:rPr>
              <w:t>万</w:t>
            </w:r>
            <w:r>
              <w:rPr>
                <w:sz w:val="24"/>
                <w:szCs w:val="22"/>
              </w:rPr>
              <w:t>m</w:t>
            </w:r>
            <w:r>
              <w:rPr>
                <w:sz w:val="24"/>
                <w:szCs w:val="22"/>
                <w:vertAlign w:val="superscript"/>
              </w:rPr>
              <w:t>3</w:t>
            </w:r>
            <w:r>
              <w:rPr>
                <w:sz w:val="24"/>
                <w:szCs w:val="22"/>
              </w:rPr>
              <w:t>/d</w:t>
            </w:r>
            <w:r>
              <w:rPr>
                <w:rFonts w:hint="eastAsia"/>
                <w:sz w:val="24"/>
                <w:szCs w:val="22"/>
              </w:rPr>
              <w:t>低温多效</w:t>
            </w:r>
            <w:r>
              <w:rPr>
                <w:sz w:val="24"/>
                <w:szCs w:val="22"/>
              </w:rPr>
              <w:t>+5</w:t>
            </w:r>
            <w:r>
              <w:rPr>
                <w:rFonts w:hint="eastAsia"/>
                <w:sz w:val="24"/>
                <w:szCs w:val="22"/>
              </w:rPr>
              <w:t>万</w:t>
            </w:r>
            <w:r>
              <w:rPr>
                <w:sz w:val="24"/>
                <w:szCs w:val="22"/>
              </w:rPr>
              <w:t>m</w:t>
            </w:r>
            <w:r>
              <w:rPr>
                <w:sz w:val="24"/>
                <w:szCs w:val="22"/>
                <w:vertAlign w:val="superscript"/>
              </w:rPr>
              <w:t>3</w:t>
            </w:r>
            <w:r>
              <w:rPr>
                <w:sz w:val="24"/>
                <w:szCs w:val="22"/>
              </w:rPr>
              <w:t>/d</w:t>
            </w:r>
            <w:r>
              <w:rPr>
                <w:rFonts w:hint="eastAsia"/>
                <w:sz w:val="24"/>
                <w:szCs w:val="22"/>
              </w:rPr>
              <w:t>海水反渗透耦合工艺。其中，二期低温多效采用</w:t>
            </w:r>
            <w:r>
              <w:rPr>
                <w:rFonts w:hint="eastAsia" w:ascii="Calibri" w:hAnsi="Calibri"/>
                <w:sz w:val="24"/>
                <w:szCs w:val="22"/>
              </w:rPr>
              <w:t>经过自清洗过滤器后的海水经升压后进入低温多效蒸发器蒸发冷凝脱盐工艺，二期海水</w:t>
            </w:r>
            <w:r>
              <w:rPr>
                <w:rFonts w:hint="eastAsia"/>
                <w:sz w:val="24"/>
                <w:szCs w:val="22"/>
              </w:rPr>
              <w:t>反渗透工艺流程与一期相同。</w:t>
            </w:r>
          </w:p>
          <w:p>
            <w:pPr>
              <w:pStyle w:val="45"/>
              <w:adjustRightInd w:val="0"/>
              <w:snapToGrid w:val="0"/>
              <w:spacing w:line="360" w:lineRule="auto"/>
              <w:ind w:firstLine="480" w:firstLineChars="200"/>
              <w:rPr>
                <w:rFonts w:ascii="Times New Roman" w:hAnsi="Times New Roman"/>
                <w:sz w:val="24"/>
              </w:rPr>
            </w:pPr>
            <w:r>
              <w:rPr>
                <w:rFonts w:hint="eastAsia" w:ascii="Times New Roman" w:hAnsi="Times New Roman"/>
                <w:sz w:val="24"/>
              </w:rPr>
              <w:t>滤池反洗水、超滤反冲洗水、一级反渗透浓水、低温多效浓水排入电厂在运机组冷却水排水渠，超滤CEB反洗水及其他废水排入中和池，处理后排入冷却水排水渠；各排水与电厂在运机组冷却水混合后，近岸排放。产水拟作为威海市市政自来水及厂用水，淡化装置出口至市区供水管网不在本工程范围内，厂用水主要有锅炉补给水（8</w:t>
            </w:r>
            <w:r>
              <w:rPr>
                <w:rFonts w:ascii="Times New Roman" w:hAnsi="Times New Roman"/>
                <w:sz w:val="24"/>
              </w:rPr>
              <w:t>0</w:t>
            </w:r>
            <w:r>
              <w:rPr>
                <w:rFonts w:hint="eastAsia" w:ascii="Times New Roman" w:hAnsi="Times New Roman"/>
                <w:sz w:val="24"/>
              </w:rPr>
              <w:t>~</w:t>
            </w:r>
            <w:r>
              <w:rPr>
                <w:rFonts w:ascii="Times New Roman" w:hAnsi="Times New Roman"/>
                <w:sz w:val="24"/>
              </w:rPr>
              <w:t>100</w:t>
            </w:r>
            <w:r>
              <w:rPr>
                <w:rFonts w:hint="eastAsia" w:ascii="Times New Roman" w:hAnsi="Times New Roman"/>
                <w:sz w:val="24"/>
              </w:rPr>
              <w:t>m</w:t>
            </w:r>
            <w:r>
              <w:rPr>
                <w:rFonts w:ascii="Times New Roman" w:hAnsi="Times New Roman"/>
                <w:sz w:val="24"/>
                <w:vertAlign w:val="superscript"/>
              </w:rPr>
              <w:t>3</w:t>
            </w:r>
            <w:r>
              <w:rPr>
                <w:rFonts w:ascii="Times New Roman" w:hAnsi="Times New Roman"/>
                <w:sz w:val="24"/>
              </w:rPr>
              <w:t>/h</w:t>
            </w:r>
            <w:r>
              <w:rPr>
                <w:rFonts w:hint="eastAsia" w:ascii="Times New Roman" w:hAnsi="Times New Roman"/>
                <w:sz w:val="24"/>
              </w:rPr>
              <w:t>）及电厂生活用水（年用水量6</w:t>
            </w:r>
            <w:r>
              <w:rPr>
                <w:rFonts w:ascii="Times New Roman" w:hAnsi="Times New Roman"/>
                <w:sz w:val="24"/>
              </w:rPr>
              <w:t>0</w:t>
            </w:r>
            <w:r>
              <w:rPr>
                <w:rFonts w:hint="eastAsia" w:ascii="Times New Roman" w:hAnsi="Times New Roman"/>
                <w:sz w:val="24"/>
              </w:rPr>
              <w:t>万t）。</w:t>
            </w:r>
          </w:p>
          <w:p>
            <w:pPr>
              <w:pStyle w:val="45"/>
              <w:adjustRightInd w:val="0"/>
              <w:snapToGrid w:val="0"/>
              <w:spacing w:line="360" w:lineRule="auto"/>
              <w:ind w:firstLine="480" w:firstLineChars="200"/>
              <w:rPr>
                <w:rFonts w:ascii="Times New Roman" w:hAnsi="Times New Roman"/>
                <w:sz w:val="24"/>
              </w:rPr>
            </w:pPr>
            <w:r>
              <w:rPr>
                <w:rFonts w:ascii="Times New Roman" w:hAnsi="Times New Roman"/>
                <w:sz w:val="24"/>
              </w:rPr>
              <w:t>根据《中华人民共和国环境保护法》、《中华人民共和国环境影响评价法》、《</w:t>
            </w:r>
            <w:r>
              <w:rPr>
                <w:rFonts w:hint="eastAsia" w:ascii="Times New Roman" w:hAnsi="Times New Roman"/>
                <w:sz w:val="24"/>
              </w:rPr>
              <w:t>建设项目</w:t>
            </w:r>
            <w:r>
              <w:rPr>
                <w:rFonts w:ascii="Times New Roman" w:hAnsi="Times New Roman"/>
                <w:sz w:val="24"/>
              </w:rPr>
              <w:t>环境保护分类管理名录》</w:t>
            </w:r>
            <w:r>
              <w:rPr>
                <w:rFonts w:hint="eastAsia" w:ascii="Times New Roman" w:hAnsi="Times New Roman"/>
                <w:sz w:val="24"/>
              </w:rPr>
              <w:t>(环境保护部令第44号，2018年4月28日修正)</w:t>
            </w:r>
            <w:r>
              <w:rPr>
                <w:rFonts w:ascii="Times New Roman" w:hAnsi="Times New Roman"/>
                <w:sz w:val="24"/>
              </w:rPr>
              <w:t>等相关法律、法规及规定，</w:t>
            </w:r>
            <w:r>
              <w:rPr>
                <w:rFonts w:hint="eastAsia" w:ascii="Times New Roman" w:hAnsi="Times New Roman"/>
                <w:sz w:val="24"/>
              </w:rPr>
              <w:t>华能威海电厂海水淡化工程为分类管理名录中“第三十三、水的生产和供应业-</w:t>
            </w:r>
            <w:r>
              <w:rPr>
                <w:rFonts w:ascii="Times New Roman" w:hAnsi="Times New Roman"/>
                <w:sz w:val="24"/>
              </w:rPr>
              <w:t>98</w:t>
            </w:r>
            <w:r>
              <w:rPr>
                <w:rFonts w:hint="eastAsia" w:ascii="Times New Roman" w:hAnsi="Times New Roman"/>
                <w:sz w:val="24"/>
              </w:rPr>
              <w:t>海水淡化、其他水处理和利用”中的全部，需编制环境影响报告表，为此，华能威海发电有限责任公司</w:t>
            </w:r>
            <w:r>
              <w:rPr>
                <w:rFonts w:ascii="Times New Roman" w:hAnsi="Times New Roman"/>
                <w:sz w:val="24"/>
              </w:rPr>
              <w:t>委托</w:t>
            </w:r>
            <w:r>
              <w:rPr>
                <w:rFonts w:hint="eastAsia" w:ascii="Times New Roman" w:hAnsi="Times New Roman"/>
                <w:sz w:val="24"/>
              </w:rPr>
              <w:t>中国海洋大学对该建设项目进行环境影响评价，并编制环境影响评价报告表。评价单位</w:t>
            </w:r>
            <w:r>
              <w:rPr>
                <w:rFonts w:ascii="Times New Roman" w:hAnsi="Times New Roman"/>
                <w:sz w:val="24"/>
              </w:rPr>
              <w:t>受委托之后进行了现场踏勘</w:t>
            </w:r>
            <w:r>
              <w:rPr>
                <w:rFonts w:hint="eastAsia" w:ascii="Times New Roman" w:hAnsi="Times New Roman"/>
                <w:sz w:val="24"/>
              </w:rPr>
              <w:t>和海洋生态环境现场调查</w:t>
            </w:r>
            <w:r>
              <w:rPr>
                <w:rFonts w:ascii="Times New Roman" w:hAnsi="Times New Roman"/>
                <w:sz w:val="24"/>
              </w:rPr>
              <w:t>，</w:t>
            </w:r>
            <w:r>
              <w:rPr>
                <w:rFonts w:hint="eastAsia" w:ascii="Times New Roman" w:hAnsi="Times New Roman"/>
                <w:sz w:val="24"/>
              </w:rPr>
              <w:t>并搜集</w:t>
            </w:r>
            <w:r>
              <w:rPr>
                <w:rFonts w:ascii="Times New Roman" w:hAnsi="Times New Roman"/>
                <w:sz w:val="24"/>
              </w:rPr>
              <w:t>项目所在区域环境概况、环境质量监测数据以及</w:t>
            </w:r>
            <w:r>
              <w:rPr>
                <w:rFonts w:hint="eastAsia" w:ascii="Times New Roman" w:hAnsi="Times New Roman"/>
                <w:sz w:val="24"/>
              </w:rPr>
              <w:t>项目</w:t>
            </w:r>
            <w:r>
              <w:rPr>
                <w:rFonts w:ascii="Times New Roman" w:hAnsi="Times New Roman"/>
                <w:sz w:val="24"/>
              </w:rPr>
              <w:t>相关资料等，进行综合分析评价，编制了本报告。</w:t>
            </w:r>
          </w:p>
          <w:p>
            <w:pPr>
              <w:adjustRightInd w:val="0"/>
              <w:snapToGrid w:val="0"/>
              <w:spacing w:line="360" w:lineRule="auto"/>
              <w:ind w:firstLine="482" w:firstLineChars="200"/>
              <w:rPr>
                <w:b/>
                <w:sz w:val="24"/>
              </w:rPr>
            </w:pPr>
            <w:r>
              <w:rPr>
                <w:rFonts w:hint="eastAsia"/>
                <w:b/>
                <w:sz w:val="24"/>
              </w:rPr>
              <w:t>2.</w:t>
            </w:r>
            <w:r>
              <w:rPr>
                <w:b/>
                <w:sz w:val="24"/>
              </w:rPr>
              <w:t xml:space="preserve"> </w:t>
            </w:r>
            <w:r>
              <w:rPr>
                <w:rFonts w:hint="eastAsia"/>
                <w:b/>
                <w:sz w:val="24"/>
              </w:rPr>
              <w:t>编制依据</w:t>
            </w:r>
          </w:p>
          <w:p>
            <w:pPr>
              <w:adjustRightInd w:val="0"/>
              <w:snapToGrid w:val="0"/>
              <w:spacing w:line="360" w:lineRule="auto"/>
              <w:ind w:firstLine="480" w:firstLineChars="200"/>
              <w:rPr>
                <w:sz w:val="24"/>
              </w:rPr>
            </w:pPr>
            <w:r>
              <w:rPr>
                <w:rFonts w:hint="eastAsia"/>
                <w:sz w:val="24"/>
              </w:rPr>
              <w:t>(</w:t>
            </w:r>
            <w:r>
              <w:rPr>
                <w:sz w:val="24"/>
              </w:rPr>
              <w:t xml:space="preserve">1) </w:t>
            </w:r>
            <w:r>
              <w:rPr>
                <w:rFonts w:hint="eastAsia"/>
                <w:sz w:val="24"/>
              </w:rPr>
              <w:t>国家法律、法规</w:t>
            </w:r>
          </w:p>
          <w:p>
            <w:pPr>
              <w:adjustRightInd w:val="0"/>
              <w:snapToGrid w:val="0"/>
              <w:spacing w:line="360" w:lineRule="auto"/>
              <w:ind w:firstLine="480" w:firstLineChars="200"/>
              <w:rPr>
                <w:sz w:val="24"/>
              </w:rPr>
            </w:pPr>
            <w:r>
              <w:rPr>
                <w:rFonts w:hint="eastAsia"/>
                <w:sz w:val="24"/>
              </w:rPr>
              <w:t>《中华人民共和国环境保护法》(2015.01.01)；</w:t>
            </w:r>
          </w:p>
          <w:p>
            <w:pPr>
              <w:adjustRightInd w:val="0"/>
              <w:snapToGrid w:val="0"/>
              <w:spacing w:line="360" w:lineRule="auto"/>
              <w:ind w:firstLine="480" w:firstLineChars="200"/>
              <w:rPr>
                <w:sz w:val="24"/>
              </w:rPr>
            </w:pPr>
            <w:r>
              <w:rPr>
                <w:rFonts w:hint="eastAsia"/>
                <w:sz w:val="24"/>
              </w:rPr>
              <w:t>《中华人民共和国环境影响评价法》(2018.12.29)；</w:t>
            </w:r>
          </w:p>
          <w:p>
            <w:pPr>
              <w:adjustRightInd w:val="0"/>
              <w:snapToGrid w:val="0"/>
              <w:spacing w:line="360" w:lineRule="auto"/>
              <w:ind w:firstLine="480" w:firstLineChars="200"/>
              <w:rPr>
                <w:sz w:val="24"/>
              </w:rPr>
            </w:pPr>
            <w:r>
              <w:rPr>
                <w:rFonts w:hint="eastAsia"/>
                <w:sz w:val="24"/>
              </w:rPr>
              <w:t>《中华人民共和国水污染防治法》(2018.01.01)；</w:t>
            </w:r>
          </w:p>
          <w:p>
            <w:pPr>
              <w:adjustRightInd w:val="0"/>
              <w:snapToGrid w:val="0"/>
              <w:spacing w:line="360" w:lineRule="auto"/>
              <w:ind w:firstLine="480" w:firstLineChars="200"/>
              <w:rPr>
                <w:sz w:val="24"/>
              </w:rPr>
            </w:pPr>
            <w:r>
              <w:rPr>
                <w:rFonts w:hint="eastAsia"/>
                <w:sz w:val="24"/>
              </w:rPr>
              <w:t>《中华人民共和国大气污染防治法》(2018.10.26)；</w:t>
            </w:r>
          </w:p>
          <w:p>
            <w:pPr>
              <w:adjustRightInd w:val="0"/>
              <w:snapToGrid w:val="0"/>
              <w:spacing w:line="360" w:lineRule="auto"/>
              <w:ind w:firstLine="480" w:firstLineChars="200"/>
              <w:rPr>
                <w:sz w:val="24"/>
              </w:rPr>
            </w:pPr>
            <w:r>
              <w:rPr>
                <w:rFonts w:hint="eastAsia"/>
                <w:sz w:val="24"/>
              </w:rPr>
              <w:t>《中华人民共和国环境噪声污染防治法》(2018.12.29)；</w:t>
            </w:r>
          </w:p>
          <w:p>
            <w:pPr>
              <w:adjustRightInd w:val="0"/>
              <w:snapToGrid w:val="0"/>
              <w:spacing w:line="360" w:lineRule="auto"/>
              <w:ind w:firstLine="480" w:firstLineChars="200"/>
              <w:rPr>
                <w:sz w:val="24"/>
              </w:rPr>
            </w:pPr>
            <w:r>
              <w:rPr>
                <w:rFonts w:hint="eastAsia"/>
                <w:sz w:val="24"/>
              </w:rPr>
              <w:t>《中华人民共和国固体废物污染环境防治法》(20</w:t>
            </w:r>
            <w:r>
              <w:rPr>
                <w:sz w:val="24"/>
              </w:rPr>
              <w:t>20</w:t>
            </w:r>
            <w:r>
              <w:rPr>
                <w:rFonts w:hint="eastAsia"/>
                <w:sz w:val="24"/>
              </w:rPr>
              <w:t>.</w:t>
            </w:r>
            <w:r>
              <w:rPr>
                <w:sz w:val="24"/>
              </w:rPr>
              <w:t>4</w:t>
            </w:r>
            <w:r>
              <w:rPr>
                <w:rFonts w:hint="eastAsia"/>
                <w:sz w:val="24"/>
              </w:rPr>
              <w:t>.</w:t>
            </w:r>
            <w:r>
              <w:rPr>
                <w:sz w:val="24"/>
              </w:rPr>
              <w:t>29</w:t>
            </w:r>
            <w:r>
              <w:rPr>
                <w:rFonts w:hint="eastAsia"/>
                <w:sz w:val="24"/>
              </w:rPr>
              <w:t>修正</w:t>
            </w:r>
            <w:r>
              <w:rPr>
                <w:sz w:val="24"/>
              </w:rPr>
              <w:t>)</w:t>
            </w:r>
            <w:r>
              <w:rPr>
                <w:rFonts w:hint="eastAsia"/>
                <w:sz w:val="24"/>
              </w:rPr>
              <w:t>；</w:t>
            </w:r>
          </w:p>
          <w:p>
            <w:pPr>
              <w:adjustRightInd w:val="0"/>
              <w:snapToGrid w:val="0"/>
              <w:spacing w:line="360" w:lineRule="auto"/>
              <w:ind w:firstLine="480" w:firstLineChars="200"/>
              <w:rPr>
                <w:sz w:val="24"/>
              </w:rPr>
            </w:pPr>
            <w:r>
              <w:rPr>
                <w:rFonts w:hint="eastAsia"/>
                <w:sz w:val="24"/>
              </w:rPr>
              <w:t>《建设项目环境保护管理条例》(国务院令第682号，2017.10.01)；</w:t>
            </w:r>
          </w:p>
          <w:p>
            <w:pPr>
              <w:adjustRightInd w:val="0"/>
              <w:snapToGrid w:val="0"/>
              <w:spacing w:line="360" w:lineRule="auto"/>
              <w:ind w:firstLine="480" w:firstLineChars="200"/>
              <w:rPr>
                <w:sz w:val="24"/>
              </w:rPr>
            </w:pPr>
            <w:r>
              <w:rPr>
                <w:rFonts w:hint="eastAsia"/>
                <w:sz w:val="24"/>
              </w:rPr>
              <w:t>《国务院关于印发打赢蓝天保卫战三年行动计划的通知》(国发〔2018〕22号)；</w:t>
            </w:r>
          </w:p>
          <w:p>
            <w:pPr>
              <w:adjustRightInd w:val="0"/>
              <w:snapToGrid w:val="0"/>
              <w:spacing w:line="360" w:lineRule="auto"/>
              <w:ind w:firstLine="480" w:firstLineChars="200"/>
              <w:rPr>
                <w:sz w:val="24"/>
              </w:rPr>
            </w:pPr>
            <w:r>
              <w:rPr>
                <w:rFonts w:hint="eastAsia"/>
                <w:sz w:val="24"/>
              </w:rPr>
              <w:t>《关于以改善环境质量为核心加强环境影响评价管理的通知》(环环评[2016]150号)；</w:t>
            </w:r>
          </w:p>
          <w:p>
            <w:pPr>
              <w:adjustRightInd w:val="0"/>
              <w:snapToGrid w:val="0"/>
              <w:spacing w:line="360" w:lineRule="auto"/>
              <w:ind w:firstLine="480" w:firstLineChars="200"/>
              <w:rPr>
                <w:sz w:val="24"/>
              </w:rPr>
            </w:pPr>
            <w:r>
              <w:rPr>
                <w:rFonts w:hint="eastAsia"/>
                <w:sz w:val="24"/>
              </w:rPr>
              <w:t>《建设项目环境影响评价分类管理名录》(环保部令第44号，2017.09.01)；</w:t>
            </w:r>
          </w:p>
          <w:p>
            <w:pPr>
              <w:adjustRightInd w:val="0"/>
              <w:snapToGrid w:val="0"/>
              <w:spacing w:line="360" w:lineRule="auto"/>
              <w:ind w:firstLine="480" w:firstLineChars="200"/>
              <w:rPr>
                <w:sz w:val="24"/>
              </w:rPr>
            </w:pPr>
            <w:r>
              <w:rPr>
                <w:rFonts w:hint="eastAsia"/>
                <w:sz w:val="24"/>
              </w:rPr>
              <w:t>《关于修改〈建设项目环境影响评价分类管理名录〉部分内容的决定》(生态环境部令第1号，2018.04.28)；</w:t>
            </w:r>
          </w:p>
          <w:p>
            <w:pPr>
              <w:adjustRightInd w:val="0"/>
              <w:snapToGrid w:val="0"/>
              <w:spacing w:line="360" w:lineRule="auto"/>
              <w:ind w:firstLine="480" w:firstLineChars="200"/>
              <w:rPr>
                <w:sz w:val="24"/>
              </w:rPr>
            </w:pPr>
            <w:r>
              <w:rPr>
                <w:rFonts w:hint="eastAsia"/>
                <w:sz w:val="24"/>
              </w:rPr>
              <w:t>《产业结构调整指导目录(201</w:t>
            </w:r>
            <w:r>
              <w:rPr>
                <w:sz w:val="24"/>
              </w:rPr>
              <w:t>9</w:t>
            </w:r>
            <w:r>
              <w:rPr>
                <w:rFonts w:hint="eastAsia"/>
                <w:sz w:val="24"/>
              </w:rPr>
              <w:t>年本)》(2019年8月27日) (国家发展和改革委员会令 第</w:t>
            </w:r>
            <w:r>
              <w:rPr>
                <w:sz w:val="24"/>
              </w:rPr>
              <w:t>29</w:t>
            </w:r>
            <w:r>
              <w:rPr>
                <w:rFonts w:hint="eastAsia"/>
                <w:sz w:val="24"/>
              </w:rPr>
              <w:t>号，</w:t>
            </w:r>
            <w:r>
              <w:rPr>
                <w:sz w:val="24"/>
              </w:rPr>
              <w:t>2020.01.01</w:t>
            </w:r>
            <w:r>
              <w:rPr>
                <w:rFonts w:hint="eastAsia"/>
                <w:sz w:val="24"/>
              </w:rPr>
              <w:t>起施行)。</w:t>
            </w:r>
          </w:p>
          <w:p>
            <w:pPr>
              <w:adjustRightInd w:val="0"/>
              <w:snapToGrid w:val="0"/>
              <w:spacing w:line="360" w:lineRule="auto"/>
              <w:ind w:firstLine="480" w:firstLineChars="200"/>
              <w:rPr>
                <w:sz w:val="24"/>
              </w:rPr>
            </w:pPr>
            <w:r>
              <w:rPr>
                <w:rFonts w:hint="eastAsia"/>
                <w:sz w:val="24"/>
              </w:rPr>
              <w:t>(</w:t>
            </w:r>
            <w:r>
              <w:rPr>
                <w:sz w:val="24"/>
              </w:rPr>
              <w:t xml:space="preserve">2) </w:t>
            </w:r>
            <w:r>
              <w:rPr>
                <w:rFonts w:hint="eastAsia"/>
                <w:sz w:val="24"/>
              </w:rPr>
              <w:t>地方法律、法规</w:t>
            </w:r>
          </w:p>
          <w:p>
            <w:pPr>
              <w:adjustRightInd w:val="0"/>
              <w:snapToGrid w:val="0"/>
              <w:spacing w:line="360" w:lineRule="auto"/>
              <w:ind w:firstLine="480" w:firstLineChars="200"/>
              <w:rPr>
                <w:sz w:val="24"/>
              </w:rPr>
            </w:pPr>
            <w:r>
              <w:rPr>
                <w:rFonts w:hint="eastAsia"/>
                <w:sz w:val="24"/>
              </w:rPr>
              <w:t>《山东省环境保护条例》(2019.01.01施行)；</w:t>
            </w:r>
          </w:p>
          <w:p>
            <w:pPr>
              <w:adjustRightInd w:val="0"/>
              <w:snapToGrid w:val="0"/>
              <w:spacing w:line="360" w:lineRule="auto"/>
              <w:ind w:firstLine="480" w:firstLineChars="200"/>
              <w:rPr>
                <w:sz w:val="24"/>
              </w:rPr>
            </w:pPr>
            <w:r>
              <w:rPr>
                <w:rFonts w:hint="eastAsia"/>
                <w:sz w:val="24"/>
              </w:rPr>
              <w:t>《山东省大气污染防治条例》(2018.11.30修正)；</w:t>
            </w:r>
          </w:p>
          <w:p>
            <w:pPr>
              <w:adjustRightInd w:val="0"/>
              <w:snapToGrid w:val="0"/>
              <w:spacing w:line="360" w:lineRule="auto"/>
              <w:ind w:firstLine="480" w:firstLineChars="200"/>
              <w:rPr>
                <w:sz w:val="24"/>
              </w:rPr>
            </w:pPr>
            <w:r>
              <w:rPr>
                <w:rFonts w:hint="eastAsia"/>
                <w:sz w:val="24"/>
              </w:rPr>
              <w:t>《山东省危险化学品安全管理办法》(省政府令第309号，2017.08.01起施行)；</w:t>
            </w:r>
          </w:p>
          <w:p>
            <w:pPr>
              <w:adjustRightInd w:val="0"/>
              <w:snapToGrid w:val="0"/>
              <w:spacing w:line="360" w:lineRule="auto"/>
              <w:ind w:firstLine="480" w:firstLineChars="200"/>
              <w:rPr>
                <w:sz w:val="24"/>
              </w:rPr>
            </w:pPr>
            <w:r>
              <w:rPr>
                <w:rFonts w:hint="eastAsia"/>
                <w:sz w:val="24"/>
              </w:rPr>
              <w:t>《山东省打赢蓝天保卫战作战方案暨2013—2020年大气污染防治规划三期行动计划(2018—2020年)》(鲁政发[2018]17号)；</w:t>
            </w:r>
          </w:p>
          <w:p>
            <w:pPr>
              <w:adjustRightInd w:val="0"/>
              <w:snapToGrid w:val="0"/>
              <w:spacing w:line="360" w:lineRule="auto"/>
              <w:ind w:firstLine="480" w:firstLineChars="200"/>
              <w:rPr>
                <w:sz w:val="24"/>
              </w:rPr>
            </w:pPr>
            <w:r>
              <w:rPr>
                <w:rFonts w:hint="eastAsia"/>
                <w:sz w:val="24"/>
              </w:rPr>
              <w:t>(</w:t>
            </w:r>
            <w:r>
              <w:rPr>
                <w:sz w:val="24"/>
              </w:rPr>
              <w:t xml:space="preserve">3) </w:t>
            </w:r>
            <w:r>
              <w:rPr>
                <w:rFonts w:hint="eastAsia"/>
                <w:sz w:val="24"/>
              </w:rPr>
              <w:t>技术规范</w:t>
            </w:r>
          </w:p>
          <w:p>
            <w:pPr>
              <w:adjustRightInd w:val="0"/>
              <w:snapToGrid w:val="0"/>
              <w:spacing w:line="360" w:lineRule="auto"/>
              <w:ind w:firstLine="480" w:firstLineChars="200"/>
              <w:rPr>
                <w:sz w:val="24"/>
              </w:rPr>
            </w:pPr>
            <w:r>
              <w:rPr>
                <w:rFonts w:hint="eastAsia"/>
                <w:sz w:val="24"/>
              </w:rPr>
              <w:t>《建设项目环境影响评价技术导则 总纲》(HJ2.1-2016)；</w:t>
            </w:r>
          </w:p>
          <w:p>
            <w:pPr>
              <w:adjustRightInd w:val="0"/>
              <w:snapToGrid w:val="0"/>
              <w:spacing w:line="360" w:lineRule="auto"/>
              <w:ind w:firstLine="480" w:firstLineChars="200"/>
              <w:rPr>
                <w:sz w:val="24"/>
              </w:rPr>
            </w:pPr>
            <w:r>
              <w:rPr>
                <w:rFonts w:hint="eastAsia"/>
                <w:sz w:val="24"/>
              </w:rPr>
              <w:t>《海洋工程环境影响评价导则》（GB/T19485-2014）；</w:t>
            </w:r>
          </w:p>
          <w:p>
            <w:pPr>
              <w:adjustRightInd w:val="0"/>
              <w:snapToGrid w:val="0"/>
              <w:spacing w:line="360" w:lineRule="auto"/>
              <w:ind w:firstLine="480" w:firstLineChars="200"/>
              <w:rPr>
                <w:sz w:val="24"/>
              </w:rPr>
            </w:pPr>
            <w:r>
              <w:rPr>
                <w:rFonts w:hint="eastAsia"/>
                <w:sz w:val="24"/>
              </w:rPr>
              <w:t>《环境影响评价技术导则 大气环境》(HJ2.2-2018)；</w:t>
            </w:r>
          </w:p>
          <w:p>
            <w:pPr>
              <w:adjustRightInd w:val="0"/>
              <w:snapToGrid w:val="0"/>
              <w:spacing w:line="360" w:lineRule="auto"/>
              <w:ind w:firstLine="480" w:firstLineChars="200"/>
              <w:rPr>
                <w:sz w:val="24"/>
              </w:rPr>
            </w:pPr>
            <w:r>
              <w:rPr>
                <w:rFonts w:hint="eastAsia"/>
                <w:sz w:val="24"/>
              </w:rPr>
              <w:t>《环境影响评价技术导则 地表水环境》(HJ2.3-2018)；</w:t>
            </w:r>
          </w:p>
          <w:p>
            <w:pPr>
              <w:adjustRightInd w:val="0"/>
              <w:snapToGrid w:val="0"/>
              <w:spacing w:line="360" w:lineRule="auto"/>
              <w:ind w:firstLine="480" w:firstLineChars="200"/>
              <w:rPr>
                <w:sz w:val="24"/>
              </w:rPr>
            </w:pPr>
            <w:r>
              <w:rPr>
                <w:rFonts w:hint="eastAsia"/>
                <w:sz w:val="24"/>
              </w:rPr>
              <w:t>《环境影响评价技术导则 声环境》(HJ2.4-2009)；</w:t>
            </w:r>
          </w:p>
          <w:p>
            <w:pPr>
              <w:adjustRightInd w:val="0"/>
              <w:snapToGrid w:val="0"/>
              <w:spacing w:line="360" w:lineRule="auto"/>
              <w:ind w:firstLine="480" w:firstLineChars="200"/>
              <w:rPr>
                <w:sz w:val="24"/>
              </w:rPr>
            </w:pPr>
            <w:r>
              <w:rPr>
                <w:rFonts w:hint="eastAsia"/>
                <w:sz w:val="24"/>
              </w:rPr>
              <w:t>《环境影响评价技术导则 地下水环境》(HJ610-2016)；</w:t>
            </w:r>
          </w:p>
          <w:p>
            <w:pPr>
              <w:adjustRightInd w:val="0"/>
              <w:snapToGrid w:val="0"/>
              <w:spacing w:line="360" w:lineRule="auto"/>
              <w:ind w:firstLine="480" w:firstLineChars="200"/>
              <w:rPr>
                <w:sz w:val="24"/>
              </w:rPr>
            </w:pPr>
            <w:r>
              <w:rPr>
                <w:rFonts w:hint="eastAsia"/>
                <w:sz w:val="24"/>
              </w:rPr>
              <w:t>《建设项目环境风险评价技术导则》(HJ169-2018)；</w:t>
            </w:r>
          </w:p>
          <w:p>
            <w:pPr>
              <w:adjustRightInd w:val="0"/>
              <w:snapToGrid w:val="0"/>
              <w:spacing w:line="360" w:lineRule="auto"/>
              <w:ind w:firstLine="480" w:firstLineChars="200"/>
              <w:rPr>
                <w:sz w:val="24"/>
              </w:rPr>
            </w:pPr>
            <w:r>
              <w:rPr>
                <w:rFonts w:hint="eastAsia"/>
                <w:sz w:val="24"/>
              </w:rPr>
              <w:t>《排污单位自行监测技术指南 总则》(HJ819-2017)；</w:t>
            </w:r>
          </w:p>
          <w:p>
            <w:pPr>
              <w:adjustRightInd w:val="0"/>
              <w:snapToGrid w:val="0"/>
              <w:spacing w:line="360" w:lineRule="auto"/>
              <w:ind w:firstLine="480" w:firstLineChars="200"/>
              <w:rPr>
                <w:sz w:val="24"/>
              </w:rPr>
            </w:pPr>
            <w:r>
              <w:rPr>
                <w:rFonts w:hint="eastAsia"/>
                <w:sz w:val="24"/>
              </w:rPr>
              <w:t>《排污许可证申请与核发技术规范 总则》(HJ942-2018)。</w:t>
            </w:r>
          </w:p>
          <w:p>
            <w:pPr>
              <w:adjustRightInd w:val="0"/>
              <w:snapToGrid w:val="0"/>
              <w:spacing w:line="360" w:lineRule="auto"/>
              <w:ind w:firstLine="482" w:firstLineChars="200"/>
              <w:rPr>
                <w:b/>
                <w:sz w:val="24"/>
              </w:rPr>
            </w:pPr>
            <w:r>
              <w:rPr>
                <w:rFonts w:hint="eastAsia"/>
                <w:b/>
                <w:sz w:val="24"/>
              </w:rPr>
              <w:t>3</w:t>
            </w:r>
            <w:r>
              <w:rPr>
                <w:b/>
                <w:sz w:val="24"/>
              </w:rPr>
              <w:t>. 项目地理位置及周边现状</w:t>
            </w:r>
          </w:p>
          <w:p>
            <w:pPr>
              <w:adjustRightInd w:val="0"/>
              <w:snapToGrid w:val="0"/>
              <w:spacing w:line="360" w:lineRule="auto"/>
              <w:ind w:firstLine="480" w:firstLineChars="200"/>
              <w:rPr>
                <w:sz w:val="24"/>
              </w:rPr>
            </w:pPr>
            <w:r>
              <w:rPr>
                <w:rFonts w:hint="eastAsia"/>
                <w:sz w:val="24"/>
              </w:rPr>
              <w:t>项目位于威海华能电厂院内，东侧为电厂二期机组、南侧为化学制水车间、西侧临威海港、北侧临海，占地面积</w:t>
            </w:r>
            <w:r>
              <w:rPr>
                <w:sz w:val="24"/>
              </w:rPr>
              <w:t>24965</w:t>
            </w:r>
            <w:r>
              <w:rPr>
                <w:rFonts w:hint="eastAsia"/>
                <w:sz w:val="24"/>
              </w:rPr>
              <w:t>平方米。项目位置图见附图1。</w:t>
            </w:r>
          </w:p>
          <w:p>
            <w:pPr>
              <w:adjustRightInd w:val="0"/>
              <w:snapToGrid w:val="0"/>
              <w:spacing w:line="360" w:lineRule="auto"/>
              <w:ind w:firstLine="480" w:firstLineChars="200"/>
              <w:rPr>
                <w:sz w:val="24"/>
              </w:rPr>
            </w:pPr>
            <w:r>
              <w:rPr>
                <w:rFonts w:hint="eastAsia"/>
                <w:sz w:val="24"/>
              </w:rPr>
              <w:t>本工程取水方式为：冬季低温时利用电厂三期温排水，夏季高温时采用原海水，保证反渗透系统运行温度在1</w:t>
            </w:r>
            <w:r>
              <w:rPr>
                <w:sz w:val="24"/>
              </w:rPr>
              <w:t>0</w:t>
            </w:r>
            <w:r>
              <w:rPr>
                <w:rFonts w:hint="eastAsia"/>
                <w:sz w:val="24"/>
              </w:rPr>
              <w:t>~</w:t>
            </w:r>
            <w:r>
              <w:rPr>
                <w:sz w:val="24"/>
              </w:rPr>
              <w:t>27</w:t>
            </w:r>
            <w:r>
              <w:rPr>
                <w:rFonts w:hint="eastAsia"/>
                <w:sz w:val="24"/>
              </w:rPr>
              <w:t>℃之间。</w:t>
            </w:r>
          </w:p>
          <w:p>
            <w:pPr>
              <w:adjustRightInd w:val="0"/>
              <w:snapToGrid w:val="0"/>
              <w:spacing w:line="360" w:lineRule="auto"/>
              <w:ind w:firstLine="482" w:firstLineChars="200"/>
              <w:rPr>
                <w:b/>
              </w:rPr>
            </w:pPr>
            <w:r>
              <w:rPr>
                <w:b/>
                <w:sz w:val="24"/>
              </w:rPr>
              <w:t xml:space="preserve">4. </w:t>
            </w:r>
            <w:r>
              <w:rPr>
                <w:rFonts w:hint="eastAsia"/>
                <w:b/>
                <w:sz w:val="24"/>
              </w:rPr>
              <w:t>工程概况</w:t>
            </w:r>
          </w:p>
          <w:p>
            <w:pPr>
              <w:adjustRightInd w:val="0"/>
              <w:snapToGrid w:val="0"/>
              <w:spacing w:line="360" w:lineRule="auto"/>
              <w:ind w:firstLine="480" w:firstLineChars="200"/>
              <w:rPr>
                <w:sz w:val="24"/>
              </w:rPr>
            </w:pPr>
            <w:r>
              <w:rPr>
                <w:rFonts w:hint="eastAsia"/>
                <w:sz w:val="24"/>
              </w:rPr>
              <w:t>华能威海发电有限责任公司拟利用电厂内原建筑拆除空地位置，并利用留存的循环水泵房和汽机房，新建本项目。项目海水淡化总产水10万m</w:t>
            </w:r>
            <w:r>
              <w:rPr>
                <w:rFonts w:hint="eastAsia"/>
                <w:sz w:val="24"/>
                <w:vertAlign w:val="superscript"/>
              </w:rPr>
              <w:t>3</w:t>
            </w:r>
            <w:r>
              <w:rPr>
                <w:rFonts w:hint="eastAsia"/>
                <w:sz w:val="24"/>
              </w:rPr>
              <w:t>/d，分两期建设，一期产水3万m</w:t>
            </w:r>
            <w:r>
              <w:rPr>
                <w:rFonts w:hint="eastAsia"/>
                <w:sz w:val="24"/>
                <w:vertAlign w:val="superscript"/>
              </w:rPr>
              <w:t>3</w:t>
            </w:r>
            <w:r>
              <w:rPr>
                <w:rFonts w:hint="eastAsia"/>
                <w:sz w:val="24"/>
              </w:rPr>
              <w:t>/d，二期产水7万m</w:t>
            </w:r>
            <w:r>
              <w:rPr>
                <w:rFonts w:hint="eastAsia"/>
                <w:sz w:val="24"/>
                <w:vertAlign w:val="superscript"/>
              </w:rPr>
              <w:t>3</w:t>
            </w:r>
            <w:r>
              <w:rPr>
                <w:rFonts w:hint="eastAsia"/>
                <w:sz w:val="24"/>
              </w:rPr>
              <w:t>/d。一期采用海水反渗透工艺，即“V型滤池→清水池→超滤给水泵→超滤自清洗过滤器→超滤膜组件→中间水池(兼反洗)→海水反渗透给水泵→海水反渗透保安过滤器→海水RO高压泵(带PX型能量回收装置)→海水RO膜组件（夏季部分进二级反渗透处理，二级反渗透产水和一级反渗透产水进行混掺）→一级反渗透产水池”，</w:t>
            </w:r>
            <w:r>
              <w:rPr>
                <w:rFonts w:hint="eastAsia"/>
                <w:sz w:val="24"/>
                <w:szCs w:val="22"/>
              </w:rPr>
              <w:t>二期工程产水</w:t>
            </w:r>
            <w:r>
              <w:rPr>
                <w:sz w:val="24"/>
                <w:szCs w:val="22"/>
              </w:rPr>
              <w:t>7</w:t>
            </w:r>
            <w:r>
              <w:rPr>
                <w:rFonts w:hint="eastAsia"/>
                <w:sz w:val="24"/>
                <w:szCs w:val="22"/>
              </w:rPr>
              <w:t>万</w:t>
            </w:r>
            <w:r>
              <w:rPr>
                <w:sz w:val="24"/>
                <w:szCs w:val="22"/>
              </w:rPr>
              <w:t>m</w:t>
            </w:r>
            <w:r>
              <w:rPr>
                <w:sz w:val="24"/>
                <w:szCs w:val="22"/>
                <w:vertAlign w:val="superscript"/>
              </w:rPr>
              <w:t>3</w:t>
            </w:r>
            <w:r>
              <w:rPr>
                <w:sz w:val="24"/>
                <w:szCs w:val="22"/>
              </w:rPr>
              <w:t>/d</w:t>
            </w:r>
            <w:r>
              <w:rPr>
                <w:rFonts w:hint="eastAsia"/>
                <w:sz w:val="24"/>
                <w:szCs w:val="22"/>
              </w:rPr>
              <w:t>，采用</w:t>
            </w:r>
            <w:r>
              <w:rPr>
                <w:sz w:val="24"/>
                <w:szCs w:val="22"/>
              </w:rPr>
              <w:t>2</w:t>
            </w:r>
            <w:r>
              <w:rPr>
                <w:rFonts w:hint="eastAsia"/>
                <w:sz w:val="24"/>
                <w:szCs w:val="22"/>
              </w:rPr>
              <w:t>万</w:t>
            </w:r>
            <w:r>
              <w:rPr>
                <w:sz w:val="24"/>
                <w:szCs w:val="22"/>
              </w:rPr>
              <w:t>m</w:t>
            </w:r>
            <w:r>
              <w:rPr>
                <w:sz w:val="24"/>
                <w:szCs w:val="22"/>
                <w:vertAlign w:val="superscript"/>
              </w:rPr>
              <w:t>3</w:t>
            </w:r>
            <w:r>
              <w:rPr>
                <w:sz w:val="24"/>
                <w:szCs w:val="22"/>
              </w:rPr>
              <w:t>/d</w:t>
            </w:r>
            <w:r>
              <w:rPr>
                <w:rFonts w:hint="eastAsia"/>
                <w:sz w:val="24"/>
                <w:szCs w:val="22"/>
              </w:rPr>
              <w:t>低温多效</w:t>
            </w:r>
            <w:r>
              <w:rPr>
                <w:sz w:val="24"/>
                <w:szCs w:val="22"/>
              </w:rPr>
              <w:t>+5</w:t>
            </w:r>
            <w:r>
              <w:rPr>
                <w:rFonts w:hint="eastAsia"/>
                <w:sz w:val="24"/>
                <w:szCs w:val="22"/>
              </w:rPr>
              <w:t>万</w:t>
            </w:r>
            <w:r>
              <w:rPr>
                <w:sz w:val="24"/>
                <w:szCs w:val="22"/>
              </w:rPr>
              <w:t>m</w:t>
            </w:r>
            <w:r>
              <w:rPr>
                <w:sz w:val="24"/>
                <w:szCs w:val="22"/>
                <w:vertAlign w:val="superscript"/>
              </w:rPr>
              <w:t>3</w:t>
            </w:r>
            <w:r>
              <w:rPr>
                <w:sz w:val="24"/>
                <w:szCs w:val="22"/>
              </w:rPr>
              <w:t>/d</w:t>
            </w:r>
            <w:r>
              <w:rPr>
                <w:rFonts w:hint="eastAsia"/>
                <w:sz w:val="24"/>
                <w:szCs w:val="22"/>
              </w:rPr>
              <w:t>海水反渗透耦合工艺，其中海水反渗透工艺与一期相同。</w:t>
            </w:r>
          </w:p>
          <w:p>
            <w:pPr>
              <w:adjustRightInd w:val="0"/>
              <w:snapToGrid w:val="0"/>
              <w:spacing w:line="360" w:lineRule="auto"/>
              <w:ind w:firstLine="480" w:firstLineChars="200"/>
              <w:rPr>
                <w:sz w:val="24"/>
              </w:rPr>
            </w:pPr>
            <w:r>
              <w:rPr>
                <w:rFonts w:hint="eastAsia"/>
                <w:sz w:val="24"/>
              </w:rPr>
              <w:t>华能威海发电有限责任公司现状占地51576</w:t>
            </w:r>
            <w:r>
              <w:rPr>
                <w:sz w:val="24"/>
              </w:rPr>
              <w:t>0</w:t>
            </w:r>
            <w:r>
              <w:rPr>
                <w:rFonts w:hint="eastAsia"/>
                <w:sz w:val="24"/>
              </w:rPr>
              <w:t>m</w:t>
            </w:r>
            <w:r>
              <w:rPr>
                <w:sz w:val="24"/>
                <w:vertAlign w:val="superscript"/>
              </w:rPr>
              <w:t>2</w:t>
            </w:r>
            <w:r>
              <w:rPr>
                <w:rFonts w:hint="eastAsia"/>
                <w:sz w:val="24"/>
              </w:rPr>
              <w:t>，本项目利用厂区内已拆除空地建设，占地面积</w:t>
            </w:r>
            <w:r>
              <w:rPr>
                <w:sz w:val="24"/>
              </w:rPr>
              <w:t>24965</w:t>
            </w:r>
            <w:r>
              <w:rPr>
                <w:rFonts w:hint="eastAsia"/>
                <w:sz w:val="24"/>
              </w:rPr>
              <w:t>m</w:t>
            </w:r>
            <w:r>
              <w:rPr>
                <w:sz w:val="24"/>
                <w:vertAlign w:val="superscript"/>
              </w:rPr>
              <w:t>2</w:t>
            </w:r>
            <w:r>
              <w:rPr>
                <w:rFonts w:hint="eastAsia"/>
                <w:sz w:val="24"/>
              </w:rPr>
              <w:t>，主要建设内容如下：</w:t>
            </w:r>
          </w:p>
          <w:p>
            <w:pPr>
              <w:adjustRightInd w:val="0"/>
              <w:snapToGrid w:val="0"/>
              <w:spacing w:line="360" w:lineRule="auto"/>
              <w:ind w:firstLine="480" w:firstLineChars="200"/>
              <w:rPr>
                <w:sz w:val="24"/>
              </w:rPr>
            </w:pPr>
            <w:r>
              <w:rPr>
                <w:rFonts w:hint="eastAsia"/>
                <w:sz w:val="24"/>
              </w:rPr>
              <w:t>主要包括取水工程（改造原有取水系统、新建温排水取水系统）、预处理工程、超滤系统、反渗透系统、污泥处理系统、低温多效系统、浓盐水排放工程等。</w:t>
            </w:r>
          </w:p>
          <w:p>
            <w:pPr>
              <w:adjustRightInd w:val="0"/>
              <w:snapToGrid w:val="0"/>
              <w:spacing w:line="360" w:lineRule="auto"/>
              <w:ind w:firstLine="480" w:firstLineChars="200"/>
              <w:rPr>
                <w:sz w:val="24"/>
              </w:rPr>
            </w:pPr>
            <w:r>
              <w:rPr>
                <w:rFonts w:hint="eastAsia"/>
                <w:sz w:val="24"/>
              </w:rPr>
              <w:t>拟建项目主要建设内容见表</w:t>
            </w:r>
            <w:r>
              <w:rPr>
                <w:sz w:val="24"/>
              </w:rPr>
              <w:t>1</w:t>
            </w:r>
            <w:r>
              <w:rPr>
                <w:rFonts w:hint="eastAsia"/>
                <w:sz w:val="24"/>
              </w:rPr>
              <w:t>，主要构筑物见表</w:t>
            </w:r>
            <w:r>
              <w:rPr>
                <w:sz w:val="24"/>
              </w:rPr>
              <w:t>2</w:t>
            </w:r>
            <w:r>
              <w:rPr>
                <w:rFonts w:hint="eastAsia"/>
                <w:sz w:val="24"/>
              </w:rPr>
              <w:t>。</w:t>
            </w:r>
          </w:p>
          <w:p>
            <w:pPr>
              <w:adjustRightInd w:val="0"/>
              <w:snapToGrid w:val="0"/>
              <w:spacing w:line="360" w:lineRule="auto"/>
              <w:jc w:val="center"/>
              <w:rPr>
                <w:rFonts w:eastAsia="黑体"/>
                <w:sz w:val="30"/>
              </w:rPr>
            </w:pPr>
            <w:r>
              <w:rPr>
                <w:rFonts w:hint="eastAsia"/>
                <w:b/>
                <w:sz w:val="24"/>
              </w:rPr>
              <w:t>表</w:t>
            </w:r>
            <w:r>
              <w:rPr>
                <w:b/>
                <w:sz w:val="24"/>
              </w:rPr>
              <w:t>1</w:t>
            </w:r>
            <w:r>
              <w:rPr>
                <w:rFonts w:hint="eastAsia"/>
                <w:b/>
                <w:sz w:val="24"/>
              </w:rPr>
              <w:t xml:space="preserve"> 主要建设内容一览表</w:t>
            </w:r>
          </w:p>
          <w:tbl>
            <w:tblPr>
              <w:tblStyle w:val="88"/>
              <w:tblW w:w="883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438"/>
              <w:gridCol w:w="438"/>
              <w:gridCol w:w="72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rPr>
                      <w:sz w:val="21"/>
                      <w:szCs w:val="21"/>
                    </w:rPr>
                  </w:pPr>
                  <w:r>
                    <w:rPr>
                      <w:rFonts w:hint="eastAsia"/>
                      <w:sz w:val="21"/>
                      <w:szCs w:val="21"/>
                    </w:rPr>
                    <w:t>工程名称</w:t>
                  </w: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rPr>
                      <w:sz w:val="21"/>
                      <w:szCs w:val="21"/>
                    </w:rPr>
                  </w:pPr>
                  <w:r>
                    <w:rPr>
                      <w:rFonts w:hint="eastAsia"/>
                      <w:sz w:val="21"/>
                      <w:szCs w:val="21"/>
                    </w:rPr>
                    <w:t>项目名称</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rPr>
                      <w:sz w:val="21"/>
                      <w:szCs w:val="21"/>
                    </w:rPr>
                  </w:pPr>
                  <w:r>
                    <w:rPr>
                      <w:rFonts w:hint="eastAsia"/>
                      <w:sz w:val="21"/>
                      <w:szCs w:val="21"/>
                    </w:rPr>
                    <w:t>主要建设内容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restart"/>
                  <w:tcBorders>
                    <w:top w:val="single" w:color="auto" w:sz="4" w:space="0"/>
                    <w:left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主体工程</w:t>
                  </w: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取水</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本工程取水使用两种方式，夏季采用改造原有海水淡化一期循环水泵，增设变频调节；冬季使用电厂三期温排水，新建加压泵站、浓水排放转移泵及铺设输送管道。</w:t>
                  </w:r>
                </w:p>
                <w:p>
                  <w:pPr>
                    <w:pStyle w:val="169"/>
                    <w:spacing w:before="240"/>
                    <w:contextualSpacing/>
                    <w:jc w:val="both"/>
                    <w:rPr>
                      <w:sz w:val="21"/>
                      <w:szCs w:val="21"/>
                    </w:rPr>
                  </w:pPr>
                  <w:r>
                    <w:rPr>
                      <w:rFonts w:hint="eastAsia"/>
                      <w:sz w:val="21"/>
                      <w:szCs w:val="21"/>
                    </w:rPr>
                    <w:t>利用原有4台取水泵，增设变频调节改造后作为本项目的取水泵站，设计规模5</w:t>
                  </w:r>
                  <w:r>
                    <w:rPr>
                      <w:sz w:val="21"/>
                      <w:szCs w:val="21"/>
                    </w:rPr>
                    <w:t>0</w:t>
                  </w:r>
                  <w:r>
                    <w:rPr>
                      <w:rFonts w:hint="eastAsia"/>
                      <w:sz w:val="21"/>
                      <w:szCs w:val="21"/>
                    </w:rPr>
                    <w:t>万m</w:t>
                  </w:r>
                  <w:r>
                    <w:rPr>
                      <w:rFonts w:hint="eastAsia"/>
                      <w:sz w:val="21"/>
                      <w:szCs w:val="21"/>
                      <w:vertAlign w:val="superscript"/>
                    </w:rPr>
                    <w:t>3</w:t>
                  </w:r>
                  <w:r>
                    <w:rPr>
                      <w:rFonts w:hint="eastAsia"/>
                      <w:sz w:val="21"/>
                      <w:szCs w:val="21"/>
                    </w:rPr>
                    <w:t>/d供水能力，本工程最大取水量为4</w:t>
                  </w:r>
                  <w:r>
                    <w:rPr>
                      <w:sz w:val="21"/>
                      <w:szCs w:val="21"/>
                    </w:rPr>
                    <w:t>0</w:t>
                  </w:r>
                  <w:r>
                    <w:rPr>
                      <w:rFonts w:hint="eastAsia"/>
                      <w:sz w:val="21"/>
                      <w:szCs w:val="21"/>
                    </w:rPr>
                    <w:t>万m</w:t>
                  </w:r>
                  <w:r>
                    <w:rPr>
                      <w:sz w:val="21"/>
                      <w:szCs w:val="21"/>
                      <w:vertAlign w:val="superscript"/>
                    </w:rPr>
                    <w:t>3</w:t>
                  </w:r>
                  <w:r>
                    <w:rPr>
                      <w:sz w:val="21"/>
                      <w:szCs w:val="21"/>
                    </w:rPr>
                    <w:t>/d</w:t>
                  </w:r>
                  <w:r>
                    <w:rPr>
                      <w:rFonts w:hint="eastAsia"/>
                      <w:sz w:val="21"/>
                      <w:szCs w:val="21"/>
                    </w:rPr>
                    <w:t>，可满足需求。共设4台立式单级单吸导叶式、转子可抽出式斜流泵，单台水泵设计流量</w:t>
                  </w:r>
                  <w:r>
                    <w:rPr>
                      <w:sz w:val="21"/>
                      <w:szCs w:val="21"/>
                    </w:rPr>
                    <w:t>10188</w:t>
                  </w:r>
                  <w:r>
                    <w:rPr>
                      <w:rFonts w:hint="eastAsia"/>
                      <w:sz w:val="21"/>
                      <w:szCs w:val="21"/>
                    </w:rPr>
                    <w:t>m</w:t>
                  </w:r>
                  <w:r>
                    <w:rPr>
                      <w:rFonts w:hint="eastAsia"/>
                      <w:sz w:val="21"/>
                      <w:szCs w:val="21"/>
                      <w:vertAlign w:val="superscript"/>
                    </w:rPr>
                    <w:t>3</w:t>
                  </w:r>
                  <w:r>
                    <w:rPr>
                      <w:rFonts w:hint="eastAsia"/>
                      <w:sz w:val="21"/>
                      <w:szCs w:val="21"/>
                    </w:rPr>
                    <w:t>/h，电机功率6</w:t>
                  </w:r>
                  <w:r>
                    <w:rPr>
                      <w:sz w:val="21"/>
                      <w:szCs w:val="21"/>
                    </w:rPr>
                    <w:t>00</w:t>
                  </w:r>
                  <w:r>
                    <w:rPr>
                      <w:rFonts w:hint="eastAsia"/>
                      <w:sz w:val="21"/>
                      <w:szCs w:val="21"/>
                    </w:rPr>
                    <w:t>kW，额定电压6kV。</w:t>
                  </w:r>
                </w:p>
                <w:p>
                  <w:pPr>
                    <w:pStyle w:val="169"/>
                    <w:spacing w:before="240"/>
                    <w:contextualSpacing/>
                    <w:jc w:val="both"/>
                    <w:rPr>
                      <w:sz w:val="21"/>
                      <w:szCs w:val="21"/>
                    </w:rPr>
                  </w:pPr>
                  <w:r>
                    <w:rPr>
                      <w:rFonts w:hint="eastAsia"/>
                      <w:sz w:val="21"/>
                      <w:szCs w:val="21"/>
                    </w:rPr>
                    <w:t>冬季温排水泵房及管道规模为1</w:t>
                  </w:r>
                  <w:r>
                    <w:rPr>
                      <w:sz w:val="21"/>
                      <w:szCs w:val="21"/>
                    </w:rPr>
                    <w:t>0</w:t>
                  </w:r>
                  <w:r>
                    <w:rPr>
                      <w:rFonts w:hint="eastAsia"/>
                      <w:sz w:val="21"/>
                      <w:szCs w:val="21"/>
                    </w:rPr>
                    <w:t>万m</w:t>
                  </w:r>
                  <w:r>
                    <w:rPr>
                      <w:sz w:val="21"/>
                      <w:szCs w:val="21"/>
                      <w:vertAlign w:val="superscript"/>
                    </w:rPr>
                    <w:t>3</w:t>
                  </w:r>
                  <w:r>
                    <w:rPr>
                      <w:sz w:val="21"/>
                      <w:szCs w:val="21"/>
                    </w:rPr>
                    <w:t>/d</w:t>
                  </w:r>
                  <w:r>
                    <w:rPr>
                      <w:rFonts w:hint="eastAsia"/>
                      <w:sz w:val="21"/>
                      <w:szCs w:val="21"/>
                    </w:rPr>
                    <w:t>，拟在原三期供氢站处建设一座温排水取水泵房，取自三期#5、#6机循环水排水管沟，利用三期脱硫补水泵将二期前池海水打至三期5、6机循环水排水管沟。</w:t>
                  </w:r>
                </w:p>
                <w:p>
                  <w:pPr>
                    <w:pStyle w:val="169"/>
                    <w:spacing w:before="240"/>
                    <w:contextualSpacing/>
                    <w:jc w:val="both"/>
                    <w:rPr>
                      <w:sz w:val="21"/>
                      <w:szCs w:val="21"/>
                    </w:rPr>
                  </w:pPr>
                  <w:r>
                    <w:rPr>
                      <w:rFonts w:hint="eastAsia"/>
                      <w:sz w:val="21"/>
                      <w:szCs w:val="21"/>
                    </w:rPr>
                    <w:t>温排水取水泵房尺寸2</w:t>
                  </w:r>
                  <w:r>
                    <w:rPr>
                      <w:sz w:val="21"/>
                      <w:szCs w:val="21"/>
                    </w:rPr>
                    <w:t>0</w:t>
                  </w:r>
                  <w:r>
                    <w:rPr>
                      <w:rFonts w:hint="eastAsia"/>
                      <w:sz w:val="21"/>
                      <w:szCs w:val="21"/>
                    </w:rPr>
                    <w:t>m*</w:t>
                  </w:r>
                  <w:r>
                    <w:rPr>
                      <w:sz w:val="21"/>
                      <w:szCs w:val="21"/>
                    </w:rPr>
                    <w:t>18</w:t>
                  </w:r>
                  <w:r>
                    <w:rPr>
                      <w:rFonts w:hint="eastAsia"/>
                      <w:sz w:val="21"/>
                      <w:szCs w:val="21"/>
                    </w:rPr>
                    <w:t>m，3台立式斜流泵（2用1备），流量6</w:t>
                  </w:r>
                  <w:r>
                    <w:rPr>
                      <w:sz w:val="21"/>
                      <w:szCs w:val="21"/>
                    </w:rPr>
                    <w:t>000</w:t>
                  </w:r>
                  <w:r>
                    <w:rPr>
                      <w:rFonts w:hint="eastAsia"/>
                      <w:sz w:val="21"/>
                      <w:szCs w:val="21"/>
                    </w:rPr>
                    <w:t>m</w:t>
                  </w:r>
                  <w:r>
                    <w:rPr>
                      <w:sz w:val="21"/>
                      <w:szCs w:val="21"/>
                      <w:vertAlign w:val="superscript"/>
                    </w:rPr>
                    <w:t>3</w:t>
                  </w:r>
                  <w:r>
                    <w:rPr>
                      <w:sz w:val="21"/>
                      <w:szCs w:val="21"/>
                    </w:rPr>
                    <w:t>/h</w:t>
                  </w:r>
                  <w:r>
                    <w:rPr>
                      <w:rFonts w:hint="eastAsia"/>
                      <w:sz w:val="21"/>
                      <w:szCs w:val="21"/>
                    </w:rPr>
                    <w:t>。温排水取水管线规格DN</w:t>
                  </w:r>
                  <w:r>
                    <w:rPr>
                      <w:sz w:val="21"/>
                      <w:szCs w:val="21"/>
                    </w:rPr>
                    <w:t>1300</w:t>
                  </w:r>
                  <w:r>
                    <w:rPr>
                      <w:rFonts w:hint="eastAsia"/>
                      <w:sz w:val="21"/>
                      <w:szCs w:val="21"/>
                    </w:rPr>
                    <w:t>一根，总长7</w:t>
                  </w:r>
                  <w:r>
                    <w:rPr>
                      <w:sz w:val="21"/>
                      <w:szCs w:val="21"/>
                    </w:rPr>
                    <w:t>02</w:t>
                  </w:r>
                  <w:r>
                    <w:rPr>
                      <w:rFonts w:hint="eastAsia"/>
                      <w:sz w:val="21"/>
                      <w:szCs w:val="21"/>
                    </w:rPr>
                    <w:t>m，埋地敷设3</w:t>
                  </w:r>
                  <w:r>
                    <w:rPr>
                      <w:sz w:val="21"/>
                      <w:szCs w:val="21"/>
                    </w:rPr>
                    <w:t>78</w:t>
                  </w:r>
                  <w:r>
                    <w:rPr>
                      <w:rFonts w:hint="eastAsia"/>
                      <w:sz w:val="21"/>
                      <w:szCs w:val="21"/>
                    </w:rPr>
                    <w:t>m，管涵敷设2</w:t>
                  </w:r>
                  <w:r>
                    <w:rPr>
                      <w:sz w:val="21"/>
                      <w:szCs w:val="21"/>
                    </w:rPr>
                    <w:t>0</w:t>
                  </w:r>
                  <w:r>
                    <w:rPr>
                      <w:rFonts w:hint="eastAsia"/>
                      <w:sz w:val="21"/>
                      <w:szCs w:val="21"/>
                    </w:rPr>
                    <w:t>m，利用现有管沟敷设3</w:t>
                  </w:r>
                  <w:r>
                    <w:rPr>
                      <w:sz w:val="21"/>
                      <w:szCs w:val="21"/>
                    </w:rPr>
                    <w:t>04</w:t>
                  </w:r>
                  <w:r>
                    <w:rPr>
                      <w:rFonts w:hint="eastAsia"/>
                      <w:sz w:val="21"/>
                      <w:szCs w:val="21"/>
                    </w:rPr>
                    <w:t>m；冷却水渠尽头新建排水管线DN</w:t>
                  </w:r>
                  <w:r>
                    <w:rPr>
                      <w:sz w:val="21"/>
                      <w:szCs w:val="21"/>
                    </w:rPr>
                    <w:t>1000</w:t>
                  </w:r>
                  <w:r>
                    <w:rPr>
                      <w:rFonts w:hint="eastAsia"/>
                      <w:sz w:val="21"/>
                      <w:szCs w:val="21"/>
                    </w:rPr>
                    <w:t>，总长2</w:t>
                  </w:r>
                  <w:r>
                    <w:rPr>
                      <w:sz w:val="21"/>
                      <w:szCs w:val="21"/>
                    </w:rPr>
                    <w:t>50</w:t>
                  </w:r>
                  <w:r>
                    <w:rPr>
                      <w:rFonts w:hint="eastAsia"/>
                      <w:sz w:val="21"/>
                      <w:szCs w:val="21"/>
                    </w:rPr>
                    <w:t>m，埋地敷设2</w:t>
                  </w:r>
                  <w:r>
                    <w:rPr>
                      <w:sz w:val="21"/>
                      <w:szCs w:val="21"/>
                    </w:rPr>
                    <w:t>38</w:t>
                  </w:r>
                  <w:r>
                    <w:rPr>
                      <w:rFonts w:hint="eastAsia"/>
                      <w:sz w:val="21"/>
                      <w:szCs w:val="21"/>
                    </w:rPr>
                    <w:t>m，管涵敷设12m。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取水管线工程</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温排水取水管线，规格DN1300一根，总长702m，埋地敷设378m，管涵敷设20m，利用现有管沟敷设304m；冷却水渠尽头新建排水管线DN1000，总长250m，埋地敷设238m，管涵敷设12m。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微絮凝-V型滤池</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（1）采用絮凝和V型滤池结合的工艺进行预处理，进水浊度要求﹤60NTU；去除效率悬浮物﹥90%。</w:t>
                  </w:r>
                </w:p>
                <w:p>
                  <w:pPr>
                    <w:pStyle w:val="169"/>
                    <w:spacing w:before="240"/>
                    <w:contextualSpacing/>
                    <w:jc w:val="both"/>
                    <w:rPr>
                      <w:sz w:val="21"/>
                      <w:szCs w:val="21"/>
                    </w:rPr>
                  </w:pPr>
                  <w:r>
                    <w:rPr>
                      <w:rFonts w:hint="eastAsia"/>
                      <w:sz w:val="21"/>
                      <w:szCs w:val="21"/>
                    </w:rPr>
                    <w:t>（2）主要设计参数微絮凝时间：10min；微絮凝平均流速：0.2m/s；滤池滤速：8m/h；反洗时间：15min；反洗频率：1次/24h；气冲洗强度：15L/ m</w:t>
                  </w:r>
                  <w:r>
                    <w:rPr>
                      <w:rFonts w:hint="eastAsia"/>
                      <w:sz w:val="21"/>
                      <w:szCs w:val="21"/>
                      <w:vertAlign w:val="superscript"/>
                    </w:rPr>
                    <w:t>2</w:t>
                  </w:r>
                  <w:r>
                    <w:rPr>
                      <w:rFonts w:hint="eastAsia"/>
                      <w:sz w:val="21"/>
                      <w:szCs w:val="21"/>
                    </w:rPr>
                    <w:t>•s；气水冲洗强度：15L/ m</w:t>
                  </w:r>
                  <w:r>
                    <w:rPr>
                      <w:rFonts w:hint="eastAsia"/>
                      <w:sz w:val="21"/>
                      <w:szCs w:val="21"/>
                      <w:vertAlign w:val="superscript"/>
                    </w:rPr>
                    <w:t>2</w:t>
                  </w:r>
                  <w:r>
                    <w:rPr>
                      <w:rFonts w:hint="eastAsia"/>
                      <w:sz w:val="21"/>
                      <w:szCs w:val="21"/>
                    </w:rPr>
                    <w:t>•s；水冲洗强度：4L/ m</w:t>
                  </w:r>
                  <w:r>
                    <w:rPr>
                      <w:rFonts w:hint="eastAsia"/>
                      <w:sz w:val="21"/>
                      <w:szCs w:val="21"/>
                      <w:vertAlign w:val="superscript"/>
                    </w:rPr>
                    <w:t>2</w:t>
                  </w:r>
                  <w:r>
                    <w:rPr>
                      <w:rFonts w:hint="eastAsia"/>
                      <w:sz w:val="21"/>
                      <w:szCs w:val="21"/>
                    </w:rPr>
                    <w:t>•s；表面扫洗强度：1.8L/ m</w:t>
                  </w:r>
                  <w:r>
                    <w:rPr>
                      <w:rFonts w:hint="eastAsia"/>
                      <w:sz w:val="21"/>
                      <w:szCs w:val="21"/>
                      <w:vertAlign w:val="superscript"/>
                    </w:rPr>
                    <w:t>2</w:t>
                  </w:r>
                  <w:r>
                    <w:rPr>
                      <w:rFonts w:hint="eastAsia"/>
                      <w:sz w:val="21"/>
                      <w:szCs w:val="21"/>
                    </w:rPr>
                    <w:t>•s；占地面积1620 m</w:t>
                  </w:r>
                  <w:r>
                    <w:rPr>
                      <w:rFonts w:hint="eastAsia"/>
                      <w:sz w:val="21"/>
                      <w:szCs w:val="21"/>
                      <w:vertAlign w:val="superscript"/>
                    </w:rPr>
                    <w:t>2</w:t>
                  </w:r>
                  <w:r>
                    <w:rPr>
                      <w:rFonts w:hint="eastAsia"/>
                      <w:sz w:val="21"/>
                      <w:szCs w:val="21"/>
                    </w:rPr>
                    <w:t>（30m×54m），一、二期共1</w:t>
                  </w:r>
                  <w:r>
                    <w:rPr>
                      <w:sz w:val="21"/>
                      <w:szCs w:val="21"/>
                    </w:rPr>
                    <w:t>0</w:t>
                  </w:r>
                  <w:r>
                    <w:rPr>
                      <w:rFonts w:hint="eastAsia"/>
                      <w:sz w:val="21"/>
                      <w:szCs w:val="21"/>
                    </w:rPr>
                    <w:t>池。</w:t>
                  </w:r>
                </w:p>
                <w:p>
                  <w:pPr>
                    <w:pStyle w:val="169"/>
                    <w:spacing w:before="240"/>
                    <w:contextualSpacing/>
                    <w:jc w:val="both"/>
                    <w:rPr>
                      <w:sz w:val="21"/>
                      <w:szCs w:val="21"/>
                    </w:rPr>
                  </w:pPr>
                  <w:r>
                    <w:rPr>
                      <w:rFonts w:hint="eastAsia"/>
                      <w:sz w:val="21"/>
                      <w:szCs w:val="21"/>
                    </w:rPr>
                    <w:t>（3）主要设备反洗泵：2100m</w:t>
                  </w:r>
                  <w:r>
                    <w:rPr>
                      <w:rFonts w:hint="eastAsia"/>
                      <w:sz w:val="21"/>
                      <w:szCs w:val="21"/>
                      <w:vertAlign w:val="superscript"/>
                    </w:rPr>
                    <w:t>3</w:t>
                  </w:r>
                  <w:r>
                    <w:rPr>
                      <w:rFonts w:hint="eastAsia"/>
                      <w:sz w:val="21"/>
                      <w:szCs w:val="21"/>
                    </w:rPr>
                    <w:t>/h，扬程30m，1用1备；鼓风机：130m</w:t>
                  </w:r>
                  <w:r>
                    <w:rPr>
                      <w:rFonts w:hint="eastAsia"/>
                      <w:sz w:val="21"/>
                      <w:szCs w:val="21"/>
                      <w:vertAlign w:val="superscript"/>
                    </w:rPr>
                    <w:t>3</w:t>
                  </w:r>
                  <w:r>
                    <w:rPr>
                      <w:rFonts w:hint="eastAsia"/>
                      <w:sz w:val="21"/>
                      <w:szCs w:val="21"/>
                    </w:rPr>
                    <w:t>/min，90Kpa，1用1备；</w:t>
                  </w:r>
                </w:p>
                <w:p>
                  <w:pPr>
                    <w:pStyle w:val="169"/>
                    <w:spacing w:before="240"/>
                    <w:contextualSpacing/>
                    <w:jc w:val="both"/>
                    <w:rPr>
                      <w:sz w:val="21"/>
                      <w:szCs w:val="21"/>
                    </w:rPr>
                  </w:pPr>
                  <w:r>
                    <w:rPr>
                      <w:rFonts w:hint="eastAsia"/>
                      <w:sz w:val="21"/>
                      <w:szCs w:val="21"/>
                    </w:rPr>
                    <w:t>（4）废水处理：微絮凝设备有少量污泥排出，需配套污泥处理系统；滤池反洗废水可直接排放至冷却水排放渠。</w:t>
                  </w:r>
                </w:p>
                <w:p>
                  <w:pPr>
                    <w:pStyle w:val="169"/>
                    <w:spacing w:before="240"/>
                    <w:contextualSpacing/>
                    <w:jc w:val="both"/>
                    <w:rPr>
                      <w:sz w:val="21"/>
                      <w:szCs w:val="21"/>
                    </w:rPr>
                  </w:pPr>
                  <w:r>
                    <w:rPr>
                      <w:rFonts w:hint="eastAsia"/>
                      <w:sz w:val="21"/>
                      <w:szCs w:val="21"/>
                    </w:rPr>
                    <w:t>（5）预处理加药间：1座，混凝剂液体储罐1台，容积2</w:t>
                  </w:r>
                  <w:r>
                    <w:rPr>
                      <w:sz w:val="21"/>
                      <w:szCs w:val="21"/>
                    </w:rPr>
                    <w:t>5</w:t>
                  </w:r>
                  <w:r>
                    <w:rPr>
                      <w:rFonts w:hint="eastAsia"/>
                      <w:sz w:val="21"/>
                      <w:szCs w:val="21"/>
                    </w:rPr>
                    <w:t>m</w:t>
                  </w:r>
                  <w:r>
                    <w:rPr>
                      <w:sz w:val="21"/>
                      <w:szCs w:val="21"/>
                      <w:vertAlign w:val="superscript"/>
                    </w:rPr>
                    <w:t>3</w:t>
                  </w:r>
                  <w:r>
                    <w:rPr>
                      <w:rFonts w:hint="eastAsia"/>
                      <w:sz w:val="21"/>
                      <w:szCs w:val="21"/>
                    </w:rPr>
                    <w:t>，混凝剂加药泵1</w:t>
                  </w:r>
                  <w:r>
                    <w:rPr>
                      <w:sz w:val="21"/>
                      <w:szCs w:val="21"/>
                    </w:rPr>
                    <w:t>2</w:t>
                  </w:r>
                  <w:r>
                    <w:rPr>
                      <w:rFonts w:hint="eastAsia"/>
                      <w:sz w:val="21"/>
                      <w:szCs w:val="21"/>
                    </w:rPr>
                    <w:t>台，流量3</w:t>
                  </w:r>
                  <w:r>
                    <w:rPr>
                      <w:sz w:val="21"/>
                      <w:szCs w:val="21"/>
                    </w:rPr>
                    <w:t>00</w:t>
                  </w:r>
                  <w:r>
                    <w:rPr>
                      <w:rFonts w:hint="eastAsia"/>
                      <w:sz w:val="21"/>
                      <w:szCs w:val="21"/>
                    </w:rPr>
                    <w:t>L</w:t>
                  </w:r>
                  <w:r>
                    <w:rPr>
                      <w:sz w:val="21"/>
                      <w:szCs w:val="21"/>
                    </w:rPr>
                    <w:t>/h</w:t>
                  </w:r>
                  <w:r>
                    <w:rPr>
                      <w:rFonts w:hint="eastAsia"/>
                      <w:sz w:val="21"/>
                      <w:szCs w:val="21"/>
                    </w:rPr>
                    <w:t>；助凝剂自动一体化投药装置1套，助凝剂加药泵1</w:t>
                  </w:r>
                  <w:r>
                    <w:rPr>
                      <w:sz w:val="21"/>
                      <w:szCs w:val="21"/>
                    </w:rPr>
                    <w:t>2</w:t>
                  </w:r>
                  <w:r>
                    <w:rPr>
                      <w:rFonts w:hint="eastAsia"/>
                      <w:sz w:val="21"/>
                      <w:szCs w:val="21"/>
                    </w:rPr>
                    <w:t>台，流量7</w:t>
                  </w:r>
                  <w:r>
                    <w:rPr>
                      <w:sz w:val="21"/>
                      <w:szCs w:val="21"/>
                    </w:rPr>
                    <w:t>20</w:t>
                  </w:r>
                  <w:r>
                    <w:rPr>
                      <w:rFonts w:hint="eastAsia"/>
                      <w:sz w:val="21"/>
                      <w:szCs w:val="21"/>
                    </w:rPr>
                    <w:t>L</w:t>
                  </w:r>
                  <w:r>
                    <w:rPr>
                      <w:sz w:val="21"/>
                      <w:szCs w:val="21"/>
                    </w:rPr>
                    <w:t>/h</w:t>
                  </w:r>
                  <w:r>
                    <w:rPr>
                      <w:rFonts w:hint="eastAsia"/>
                      <w:sz w:val="21"/>
                      <w:szCs w:val="21"/>
                    </w:rPr>
                    <w:t>。</w:t>
                  </w:r>
                </w:p>
                <w:p>
                  <w:pPr>
                    <w:pStyle w:val="169"/>
                    <w:spacing w:before="240"/>
                    <w:contextualSpacing/>
                    <w:jc w:val="both"/>
                    <w:rPr>
                      <w:sz w:val="21"/>
                      <w:szCs w:val="21"/>
                    </w:rPr>
                  </w:pPr>
                  <w:r>
                    <w:rPr>
                      <w:rFonts w:hint="eastAsia"/>
                      <w:sz w:val="21"/>
                      <w:szCs w:val="21"/>
                    </w:rPr>
                    <w:t>（6）清水池：2座，每座2格，有效容积3</w:t>
                  </w:r>
                  <w:r>
                    <w:rPr>
                      <w:sz w:val="21"/>
                      <w:szCs w:val="21"/>
                    </w:rPr>
                    <w:t>500</w:t>
                  </w:r>
                  <w:r>
                    <w:rPr>
                      <w:rFonts w:hint="eastAsia"/>
                      <w:sz w:val="21"/>
                      <w:szCs w:val="21"/>
                    </w:rPr>
                    <w:t>m</w:t>
                  </w:r>
                  <w:r>
                    <w:rPr>
                      <w:sz w:val="21"/>
                      <w:szCs w:val="21"/>
                      <w:vertAlign w:val="superscript"/>
                    </w:rPr>
                    <w:t>3</w:t>
                  </w:r>
                  <w:r>
                    <w:rPr>
                      <w:sz w:val="21"/>
                      <w:szCs w:val="21"/>
                    </w:rPr>
                    <w:t>/</w:t>
                  </w:r>
                  <w:r>
                    <w:rPr>
                      <w:rFonts w:hint="eastAsia"/>
                      <w:sz w:val="21"/>
                      <w:szCs w:val="21"/>
                    </w:rPr>
                    <w:t>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438" w:type="dxa"/>
                  <w:vMerge w:val="restart"/>
                  <w:tcBorders>
                    <w:top w:val="single" w:color="auto" w:sz="4" w:space="0"/>
                    <w:left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海水淡化车间</w:t>
                  </w:r>
                </w:p>
              </w:tc>
              <w:tc>
                <w:tcPr>
                  <w:tcW w:w="438" w:type="dxa"/>
                  <w:tcBorders>
                    <w:top w:val="single" w:color="auto" w:sz="4" w:space="0"/>
                    <w:left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超滤系统</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left"/>
                    <w:rPr>
                      <w:sz w:val="21"/>
                      <w:szCs w:val="21"/>
                    </w:rPr>
                  </w:pPr>
                  <w:r>
                    <w:rPr>
                      <w:rFonts w:hint="eastAsia"/>
                      <w:sz w:val="21"/>
                      <w:szCs w:val="21"/>
                    </w:rPr>
                    <w:t>超滤系统的基本运行工艺包括制水、反洗、</w:t>
                  </w:r>
                  <w:r>
                    <w:rPr>
                      <w:sz w:val="21"/>
                      <w:szCs w:val="21"/>
                    </w:rPr>
                    <w:t>CEB</w:t>
                  </w:r>
                  <w:r>
                    <w:rPr>
                      <w:rFonts w:hint="eastAsia"/>
                      <w:sz w:val="21"/>
                      <w:szCs w:val="21"/>
                    </w:rPr>
                    <w:t>（增强反洗）以及化学清洗基本工艺：</w:t>
                  </w:r>
                </w:p>
                <w:p>
                  <w:pPr>
                    <w:pStyle w:val="169"/>
                    <w:spacing w:before="240"/>
                    <w:contextualSpacing/>
                    <w:jc w:val="both"/>
                    <w:rPr>
                      <w:sz w:val="21"/>
                      <w:szCs w:val="21"/>
                    </w:rPr>
                  </w:pPr>
                  <w:r>
                    <w:rPr>
                      <w:rFonts w:hint="eastAsia"/>
                      <w:sz w:val="21"/>
                      <w:szCs w:val="21"/>
                    </w:rPr>
                    <w:t>（1）制水：用取水泵将经过自清洗过滤的海水加压送入超滤设备，大部分的细菌、藻类、胶体物质和微小（大于0.03μm）的颗粒物质可以在此去除，出水的SDI15值小于3，可保证反渗透设备的安全稳定运行。</w:t>
                  </w:r>
                </w:p>
                <w:p>
                  <w:pPr>
                    <w:pStyle w:val="169"/>
                    <w:spacing w:before="240"/>
                    <w:contextualSpacing/>
                    <w:jc w:val="both"/>
                    <w:rPr>
                      <w:sz w:val="21"/>
                      <w:szCs w:val="21"/>
                    </w:rPr>
                  </w:pPr>
                  <w:r>
                    <w:rPr>
                      <w:rFonts w:hint="eastAsia"/>
                      <w:sz w:val="21"/>
                      <w:szCs w:val="21"/>
                    </w:rPr>
                    <w:t>（2）反洗：超滤系统的反洗包括气水反洗、水反冲及排污三个过程。在反洗过程中，反洗液（一般为膜过滤的透过液）由膜元件的透过液出口进入到外压中空纤维膜的内侧，由内向外反向清洗。同时，在膜元件的原液入口加入压缩空气，压缩空气在中空纤维外壁与膜元件外壳之间的空间内上升，对中空纤维的外壁进行振荡和气泡擦洗。在反洗水和压缩空气的共同作用下，膜丝表面的污染物脱落。清洗产生的污水从膜元件的排污口排出。</w:t>
                  </w:r>
                </w:p>
                <w:p>
                  <w:pPr>
                    <w:pStyle w:val="169"/>
                    <w:spacing w:before="240"/>
                    <w:contextualSpacing/>
                    <w:jc w:val="both"/>
                    <w:rPr>
                      <w:sz w:val="21"/>
                      <w:szCs w:val="21"/>
                    </w:rPr>
                  </w:pPr>
                  <w:r>
                    <w:rPr>
                      <w:rFonts w:hint="eastAsia"/>
                      <w:sz w:val="21"/>
                      <w:szCs w:val="21"/>
                    </w:rPr>
                    <w:t>（3）CEB清洗：为了加强反冲洗的效果，本方案设置了增强反洗（CEB），选用次氯酸钠作为CEB清洗药剂（300～500ppm），作用是清洗膜表面的有机污染物和细菌；也可选用酸做为CEB清洗药剂，作用是清洗无机盐沉淀。定期杀菌。</w:t>
                  </w:r>
                </w:p>
                <w:p>
                  <w:pPr>
                    <w:pStyle w:val="169"/>
                    <w:spacing w:before="240"/>
                    <w:contextualSpacing/>
                    <w:jc w:val="both"/>
                    <w:rPr>
                      <w:sz w:val="21"/>
                      <w:szCs w:val="21"/>
                    </w:rPr>
                  </w:pPr>
                  <w:r>
                    <w:rPr>
                      <w:rFonts w:hint="eastAsia"/>
                      <w:sz w:val="21"/>
                      <w:szCs w:val="21"/>
                    </w:rPr>
                    <w:t>（4）化学清洗：超滤系统的化学清洗系统及配药系统为全自动控制，经过冲洗和反洗后，超滤设备重新将投入正常运行。</w:t>
                  </w:r>
                </w:p>
                <w:p>
                  <w:pPr>
                    <w:pStyle w:val="169"/>
                    <w:spacing w:before="240"/>
                    <w:contextualSpacing/>
                    <w:jc w:val="both"/>
                    <w:rPr>
                      <w:sz w:val="21"/>
                      <w:szCs w:val="21"/>
                    </w:rPr>
                  </w:pPr>
                  <w:r>
                    <w:rPr>
                      <w:rFonts w:hint="eastAsia"/>
                      <w:sz w:val="21"/>
                      <w:szCs w:val="21"/>
                    </w:rPr>
                    <w:t>（5）主要设备：超滤供水泵：卧式离心泵1</w:t>
                  </w:r>
                  <w:r>
                    <w:rPr>
                      <w:sz w:val="21"/>
                      <w:szCs w:val="21"/>
                    </w:rPr>
                    <w:t>2</w:t>
                  </w:r>
                  <w:r>
                    <w:rPr>
                      <w:rFonts w:hint="eastAsia"/>
                      <w:sz w:val="21"/>
                      <w:szCs w:val="21"/>
                    </w:rPr>
                    <w:t>台（1</w:t>
                  </w:r>
                  <w:r>
                    <w:rPr>
                      <w:sz w:val="21"/>
                      <w:szCs w:val="21"/>
                    </w:rPr>
                    <w:t>0</w:t>
                  </w:r>
                  <w:r>
                    <w:rPr>
                      <w:rFonts w:hint="eastAsia"/>
                      <w:sz w:val="21"/>
                      <w:szCs w:val="21"/>
                    </w:rPr>
                    <w:t>用2备），流量：                        1100m</w:t>
                  </w:r>
                  <w:r>
                    <w:rPr>
                      <w:rFonts w:hint="eastAsia"/>
                      <w:sz w:val="21"/>
                      <w:szCs w:val="21"/>
                      <w:vertAlign w:val="superscript"/>
                    </w:rPr>
                    <w:t>3</w:t>
                  </w:r>
                  <w:r>
                    <w:rPr>
                      <w:rFonts w:hint="eastAsia"/>
                      <w:sz w:val="21"/>
                      <w:szCs w:val="21"/>
                    </w:rPr>
                    <w:t>/h，扬程：30m；自清洗过滤器：网式过滤器1</w:t>
                  </w:r>
                  <w:r>
                    <w:rPr>
                      <w:sz w:val="21"/>
                      <w:szCs w:val="21"/>
                    </w:rPr>
                    <w:t>2</w:t>
                  </w:r>
                  <w:r>
                    <w:rPr>
                      <w:rFonts w:hint="eastAsia"/>
                      <w:sz w:val="21"/>
                      <w:szCs w:val="21"/>
                    </w:rPr>
                    <w:t>台（1</w:t>
                  </w:r>
                  <w:r>
                    <w:rPr>
                      <w:sz w:val="21"/>
                      <w:szCs w:val="21"/>
                    </w:rPr>
                    <w:t>0</w:t>
                  </w:r>
                  <w:r>
                    <w:rPr>
                      <w:rFonts w:hint="eastAsia"/>
                      <w:sz w:val="21"/>
                      <w:szCs w:val="21"/>
                    </w:rPr>
                    <w:t>用2备），流量：1100m</w:t>
                  </w:r>
                  <w:r>
                    <w:rPr>
                      <w:rFonts w:hint="eastAsia"/>
                      <w:sz w:val="21"/>
                      <w:szCs w:val="21"/>
                      <w:vertAlign w:val="superscript"/>
                    </w:rPr>
                    <w:t>3</w:t>
                  </w:r>
                  <w:r>
                    <w:rPr>
                      <w:rFonts w:hint="eastAsia"/>
                      <w:sz w:val="21"/>
                      <w:szCs w:val="21"/>
                    </w:rPr>
                    <w:t>/h；超滤膜组3</w:t>
                  </w:r>
                  <w:r>
                    <w:rPr>
                      <w:sz w:val="21"/>
                      <w:szCs w:val="21"/>
                    </w:rPr>
                    <w:t>0</w:t>
                  </w:r>
                  <w:r>
                    <w:rPr>
                      <w:rFonts w:hint="eastAsia"/>
                      <w:sz w:val="21"/>
                      <w:szCs w:val="21"/>
                    </w:rPr>
                    <w:t>台，单台出力：330 m³/h，PVDF中空纤维，各期1260支（84支/台）；超滤反洗泵：卧式离心泵6台（</w:t>
                  </w:r>
                  <w:r>
                    <w:rPr>
                      <w:sz w:val="21"/>
                      <w:szCs w:val="21"/>
                    </w:rPr>
                    <w:t>4</w:t>
                  </w:r>
                  <w:r>
                    <w:rPr>
                      <w:rFonts w:hint="eastAsia"/>
                      <w:sz w:val="21"/>
                      <w:szCs w:val="21"/>
                    </w:rPr>
                    <w:t>用2备），流量：650m</w:t>
                  </w:r>
                  <w:r>
                    <w:rPr>
                      <w:rFonts w:hint="eastAsia"/>
                      <w:sz w:val="21"/>
                      <w:szCs w:val="21"/>
                      <w:vertAlign w:val="superscript"/>
                    </w:rPr>
                    <w:t>3</w:t>
                  </w:r>
                  <w:r>
                    <w:rPr>
                      <w:rFonts w:hint="eastAsia"/>
                      <w:sz w:val="21"/>
                      <w:szCs w:val="21"/>
                    </w:rPr>
                    <w:t>/h，扬程：30m。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438" w:type="dxa"/>
                  <w:vMerge w:val="continue"/>
                  <w:tcBorders>
                    <w:left w:val="single" w:color="auto" w:sz="4" w:space="0"/>
                    <w:right w:val="single" w:color="auto" w:sz="4" w:space="0"/>
                  </w:tcBorders>
                  <w:shd w:val="clear" w:color="auto" w:fill="auto"/>
                  <w:vAlign w:val="center"/>
                </w:tcPr>
                <w:p>
                  <w:pPr>
                    <w:pStyle w:val="169"/>
                    <w:spacing w:before="240"/>
                    <w:contextualSpacing/>
                    <w:jc w:val="both"/>
                    <w:rPr>
                      <w:sz w:val="21"/>
                      <w:szCs w:val="21"/>
                    </w:rPr>
                  </w:pPr>
                </w:p>
              </w:tc>
              <w:tc>
                <w:tcPr>
                  <w:tcW w:w="438" w:type="dxa"/>
                  <w:tcBorders>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反渗透系统</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（1）反渗透设计出水水质：含盐量＜50 mg/L，一级反渗透回收率45%，二级反渗透回收率90%，产水硼＜1mg/L（掺混），其它出水水质其他指标满足《生活饮用水卫生标准》（GB5749）。</w:t>
                  </w:r>
                </w:p>
                <w:p>
                  <w:pPr>
                    <w:pStyle w:val="169"/>
                    <w:spacing w:before="240"/>
                    <w:contextualSpacing/>
                    <w:jc w:val="both"/>
                    <w:rPr>
                      <w:sz w:val="21"/>
                      <w:szCs w:val="21"/>
                    </w:rPr>
                  </w:pPr>
                  <w:r>
                    <w:rPr>
                      <w:rFonts w:hint="eastAsia"/>
                      <w:sz w:val="21"/>
                      <w:szCs w:val="21"/>
                    </w:rPr>
                    <w:t>（2）反渗透系统设计：一级反渗透海水淡化系统包括一级高压泵、反渗透膜组件、能量回收装置、冲洗系统、清洗系统以及控制仪表等六部分组成，现分述如下：</w:t>
                  </w:r>
                </w:p>
                <w:p>
                  <w:pPr>
                    <w:pStyle w:val="169"/>
                    <w:spacing w:before="240"/>
                    <w:contextualSpacing/>
                    <w:jc w:val="both"/>
                    <w:rPr>
                      <w:sz w:val="21"/>
                      <w:szCs w:val="21"/>
                    </w:rPr>
                  </w:pPr>
                  <w:r>
                    <w:rPr>
                      <w:rFonts w:hint="eastAsia"/>
                      <w:sz w:val="21"/>
                      <w:szCs w:val="21"/>
                    </w:rPr>
                    <w:t>高压泵：高压泵为反渗透膜组提供足够进水压力，同时结合能量回收装置为反渗透膜组提供正常运行的压力。每套反渗透膜组串联设置一台高压泵，形式为多级离心泵。</w:t>
                  </w:r>
                </w:p>
                <w:p>
                  <w:pPr>
                    <w:pStyle w:val="169"/>
                    <w:spacing w:before="240"/>
                    <w:contextualSpacing/>
                    <w:jc w:val="both"/>
                    <w:rPr>
                      <w:sz w:val="21"/>
                      <w:szCs w:val="21"/>
                    </w:rPr>
                  </w:pPr>
                  <w:r>
                    <w:rPr>
                      <w:rFonts w:hint="eastAsia"/>
                      <w:sz w:val="21"/>
                      <w:szCs w:val="21"/>
                    </w:rPr>
                    <w:t>反渗透膜组：为设备稳定供水，分为二级设置。它负责脱除水中的可溶性盐分、胶体、有机物及微生物，使出水水质达到用户的要求。根据水质情况，一级反渗透膜采用了适合海水淡化的复合反渗透膜，单根脱盐率可以达到99.7%，反渗透的回收率设计为45%，每套反渗透膜组采用一级一段排列，浓水流量相对较高，膜元件不易受到污染。二级反渗透设计回收率为90%，出水水质好。</w:t>
                  </w:r>
                </w:p>
                <w:p>
                  <w:pPr>
                    <w:pStyle w:val="169"/>
                    <w:spacing w:before="240"/>
                    <w:contextualSpacing/>
                    <w:jc w:val="both"/>
                    <w:rPr>
                      <w:sz w:val="21"/>
                      <w:szCs w:val="21"/>
                    </w:rPr>
                  </w:pPr>
                  <w:r>
                    <w:rPr>
                      <w:rFonts w:hint="eastAsia"/>
                      <w:sz w:val="21"/>
                      <w:szCs w:val="21"/>
                    </w:rPr>
                    <w:t>能量回收装置：由于排放的浓盐水压力超过5.5MPa，不进行回收将造成能量的浪费。能量转换效率达到95%，从而降低了对高压泵功耗的要求，节约了能源。</w:t>
                  </w:r>
                </w:p>
                <w:p>
                  <w:pPr>
                    <w:pStyle w:val="169"/>
                    <w:spacing w:before="240"/>
                    <w:contextualSpacing/>
                    <w:jc w:val="both"/>
                    <w:rPr>
                      <w:sz w:val="21"/>
                      <w:szCs w:val="21"/>
                    </w:rPr>
                  </w:pPr>
                  <w:r>
                    <w:rPr>
                      <w:rFonts w:hint="eastAsia"/>
                      <w:sz w:val="21"/>
                      <w:szCs w:val="21"/>
                    </w:rPr>
                    <w:t>反渗透清洗系统：反渗透膜组件长期运行之后，会受到某些难以冲洗掉物质的污染，例如长期的微量盐分结垢和有机物的积累，造成膜组件的性能下降。如此需要化学药品的清洗，以恢复其正常的通量和脱盐率。清洗系统由清洗药剂箱、清洗泵、5μm过滤器及流量计和管路系统组成。</w:t>
                  </w:r>
                </w:p>
                <w:p>
                  <w:pPr>
                    <w:pStyle w:val="169"/>
                    <w:spacing w:before="240"/>
                    <w:contextualSpacing/>
                    <w:jc w:val="both"/>
                    <w:rPr>
                      <w:sz w:val="21"/>
                      <w:szCs w:val="21"/>
                    </w:rPr>
                  </w:pPr>
                  <w:r>
                    <w:rPr>
                      <w:rFonts w:hint="eastAsia"/>
                      <w:sz w:val="21"/>
                      <w:szCs w:val="21"/>
                    </w:rPr>
                    <w:t>反渗透停机自动冲洗系统：当反渗透装置停机时，膜内部的水已经处于浓缩状态，容易造成膜组件的污染。因此需要用淡水冲洗膜的表面以将膜表面的浓水置换出来，防止污染物在反渗透膜表面的沉积，影响膜的性能。反渗透的冲洗系统与化学清洗系统共用。</w:t>
                  </w:r>
                </w:p>
                <w:p>
                  <w:pPr>
                    <w:pStyle w:val="169"/>
                    <w:spacing w:before="240"/>
                    <w:contextualSpacing/>
                    <w:jc w:val="both"/>
                    <w:rPr>
                      <w:sz w:val="21"/>
                      <w:szCs w:val="21"/>
                    </w:rPr>
                  </w:pPr>
                  <w:r>
                    <w:rPr>
                      <w:rFonts w:hint="eastAsia"/>
                      <w:sz w:val="21"/>
                      <w:szCs w:val="21"/>
                    </w:rPr>
                    <w:t>二级反渗透系统包括二级增压泵、二级高压泵及苦咸水膜。二级增压泵和二级高压泵为二级反渗透膜组提供所需进水压力，苦咸水膜脱盐率可以达到99.5%。</w:t>
                  </w:r>
                </w:p>
                <w:p>
                  <w:pPr>
                    <w:pStyle w:val="169"/>
                    <w:spacing w:before="240"/>
                    <w:contextualSpacing/>
                    <w:jc w:val="both"/>
                    <w:rPr>
                      <w:sz w:val="21"/>
                      <w:szCs w:val="21"/>
                    </w:rPr>
                  </w:pPr>
                  <w:r>
                    <w:rPr>
                      <w:rFonts w:hint="eastAsia"/>
                      <w:sz w:val="21"/>
                      <w:szCs w:val="21"/>
                    </w:rPr>
                    <w:t>（3）具体参数：</w:t>
                  </w:r>
                </w:p>
                <w:p>
                  <w:pPr>
                    <w:pStyle w:val="169"/>
                    <w:spacing w:before="240"/>
                    <w:contextualSpacing/>
                    <w:jc w:val="both"/>
                    <w:rPr>
                      <w:sz w:val="21"/>
                      <w:szCs w:val="21"/>
                    </w:rPr>
                  </w:pPr>
                  <w:r>
                    <w:rPr>
                      <w:rFonts w:hint="eastAsia"/>
                      <w:sz w:val="21"/>
                      <w:szCs w:val="21"/>
                    </w:rPr>
                    <w:t>一级反渗透膜组：1</w:t>
                  </w:r>
                  <w:r>
                    <w:rPr>
                      <w:sz w:val="21"/>
                      <w:szCs w:val="21"/>
                    </w:rPr>
                    <w:t>0</w:t>
                  </w:r>
                  <w:r>
                    <w:rPr>
                      <w:rFonts w:hint="eastAsia"/>
                      <w:sz w:val="21"/>
                      <w:szCs w:val="21"/>
                    </w:rPr>
                    <w:t>套，单套出力：417m</w:t>
                  </w:r>
                  <w:r>
                    <w:rPr>
                      <w:rFonts w:hint="eastAsia"/>
                      <w:sz w:val="21"/>
                      <w:szCs w:val="21"/>
                      <w:vertAlign w:val="superscript"/>
                    </w:rPr>
                    <w:t>3</w:t>
                  </w:r>
                  <w:r>
                    <w:rPr>
                      <w:rFonts w:hint="eastAsia"/>
                      <w:sz w:val="21"/>
                      <w:szCs w:val="21"/>
                    </w:rPr>
                    <w:t>/h /套，排列（级段）方式：一级一段，型式：8040高脱盐率海水反渗透膜，膜元件数量：770根/套，配套压力容器总数：110个/套，回收率≥45 %，系统脱盐率一年内≥99%，三年内≥98%。</w:t>
                  </w:r>
                </w:p>
                <w:p>
                  <w:pPr>
                    <w:pStyle w:val="169"/>
                    <w:spacing w:before="240"/>
                    <w:contextualSpacing/>
                    <w:jc w:val="both"/>
                    <w:rPr>
                      <w:sz w:val="21"/>
                      <w:szCs w:val="21"/>
                    </w:rPr>
                  </w:pPr>
                  <w:r>
                    <w:rPr>
                      <w:rFonts w:hint="eastAsia"/>
                      <w:sz w:val="21"/>
                      <w:szCs w:val="21"/>
                    </w:rPr>
                    <w:t>一级产水池：2座，一座2格；有效容积：4000m</w:t>
                  </w:r>
                  <w:r>
                    <w:rPr>
                      <w:rFonts w:hint="eastAsia"/>
                      <w:sz w:val="21"/>
                      <w:szCs w:val="21"/>
                      <w:vertAlign w:val="superscript"/>
                    </w:rPr>
                    <w:t>3</w:t>
                  </w:r>
                  <w:r>
                    <w:rPr>
                      <w:rFonts w:hint="eastAsia"/>
                      <w:sz w:val="21"/>
                      <w:szCs w:val="21"/>
                    </w:rPr>
                    <w:t>/座；钢筋混凝土（内防腐）。</w:t>
                  </w:r>
                </w:p>
                <w:p>
                  <w:pPr>
                    <w:pStyle w:val="169"/>
                    <w:spacing w:before="240"/>
                    <w:contextualSpacing/>
                    <w:jc w:val="both"/>
                    <w:rPr>
                      <w:sz w:val="21"/>
                      <w:szCs w:val="21"/>
                    </w:rPr>
                  </w:pPr>
                  <w:r>
                    <w:rPr>
                      <w:rFonts w:hint="eastAsia"/>
                      <w:sz w:val="21"/>
                      <w:szCs w:val="21"/>
                    </w:rPr>
                    <w:t>二级反渗透膜组件：2套，单套出力：417 m</w:t>
                  </w:r>
                  <w:r>
                    <w:rPr>
                      <w:rFonts w:hint="eastAsia"/>
                      <w:sz w:val="21"/>
                      <w:szCs w:val="21"/>
                      <w:vertAlign w:val="superscript"/>
                    </w:rPr>
                    <w:t>3</w:t>
                  </w:r>
                  <w:r>
                    <w:rPr>
                      <w:rFonts w:hint="eastAsia"/>
                      <w:sz w:val="21"/>
                      <w:szCs w:val="21"/>
                    </w:rPr>
                    <w:t>/h·套；一级三段26(7)-16(7)-8(7)；高脱盐率卷式苦咸水膜；8040芳香聚酰胺复合膜；膜元件总数量：350根/套；配套压力容器：50个/套；回收率：≥90 %。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438" w:type="dxa"/>
                  <w:vMerge w:val="continue"/>
                  <w:tcBorders>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p>
              </w:tc>
              <w:tc>
                <w:tcPr>
                  <w:tcW w:w="438" w:type="dxa"/>
                  <w:tcBorders>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低温多效</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水源全部为夏季海水，设原料水泵、浓水泵、产品水泵、8-11效中间水泵、4-7效中间水泵、1-3效中间水泵、首效冷凝水泵、水环真空泵、消除过热泵、消泡剂计量泵、阻垢剂计量泵、清洗泵。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产品水池</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产品水池共设</w:t>
                  </w:r>
                  <w:r>
                    <w:rPr>
                      <w:sz w:val="21"/>
                      <w:szCs w:val="21"/>
                    </w:rPr>
                    <w:t>2</w:t>
                  </w:r>
                  <w:r>
                    <w:rPr>
                      <w:rFonts w:hint="eastAsia"/>
                      <w:sz w:val="21"/>
                      <w:szCs w:val="21"/>
                    </w:rPr>
                    <w:t>座，尺寸为3</w:t>
                  </w:r>
                  <w:r>
                    <w:rPr>
                      <w:sz w:val="21"/>
                      <w:szCs w:val="21"/>
                    </w:rPr>
                    <w:t>5</w:t>
                  </w:r>
                  <w:r>
                    <w:rPr>
                      <w:rFonts w:hint="eastAsia"/>
                      <w:sz w:val="21"/>
                      <w:szCs w:val="21"/>
                    </w:rPr>
                    <w:t>m×</w:t>
                  </w:r>
                  <w:r>
                    <w:rPr>
                      <w:sz w:val="21"/>
                      <w:szCs w:val="21"/>
                    </w:rPr>
                    <w:t>24</w:t>
                  </w:r>
                  <w:r>
                    <w:rPr>
                      <w:rFonts w:hint="eastAsia"/>
                      <w:sz w:val="21"/>
                      <w:szCs w:val="21"/>
                    </w:rPr>
                    <w:t>m。</w:t>
                  </w:r>
                </w:p>
                <w:p>
                  <w:pPr>
                    <w:pStyle w:val="169"/>
                    <w:spacing w:before="240"/>
                    <w:contextualSpacing/>
                    <w:jc w:val="both"/>
                    <w:rPr>
                      <w:sz w:val="21"/>
                      <w:szCs w:val="21"/>
                    </w:rPr>
                  </w:pPr>
                  <w:r>
                    <w:rPr>
                      <w:rFonts w:hint="eastAsia"/>
                      <w:sz w:val="21"/>
                      <w:szCs w:val="21"/>
                    </w:rPr>
                    <w:t>电厂锅炉补给水增设EDI模块，利用离子交换树脂和电渗析制水，尺寸为5</w:t>
                  </w:r>
                  <w:r>
                    <w:rPr>
                      <w:sz w:val="21"/>
                      <w:szCs w:val="21"/>
                    </w:rPr>
                    <w:t>500</w:t>
                  </w:r>
                  <w:r>
                    <w:rPr>
                      <w:rFonts w:hint="eastAsia"/>
                      <w:sz w:val="21"/>
                      <w:szCs w:val="21"/>
                    </w:rPr>
                    <w:t>m×</w:t>
                  </w:r>
                  <w:r>
                    <w:rPr>
                      <w:sz w:val="21"/>
                      <w:szCs w:val="21"/>
                    </w:rPr>
                    <w:t>1700</w:t>
                  </w:r>
                  <w:r>
                    <w:rPr>
                      <w:rFonts w:hint="eastAsia"/>
                      <w:sz w:val="21"/>
                      <w:szCs w:val="21"/>
                    </w:rPr>
                    <w:t>m；电厂内生活用水需进行后矿化处理，选择上流式石灰石接触法和在其上定量供给CO</w:t>
                  </w:r>
                  <w:r>
                    <w:rPr>
                      <w:sz w:val="21"/>
                      <w:szCs w:val="21"/>
                      <w:vertAlign w:val="subscript"/>
                    </w:rPr>
                    <w:t>2</w:t>
                  </w:r>
                  <w:r>
                    <w:rPr>
                      <w:rFonts w:hint="eastAsia"/>
                      <w:sz w:val="21"/>
                      <w:szCs w:val="21"/>
                    </w:rPr>
                    <w:t>，二氧化碳投药系统包含二氧化碳储罐、汽化器、减压阀、溶解器、增压泵等设备。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438" w:type="dxa"/>
                  <w:vMerge w:val="restart"/>
                  <w:tcBorders>
                    <w:top w:val="single" w:color="auto" w:sz="4" w:space="0"/>
                    <w:left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污泥处理系统</w:t>
                  </w:r>
                </w:p>
              </w:tc>
              <w:tc>
                <w:tcPr>
                  <w:tcW w:w="438" w:type="dxa"/>
                  <w:tcBorders>
                    <w:top w:val="single" w:color="auto" w:sz="4" w:space="0"/>
                    <w:left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排泥池</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1座，有效容积3</w:t>
                  </w:r>
                  <w:r>
                    <w:rPr>
                      <w:sz w:val="21"/>
                      <w:szCs w:val="21"/>
                    </w:rPr>
                    <w:t>60</w:t>
                  </w:r>
                  <w:r>
                    <w:rPr>
                      <w:rFonts w:hint="eastAsia"/>
                      <w:sz w:val="21"/>
                      <w:szCs w:val="21"/>
                    </w:rPr>
                    <w:t>m</w:t>
                  </w:r>
                  <w:r>
                    <w:rPr>
                      <w:rFonts w:hint="eastAsia"/>
                      <w:sz w:val="21"/>
                      <w:szCs w:val="21"/>
                      <w:vertAlign w:val="superscript"/>
                    </w:rPr>
                    <w:t>3</w:t>
                  </w:r>
                  <w:r>
                    <w:rPr>
                      <w:rFonts w:hint="eastAsia"/>
                      <w:sz w:val="21"/>
                      <w:szCs w:val="21"/>
                    </w:rPr>
                    <w:t>，分为独立运行的2格，池内共设</w:t>
                  </w:r>
                  <w:r>
                    <w:rPr>
                      <w:sz w:val="21"/>
                      <w:szCs w:val="21"/>
                    </w:rPr>
                    <w:t>8</w:t>
                  </w:r>
                  <w:r>
                    <w:rPr>
                      <w:rFonts w:hint="eastAsia"/>
                      <w:sz w:val="21"/>
                      <w:szCs w:val="21"/>
                    </w:rPr>
                    <w:t>台排泥泵，4用</w:t>
                  </w:r>
                  <w:r>
                    <w:rPr>
                      <w:sz w:val="21"/>
                      <w:szCs w:val="21"/>
                    </w:rPr>
                    <w:t>4</w:t>
                  </w:r>
                  <w:r>
                    <w:rPr>
                      <w:rFonts w:hint="eastAsia"/>
                      <w:sz w:val="21"/>
                      <w:szCs w:val="21"/>
                    </w:rPr>
                    <w:t>备，Q=</w:t>
                  </w:r>
                  <w:r>
                    <w:rPr>
                      <w:sz w:val="21"/>
                      <w:szCs w:val="21"/>
                    </w:rPr>
                    <w:t>75</w:t>
                  </w:r>
                  <w:r>
                    <w:rPr>
                      <w:rFonts w:hint="eastAsia"/>
                      <w:sz w:val="21"/>
                      <w:szCs w:val="21"/>
                    </w:rPr>
                    <w:t>m</w:t>
                  </w:r>
                  <w:r>
                    <w:rPr>
                      <w:rFonts w:hint="eastAsia"/>
                      <w:sz w:val="21"/>
                      <w:szCs w:val="21"/>
                      <w:vertAlign w:val="superscript"/>
                    </w:rPr>
                    <w:t>3</w:t>
                  </w:r>
                  <w:r>
                    <w:rPr>
                      <w:rFonts w:hint="eastAsia"/>
                      <w:sz w:val="21"/>
                      <w:szCs w:val="21"/>
                    </w:rPr>
                    <w:t>/h，H=</w:t>
                  </w:r>
                  <w:r>
                    <w:rPr>
                      <w:sz w:val="21"/>
                      <w:szCs w:val="21"/>
                    </w:rPr>
                    <w:t>60</w:t>
                  </w:r>
                  <w:r>
                    <w:rPr>
                      <w:rFonts w:hint="eastAsia"/>
                      <w:sz w:val="21"/>
                      <w:szCs w:val="21"/>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438" w:type="dxa"/>
                  <w:vMerge w:val="continue"/>
                  <w:tcBorders>
                    <w:left w:val="single" w:color="auto" w:sz="4" w:space="0"/>
                    <w:right w:val="single" w:color="auto" w:sz="4" w:space="0"/>
                  </w:tcBorders>
                  <w:shd w:val="clear" w:color="auto" w:fill="auto"/>
                  <w:vAlign w:val="center"/>
                </w:tcPr>
                <w:p>
                  <w:pPr>
                    <w:pStyle w:val="169"/>
                    <w:spacing w:before="240"/>
                    <w:contextualSpacing/>
                    <w:jc w:val="both"/>
                    <w:rPr>
                      <w:sz w:val="21"/>
                      <w:szCs w:val="21"/>
                    </w:rPr>
                  </w:pPr>
                </w:p>
              </w:tc>
              <w:tc>
                <w:tcPr>
                  <w:tcW w:w="438" w:type="dxa"/>
                  <w:tcBorders>
                    <w:left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浓缩池</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1座，有效容积4</w:t>
                  </w:r>
                  <w:r>
                    <w:rPr>
                      <w:sz w:val="21"/>
                      <w:szCs w:val="21"/>
                    </w:rPr>
                    <w:t>50</w:t>
                  </w:r>
                  <w:r>
                    <w:rPr>
                      <w:rFonts w:hint="eastAsia"/>
                      <w:sz w:val="21"/>
                      <w:szCs w:val="21"/>
                    </w:rPr>
                    <w:t>m</w:t>
                  </w:r>
                  <w:r>
                    <w:rPr>
                      <w:sz w:val="21"/>
                      <w:szCs w:val="21"/>
                      <w:vertAlign w:val="superscript"/>
                    </w:rPr>
                    <w:t>3</w:t>
                  </w:r>
                  <w:r>
                    <w:rPr>
                      <w:rFonts w:hint="eastAsia"/>
                      <w:sz w:val="21"/>
                      <w:szCs w:val="21"/>
                    </w:rPr>
                    <w:t>，浓缩机：1台，速度2m</w:t>
                  </w:r>
                  <w:r>
                    <w:rPr>
                      <w:sz w:val="21"/>
                      <w:szCs w:val="21"/>
                    </w:rPr>
                    <w:t>/min</w:t>
                  </w: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bottom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438" w:type="dxa"/>
                  <w:vMerge w:val="continue"/>
                  <w:tcBorders>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p>
              </w:tc>
              <w:tc>
                <w:tcPr>
                  <w:tcW w:w="438" w:type="dxa"/>
                  <w:tcBorders>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脱水车间</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1座，1</w:t>
                  </w:r>
                  <w:r>
                    <w:rPr>
                      <w:sz w:val="21"/>
                      <w:szCs w:val="21"/>
                    </w:rPr>
                    <w:t>5</w:t>
                  </w:r>
                  <w:r>
                    <w:rPr>
                      <w:rFonts w:hint="eastAsia"/>
                      <w:sz w:val="21"/>
                      <w:szCs w:val="21"/>
                    </w:rPr>
                    <w:t>m×</w:t>
                  </w:r>
                  <w:r>
                    <w:rPr>
                      <w:sz w:val="21"/>
                      <w:szCs w:val="21"/>
                    </w:rPr>
                    <w:t>9</w:t>
                  </w:r>
                  <w:r>
                    <w:rPr>
                      <w:rFonts w:hint="eastAsia"/>
                      <w:sz w:val="21"/>
                      <w:szCs w:val="21"/>
                    </w:rPr>
                    <w:t>m，采用机械脱水方式，脱水机2台，1用1备。单台负荷流量</w:t>
                  </w:r>
                  <w:r>
                    <w:rPr>
                      <w:sz w:val="21"/>
                      <w:szCs w:val="21"/>
                    </w:rPr>
                    <w:t>15</w:t>
                  </w:r>
                  <w:r>
                    <w:rPr>
                      <w:rFonts w:hint="eastAsia"/>
                      <w:sz w:val="21"/>
                      <w:szCs w:val="21"/>
                    </w:rPr>
                    <w:t>m</w:t>
                  </w:r>
                  <w:r>
                    <w:rPr>
                      <w:rFonts w:hint="eastAsia"/>
                      <w:sz w:val="21"/>
                      <w:szCs w:val="21"/>
                      <w:vertAlign w:val="superscript"/>
                    </w:rPr>
                    <w:t>3</w:t>
                  </w:r>
                  <w:r>
                    <w:rPr>
                      <w:rFonts w:hint="eastAsia"/>
                      <w:sz w:val="21"/>
                      <w:szCs w:val="21"/>
                    </w:rPr>
                    <w:t>/h，进泥含水率9</w:t>
                  </w:r>
                  <w:r>
                    <w:rPr>
                      <w:sz w:val="21"/>
                      <w:szCs w:val="21"/>
                    </w:rPr>
                    <w:t>6</w:t>
                  </w:r>
                  <w:r>
                    <w:rPr>
                      <w:rFonts w:hint="eastAsia"/>
                      <w:sz w:val="21"/>
                      <w:szCs w:val="21"/>
                    </w:rPr>
                    <w:t>~</w:t>
                  </w:r>
                  <w:r>
                    <w:rPr>
                      <w:sz w:val="21"/>
                      <w:szCs w:val="21"/>
                    </w:rPr>
                    <w:t>97</w:t>
                  </w:r>
                  <w:r>
                    <w:rPr>
                      <w:rFonts w:hint="eastAsia"/>
                      <w:sz w:val="21"/>
                      <w:szCs w:val="21"/>
                    </w:rPr>
                    <w:t>%，出泥含水率8</w:t>
                  </w:r>
                  <w:r>
                    <w:rPr>
                      <w:sz w:val="21"/>
                      <w:szCs w:val="21"/>
                    </w:rPr>
                    <w:t>0</w:t>
                  </w:r>
                  <w:r>
                    <w:rPr>
                      <w:rFonts w:hint="eastAsia"/>
                      <w:sz w:val="21"/>
                      <w:szCs w:val="21"/>
                    </w:rPr>
                    <w:t>~</w:t>
                  </w:r>
                  <w:r>
                    <w:rPr>
                      <w:sz w:val="21"/>
                      <w:szCs w:val="21"/>
                    </w:rPr>
                    <w:t>75</w:t>
                  </w:r>
                  <w:r>
                    <w:rPr>
                      <w:rFonts w:hint="eastAsia"/>
                      <w:sz w:val="21"/>
                      <w:szCs w:val="21"/>
                    </w:rPr>
                    <w:t>%。设脱水机加药装置1套，包括螺杆计量泵4台，1</w:t>
                  </w:r>
                  <w:r>
                    <w:rPr>
                      <w:sz w:val="21"/>
                      <w:szCs w:val="21"/>
                    </w:rPr>
                    <w:t>.5m</w:t>
                  </w:r>
                  <w:r>
                    <w:rPr>
                      <w:sz w:val="21"/>
                      <w:szCs w:val="21"/>
                      <w:vertAlign w:val="superscript"/>
                    </w:rPr>
                    <w:t>3</w:t>
                  </w:r>
                  <w:r>
                    <w:rPr>
                      <w:sz w:val="21"/>
                      <w:szCs w:val="21"/>
                    </w:rPr>
                    <w:t>/h</w:t>
                  </w: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left w:val="single" w:color="auto" w:sz="4" w:space="0"/>
                    <w:bottom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浓盐水及生产废水</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本项目产生的废水主要包括：滤池反洗水、超滤反洗水、淡化浓水、超滤CEB反洗水、清洗系统排水等。处理方案如下：滤池反洗水、超滤正常反冲洗水、一级反渗透浓水、低温多效浓水排入电厂在运机组冷却水排水渠。超滤CEB反洗水及其它废水一起排入中和池，经处理后排入冷却水排水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公用工程</w:t>
                  </w: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供水</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本工程取水使用两种方式，夏季采用改造原有海水淡化一期循环水泵，增设变频调节，冬季使用电厂三期温排水，新建的加压泵站、浓水排放转移泵及铺设输送管道。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供电</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由市政电网引入，电源为国家电网。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供热</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冬季为内部电厂供热，夏季为空调制冷。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排水</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厂区内采取雨污分流排水系统，生活污水排至电厂内部污水处理站处理后用于绿化，雨水经厂区内明渠收集后外排。</w:t>
                  </w:r>
                </w:p>
                <w:p>
                  <w:pPr>
                    <w:pStyle w:val="169"/>
                    <w:spacing w:before="240"/>
                    <w:contextualSpacing/>
                    <w:jc w:val="both"/>
                    <w:rPr>
                      <w:sz w:val="21"/>
                      <w:szCs w:val="21"/>
                    </w:rPr>
                  </w:pPr>
                  <w:r>
                    <w:rPr>
                      <w:rFonts w:hint="eastAsia"/>
                      <w:sz w:val="21"/>
                      <w:szCs w:val="21"/>
                    </w:rPr>
                    <w:t>项目产生的浓盐水通过冷却水渠与现有电厂二期项目相同排水口近岸排放。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环保工程</w:t>
                  </w: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废气</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根据项目工艺特点，本项目运营期间不产生大气污染物。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废水</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滤池反洗水、超滤反洗水、淡化浓水、超滤CEB反洗水、清洗系统排水等。处理方案如下：滤池反洗水、超滤正常反冲洗水、一级反渗透浓水、低温多效浓水排入电厂在运机组冷却水排水渠。超滤CEB反洗水及其它废水一起排入中和池，经处理后排入冷却水排水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rPr>
                      <w:sz w:val="21"/>
                      <w:szCs w:val="21"/>
                    </w:rPr>
                  </w:pPr>
                  <w:r>
                    <w:rPr>
                      <w:rFonts w:hint="eastAsia"/>
                      <w:sz w:val="21"/>
                      <w:szCs w:val="21"/>
                    </w:rPr>
                    <w:t>噪声</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主要噪声源采取基础减振、厂房墙壁隔声措施。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ind w:firstLine="480"/>
                    <w:contextualSpacing/>
                    <w:rPr>
                      <w:szCs w:val="21"/>
                    </w:rPr>
                  </w:pPr>
                </w:p>
              </w:tc>
              <w:tc>
                <w:tcPr>
                  <w:tcW w:w="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rPr>
                      <w:sz w:val="21"/>
                      <w:szCs w:val="21"/>
                    </w:rPr>
                  </w:pPr>
                  <w:r>
                    <w:rPr>
                      <w:rFonts w:hint="eastAsia"/>
                      <w:sz w:val="21"/>
                      <w:szCs w:val="21"/>
                    </w:rPr>
                    <w:t>固废</w:t>
                  </w:r>
                </w:p>
              </w:tc>
              <w:tc>
                <w:tcPr>
                  <w:tcW w:w="725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69"/>
                    <w:spacing w:before="240"/>
                    <w:contextualSpacing/>
                    <w:jc w:val="both"/>
                    <w:rPr>
                      <w:sz w:val="21"/>
                      <w:szCs w:val="21"/>
                    </w:rPr>
                  </w:pPr>
                  <w:r>
                    <w:rPr>
                      <w:rFonts w:hint="eastAsia"/>
                      <w:sz w:val="21"/>
                      <w:szCs w:val="21"/>
                    </w:rPr>
                    <w:t>生活垃圾由市政环卫部门统一收集处理。</w:t>
                  </w:r>
                </w:p>
                <w:p>
                  <w:pPr>
                    <w:pStyle w:val="169"/>
                    <w:spacing w:before="240"/>
                    <w:contextualSpacing/>
                    <w:jc w:val="both"/>
                    <w:rPr>
                      <w:sz w:val="21"/>
                      <w:szCs w:val="21"/>
                    </w:rPr>
                  </w:pPr>
                  <w:r>
                    <w:rPr>
                      <w:rFonts w:hint="eastAsia"/>
                      <w:sz w:val="21"/>
                      <w:szCs w:val="21"/>
                    </w:rPr>
                    <w:t>预处理微絮凝池</w:t>
                  </w:r>
                  <w:r>
                    <w:rPr>
                      <w:sz w:val="21"/>
                      <w:szCs w:val="21"/>
                    </w:rPr>
                    <w:t>产生的污泥经污泥处理系统处理</w:t>
                  </w:r>
                  <w:r>
                    <w:rPr>
                      <w:rFonts w:hint="eastAsia"/>
                      <w:sz w:val="21"/>
                      <w:szCs w:val="21"/>
                    </w:rPr>
                    <w:t>(浓缩、脱水)，形成泥饼，运至煤厂掺烧，项目不产生危废。</w:t>
                  </w:r>
                </w:p>
              </w:tc>
            </w:tr>
          </w:tbl>
          <w:p>
            <w:pPr>
              <w:adjustRightInd w:val="0"/>
              <w:snapToGrid w:val="0"/>
              <w:spacing w:beforeLines="50" w:line="360" w:lineRule="auto"/>
              <w:ind w:firstLine="480" w:firstLineChars="200"/>
              <w:rPr>
                <w:bCs/>
                <w:sz w:val="24"/>
              </w:rPr>
            </w:pPr>
            <w:r>
              <w:rPr>
                <w:rFonts w:hint="eastAsia"/>
                <w:bCs/>
                <w:sz w:val="24"/>
              </w:rPr>
              <w:t>项目分两期建设，一期工程规模3万</w:t>
            </w:r>
            <w:r>
              <w:rPr>
                <w:bCs/>
                <w:sz w:val="24"/>
              </w:rPr>
              <w:t>m</w:t>
            </w:r>
            <w:r>
              <w:rPr>
                <w:bCs/>
                <w:sz w:val="24"/>
                <w:vertAlign w:val="superscript"/>
              </w:rPr>
              <w:t>3</w:t>
            </w:r>
            <w:r>
              <w:rPr>
                <w:bCs/>
                <w:sz w:val="24"/>
              </w:rPr>
              <w:t>/d</w:t>
            </w:r>
            <w:r>
              <w:rPr>
                <w:rFonts w:hint="eastAsia"/>
                <w:bCs/>
                <w:sz w:val="24"/>
              </w:rPr>
              <w:t>、二期工程规模7万</w:t>
            </w:r>
            <w:r>
              <w:rPr>
                <w:bCs/>
                <w:sz w:val="24"/>
              </w:rPr>
              <w:t>m</w:t>
            </w:r>
            <w:r>
              <w:rPr>
                <w:bCs/>
                <w:sz w:val="24"/>
                <w:vertAlign w:val="superscript"/>
              </w:rPr>
              <w:t>3</w:t>
            </w:r>
            <w:r>
              <w:rPr>
                <w:bCs/>
                <w:sz w:val="24"/>
              </w:rPr>
              <w:t>/</w:t>
            </w:r>
            <w:r>
              <w:rPr>
                <w:rFonts w:hint="eastAsia"/>
                <w:bCs/>
                <w:sz w:val="24"/>
              </w:rPr>
              <w:t>d。两期工程主要构筑物见表2，主要设备分别见表3、表</w:t>
            </w:r>
            <w:r>
              <w:rPr>
                <w:bCs/>
                <w:sz w:val="24"/>
              </w:rPr>
              <w:t>4</w:t>
            </w:r>
            <w:r>
              <w:rPr>
                <w:rFonts w:hint="eastAsia"/>
                <w:bCs/>
                <w:sz w:val="24"/>
              </w:rPr>
              <w:t>。</w:t>
            </w:r>
          </w:p>
          <w:p>
            <w:pPr>
              <w:adjustRightInd w:val="0"/>
              <w:snapToGrid w:val="0"/>
              <w:spacing w:beforeLines="50" w:line="360" w:lineRule="auto"/>
              <w:jc w:val="center"/>
              <w:rPr>
                <w:b/>
                <w:sz w:val="24"/>
              </w:rPr>
            </w:pPr>
            <w:r>
              <w:rPr>
                <w:rFonts w:hint="eastAsia"/>
                <w:b/>
                <w:sz w:val="24"/>
              </w:rPr>
              <w:t>表</w:t>
            </w:r>
            <w:r>
              <w:rPr>
                <w:b/>
                <w:sz w:val="24"/>
              </w:rPr>
              <w:t xml:space="preserve">2 </w:t>
            </w:r>
            <w:r>
              <w:rPr>
                <w:rFonts w:hint="eastAsia"/>
                <w:b/>
                <w:sz w:val="24"/>
              </w:rPr>
              <w:t>工程主要构筑物一览表</w:t>
            </w:r>
          </w:p>
          <w:tbl>
            <w:tblPr>
              <w:tblStyle w:val="88"/>
              <w:tblW w:w="859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2"/>
              <w:gridCol w:w="1694"/>
              <w:gridCol w:w="1217"/>
              <w:gridCol w:w="1101"/>
              <w:gridCol w:w="1548"/>
              <w:gridCol w:w="20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bookmarkStart w:id="0" w:name="_Hlk51592459"/>
                  <w:r>
                    <w:rPr>
                      <w:color w:val="000000"/>
                      <w:szCs w:val="21"/>
                    </w:rPr>
                    <w:t>序号</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名称</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单位</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数量</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尺寸</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分期建设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取水泵房</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33m×30m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利用原有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滤池</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54m×30m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1期3座，2期5座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3</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清水池</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30m×26m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color w:val="000000"/>
                      <w:szCs w:val="21"/>
                    </w:rPr>
                    <w:t>1</w:t>
                  </w:r>
                  <w:r>
                    <w:rPr>
                      <w:rFonts w:hint="eastAsia"/>
                      <w:color w:val="000000"/>
                      <w:szCs w:val="21"/>
                    </w:rPr>
                    <w:t>期1座，2期1座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4</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预处理泵房</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36m×12m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color w:val="000000"/>
                      <w:szCs w:val="21"/>
                    </w:rPr>
                    <w:t>1</w:t>
                  </w:r>
                  <w:r>
                    <w:rPr>
                      <w:rFonts w:hint="eastAsia"/>
                      <w:color w:val="000000"/>
                      <w:szCs w:val="21"/>
                    </w:rPr>
                    <w:t>期1座，2期1座和主厂房合建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5</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鼓风机房</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21m×12m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color w:val="000000"/>
                      <w:szCs w:val="21"/>
                    </w:rPr>
                    <w:t>1</w:t>
                  </w:r>
                  <w:r>
                    <w:rPr>
                      <w:rFonts w:hint="eastAsia"/>
                      <w:color w:val="000000"/>
                      <w:szCs w:val="21"/>
                    </w:rPr>
                    <w:t>期1座，2期1座和主厂房合建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6</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预处理加药间</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27m×15m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color w:val="000000"/>
                      <w:szCs w:val="21"/>
                    </w:rPr>
                    <w:t>1</w:t>
                  </w:r>
                  <w:r>
                    <w:rPr>
                      <w:rFonts w:hint="eastAsia"/>
                      <w:color w:val="000000"/>
                      <w:szCs w:val="21"/>
                    </w:rPr>
                    <w:t>期1座，2期1座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7</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主厂房</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78m×22m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color w:val="000000"/>
                      <w:szCs w:val="21"/>
                    </w:rPr>
                    <w:t>1</w:t>
                  </w:r>
                  <w:r>
                    <w:rPr>
                      <w:rFonts w:hint="eastAsia"/>
                      <w:color w:val="000000"/>
                      <w:szCs w:val="21"/>
                    </w:rPr>
                    <w:t>期1座，2期1座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8</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rFonts w:hint="eastAsia"/>
                      <w:color w:val="000000"/>
                      <w:szCs w:val="21"/>
                    </w:rPr>
                    <w:t>超滤</w:t>
                  </w:r>
                  <w:r>
                    <w:rPr>
                      <w:color w:val="000000"/>
                      <w:szCs w:val="21"/>
                    </w:rPr>
                    <w:t>水</w:t>
                  </w:r>
                  <w:r>
                    <w:rPr>
                      <w:rFonts w:hint="eastAsia"/>
                      <w:color w:val="000000"/>
                      <w:szCs w:val="21"/>
                    </w:rPr>
                    <w:t>箱</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rFonts w:hint="eastAsia" w:ascii="MS Mincho" w:hAnsi="MS Mincho" w:eastAsia="MS Mincho" w:cs="MS Mincho"/>
                      <w:color w:val="000000"/>
                      <w:szCs w:val="21"/>
                    </w:rPr>
                    <w:t>∅</w:t>
                  </w:r>
                  <w:r>
                    <w:rPr>
                      <w:rFonts w:hint="eastAsia"/>
                      <w:color w:val="000000"/>
                      <w:szCs w:val="21"/>
                    </w:rPr>
                    <w:t>11</w:t>
                  </w:r>
                  <w:r>
                    <w:rPr>
                      <w:color w:val="000000"/>
                      <w:szCs w:val="21"/>
                    </w:rPr>
                    <w:t>m×</w:t>
                  </w:r>
                  <w:r>
                    <w:rPr>
                      <w:rFonts w:hint="eastAsia"/>
                      <w:color w:val="000000"/>
                      <w:szCs w:val="21"/>
                    </w:rPr>
                    <w:t>12m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color w:val="000000"/>
                      <w:szCs w:val="21"/>
                    </w:rPr>
                    <w:t>1</w:t>
                  </w:r>
                  <w:r>
                    <w:rPr>
                      <w:rFonts w:hint="eastAsia"/>
                      <w:color w:val="000000"/>
                      <w:szCs w:val="21"/>
                    </w:rPr>
                    <w:t>期2座，2期2座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9</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rFonts w:hint="eastAsia"/>
                      <w:color w:val="000000"/>
                      <w:szCs w:val="21"/>
                    </w:rPr>
                    <w:t>海水反渗透</w:t>
                  </w:r>
                  <w:r>
                    <w:rPr>
                      <w:color w:val="000000"/>
                      <w:szCs w:val="21"/>
                    </w:rPr>
                    <w:t>给水泵房</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42m×9m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color w:val="000000"/>
                      <w:szCs w:val="21"/>
                    </w:rPr>
                    <w:t>1</w:t>
                  </w:r>
                  <w:r>
                    <w:rPr>
                      <w:rFonts w:hint="eastAsia"/>
                      <w:color w:val="000000"/>
                      <w:szCs w:val="21"/>
                    </w:rPr>
                    <w:t>期1座，2期1座和主厂房合建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10</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rFonts w:hint="eastAsia"/>
                      <w:color w:val="000000"/>
                      <w:szCs w:val="21"/>
                    </w:rPr>
                    <w:t>缓冲水箱</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rFonts w:hint="eastAsia" w:ascii="MS Mincho" w:hAnsi="MS Mincho" w:eastAsia="MS Mincho" w:cs="MS Mincho"/>
                      <w:color w:val="000000"/>
                      <w:szCs w:val="21"/>
                    </w:rPr>
                    <w:t>∅</w:t>
                  </w:r>
                  <w:r>
                    <w:rPr>
                      <w:rFonts w:hint="eastAsia"/>
                      <w:color w:val="000000"/>
                      <w:szCs w:val="21"/>
                    </w:rPr>
                    <w:t>9.5</w:t>
                  </w:r>
                  <w:r>
                    <w:rPr>
                      <w:color w:val="000000"/>
                      <w:szCs w:val="21"/>
                    </w:rPr>
                    <w:t>m×</w:t>
                  </w:r>
                  <w:r>
                    <w:rPr>
                      <w:rFonts w:hint="eastAsia"/>
                      <w:color w:val="000000"/>
                      <w:szCs w:val="21"/>
                    </w:rPr>
                    <w:t>12m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color w:val="000000"/>
                      <w:szCs w:val="21"/>
                    </w:rPr>
                    <w:t>1</w:t>
                  </w:r>
                  <w:r>
                    <w:rPr>
                      <w:rFonts w:hint="eastAsia"/>
                      <w:color w:val="000000"/>
                      <w:szCs w:val="21"/>
                    </w:rPr>
                    <w:t>期2座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11</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产</w:t>
                  </w:r>
                  <w:r>
                    <w:rPr>
                      <w:rFonts w:hint="eastAsia"/>
                      <w:color w:val="000000"/>
                      <w:szCs w:val="21"/>
                    </w:rPr>
                    <w:t>品</w:t>
                  </w:r>
                  <w:r>
                    <w:rPr>
                      <w:color w:val="000000"/>
                      <w:szCs w:val="21"/>
                    </w:rPr>
                    <w:t>水池</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40m×20m×5</w:t>
                  </w:r>
                  <w:r>
                    <w:rPr>
                      <w:rFonts w:hint="eastAsia"/>
                      <w:color w:val="000000"/>
                      <w:szCs w:val="21"/>
                    </w:rPr>
                    <w:t>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1期建成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12</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产水输送泵房</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w:t>
                  </w:r>
                  <w:r>
                    <w:rPr>
                      <w:rFonts w:hint="eastAsia"/>
                      <w:color w:val="000000"/>
                      <w:szCs w:val="21"/>
                    </w:rPr>
                    <w:t>8.5</w:t>
                  </w:r>
                  <w:r>
                    <w:rPr>
                      <w:color w:val="000000"/>
                      <w:szCs w:val="21"/>
                    </w:rPr>
                    <w:t>m×</w:t>
                  </w:r>
                  <w:r>
                    <w:rPr>
                      <w:rFonts w:hint="eastAsia"/>
                      <w:color w:val="000000"/>
                      <w:szCs w:val="21"/>
                    </w:rPr>
                    <w:t>20</w:t>
                  </w:r>
                  <w:r>
                    <w:rPr>
                      <w:color w:val="000000"/>
                      <w:szCs w:val="21"/>
                    </w:rPr>
                    <w:t>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1期建成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13</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反渗透加药间</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20m×13m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color w:val="000000"/>
                      <w:szCs w:val="21"/>
                    </w:rPr>
                    <w:t>1</w:t>
                  </w:r>
                  <w:r>
                    <w:rPr>
                      <w:rFonts w:hint="eastAsia"/>
                      <w:color w:val="000000"/>
                      <w:szCs w:val="21"/>
                    </w:rPr>
                    <w:t>期1座，2期1座和主厂房合建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14</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空压机房</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13m×12m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2期建成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15</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中和池</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18m×12m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利用原有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16</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总变电站</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30m×15m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1期建成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17</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分配电站</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20m×13m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1期建成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18</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排泥池</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12m×10m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1期建成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19</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浓缩池</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rFonts w:hint="eastAsia" w:ascii="MS Mincho" w:hAnsi="MS Mincho" w:eastAsia="MS Mincho" w:cs="MS Mincho"/>
                      <w:color w:val="000000"/>
                      <w:szCs w:val="21"/>
                    </w:rPr>
                    <w:t>∅</w:t>
                  </w:r>
                  <w:r>
                    <w:rPr>
                      <w:color w:val="000000"/>
                      <w:szCs w:val="21"/>
                    </w:rPr>
                    <w:t>12m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利用原有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1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20</w:t>
                  </w:r>
                </w:p>
              </w:tc>
              <w:tc>
                <w:tcPr>
                  <w:tcW w:w="169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脱水车间</w:t>
                  </w:r>
                </w:p>
              </w:tc>
              <w:tc>
                <w:tcPr>
                  <w:tcW w:w="121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座</w:t>
                  </w:r>
                </w:p>
              </w:tc>
              <w:tc>
                <w:tcPr>
                  <w:tcW w:w="110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w:t>
                  </w:r>
                </w:p>
              </w:tc>
              <w:tc>
                <w:tcPr>
                  <w:tcW w:w="1548"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color w:val="000000"/>
                      <w:szCs w:val="21"/>
                    </w:rPr>
                  </w:pPr>
                  <w:r>
                    <w:rPr>
                      <w:color w:val="000000"/>
                      <w:szCs w:val="21"/>
                    </w:rPr>
                    <w:t>15m×9m</w:t>
                  </w:r>
                </w:p>
              </w:tc>
              <w:tc>
                <w:tcPr>
                  <w:tcW w:w="2026" w:type="dxa"/>
                  <w:tcBorders>
                    <w:top w:val="single" w:color="auto" w:sz="4" w:space="0"/>
                    <w:left w:val="single" w:color="auto" w:sz="4" w:space="0"/>
                    <w:bottom w:val="single" w:color="auto" w:sz="4" w:space="0"/>
                    <w:right w:val="single" w:color="auto" w:sz="4" w:space="0"/>
                  </w:tcBorders>
                </w:tcPr>
                <w:p>
                  <w:pPr>
                    <w:jc w:val="center"/>
                    <w:rPr>
                      <w:color w:val="000000"/>
                      <w:szCs w:val="21"/>
                    </w:rPr>
                  </w:pPr>
                  <w:r>
                    <w:rPr>
                      <w:rFonts w:hint="eastAsia"/>
                      <w:color w:val="000000"/>
                      <w:szCs w:val="21"/>
                    </w:rPr>
                    <w:t>1期建成</w:t>
                  </w:r>
                </w:p>
              </w:tc>
            </w:tr>
          </w:tbl>
          <w:p>
            <w:pPr>
              <w:jc w:val="center"/>
              <w:rPr>
                <w:b/>
                <w:bCs/>
                <w:szCs w:val="21"/>
              </w:rPr>
            </w:pPr>
            <w:r>
              <w:rPr>
                <w:rFonts w:hint="eastAsia"/>
                <w:b/>
                <w:bCs/>
                <w:szCs w:val="21"/>
              </w:rPr>
              <w:t>表3</w:t>
            </w:r>
            <w:r>
              <w:rPr>
                <w:b/>
                <w:bCs/>
                <w:szCs w:val="21"/>
              </w:rPr>
              <w:t xml:space="preserve"> </w:t>
            </w:r>
            <w:r>
              <w:rPr>
                <w:rFonts w:hint="eastAsia"/>
                <w:b/>
                <w:bCs/>
                <w:szCs w:val="21"/>
              </w:rPr>
              <w:t>一期主要设备一览表（</w:t>
            </w:r>
            <w:r>
              <w:rPr>
                <w:b/>
                <w:bCs/>
                <w:szCs w:val="21"/>
              </w:rPr>
              <w:t>3</w:t>
            </w:r>
            <w:r>
              <w:rPr>
                <w:rFonts w:hint="eastAsia"/>
                <w:b/>
                <w:bCs/>
                <w:szCs w:val="21"/>
              </w:rPr>
              <w:t>万m</w:t>
            </w:r>
            <w:r>
              <w:rPr>
                <w:b/>
                <w:bCs/>
                <w:szCs w:val="21"/>
                <w:vertAlign w:val="superscript"/>
              </w:rPr>
              <w:t>3</w:t>
            </w:r>
            <w:r>
              <w:rPr>
                <w:b/>
                <w:bCs/>
                <w:szCs w:val="21"/>
              </w:rPr>
              <w:t>/d</w:t>
            </w:r>
            <w:r>
              <w:rPr>
                <w:rFonts w:hint="eastAsia"/>
                <w:b/>
                <w:bCs/>
                <w:szCs w:val="21"/>
              </w:rPr>
              <w:t>）</w:t>
            </w:r>
          </w:p>
          <w:bookmarkEnd w:id="0"/>
          <w:tbl>
            <w:tblPr>
              <w:tblStyle w:val="88"/>
              <w:tblW w:w="809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2785"/>
              <w:gridCol w:w="929"/>
              <w:gridCol w:w="875"/>
              <w:gridCol w:w="1607"/>
              <w:gridCol w:w="1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jc w:val="center"/>
              </w:trPr>
              <w:tc>
                <w:tcPr>
                  <w:tcW w:w="730" w:type="dxa"/>
                  <w:vMerge w:val="restart"/>
                  <w:shd w:val="clear" w:color="auto" w:fill="auto"/>
                  <w:vAlign w:val="center"/>
                </w:tcPr>
                <w:p>
                  <w:pPr>
                    <w:widowControl/>
                    <w:jc w:val="center"/>
                    <w:rPr>
                      <w:color w:val="000000"/>
                      <w:kern w:val="0"/>
                      <w:szCs w:val="21"/>
                    </w:rPr>
                  </w:pPr>
                  <w:r>
                    <w:rPr>
                      <w:color w:val="000000"/>
                      <w:kern w:val="0"/>
                      <w:szCs w:val="21"/>
                    </w:rPr>
                    <w:t>序号</w:t>
                  </w:r>
                </w:p>
              </w:tc>
              <w:tc>
                <w:tcPr>
                  <w:tcW w:w="2785" w:type="dxa"/>
                  <w:vMerge w:val="restart"/>
                  <w:shd w:val="clear" w:color="auto" w:fill="auto"/>
                  <w:vAlign w:val="center"/>
                </w:tcPr>
                <w:p>
                  <w:pPr>
                    <w:widowControl/>
                    <w:jc w:val="center"/>
                    <w:rPr>
                      <w:color w:val="000000"/>
                      <w:kern w:val="0"/>
                      <w:szCs w:val="21"/>
                    </w:rPr>
                  </w:pPr>
                  <w:r>
                    <w:rPr>
                      <w:color w:val="000000"/>
                      <w:kern w:val="0"/>
                      <w:szCs w:val="21"/>
                    </w:rPr>
                    <w:t>名称</w:t>
                  </w:r>
                </w:p>
              </w:tc>
              <w:tc>
                <w:tcPr>
                  <w:tcW w:w="3411" w:type="dxa"/>
                  <w:gridSpan w:val="3"/>
                  <w:shd w:val="clear" w:color="auto" w:fill="auto"/>
                  <w:vAlign w:val="center"/>
                </w:tcPr>
                <w:p>
                  <w:pPr>
                    <w:widowControl/>
                    <w:jc w:val="center"/>
                    <w:rPr>
                      <w:color w:val="000000"/>
                      <w:kern w:val="0"/>
                      <w:szCs w:val="21"/>
                    </w:rPr>
                  </w:pPr>
                  <w:r>
                    <w:rPr>
                      <w:color w:val="000000"/>
                      <w:kern w:val="0"/>
                      <w:szCs w:val="21"/>
                    </w:rPr>
                    <w:t>设备具体参数</w:t>
                  </w:r>
                </w:p>
              </w:tc>
              <w:tc>
                <w:tcPr>
                  <w:tcW w:w="1165" w:type="dxa"/>
                  <w:vMerge w:val="restart"/>
                  <w:vAlign w:val="center"/>
                </w:tcPr>
                <w:p>
                  <w:pPr>
                    <w:widowControl/>
                    <w:jc w:val="center"/>
                    <w:rPr>
                      <w:color w:val="000000"/>
                      <w:kern w:val="0"/>
                      <w:szCs w:val="21"/>
                    </w:rPr>
                  </w:pPr>
                  <w:r>
                    <w:rPr>
                      <w:color w:val="000000"/>
                      <w:kern w:val="0"/>
                      <w:szCs w:val="21"/>
                    </w:rPr>
                    <w:t>运行数量(台)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jc w:val="center"/>
              </w:trPr>
              <w:tc>
                <w:tcPr>
                  <w:tcW w:w="730" w:type="dxa"/>
                  <w:vMerge w:val="continue"/>
                  <w:shd w:val="clear" w:color="auto" w:fill="auto"/>
                  <w:vAlign w:val="center"/>
                </w:tcPr>
                <w:p>
                  <w:pPr>
                    <w:widowControl/>
                    <w:jc w:val="left"/>
                    <w:rPr>
                      <w:color w:val="000000"/>
                      <w:kern w:val="0"/>
                      <w:szCs w:val="21"/>
                    </w:rPr>
                  </w:pPr>
                </w:p>
              </w:tc>
              <w:tc>
                <w:tcPr>
                  <w:tcW w:w="2785" w:type="dxa"/>
                  <w:vMerge w:val="continue"/>
                  <w:shd w:val="clear" w:color="auto" w:fill="auto"/>
                  <w:vAlign w:val="center"/>
                </w:tcPr>
                <w:p>
                  <w:pPr>
                    <w:widowControl/>
                    <w:jc w:val="left"/>
                    <w:rPr>
                      <w:color w:val="000000"/>
                      <w:kern w:val="0"/>
                      <w:szCs w:val="21"/>
                    </w:rPr>
                  </w:pPr>
                </w:p>
              </w:tc>
              <w:tc>
                <w:tcPr>
                  <w:tcW w:w="929" w:type="dxa"/>
                  <w:shd w:val="clear" w:color="auto" w:fill="auto"/>
                  <w:vAlign w:val="center"/>
                </w:tcPr>
                <w:p>
                  <w:pPr>
                    <w:widowControl/>
                    <w:jc w:val="center"/>
                    <w:rPr>
                      <w:color w:val="000000"/>
                      <w:kern w:val="0"/>
                      <w:szCs w:val="21"/>
                    </w:rPr>
                  </w:pPr>
                  <w:r>
                    <w:rPr>
                      <w:color w:val="000000"/>
                      <w:kern w:val="0"/>
                      <w:szCs w:val="21"/>
                    </w:rPr>
                    <w:t>流量(m</w:t>
                  </w:r>
                  <w:r>
                    <w:rPr>
                      <w:color w:val="000000"/>
                      <w:kern w:val="0"/>
                      <w:szCs w:val="21"/>
                      <w:vertAlign w:val="superscript"/>
                    </w:rPr>
                    <w:t>3</w:t>
                  </w:r>
                  <w:r>
                    <w:rPr>
                      <w:color w:val="000000"/>
                      <w:kern w:val="0"/>
                      <w:szCs w:val="21"/>
                    </w:rPr>
                    <w:t>/h)</w:t>
                  </w:r>
                </w:p>
              </w:tc>
              <w:tc>
                <w:tcPr>
                  <w:tcW w:w="875" w:type="dxa"/>
                  <w:shd w:val="clear" w:color="auto" w:fill="auto"/>
                  <w:vAlign w:val="center"/>
                </w:tcPr>
                <w:p>
                  <w:pPr>
                    <w:widowControl/>
                    <w:jc w:val="center"/>
                    <w:rPr>
                      <w:color w:val="000000"/>
                      <w:kern w:val="0"/>
                      <w:szCs w:val="21"/>
                    </w:rPr>
                  </w:pPr>
                  <w:r>
                    <w:rPr>
                      <w:color w:val="000000"/>
                      <w:kern w:val="0"/>
                      <w:szCs w:val="21"/>
                    </w:rPr>
                    <w:t>扬程(m)</w:t>
                  </w:r>
                </w:p>
              </w:tc>
              <w:tc>
                <w:tcPr>
                  <w:tcW w:w="1607" w:type="dxa"/>
                  <w:shd w:val="clear" w:color="auto" w:fill="auto"/>
                  <w:vAlign w:val="center"/>
                </w:tcPr>
                <w:p>
                  <w:pPr>
                    <w:widowControl/>
                    <w:jc w:val="center"/>
                    <w:rPr>
                      <w:color w:val="000000"/>
                      <w:kern w:val="0"/>
                      <w:szCs w:val="21"/>
                    </w:rPr>
                  </w:pPr>
                  <w:r>
                    <w:rPr>
                      <w:color w:val="000000"/>
                      <w:kern w:val="0"/>
                      <w:szCs w:val="21"/>
                    </w:rPr>
                    <w:t>计算单机运行功率（kW）</w:t>
                  </w:r>
                </w:p>
              </w:tc>
              <w:tc>
                <w:tcPr>
                  <w:tcW w:w="1165" w:type="dxa"/>
                  <w:vMerge w:val="continue"/>
                  <w:vAlign w:val="center"/>
                </w:tcPr>
                <w:p>
                  <w:pPr>
                    <w:widowControl/>
                    <w:jc w:val="left"/>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一</w:t>
                  </w:r>
                </w:p>
              </w:tc>
              <w:tc>
                <w:tcPr>
                  <w:tcW w:w="2785" w:type="dxa"/>
                  <w:shd w:val="clear" w:color="auto" w:fill="auto"/>
                  <w:vAlign w:val="center"/>
                </w:tcPr>
                <w:p>
                  <w:pPr>
                    <w:widowControl/>
                    <w:jc w:val="center"/>
                    <w:rPr>
                      <w:color w:val="000000"/>
                      <w:kern w:val="0"/>
                      <w:szCs w:val="21"/>
                    </w:rPr>
                  </w:pPr>
                  <w:r>
                    <w:rPr>
                      <w:color w:val="000000"/>
                      <w:kern w:val="0"/>
                      <w:szCs w:val="21"/>
                    </w:rPr>
                    <w:t>取水系统</w:t>
                  </w:r>
                </w:p>
              </w:tc>
              <w:tc>
                <w:tcPr>
                  <w:tcW w:w="929" w:type="dxa"/>
                  <w:shd w:val="clear" w:color="auto" w:fill="auto"/>
                  <w:vAlign w:val="center"/>
                </w:tcPr>
                <w:p>
                  <w:pPr>
                    <w:widowControl/>
                    <w:jc w:val="center"/>
                    <w:rPr>
                      <w:color w:val="000000"/>
                      <w:kern w:val="0"/>
                      <w:szCs w:val="21"/>
                    </w:rPr>
                  </w:pPr>
                </w:p>
              </w:tc>
              <w:tc>
                <w:tcPr>
                  <w:tcW w:w="875" w:type="dxa"/>
                  <w:shd w:val="clear" w:color="auto" w:fill="auto"/>
                  <w:vAlign w:val="center"/>
                </w:tcPr>
                <w:p>
                  <w:pPr>
                    <w:widowControl/>
                    <w:jc w:val="center"/>
                    <w:rPr>
                      <w:color w:val="000000"/>
                      <w:kern w:val="0"/>
                      <w:szCs w:val="21"/>
                    </w:rPr>
                  </w:pPr>
                </w:p>
              </w:tc>
              <w:tc>
                <w:tcPr>
                  <w:tcW w:w="1607" w:type="dxa"/>
                  <w:shd w:val="clear" w:color="auto" w:fill="auto"/>
                  <w:vAlign w:val="center"/>
                </w:tcPr>
                <w:p>
                  <w:pPr>
                    <w:widowControl/>
                    <w:jc w:val="center"/>
                    <w:rPr>
                      <w:color w:val="000000"/>
                      <w:kern w:val="0"/>
                      <w:szCs w:val="21"/>
                    </w:rPr>
                  </w:pPr>
                </w:p>
              </w:tc>
              <w:tc>
                <w:tcPr>
                  <w:tcW w:w="1165"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w:t>
                  </w:r>
                </w:p>
              </w:tc>
              <w:tc>
                <w:tcPr>
                  <w:tcW w:w="2785" w:type="dxa"/>
                  <w:shd w:val="clear" w:color="auto" w:fill="auto"/>
                  <w:vAlign w:val="center"/>
                </w:tcPr>
                <w:p>
                  <w:pPr>
                    <w:widowControl/>
                    <w:jc w:val="center"/>
                    <w:rPr>
                      <w:color w:val="000000"/>
                      <w:kern w:val="0"/>
                      <w:szCs w:val="21"/>
                    </w:rPr>
                  </w:pPr>
                  <w:r>
                    <w:rPr>
                      <w:color w:val="000000"/>
                      <w:kern w:val="0"/>
                      <w:szCs w:val="21"/>
                    </w:rPr>
                    <w:t>取水泵</w:t>
                  </w:r>
                </w:p>
              </w:tc>
              <w:tc>
                <w:tcPr>
                  <w:tcW w:w="929" w:type="dxa"/>
                  <w:shd w:val="clear" w:color="auto" w:fill="auto"/>
                  <w:noWrap/>
                  <w:vAlign w:val="center"/>
                </w:tcPr>
                <w:p>
                  <w:pPr>
                    <w:widowControl/>
                    <w:jc w:val="center"/>
                    <w:rPr>
                      <w:color w:val="000000"/>
                      <w:kern w:val="0"/>
                      <w:szCs w:val="21"/>
                    </w:rPr>
                  </w:pPr>
                  <w:r>
                    <w:rPr>
                      <w:color w:val="000000"/>
                      <w:kern w:val="0"/>
                      <w:szCs w:val="21"/>
                    </w:rPr>
                    <w:t>4000</w:t>
                  </w:r>
                </w:p>
              </w:tc>
              <w:tc>
                <w:tcPr>
                  <w:tcW w:w="875" w:type="dxa"/>
                  <w:shd w:val="clear" w:color="auto" w:fill="auto"/>
                  <w:noWrap/>
                  <w:vAlign w:val="center"/>
                </w:tcPr>
                <w:p>
                  <w:pPr>
                    <w:widowControl/>
                    <w:jc w:val="center"/>
                    <w:rPr>
                      <w:color w:val="000000"/>
                      <w:kern w:val="0"/>
                      <w:szCs w:val="21"/>
                    </w:rPr>
                  </w:pPr>
                  <w:r>
                    <w:rPr>
                      <w:color w:val="000000"/>
                      <w:kern w:val="0"/>
                      <w:szCs w:val="21"/>
                    </w:rPr>
                    <w:t>20</w:t>
                  </w:r>
                </w:p>
              </w:tc>
              <w:tc>
                <w:tcPr>
                  <w:tcW w:w="1607" w:type="dxa"/>
                  <w:shd w:val="clear" w:color="auto" w:fill="auto"/>
                  <w:noWrap/>
                  <w:vAlign w:val="center"/>
                </w:tcPr>
                <w:p>
                  <w:pPr>
                    <w:widowControl/>
                    <w:jc w:val="center"/>
                    <w:rPr>
                      <w:color w:val="000000"/>
                      <w:kern w:val="0"/>
                      <w:szCs w:val="21"/>
                    </w:rPr>
                  </w:pPr>
                  <w:r>
                    <w:rPr>
                      <w:color w:val="000000"/>
                      <w:kern w:val="0"/>
                      <w:szCs w:val="21"/>
                    </w:rPr>
                    <w:t>355</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二</w:t>
                  </w:r>
                </w:p>
              </w:tc>
              <w:tc>
                <w:tcPr>
                  <w:tcW w:w="2785" w:type="dxa"/>
                  <w:shd w:val="clear" w:color="auto" w:fill="auto"/>
                  <w:vAlign w:val="center"/>
                </w:tcPr>
                <w:p>
                  <w:pPr>
                    <w:widowControl/>
                    <w:jc w:val="center"/>
                    <w:rPr>
                      <w:color w:val="000000"/>
                      <w:kern w:val="0"/>
                      <w:szCs w:val="21"/>
                    </w:rPr>
                  </w:pPr>
                  <w:r>
                    <w:rPr>
                      <w:color w:val="000000"/>
                      <w:kern w:val="0"/>
                      <w:szCs w:val="21"/>
                    </w:rPr>
                    <w:t>初步预处理</w:t>
                  </w:r>
                </w:p>
              </w:tc>
              <w:tc>
                <w:tcPr>
                  <w:tcW w:w="929" w:type="dxa"/>
                  <w:shd w:val="clear" w:color="auto" w:fill="auto"/>
                  <w:noWrap/>
                  <w:vAlign w:val="center"/>
                </w:tcPr>
                <w:p>
                  <w:pPr>
                    <w:widowControl/>
                    <w:jc w:val="center"/>
                    <w:rPr>
                      <w:color w:val="000000"/>
                      <w:kern w:val="0"/>
                      <w:szCs w:val="21"/>
                    </w:rPr>
                  </w:pPr>
                </w:p>
              </w:tc>
              <w:tc>
                <w:tcPr>
                  <w:tcW w:w="875" w:type="dxa"/>
                  <w:shd w:val="clear" w:color="auto" w:fill="auto"/>
                  <w:noWrap/>
                  <w:vAlign w:val="center"/>
                </w:tcPr>
                <w:p>
                  <w:pPr>
                    <w:widowControl/>
                    <w:jc w:val="center"/>
                    <w:rPr>
                      <w:color w:val="000000"/>
                      <w:kern w:val="0"/>
                      <w:szCs w:val="21"/>
                    </w:rPr>
                  </w:pPr>
                </w:p>
              </w:tc>
              <w:tc>
                <w:tcPr>
                  <w:tcW w:w="1607" w:type="dxa"/>
                  <w:shd w:val="clear" w:color="auto" w:fill="auto"/>
                  <w:noWrap/>
                  <w:vAlign w:val="center"/>
                </w:tcPr>
                <w:p>
                  <w:pPr>
                    <w:widowControl/>
                    <w:jc w:val="center"/>
                    <w:rPr>
                      <w:color w:val="000000"/>
                      <w:kern w:val="0"/>
                      <w:szCs w:val="21"/>
                    </w:rPr>
                  </w:pPr>
                </w:p>
              </w:tc>
              <w:tc>
                <w:tcPr>
                  <w:tcW w:w="1165"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2</w:t>
                  </w:r>
                </w:p>
              </w:tc>
              <w:tc>
                <w:tcPr>
                  <w:tcW w:w="2785" w:type="dxa"/>
                  <w:shd w:val="clear" w:color="auto" w:fill="auto"/>
                  <w:vAlign w:val="center"/>
                </w:tcPr>
                <w:p>
                  <w:pPr>
                    <w:widowControl/>
                    <w:jc w:val="center"/>
                    <w:rPr>
                      <w:color w:val="000000"/>
                      <w:kern w:val="0"/>
                      <w:szCs w:val="21"/>
                    </w:rPr>
                  </w:pPr>
                  <w:r>
                    <w:rPr>
                      <w:rFonts w:hint="eastAsia"/>
                      <w:color w:val="000000"/>
                      <w:kern w:val="0"/>
                      <w:szCs w:val="21"/>
                    </w:rPr>
                    <w:t>污泥池</w:t>
                  </w:r>
                  <w:r>
                    <w:rPr>
                      <w:color w:val="000000"/>
                      <w:kern w:val="0"/>
                      <w:szCs w:val="21"/>
                    </w:rPr>
                    <w:t>排泥泵</w:t>
                  </w:r>
                </w:p>
              </w:tc>
              <w:tc>
                <w:tcPr>
                  <w:tcW w:w="929" w:type="dxa"/>
                  <w:shd w:val="clear" w:color="auto" w:fill="auto"/>
                  <w:noWrap/>
                  <w:vAlign w:val="center"/>
                </w:tcPr>
                <w:p>
                  <w:pPr>
                    <w:widowControl/>
                    <w:jc w:val="center"/>
                    <w:rPr>
                      <w:color w:val="000000"/>
                      <w:kern w:val="0"/>
                      <w:szCs w:val="21"/>
                    </w:rPr>
                  </w:pPr>
                  <w:r>
                    <w:rPr>
                      <w:color w:val="000000"/>
                      <w:kern w:val="0"/>
                      <w:szCs w:val="21"/>
                    </w:rPr>
                    <w:t>30</w:t>
                  </w:r>
                </w:p>
              </w:tc>
              <w:tc>
                <w:tcPr>
                  <w:tcW w:w="875" w:type="dxa"/>
                  <w:shd w:val="clear" w:color="auto" w:fill="auto"/>
                  <w:noWrap/>
                  <w:vAlign w:val="center"/>
                </w:tcPr>
                <w:p>
                  <w:pPr>
                    <w:widowControl/>
                    <w:jc w:val="center"/>
                    <w:rPr>
                      <w:color w:val="000000"/>
                      <w:kern w:val="0"/>
                      <w:szCs w:val="21"/>
                    </w:rPr>
                  </w:pPr>
                  <w:r>
                    <w:rPr>
                      <w:color w:val="000000"/>
                      <w:kern w:val="0"/>
                      <w:szCs w:val="21"/>
                    </w:rPr>
                    <w:t>30</w:t>
                  </w:r>
                </w:p>
              </w:tc>
              <w:tc>
                <w:tcPr>
                  <w:tcW w:w="1607" w:type="dxa"/>
                  <w:shd w:val="clear" w:color="auto" w:fill="auto"/>
                  <w:noWrap/>
                  <w:vAlign w:val="center"/>
                </w:tcPr>
                <w:p>
                  <w:pPr>
                    <w:widowControl/>
                    <w:jc w:val="center"/>
                    <w:rPr>
                      <w:color w:val="000000"/>
                      <w:kern w:val="0"/>
                      <w:szCs w:val="21"/>
                    </w:rPr>
                  </w:pPr>
                  <w:r>
                    <w:rPr>
                      <w:color w:val="000000"/>
                      <w:kern w:val="0"/>
                      <w:szCs w:val="21"/>
                    </w:rPr>
                    <w:t>7.5</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3</w:t>
                  </w:r>
                </w:p>
              </w:tc>
              <w:tc>
                <w:tcPr>
                  <w:tcW w:w="2785" w:type="dxa"/>
                  <w:shd w:val="clear" w:color="auto" w:fill="auto"/>
                  <w:vAlign w:val="center"/>
                </w:tcPr>
                <w:p>
                  <w:pPr>
                    <w:widowControl/>
                    <w:jc w:val="center"/>
                    <w:rPr>
                      <w:color w:val="000000"/>
                      <w:kern w:val="0"/>
                      <w:szCs w:val="21"/>
                    </w:rPr>
                  </w:pPr>
                  <w:r>
                    <w:rPr>
                      <w:color w:val="000000"/>
                      <w:kern w:val="0"/>
                      <w:szCs w:val="21"/>
                    </w:rPr>
                    <w:t>滤池反洗泵</w:t>
                  </w:r>
                </w:p>
              </w:tc>
              <w:tc>
                <w:tcPr>
                  <w:tcW w:w="929" w:type="dxa"/>
                  <w:shd w:val="clear" w:color="auto" w:fill="auto"/>
                  <w:noWrap/>
                  <w:vAlign w:val="center"/>
                </w:tcPr>
                <w:p>
                  <w:pPr>
                    <w:widowControl/>
                    <w:jc w:val="center"/>
                    <w:rPr>
                      <w:color w:val="000000"/>
                      <w:kern w:val="0"/>
                      <w:szCs w:val="21"/>
                    </w:rPr>
                  </w:pPr>
                  <w:r>
                    <w:rPr>
                      <w:color w:val="000000"/>
                      <w:kern w:val="0"/>
                      <w:szCs w:val="21"/>
                    </w:rPr>
                    <w:t>1300</w:t>
                  </w:r>
                </w:p>
              </w:tc>
              <w:tc>
                <w:tcPr>
                  <w:tcW w:w="875" w:type="dxa"/>
                  <w:shd w:val="clear" w:color="auto" w:fill="auto"/>
                  <w:noWrap/>
                  <w:vAlign w:val="center"/>
                </w:tcPr>
                <w:p>
                  <w:pPr>
                    <w:widowControl/>
                    <w:jc w:val="center"/>
                    <w:rPr>
                      <w:color w:val="000000"/>
                      <w:kern w:val="0"/>
                      <w:szCs w:val="21"/>
                    </w:rPr>
                  </w:pPr>
                  <w:r>
                    <w:rPr>
                      <w:color w:val="000000"/>
                      <w:kern w:val="0"/>
                      <w:szCs w:val="21"/>
                    </w:rPr>
                    <w:t>20</w:t>
                  </w:r>
                </w:p>
              </w:tc>
              <w:tc>
                <w:tcPr>
                  <w:tcW w:w="1607" w:type="dxa"/>
                  <w:shd w:val="clear" w:color="auto" w:fill="auto"/>
                  <w:noWrap/>
                  <w:vAlign w:val="center"/>
                </w:tcPr>
                <w:p>
                  <w:pPr>
                    <w:widowControl/>
                    <w:jc w:val="center"/>
                    <w:rPr>
                      <w:color w:val="000000"/>
                      <w:kern w:val="0"/>
                      <w:szCs w:val="21"/>
                    </w:rPr>
                  </w:pPr>
                  <w:r>
                    <w:rPr>
                      <w:color w:val="000000"/>
                      <w:kern w:val="0"/>
                      <w:szCs w:val="21"/>
                    </w:rPr>
                    <w:t>160</w:t>
                  </w:r>
                </w:p>
              </w:tc>
              <w:tc>
                <w:tcPr>
                  <w:tcW w:w="1165" w:type="dxa"/>
                  <w:vAlign w:val="center"/>
                </w:tcPr>
                <w:p>
                  <w:pPr>
                    <w:widowControl/>
                    <w:jc w:val="center"/>
                    <w:rPr>
                      <w:color w:val="000000"/>
                      <w:kern w:val="0"/>
                      <w:szCs w:val="21"/>
                    </w:rPr>
                  </w:pPr>
                  <w:r>
                    <w:rPr>
                      <w:color w:val="000000"/>
                      <w:kern w:val="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4</w:t>
                  </w:r>
                </w:p>
              </w:tc>
              <w:tc>
                <w:tcPr>
                  <w:tcW w:w="2785" w:type="dxa"/>
                  <w:shd w:val="clear" w:color="auto" w:fill="auto"/>
                  <w:vAlign w:val="center"/>
                </w:tcPr>
                <w:p>
                  <w:pPr>
                    <w:widowControl/>
                    <w:jc w:val="center"/>
                    <w:rPr>
                      <w:color w:val="000000"/>
                      <w:kern w:val="0"/>
                      <w:szCs w:val="21"/>
                    </w:rPr>
                  </w:pPr>
                  <w:r>
                    <w:rPr>
                      <w:color w:val="000000"/>
                      <w:kern w:val="0"/>
                      <w:szCs w:val="21"/>
                    </w:rPr>
                    <w:t>滤池</w:t>
                  </w:r>
                  <w:r>
                    <w:rPr>
                      <w:rFonts w:hint="eastAsia"/>
                      <w:color w:val="000000"/>
                      <w:kern w:val="0"/>
                      <w:szCs w:val="21"/>
                    </w:rPr>
                    <w:t>反洗</w:t>
                  </w:r>
                  <w:r>
                    <w:rPr>
                      <w:color w:val="000000"/>
                      <w:kern w:val="0"/>
                      <w:szCs w:val="21"/>
                    </w:rPr>
                    <w:t>风机</w:t>
                  </w:r>
                </w:p>
              </w:tc>
              <w:tc>
                <w:tcPr>
                  <w:tcW w:w="929" w:type="dxa"/>
                  <w:shd w:val="clear" w:color="auto" w:fill="auto"/>
                  <w:noWrap/>
                  <w:vAlign w:val="center"/>
                </w:tcPr>
                <w:p>
                  <w:pPr>
                    <w:widowControl/>
                    <w:jc w:val="center"/>
                    <w:rPr>
                      <w:color w:val="000000"/>
                      <w:kern w:val="0"/>
                      <w:szCs w:val="21"/>
                    </w:rPr>
                  </w:pPr>
                  <w:r>
                    <w:rPr>
                      <w:color w:val="000000"/>
                      <w:kern w:val="0"/>
                      <w:szCs w:val="21"/>
                    </w:rPr>
                    <w:t>9720</w:t>
                  </w:r>
                </w:p>
              </w:tc>
              <w:tc>
                <w:tcPr>
                  <w:tcW w:w="875" w:type="dxa"/>
                  <w:shd w:val="clear" w:color="auto" w:fill="auto"/>
                  <w:noWrap/>
                  <w:vAlign w:val="center"/>
                </w:tcPr>
                <w:p>
                  <w:pPr>
                    <w:widowControl/>
                    <w:jc w:val="center"/>
                    <w:rPr>
                      <w:color w:val="000000"/>
                      <w:kern w:val="0"/>
                      <w:szCs w:val="21"/>
                    </w:rPr>
                  </w:pPr>
                  <w:r>
                    <w:rPr>
                      <w:color w:val="000000"/>
                      <w:kern w:val="0"/>
                      <w:szCs w:val="21"/>
                    </w:rPr>
                    <w:t>6</w:t>
                  </w:r>
                </w:p>
              </w:tc>
              <w:tc>
                <w:tcPr>
                  <w:tcW w:w="1607" w:type="dxa"/>
                  <w:shd w:val="clear" w:color="auto" w:fill="auto"/>
                  <w:noWrap/>
                  <w:vAlign w:val="center"/>
                </w:tcPr>
                <w:p>
                  <w:pPr>
                    <w:widowControl/>
                    <w:jc w:val="center"/>
                    <w:rPr>
                      <w:color w:val="000000"/>
                      <w:kern w:val="0"/>
                      <w:szCs w:val="21"/>
                    </w:rPr>
                  </w:pPr>
                  <w:r>
                    <w:rPr>
                      <w:color w:val="000000"/>
                      <w:kern w:val="0"/>
                      <w:szCs w:val="21"/>
                    </w:rPr>
                    <w:t>225.00</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5</w:t>
                  </w:r>
                </w:p>
              </w:tc>
              <w:tc>
                <w:tcPr>
                  <w:tcW w:w="2785" w:type="dxa"/>
                  <w:shd w:val="clear" w:color="auto" w:fill="auto"/>
                  <w:vAlign w:val="center"/>
                </w:tcPr>
                <w:p>
                  <w:pPr>
                    <w:widowControl/>
                    <w:jc w:val="center"/>
                    <w:rPr>
                      <w:color w:val="000000"/>
                      <w:kern w:val="0"/>
                      <w:szCs w:val="21"/>
                    </w:rPr>
                  </w:pPr>
                  <w:r>
                    <w:rPr>
                      <w:color w:val="000000"/>
                      <w:kern w:val="0"/>
                      <w:szCs w:val="21"/>
                    </w:rPr>
                    <w:t>混凝剂</w:t>
                  </w:r>
                  <w:r>
                    <w:rPr>
                      <w:rFonts w:hint="eastAsia"/>
                      <w:color w:val="000000"/>
                      <w:kern w:val="0"/>
                      <w:szCs w:val="21"/>
                    </w:rPr>
                    <w:t>计量</w:t>
                  </w:r>
                  <w:r>
                    <w:rPr>
                      <w:color w:val="000000"/>
                      <w:kern w:val="0"/>
                      <w:szCs w:val="21"/>
                    </w:rPr>
                    <w:t>泵</w:t>
                  </w:r>
                </w:p>
              </w:tc>
              <w:tc>
                <w:tcPr>
                  <w:tcW w:w="929" w:type="dxa"/>
                  <w:shd w:val="clear" w:color="auto" w:fill="auto"/>
                  <w:noWrap/>
                  <w:vAlign w:val="center"/>
                </w:tcPr>
                <w:p>
                  <w:pPr>
                    <w:widowControl/>
                    <w:jc w:val="center"/>
                    <w:rPr>
                      <w:color w:val="000000"/>
                      <w:kern w:val="0"/>
                      <w:szCs w:val="21"/>
                    </w:rPr>
                  </w:pPr>
                  <w:r>
                    <w:rPr>
                      <w:color w:val="000000"/>
                      <w:kern w:val="0"/>
                      <w:szCs w:val="21"/>
                    </w:rPr>
                    <w:t>0.12</w:t>
                  </w:r>
                </w:p>
              </w:tc>
              <w:tc>
                <w:tcPr>
                  <w:tcW w:w="875" w:type="dxa"/>
                  <w:shd w:val="clear" w:color="auto" w:fill="auto"/>
                  <w:noWrap/>
                  <w:vAlign w:val="center"/>
                </w:tcPr>
                <w:p>
                  <w:pPr>
                    <w:widowControl/>
                    <w:jc w:val="center"/>
                    <w:rPr>
                      <w:color w:val="000000"/>
                      <w:kern w:val="0"/>
                      <w:szCs w:val="21"/>
                    </w:rPr>
                  </w:pPr>
                  <w:r>
                    <w:rPr>
                      <w:color w:val="000000"/>
                      <w:kern w:val="0"/>
                      <w:szCs w:val="21"/>
                    </w:rPr>
                    <w:t>50</w:t>
                  </w:r>
                </w:p>
              </w:tc>
              <w:tc>
                <w:tcPr>
                  <w:tcW w:w="1607" w:type="dxa"/>
                  <w:shd w:val="clear" w:color="auto" w:fill="auto"/>
                  <w:noWrap/>
                  <w:vAlign w:val="center"/>
                </w:tcPr>
                <w:p>
                  <w:pPr>
                    <w:widowControl/>
                    <w:jc w:val="center"/>
                    <w:rPr>
                      <w:color w:val="000000"/>
                      <w:kern w:val="0"/>
                      <w:szCs w:val="21"/>
                    </w:rPr>
                  </w:pPr>
                  <w:r>
                    <w:rPr>
                      <w:color w:val="000000"/>
                      <w:kern w:val="0"/>
                      <w:szCs w:val="21"/>
                    </w:rPr>
                    <w:t>0.37</w:t>
                  </w:r>
                </w:p>
              </w:tc>
              <w:tc>
                <w:tcPr>
                  <w:tcW w:w="1165" w:type="dxa"/>
                  <w:vAlign w:val="center"/>
                </w:tcPr>
                <w:p>
                  <w:pPr>
                    <w:widowControl/>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6</w:t>
                  </w:r>
                </w:p>
              </w:tc>
              <w:tc>
                <w:tcPr>
                  <w:tcW w:w="2785" w:type="dxa"/>
                  <w:shd w:val="clear" w:color="auto" w:fill="auto"/>
                  <w:vAlign w:val="center"/>
                </w:tcPr>
                <w:p>
                  <w:pPr>
                    <w:widowControl/>
                    <w:jc w:val="center"/>
                    <w:rPr>
                      <w:color w:val="000000"/>
                      <w:kern w:val="0"/>
                      <w:szCs w:val="21"/>
                    </w:rPr>
                  </w:pPr>
                  <w:r>
                    <w:rPr>
                      <w:color w:val="000000"/>
                      <w:kern w:val="0"/>
                      <w:szCs w:val="21"/>
                    </w:rPr>
                    <w:t>助凝剂加药泵</w:t>
                  </w:r>
                </w:p>
              </w:tc>
              <w:tc>
                <w:tcPr>
                  <w:tcW w:w="929" w:type="dxa"/>
                  <w:shd w:val="clear" w:color="auto" w:fill="auto"/>
                  <w:noWrap/>
                  <w:vAlign w:val="center"/>
                </w:tcPr>
                <w:p>
                  <w:pPr>
                    <w:widowControl/>
                    <w:jc w:val="center"/>
                    <w:rPr>
                      <w:color w:val="000000"/>
                      <w:kern w:val="0"/>
                      <w:szCs w:val="21"/>
                    </w:rPr>
                  </w:pPr>
                  <w:r>
                    <w:rPr>
                      <w:color w:val="000000"/>
                      <w:kern w:val="0"/>
                      <w:szCs w:val="21"/>
                    </w:rPr>
                    <w:t>2.5</w:t>
                  </w:r>
                </w:p>
              </w:tc>
              <w:tc>
                <w:tcPr>
                  <w:tcW w:w="875" w:type="dxa"/>
                  <w:shd w:val="clear" w:color="auto" w:fill="auto"/>
                  <w:noWrap/>
                  <w:vAlign w:val="center"/>
                </w:tcPr>
                <w:p>
                  <w:pPr>
                    <w:widowControl/>
                    <w:jc w:val="center"/>
                    <w:rPr>
                      <w:color w:val="000000"/>
                      <w:kern w:val="0"/>
                      <w:szCs w:val="21"/>
                    </w:rPr>
                  </w:pPr>
                  <w:r>
                    <w:rPr>
                      <w:color w:val="000000"/>
                      <w:kern w:val="0"/>
                      <w:szCs w:val="21"/>
                    </w:rPr>
                    <w:t>30</w:t>
                  </w:r>
                </w:p>
              </w:tc>
              <w:tc>
                <w:tcPr>
                  <w:tcW w:w="1607" w:type="dxa"/>
                  <w:shd w:val="clear" w:color="auto" w:fill="auto"/>
                  <w:noWrap/>
                  <w:vAlign w:val="center"/>
                </w:tcPr>
                <w:p>
                  <w:pPr>
                    <w:widowControl/>
                    <w:jc w:val="center"/>
                    <w:rPr>
                      <w:color w:val="000000"/>
                      <w:kern w:val="0"/>
                      <w:szCs w:val="21"/>
                    </w:rPr>
                  </w:pPr>
                  <w:r>
                    <w:rPr>
                      <w:color w:val="000000"/>
                      <w:kern w:val="0"/>
                      <w:szCs w:val="21"/>
                    </w:rPr>
                    <w:t>0.75</w:t>
                  </w:r>
                </w:p>
              </w:tc>
              <w:tc>
                <w:tcPr>
                  <w:tcW w:w="1165" w:type="dxa"/>
                  <w:vAlign w:val="center"/>
                </w:tcPr>
                <w:p>
                  <w:pPr>
                    <w:widowControl/>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三</w:t>
                  </w:r>
                </w:p>
              </w:tc>
              <w:tc>
                <w:tcPr>
                  <w:tcW w:w="2785" w:type="dxa"/>
                  <w:shd w:val="clear" w:color="auto" w:fill="auto"/>
                  <w:vAlign w:val="center"/>
                </w:tcPr>
                <w:p>
                  <w:pPr>
                    <w:widowControl/>
                    <w:jc w:val="center"/>
                    <w:rPr>
                      <w:color w:val="000000"/>
                      <w:kern w:val="0"/>
                      <w:szCs w:val="21"/>
                    </w:rPr>
                  </w:pPr>
                  <w:r>
                    <w:rPr>
                      <w:color w:val="000000"/>
                      <w:kern w:val="0"/>
                      <w:szCs w:val="21"/>
                    </w:rPr>
                    <w:t>超滤系统</w:t>
                  </w:r>
                </w:p>
              </w:tc>
              <w:tc>
                <w:tcPr>
                  <w:tcW w:w="929" w:type="dxa"/>
                  <w:shd w:val="clear" w:color="auto" w:fill="auto"/>
                  <w:noWrap/>
                  <w:vAlign w:val="center"/>
                </w:tcPr>
                <w:p>
                  <w:pPr>
                    <w:widowControl/>
                    <w:jc w:val="center"/>
                    <w:rPr>
                      <w:color w:val="000000"/>
                      <w:kern w:val="0"/>
                      <w:szCs w:val="21"/>
                    </w:rPr>
                  </w:pPr>
                </w:p>
              </w:tc>
              <w:tc>
                <w:tcPr>
                  <w:tcW w:w="875" w:type="dxa"/>
                  <w:shd w:val="clear" w:color="auto" w:fill="auto"/>
                  <w:noWrap/>
                  <w:vAlign w:val="center"/>
                </w:tcPr>
                <w:p>
                  <w:pPr>
                    <w:widowControl/>
                    <w:jc w:val="center"/>
                    <w:rPr>
                      <w:color w:val="000000"/>
                      <w:kern w:val="0"/>
                      <w:szCs w:val="21"/>
                    </w:rPr>
                  </w:pPr>
                </w:p>
              </w:tc>
              <w:tc>
                <w:tcPr>
                  <w:tcW w:w="1607" w:type="dxa"/>
                  <w:shd w:val="clear" w:color="auto" w:fill="auto"/>
                  <w:noWrap/>
                  <w:vAlign w:val="center"/>
                </w:tcPr>
                <w:p>
                  <w:pPr>
                    <w:widowControl/>
                    <w:jc w:val="center"/>
                    <w:rPr>
                      <w:color w:val="000000"/>
                      <w:kern w:val="0"/>
                      <w:szCs w:val="21"/>
                    </w:rPr>
                  </w:pPr>
                </w:p>
              </w:tc>
              <w:tc>
                <w:tcPr>
                  <w:tcW w:w="1165"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7</w:t>
                  </w:r>
                </w:p>
              </w:tc>
              <w:tc>
                <w:tcPr>
                  <w:tcW w:w="2785" w:type="dxa"/>
                  <w:shd w:val="clear" w:color="auto" w:fill="auto"/>
                  <w:vAlign w:val="center"/>
                </w:tcPr>
                <w:p>
                  <w:pPr>
                    <w:widowControl/>
                    <w:jc w:val="center"/>
                    <w:rPr>
                      <w:color w:val="000000"/>
                      <w:kern w:val="0"/>
                      <w:szCs w:val="21"/>
                    </w:rPr>
                  </w:pPr>
                  <w:r>
                    <w:rPr>
                      <w:color w:val="000000"/>
                      <w:kern w:val="0"/>
                      <w:szCs w:val="21"/>
                    </w:rPr>
                    <w:t>超滤供水泵</w:t>
                  </w:r>
                </w:p>
              </w:tc>
              <w:tc>
                <w:tcPr>
                  <w:tcW w:w="929" w:type="dxa"/>
                  <w:shd w:val="clear" w:color="auto" w:fill="auto"/>
                  <w:noWrap/>
                  <w:vAlign w:val="center"/>
                </w:tcPr>
                <w:p>
                  <w:pPr>
                    <w:widowControl/>
                    <w:jc w:val="center"/>
                    <w:rPr>
                      <w:color w:val="000000"/>
                      <w:kern w:val="0"/>
                      <w:szCs w:val="21"/>
                    </w:rPr>
                  </w:pPr>
                  <w:r>
                    <w:rPr>
                      <w:color w:val="000000"/>
                      <w:kern w:val="0"/>
                      <w:szCs w:val="21"/>
                    </w:rPr>
                    <w:t>1226</w:t>
                  </w:r>
                </w:p>
              </w:tc>
              <w:tc>
                <w:tcPr>
                  <w:tcW w:w="875" w:type="dxa"/>
                  <w:shd w:val="clear" w:color="auto" w:fill="auto"/>
                  <w:noWrap/>
                  <w:vAlign w:val="center"/>
                </w:tcPr>
                <w:p>
                  <w:pPr>
                    <w:widowControl/>
                    <w:jc w:val="center"/>
                    <w:rPr>
                      <w:color w:val="000000"/>
                      <w:kern w:val="0"/>
                      <w:szCs w:val="21"/>
                    </w:rPr>
                  </w:pPr>
                  <w:r>
                    <w:rPr>
                      <w:color w:val="000000"/>
                      <w:kern w:val="0"/>
                      <w:szCs w:val="21"/>
                    </w:rPr>
                    <w:t>30</w:t>
                  </w:r>
                </w:p>
              </w:tc>
              <w:tc>
                <w:tcPr>
                  <w:tcW w:w="1607" w:type="dxa"/>
                  <w:shd w:val="clear" w:color="auto" w:fill="auto"/>
                  <w:noWrap/>
                  <w:vAlign w:val="center"/>
                </w:tcPr>
                <w:p>
                  <w:pPr>
                    <w:widowControl/>
                    <w:jc w:val="center"/>
                    <w:rPr>
                      <w:color w:val="000000"/>
                      <w:kern w:val="0"/>
                      <w:szCs w:val="21"/>
                    </w:rPr>
                  </w:pPr>
                  <w:r>
                    <w:rPr>
                      <w:color w:val="000000"/>
                      <w:kern w:val="0"/>
                      <w:szCs w:val="21"/>
                    </w:rPr>
                    <w:t>160</w:t>
                  </w:r>
                </w:p>
              </w:tc>
              <w:tc>
                <w:tcPr>
                  <w:tcW w:w="1165" w:type="dxa"/>
                  <w:vAlign w:val="center"/>
                </w:tcPr>
                <w:p>
                  <w:pPr>
                    <w:widowControl/>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8</w:t>
                  </w:r>
                </w:p>
              </w:tc>
              <w:tc>
                <w:tcPr>
                  <w:tcW w:w="2785" w:type="dxa"/>
                  <w:shd w:val="clear" w:color="auto" w:fill="auto"/>
                  <w:vAlign w:val="center"/>
                </w:tcPr>
                <w:p>
                  <w:pPr>
                    <w:widowControl/>
                    <w:jc w:val="center"/>
                    <w:rPr>
                      <w:color w:val="000000"/>
                      <w:kern w:val="0"/>
                      <w:szCs w:val="21"/>
                    </w:rPr>
                  </w:pPr>
                  <w:r>
                    <w:rPr>
                      <w:color w:val="000000"/>
                      <w:kern w:val="0"/>
                      <w:szCs w:val="21"/>
                    </w:rPr>
                    <w:t>超滤反洗泵</w:t>
                  </w:r>
                </w:p>
              </w:tc>
              <w:tc>
                <w:tcPr>
                  <w:tcW w:w="929" w:type="dxa"/>
                  <w:shd w:val="clear" w:color="auto" w:fill="auto"/>
                  <w:noWrap/>
                  <w:vAlign w:val="center"/>
                </w:tcPr>
                <w:p>
                  <w:pPr>
                    <w:widowControl/>
                    <w:jc w:val="center"/>
                    <w:rPr>
                      <w:color w:val="000000"/>
                      <w:kern w:val="0"/>
                      <w:szCs w:val="21"/>
                    </w:rPr>
                  </w:pPr>
                  <w:r>
                    <w:rPr>
                      <w:color w:val="000000"/>
                      <w:kern w:val="0"/>
                      <w:szCs w:val="21"/>
                    </w:rPr>
                    <w:t>750</w:t>
                  </w:r>
                </w:p>
              </w:tc>
              <w:tc>
                <w:tcPr>
                  <w:tcW w:w="875" w:type="dxa"/>
                  <w:shd w:val="clear" w:color="auto" w:fill="auto"/>
                  <w:noWrap/>
                  <w:vAlign w:val="center"/>
                </w:tcPr>
                <w:p>
                  <w:pPr>
                    <w:widowControl/>
                    <w:jc w:val="center"/>
                    <w:rPr>
                      <w:color w:val="000000"/>
                      <w:kern w:val="0"/>
                      <w:szCs w:val="21"/>
                    </w:rPr>
                  </w:pPr>
                  <w:r>
                    <w:rPr>
                      <w:color w:val="000000"/>
                      <w:kern w:val="0"/>
                      <w:szCs w:val="21"/>
                    </w:rPr>
                    <w:t>40</w:t>
                  </w:r>
                </w:p>
              </w:tc>
              <w:tc>
                <w:tcPr>
                  <w:tcW w:w="1607" w:type="dxa"/>
                  <w:shd w:val="clear" w:color="auto" w:fill="auto"/>
                  <w:noWrap/>
                  <w:vAlign w:val="center"/>
                </w:tcPr>
                <w:p>
                  <w:pPr>
                    <w:widowControl/>
                    <w:jc w:val="center"/>
                    <w:rPr>
                      <w:color w:val="000000"/>
                      <w:kern w:val="0"/>
                      <w:szCs w:val="21"/>
                    </w:rPr>
                  </w:pPr>
                  <w:r>
                    <w:rPr>
                      <w:color w:val="000000"/>
                      <w:kern w:val="0"/>
                      <w:szCs w:val="21"/>
                    </w:rPr>
                    <w:t>130</w:t>
                  </w:r>
                </w:p>
              </w:tc>
              <w:tc>
                <w:tcPr>
                  <w:tcW w:w="1165" w:type="dxa"/>
                  <w:vAlign w:val="center"/>
                </w:tcPr>
                <w:p>
                  <w:pPr>
                    <w:widowControl/>
                    <w:jc w:val="center"/>
                    <w:rPr>
                      <w:color w:val="000000"/>
                      <w:kern w:val="0"/>
                      <w:szCs w:val="21"/>
                    </w:rPr>
                  </w:pPr>
                  <w:r>
                    <w:rPr>
                      <w:color w:val="000000"/>
                      <w:kern w:val="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10</w:t>
                  </w:r>
                </w:p>
              </w:tc>
              <w:tc>
                <w:tcPr>
                  <w:tcW w:w="2785" w:type="dxa"/>
                  <w:shd w:val="clear" w:color="auto" w:fill="auto"/>
                  <w:vAlign w:val="center"/>
                </w:tcPr>
                <w:p>
                  <w:pPr>
                    <w:widowControl/>
                    <w:jc w:val="center"/>
                    <w:rPr>
                      <w:color w:val="000000"/>
                      <w:kern w:val="0"/>
                      <w:szCs w:val="21"/>
                    </w:rPr>
                  </w:pPr>
                  <w:r>
                    <w:rPr>
                      <w:color w:val="000000"/>
                      <w:kern w:val="0"/>
                      <w:szCs w:val="21"/>
                    </w:rPr>
                    <w:t>超滤CEB盐酸计量泵</w:t>
                  </w:r>
                </w:p>
              </w:tc>
              <w:tc>
                <w:tcPr>
                  <w:tcW w:w="929" w:type="dxa"/>
                  <w:shd w:val="clear" w:color="auto" w:fill="auto"/>
                  <w:noWrap/>
                  <w:vAlign w:val="center"/>
                </w:tcPr>
                <w:p>
                  <w:pPr>
                    <w:widowControl/>
                    <w:jc w:val="center"/>
                    <w:rPr>
                      <w:color w:val="000000"/>
                      <w:kern w:val="0"/>
                      <w:szCs w:val="21"/>
                    </w:rPr>
                  </w:pPr>
                  <w:r>
                    <w:rPr>
                      <w:color w:val="000000"/>
                      <w:kern w:val="0"/>
                      <w:szCs w:val="21"/>
                    </w:rPr>
                    <w:t>2</w:t>
                  </w:r>
                </w:p>
              </w:tc>
              <w:tc>
                <w:tcPr>
                  <w:tcW w:w="875" w:type="dxa"/>
                  <w:shd w:val="clear" w:color="auto" w:fill="auto"/>
                  <w:noWrap/>
                  <w:vAlign w:val="center"/>
                </w:tcPr>
                <w:p>
                  <w:pPr>
                    <w:widowControl/>
                    <w:jc w:val="center"/>
                    <w:rPr>
                      <w:color w:val="000000"/>
                      <w:kern w:val="0"/>
                      <w:szCs w:val="21"/>
                    </w:rPr>
                  </w:pPr>
                  <w:r>
                    <w:rPr>
                      <w:color w:val="000000"/>
                      <w:kern w:val="0"/>
                      <w:szCs w:val="21"/>
                    </w:rPr>
                    <w:t>70</w:t>
                  </w:r>
                </w:p>
              </w:tc>
              <w:tc>
                <w:tcPr>
                  <w:tcW w:w="1607" w:type="dxa"/>
                  <w:shd w:val="clear" w:color="auto" w:fill="auto"/>
                  <w:noWrap/>
                  <w:vAlign w:val="center"/>
                </w:tcPr>
                <w:p>
                  <w:pPr>
                    <w:widowControl/>
                    <w:jc w:val="center"/>
                    <w:rPr>
                      <w:color w:val="000000"/>
                      <w:kern w:val="0"/>
                      <w:szCs w:val="21"/>
                    </w:rPr>
                  </w:pPr>
                  <w:r>
                    <w:rPr>
                      <w:color w:val="000000"/>
                      <w:kern w:val="0"/>
                      <w:szCs w:val="21"/>
                    </w:rPr>
                    <w:t>1.1</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11</w:t>
                  </w:r>
                </w:p>
              </w:tc>
              <w:tc>
                <w:tcPr>
                  <w:tcW w:w="2785" w:type="dxa"/>
                  <w:shd w:val="clear" w:color="auto" w:fill="auto"/>
                  <w:vAlign w:val="center"/>
                </w:tcPr>
                <w:p>
                  <w:pPr>
                    <w:widowControl/>
                    <w:jc w:val="center"/>
                    <w:rPr>
                      <w:color w:val="000000"/>
                      <w:kern w:val="0"/>
                      <w:szCs w:val="21"/>
                    </w:rPr>
                  </w:pPr>
                  <w:r>
                    <w:rPr>
                      <w:color w:val="000000"/>
                      <w:kern w:val="0"/>
                      <w:szCs w:val="21"/>
                    </w:rPr>
                    <w:t>超滤CEB次氯酸钠计量泵</w:t>
                  </w:r>
                </w:p>
              </w:tc>
              <w:tc>
                <w:tcPr>
                  <w:tcW w:w="929" w:type="dxa"/>
                  <w:shd w:val="clear" w:color="auto" w:fill="auto"/>
                  <w:noWrap/>
                  <w:vAlign w:val="center"/>
                </w:tcPr>
                <w:p>
                  <w:pPr>
                    <w:widowControl/>
                    <w:jc w:val="center"/>
                    <w:rPr>
                      <w:color w:val="000000"/>
                      <w:kern w:val="0"/>
                      <w:szCs w:val="21"/>
                    </w:rPr>
                  </w:pPr>
                  <w:r>
                    <w:rPr>
                      <w:color w:val="000000"/>
                      <w:kern w:val="0"/>
                      <w:szCs w:val="21"/>
                    </w:rPr>
                    <w:t>2</w:t>
                  </w:r>
                </w:p>
              </w:tc>
              <w:tc>
                <w:tcPr>
                  <w:tcW w:w="875" w:type="dxa"/>
                  <w:shd w:val="clear" w:color="auto" w:fill="auto"/>
                  <w:noWrap/>
                  <w:vAlign w:val="center"/>
                </w:tcPr>
                <w:p>
                  <w:pPr>
                    <w:widowControl/>
                    <w:jc w:val="center"/>
                    <w:rPr>
                      <w:color w:val="000000"/>
                      <w:kern w:val="0"/>
                      <w:szCs w:val="21"/>
                    </w:rPr>
                  </w:pPr>
                  <w:r>
                    <w:rPr>
                      <w:color w:val="000000"/>
                      <w:kern w:val="0"/>
                      <w:szCs w:val="21"/>
                    </w:rPr>
                    <w:t>70</w:t>
                  </w:r>
                </w:p>
              </w:tc>
              <w:tc>
                <w:tcPr>
                  <w:tcW w:w="1607" w:type="dxa"/>
                  <w:shd w:val="clear" w:color="auto" w:fill="auto"/>
                  <w:noWrap/>
                  <w:vAlign w:val="center"/>
                </w:tcPr>
                <w:p>
                  <w:pPr>
                    <w:widowControl/>
                    <w:jc w:val="center"/>
                    <w:rPr>
                      <w:color w:val="000000"/>
                      <w:kern w:val="0"/>
                      <w:szCs w:val="21"/>
                    </w:rPr>
                  </w:pPr>
                  <w:r>
                    <w:rPr>
                      <w:color w:val="000000"/>
                      <w:kern w:val="0"/>
                      <w:szCs w:val="21"/>
                    </w:rPr>
                    <w:t>3</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四</w:t>
                  </w:r>
                </w:p>
              </w:tc>
              <w:tc>
                <w:tcPr>
                  <w:tcW w:w="2785" w:type="dxa"/>
                  <w:shd w:val="clear" w:color="auto" w:fill="auto"/>
                  <w:vAlign w:val="center"/>
                </w:tcPr>
                <w:p>
                  <w:pPr>
                    <w:widowControl/>
                    <w:jc w:val="center"/>
                    <w:rPr>
                      <w:color w:val="000000"/>
                      <w:kern w:val="0"/>
                      <w:szCs w:val="21"/>
                    </w:rPr>
                  </w:pPr>
                  <w:r>
                    <w:rPr>
                      <w:color w:val="000000"/>
                      <w:kern w:val="0"/>
                      <w:szCs w:val="21"/>
                    </w:rPr>
                    <w:t>反渗透系统</w:t>
                  </w:r>
                </w:p>
              </w:tc>
              <w:tc>
                <w:tcPr>
                  <w:tcW w:w="929" w:type="dxa"/>
                  <w:shd w:val="clear" w:color="auto" w:fill="auto"/>
                  <w:noWrap/>
                  <w:vAlign w:val="center"/>
                </w:tcPr>
                <w:p>
                  <w:pPr>
                    <w:widowControl/>
                    <w:jc w:val="center"/>
                    <w:rPr>
                      <w:color w:val="000000"/>
                      <w:kern w:val="0"/>
                      <w:szCs w:val="21"/>
                    </w:rPr>
                  </w:pPr>
                </w:p>
              </w:tc>
              <w:tc>
                <w:tcPr>
                  <w:tcW w:w="875" w:type="dxa"/>
                  <w:shd w:val="clear" w:color="auto" w:fill="auto"/>
                  <w:noWrap/>
                  <w:vAlign w:val="center"/>
                </w:tcPr>
                <w:p>
                  <w:pPr>
                    <w:widowControl/>
                    <w:jc w:val="center"/>
                    <w:rPr>
                      <w:color w:val="000000"/>
                      <w:kern w:val="0"/>
                      <w:szCs w:val="21"/>
                    </w:rPr>
                  </w:pPr>
                </w:p>
              </w:tc>
              <w:tc>
                <w:tcPr>
                  <w:tcW w:w="1607" w:type="dxa"/>
                  <w:shd w:val="clear" w:color="auto" w:fill="auto"/>
                  <w:noWrap/>
                  <w:vAlign w:val="center"/>
                </w:tcPr>
                <w:p>
                  <w:pPr>
                    <w:widowControl/>
                    <w:jc w:val="center"/>
                    <w:rPr>
                      <w:color w:val="000000"/>
                      <w:kern w:val="0"/>
                      <w:szCs w:val="21"/>
                    </w:rPr>
                  </w:pPr>
                </w:p>
              </w:tc>
              <w:tc>
                <w:tcPr>
                  <w:tcW w:w="1165"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12</w:t>
                  </w:r>
                </w:p>
              </w:tc>
              <w:tc>
                <w:tcPr>
                  <w:tcW w:w="2785" w:type="dxa"/>
                  <w:shd w:val="clear" w:color="auto" w:fill="auto"/>
                  <w:vAlign w:val="center"/>
                </w:tcPr>
                <w:p>
                  <w:pPr>
                    <w:widowControl/>
                    <w:jc w:val="center"/>
                    <w:rPr>
                      <w:color w:val="000000"/>
                      <w:kern w:val="0"/>
                      <w:szCs w:val="21"/>
                    </w:rPr>
                  </w:pPr>
                  <w:r>
                    <w:rPr>
                      <w:color w:val="000000"/>
                      <w:kern w:val="0"/>
                      <w:szCs w:val="21"/>
                    </w:rPr>
                    <w:t>海水反渗透给水泵</w:t>
                  </w:r>
                </w:p>
              </w:tc>
              <w:tc>
                <w:tcPr>
                  <w:tcW w:w="929" w:type="dxa"/>
                  <w:shd w:val="clear" w:color="auto" w:fill="auto"/>
                  <w:noWrap/>
                  <w:vAlign w:val="center"/>
                </w:tcPr>
                <w:p>
                  <w:pPr>
                    <w:widowControl/>
                    <w:jc w:val="center"/>
                    <w:rPr>
                      <w:color w:val="000000"/>
                      <w:kern w:val="0"/>
                      <w:szCs w:val="21"/>
                    </w:rPr>
                  </w:pPr>
                  <w:r>
                    <w:rPr>
                      <w:color w:val="000000"/>
                      <w:kern w:val="0"/>
                      <w:szCs w:val="21"/>
                    </w:rPr>
                    <w:t>1080</w:t>
                  </w:r>
                </w:p>
              </w:tc>
              <w:tc>
                <w:tcPr>
                  <w:tcW w:w="875" w:type="dxa"/>
                  <w:shd w:val="clear" w:color="auto" w:fill="auto"/>
                  <w:noWrap/>
                  <w:vAlign w:val="center"/>
                </w:tcPr>
                <w:p>
                  <w:pPr>
                    <w:widowControl/>
                    <w:jc w:val="center"/>
                    <w:rPr>
                      <w:color w:val="000000"/>
                      <w:kern w:val="0"/>
                      <w:szCs w:val="21"/>
                    </w:rPr>
                  </w:pPr>
                  <w:r>
                    <w:rPr>
                      <w:color w:val="000000"/>
                      <w:kern w:val="0"/>
                      <w:szCs w:val="21"/>
                    </w:rPr>
                    <w:t>35</w:t>
                  </w:r>
                </w:p>
              </w:tc>
              <w:tc>
                <w:tcPr>
                  <w:tcW w:w="1607" w:type="dxa"/>
                  <w:shd w:val="clear" w:color="auto" w:fill="auto"/>
                  <w:noWrap/>
                  <w:vAlign w:val="center"/>
                </w:tcPr>
                <w:p>
                  <w:pPr>
                    <w:widowControl/>
                    <w:jc w:val="center"/>
                    <w:rPr>
                      <w:color w:val="000000"/>
                      <w:kern w:val="0"/>
                      <w:szCs w:val="21"/>
                    </w:rPr>
                  </w:pPr>
                  <w:r>
                    <w:rPr>
                      <w:color w:val="000000"/>
                      <w:kern w:val="0"/>
                      <w:szCs w:val="21"/>
                    </w:rPr>
                    <w:t>160</w:t>
                  </w:r>
                </w:p>
              </w:tc>
              <w:tc>
                <w:tcPr>
                  <w:tcW w:w="1165" w:type="dxa"/>
                  <w:vAlign w:val="center"/>
                </w:tcPr>
                <w:p>
                  <w:pPr>
                    <w:widowControl/>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13</w:t>
                  </w:r>
                </w:p>
              </w:tc>
              <w:tc>
                <w:tcPr>
                  <w:tcW w:w="2785" w:type="dxa"/>
                  <w:shd w:val="clear" w:color="auto" w:fill="auto"/>
                  <w:vAlign w:val="center"/>
                </w:tcPr>
                <w:p>
                  <w:pPr>
                    <w:widowControl/>
                    <w:jc w:val="center"/>
                    <w:rPr>
                      <w:color w:val="000000"/>
                      <w:kern w:val="0"/>
                      <w:szCs w:val="21"/>
                    </w:rPr>
                  </w:pPr>
                  <w:r>
                    <w:rPr>
                      <w:color w:val="000000"/>
                      <w:kern w:val="0"/>
                      <w:szCs w:val="21"/>
                    </w:rPr>
                    <w:t>海水反渗透高压泵</w:t>
                  </w:r>
                </w:p>
              </w:tc>
              <w:tc>
                <w:tcPr>
                  <w:tcW w:w="929" w:type="dxa"/>
                  <w:shd w:val="clear" w:color="auto" w:fill="auto"/>
                  <w:noWrap/>
                  <w:vAlign w:val="center"/>
                </w:tcPr>
                <w:p>
                  <w:pPr>
                    <w:widowControl/>
                    <w:jc w:val="center"/>
                    <w:rPr>
                      <w:color w:val="000000"/>
                      <w:kern w:val="0"/>
                      <w:szCs w:val="21"/>
                    </w:rPr>
                  </w:pPr>
                  <w:r>
                    <w:rPr>
                      <w:color w:val="000000"/>
                      <w:kern w:val="0"/>
                      <w:szCs w:val="21"/>
                    </w:rPr>
                    <w:t>433</w:t>
                  </w:r>
                </w:p>
              </w:tc>
              <w:tc>
                <w:tcPr>
                  <w:tcW w:w="875" w:type="dxa"/>
                  <w:shd w:val="clear" w:color="auto" w:fill="auto"/>
                  <w:noWrap/>
                  <w:vAlign w:val="center"/>
                </w:tcPr>
                <w:p>
                  <w:pPr>
                    <w:widowControl/>
                    <w:jc w:val="center"/>
                    <w:rPr>
                      <w:color w:val="000000"/>
                      <w:kern w:val="0"/>
                      <w:szCs w:val="21"/>
                    </w:rPr>
                  </w:pPr>
                  <w:r>
                    <w:rPr>
                      <w:color w:val="000000"/>
                      <w:kern w:val="0"/>
                      <w:szCs w:val="21"/>
                    </w:rPr>
                    <w:t>710</w:t>
                  </w:r>
                </w:p>
              </w:tc>
              <w:tc>
                <w:tcPr>
                  <w:tcW w:w="1607" w:type="dxa"/>
                  <w:shd w:val="clear" w:color="auto" w:fill="auto"/>
                  <w:noWrap/>
                  <w:vAlign w:val="center"/>
                </w:tcPr>
                <w:p>
                  <w:pPr>
                    <w:widowControl/>
                    <w:jc w:val="center"/>
                    <w:rPr>
                      <w:color w:val="000000"/>
                      <w:kern w:val="0"/>
                      <w:szCs w:val="21"/>
                    </w:rPr>
                  </w:pPr>
                  <w:r>
                    <w:rPr>
                      <w:color w:val="000000"/>
                      <w:kern w:val="0"/>
                      <w:szCs w:val="21"/>
                    </w:rPr>
                    <w:t>1250</w:t>
                  </w:r>
                </w:p>
              </w:tc>
              <w:tc>
                <w:tcPr>
                  <w:tcW w:w="1165" w:type="dxa"/>
                  <w:vAlign w:val="center"/>
                </w:tcPr>
                <w:p>
                  <w:pPr>
                    <w:widowControl/>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14</w:t>
                  </w:r>
                </w:p>
              </w:tc>
              <w:tc>
                <w:tcPr>
                  <w:tcW w:w="2785" w:type="dxa"/>
                  <w:shd w:val="clear" w:color="auto" w:fill="auto"/>
                  <w:vAlign w:val="center"/>
                </w:tcPr>
                <w:p>
                  <w:pPr>
                    <w:widowControl/>
                    <w:jc w:val="center"/>
                    <w:rPr>
                      <w:color w:val="000000"/>
                      <w:kern w:val="0"/>
                      <w:szCs w:val="21"/>
                    </w:rPr>
                  </w:pPr>
                  <w:r>
                    <w:rPr>
                      <w:color w:val="000000"/>
                      <w:kern w:val="0"/>
                      <w:szCs w:val="21"/>
                    </w:rPr>
                    <w:t>增压泵</w:t>
                  </w:r>
                </w:p>
              </w:tc>
              <w:tc>
                <w:tcPr>
                  <w:tcW w:w="929" w:type="dxa"/>
                  <w:shd w:val="clear" w:color="auto" w:fill="auto"/>
                  <w:noWrap/>
                  <w:vAlign w:val="center"/>
                </w:tcPr>
                <w:p>
                  <w:pPr>
                    <w:widowControl/>
                    <w:jc w:val="center"/>
                    <w:rPr>
                      <w:color w:val="000000"/>
                      <w:kern w:val="0"/>
                      <w:szCs w:val="21"/>
                    </w:rPr>
                  </w:pPr>
                  <w:r>
                    <w:rPr>
                      <w:color w:val="000000"/>
                      <w:kern w:val="0"/>
                      <w:szCs w:val="21"/>
                    </w:rPr>
                    <w:t>650</w:t>
                  </w:r>
                </w:p>
              </w:tc>
              <w:tc>
                <w:tcPr>
                  <w:tcW w:w="875" w:type="dxa"/>
                  <w:shd w:val="clear" w:color="auto" w:fill="auto"/>
                  <w:noWrap/>
                  <w:vAlign w:val="center"/>
                </w:tcPr>
                <w:p>
                  <w:pPr>
                    <w:widowControl/>
                    <w:jc w:val="center"/>
                    <w:rPr>
                      <w:color w:val="000000"/>
                      <w:kern w:val="0"/>
                      <w:szCs w:val="21"/>
                    </w:rPr>
                  </w:pPr>
                  <w:r>
                    <w:rPr>
                      <w:color w:val="000000"/>
                      <w:kern w:val="0"/>
                      <w:szCs w:val="21"/>
                    </w:rPr>
                    <w:t>51</w:t>
                  </w:r>
                </w:p>
              </w:tc>
              <w:tc>
                <w:tcPr>
                  <w:tcW w:w="1607" w:type="dxa"/>
                  <w:shd w:val="clear" w:color="auto" w:fill="auto"/>
                  <w:noWrap/>
                  <w:vAlign w:val="center"/>
                </w:tcPr>
                <w:p>
                  <w:pPr>
                    <w:widowControl/>
                    <w:jc w:val="center"/>
                    <w:rPr>
                      <w:color w:val="000000"/>
                      <w:kern w:val="0"/>
                      <w:szCs w:val="21"/>
                    </w:rPr>
                  </w:pPr>
                  <w:r>
                    <w:rPr>
                      <w:color w:val="000000"/>
                      <w:kern w:val="0"/>
                      <w:szCs w:val="21"/>
                    </w:rPr>
                    <w:t>160</w:t>
                  </w:r>
                </w:p>
              </w:tc>
              <w:tc>
                <w:tcPr>
                  <w:tcW w:w="1165" w:type="dxa"/>
                  <w:vAlign w:val="center"/>
                </w:tcPr>
                <w:p>
                  <w:pPr>
                    <w:widowControl/>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15</w:t>
                  </w:r>
                </w:p>
              </w:tc>
              <w:tc>
                <w:tcPr>
                  <w:tcW w:w="2785" w:type="dxa"/>
                  <w:shd w:val="clear" w:color="auto" w:fill="auto"/>
                  <w:vAlign w:val="center"/>
                </w:tcPr>
                <w:p>
                  <w:pPr>
                    <w:widowControl/>
                    <w:jc w:val="center"/>
                    <w:rPr>
                      <w:color w:val="000000"/>
                      <w:kern w:val="0"/>
                      <w:szCs w:val="21"/>
                    </w:rPr>
                  </w:pPr>
                  <w:r>
                    <w:rPr>
                      <w:color w:val="000000"/>
                      <w:kern w:val="0"/>
                      <w:szCs w:val="21"/>
                    </w:rPr>
                    <w:t>海水反渗透冲洗泵</w:t>
                  </w:r>
                </w:p>
              </w:tc>
              <w:tc>
                <w:tcPr>
                  <w:tcW w:w="929" w:type="dxa"/>
                  <w:shd w:val="clear" w:color="auto" w:fill="auto"/>
                  <w:noWrap/>
                  <w:vAlign w:val="center"/>
                </w:tcPr>
                <w:p>
                  <w:pPr>
                    <w:widowControl/>
                    <w:jc w:val="center"/>
                    <w:rPr>
                      <w:color w:val="000000"/>
                      <w:kern w:val="0"/>
                      <w:szCs w:val="21"/>
                    </w:rPr>
                  </w:pPr>
                  <w:r>
                    <w:rPr>
                      <w:color w:val="000000"/>
                      <w:kern w:val="0"/>
                      <w:szCs w:val="21"/>
                    </w:rPr>
                    <w:t>650</w:t>
                  </w:r>
                </w:p>
              </w:tc>
              <w:tc>
                <w:tcPr>
                  <w:tcW w:w="875" w:type="dxa"/>
                  <w:shd w:val="clear" w:color="auto" w:fill="auto"/>
                  <w:noWrap/>
                  <w:vAlign w:val="center"/>
                </w:tcPr>
                <w:p>
                  <w:pPr>
                    <w:widowControl/>
                    <w:jc w:val="center"/>
                    <w:rPr>
                      <w:color w:val="000000"/>
                      <w:kern w:val="0"/>
                      <w:szCs w:val="21"/>
                    </w:rPr>
                  </w:pPr>
                  <w:r>
                    <w:rPr>
                      <w:color w:val="000000"/>
                      <w:kern w:val="0"/>
                      <w:szCs w:val="21"/>
                    </w:rPr>
                    <w:t>35</w:t>
                  </w:r>
                </w:p>
              </w:tc>
              <w:tc>
                <w:tcPr>
                  <w:tcW w:w="1607" w:type="dxa"/>
                  <w:shd w:val="clear" w:color="auto" w:fill="auto"/>
                  <w:noWrap/>
                  <w:vAlign w:val="center"/>
                </w:tcPr>
                <w:p>
                  <w:pPr>
                    <w:widowControl/>
                    <w:jc w:val="center"/>
                    <w:rPr>
                      <w:color w:val="000000"/>
                      <w:kern w:val="0"/>
                      <w:szCs w:val="21"/>
                    </w:rPr>
                  </w:pPr>
                  <w:r>
                    <w:rPr>
                      <w:color w:val="000000"/>
                      <w:kern w:val="0"/>
                      <w:szCs w:val="21"/>
                    </w:rPr>
                    <w:t>132</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16</w:t>
                  </w:r>
                </w:p>
              </w:tc>
              <w:tc>
                <w:tcPr>
                  <w:tcW w:w="2785" w:type="dxa"/>
                  <w:shd w:val="clear" w:color="auto" w:fill="auto"/>
                  <w:vAlign w:val="center"/>
                </w:tcPr>
                <w:p>
                  <w:pPr>
                    <w:widowControl/>
                    <w:jc w:val="center"/>
                    <w:rPr>
                      <w:color w:val="000000"/>
                      <w:kern w:val="0"/>
                      <w:szCs w:val="21"/>
                    </w:rPr>
                  </w:pPr>
                  <w:r>
                    <w:rPr>
                      <w:color w:val="000000"/>
                      <w:kern w:val="0"/>
                      <w:szCs w:val="21"/>
                    </w:rPr>
                    <w:t>淡水反渗透给水泵</w:t>
                  </w:r>
                </w:p>
              </w:tc>
              <w:tc>
                <w:tcPr>
                  <w:tcW w:w="929" w:type="dxa"/>
                  <w:shd w:val="clear" w:color="auto" w:fill="auto"/>
                  <w:noWrap/>
                  <w:vAlign w:val="center"/>
                </w:tcPr>
                <w:p>
                  <w:pPr>
                    <w:widowControl/>
                    <w:jc w:val="center"/>
                    <w:rPr>
                      <w:color w:val="000000"/>
                      <w:kern w:val="0"/>
                      <w:szCs w:val="21"/>
                    </w:rPr>
                  </w:pPr>
                  <w:r>
                    <w:rPr>
                      <w:color w:val="000000"/>
                      <w:kern w:val="0"/>
                      <w:szCs w:val="21"/>
                    </w:rPr>
                    <w:t>235</w:t>
                  </w:r>
                </w:p>
              </w:tc>
              <w:tc>
                <w:tcPr>
                  <w:tcW w:w="875" w:type="dxa"/>
                  <w:shd w:val="clear" w:color="auto" w:fill="auto"/>
                  <w:noWrap/>
                  <w:vAlign w:val="center"/>
                </w:tcPr>
                <w:p>
                  <w:pPr>
                    <w:widowControl/>
                    <w:jc w:val="center"/>
                    <w:rPr>
                      <w:color w:val="000000"/>
                      <w:kern w:val="0"/>
                      <w:szCs w:val="21"/>
                    </w:rPr>
                  </w:pPr>
                  <w:r>
                    <w:rPr>
                      <w:color w:val="000000"/>
                      <w:kern w:val="0"/>
                      <w:szCs w:val="21"/>
                    </w:rPr>
                    <w:t>35</w:t>
                  </w:r>
                </w:p>
              </w:tc>
              <w:tc>
                <w:tcPr>
                  <w:tcW w:w="1607" w:type="dxa"/>
                  <w:shd w:val="clear" w:color="auto" w:fill="auto"/>
                  <w:noWrap/>
                  <w:vAlign w:val="center"/>
                </w:tcPr>
                <w:p>
                  <w:pPr>
                    <w:widowControl/>
                    <w:jc w:val="center"/>
                    <w:rPr>
                      <w:color w:val="000000"/>
                      <w:kern w:val="0"/>
                      <w:szCs w:val="21"/>
                    </w:rPr>
                  </w:pPr>
                  <w:r>
                    <w:rPr>
                      <w:color w:val="000000"/>
                      <w:kern w:val="0"/>
                      <w:szCs w:val="21"/>
                    </w:rPr>
                    <w:t>37</w:t>
                  </w:r>
                </w:p>
              </w:tc>
              <w:tc>
                <w:tcPr>
                  <w:tcW w:w="1165" w:type="dxa"/>
                  <w:vAlign w:val="center"/>
                </w:tcPr>
                <w:p>
                  <w:pPr>
                    <w:widowControl/>
                    <w:jc w:val="center"/>
                    <w:rPr>
                      <w:color w:val="000000"/>
                      <w:kern w:val="0"/>
                      <w:szCs w:val="21"/>
                    </w:rPr>
                  </w:pPr>
                  <w:r>
                    <w:rPr>
                      <w:color w:val="000000"/>
                      <w:kern w:val="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17</w:t>
                  </w:r>
                </w:p>
              </w:tc>
              <w:tc>
                <w:tcPr>
                  <w:tcW w:w="2785" w:type="dxa"/>
                  <w:shd w:val="clear" w:color="auto" w:fill="auto"/>
                  <w:vAlign w:val="center"/>
                </w:tcPr>
                <w:p>
                  <w:pPr>
                    <w:widowControl/>
                    <w:jc w:val="center"/>
                    <w:rPr>
                      <w:color w:val="000000"/>
                      <w:kern w:val="0"/>
                      <w:szCs w:val="21"/>
                    </w:rPr>
                  </w:pPr>
                  <w:r>
                    <w:rPr>
                      <w:color w:val="000000"/>
                      <w:kern w:val="0"/>
                      <w:szCs w:val="21"/>
                    </w:rPr>
                    <w:t>淡水反渗透高压泵</w:t>
                  </w:r>
                </w:p>
              </w:tc>
              <w:tc>
                <w:tcPr>
                  <w:tcW w:w="929" w:type="dxa"/>
                  <w:shd w:val="clear" w:color="auto" w:fill="auto"/>
                  <w:noWrap/>
                  <w:vAlign w:val="center"/>
                </w:tcPr>
                <w:p>
                  <w:pPr>
                    <w:widowControl/>
                    <w:jc w:val="center"/>
                    <w:rPr>
                      <w:color w:val="000000"/>
                      <w:kern w:val="0"/>
                      <w:szCs w:val="21"/>
                    </w:rPr>
                  </w:pPr>
                  <w:r>
                    <w:rPr>
                      <w:color w:val="000000"/>
                      <w:kern w:val="0"/>
                      <w:szCs w:val="21"/>
                    </w:rPr>
                    <w:t>235</w:t>
                  </w:r>
                </w:p>
              </w:tc>
              <w:tc>
                <w:tcPr>
                  <w:tcW w:w="875" w:type="dxa"/>
                  <w:shd w:val="clear" w:color="auto" w:fill="auto"/>
                  <w:noWrap/>
                  <w:vAlign w:val="center"/>
                </w:tcPr>
                <w:p>
                  <w:pPr>
                    <w:widowControl/>
                    <w:jc w:val="center"/>
                    <w:rPr>
                      <w:color w:val="000000"/>
                      <w:kern w:val="0"/>
                      <w:szCs w:val="21"/>
                    </w:rPr>
                  </w:pPr>
                  <w:r>
                    <w:rPr>
                      <w:color w:val="000000"/>
                      <w:kern w:val="0"/>
                      <w:szCs w:val="21"/>
                    </w:rPr>
                    <w:t>180</w:t>
                  </w:r>
                </w:p>
              </w:tc>
              <w:tc>
                <w:tcPr>
                  <w:tcW w:w="1607" w:type="dxa"/>
                  <w:shd w:val="clear" w:color="auto" w:fill="auto"/>
                  <w:noWrap/>
                  <w:vAlign w:val="center"/>
                </w:tcPr>
                <w:p>
                  <w:pPr>
                    <w:widowControl/>
                    <w:jc w:val="center"/>
                    <w:rPr>
                      <w:color w:val="000000"/>
                      <w:kern w:val="0"/>
                      <w:szCs w:val="21"/>
                    </w:rPr>
                  </w:pPr>
                  <w:r>
                    <w:rPr>
                      <w:color w:val="000000"/>
                      <w:kern w:val="0"/>
                      <w:szCs w:val="21"/>
                    </w:rPr>
                    <w:t>185</w:t>
                  </w:r>
                </w:p>
              </w:tc>
              <w:tc>
                <w:tcPr>
                  <w:tcW w:w="1165" w:type="dxa"/>
                  <w:vAlign w:val="center"/>
                </w:tcPr>
                <w:p>
                  <w:pPr>
                    <w:widowControl/>
                    <w:jc w:val="center"/>
                    <w:rPr>
                      <w:color w:val="000000"/>
                      <w:kern w:val="0"/>
                      <w:szCs w:val="21"/>
                    </w:rPr>
                  </w:pPr>
                  <w:r>
                    <w:rPr>
                      <w:color w:val="000000"/>
                      <w:kern w:val="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18</w:t>
                  </w:r>
                </w:p>
              </w:tc>
              <w:tc>
                <w:tcPr>
                  <w:tcW w:w="2785" w:type="dxa"/>
                  <w:shd w:val="clear" w:color="auto" w:fill="auto"/>
                  <w:vAlign w:val="center"/>
                </w:tcPr>
                <w:p>
                  <w:pPr>
                    <w:widowControl/>
                    <w:jc w:val="center"/>
                    <w:rPr>
                      <w:color w:val="000000"/>
                      <w:kern w:val="0"/>
                      <w:szCs w:val="21"/>
                    </w:rPr>
                  </w:pPr>
                  <w:r>
                    <w:rPr>
                      <w:rFonts w:hint="eastAsia"/>
                      <w:color w:val="000000"/>
                      <w:kern w:val="0"/>
                      <w:szCs w:val="21"/>
                    </w:rPr>
                    <w:t>海水反渗透</w:t>
                  </w:r>
                  <w:r>
                    <w:rPr>
                      <w:color w:val="000000"/>
                      <w:kern w:val="0"/>
                      <w:szCs w:val="21"/>
                    </w:rPr>
                    <w:t>还原剂计量泵</w:t>
                  </w:r>
                </w:p>
              </w:tc>
              <w:tc>
                <w:tcPr>
                  <w:tcW w:w="929" w:type="dxa"/>
                  <w:shd w:val="clear" w:color="auto" w:fill="auto"/>
                  <w:noWrap/>
                  <w:vAlign w:val="center"/>
                </w:tcPr>
                <w:p>
                  <w:pPr>
                    <w:widowControl/>
                    <w:jc w:val="center"/>
                    <w:rPr>
                      <w:color w:val="000000"/>
                      <w:kern w:val="0"/>
                      <w:szCs w:val="21"/>
                    </w:rPr>
                  </w:pPr>
                  <w:r>
                    <w:rPr>
                      <w:color w:val="000000"/>
                      <w:kern w:val="0"/>
                      <w:szCs w:val="21"/>
                    </w:rPr>
                    <w:t>0.4</w:t>
                  </w:r>
                </w:p>
              </w:tc>
              <w:tc>
                <w:tcPr>
                  <w:tcW w:w="875" w:type="dxa"/>
                  <w:shd w:val="clear" w:color="auto" w:fill="auto"/>
                  <w:noWrap/>
                  <w:vAlign w:val="center"/>
                </w:tcPr>
                <w:p>
                  <w:pPr>
                    <w:widowControl/>
                    <w:jc w:val="center"/>
                    <w:rPr>
                      <w:color w:val="000000"/>
                      <w:kern w:val="0"/>
                      <w:szCs w:val="21"/>
                    </w:rPr>
                  </w:pPr>
                  <w:r>
                    <w:rPr>
                      <w:color w:val="000000"/>
                      <w:kern w:val="0"/>
                      <w:szCs w:val="21"/>
                    </w:rPr>
                    <w:t>40</w:t>
                  </w:r>
                </w:p>
              </w:tc>
              <w:tc>
                <w:tcPr>
                  <w:tcW w:w="1607" w:type="dxa"/>
                  <w:shd w:val="clear" w:color="auto" w:fill="auto"/>
                  <w:noWrap/>
                  <w:vAlign w:val="center"/>
                </w:tcPr>
                <w:p>
                  <w:pPr>
                    <w:widowControl/>
                    <w:jc w:val="center"/>
                    <w:rPr>
                      <w:color w:val="000000"/>
                      <w:kern w:val="0"/>
                      <w:szCs w:val="21"/>
                    </w:rPr>
                  </w:pPr>
                  <w:r>
                    <w:rPr>
                      <w:color w:val="000000"/>
                      <w:kern w:val="0"/>
                      <w:szCs w:val="21"/>
                    </w:rPr>
                    <w:t>0.75</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19</w:t>
                  </w:r>
                </w:p>
              </w:tc>
              <w:tc>
                <w:tcPr>
                  <w:tcW w:w="2785" w:type="dxa"/>
                  <w:shd w:val="clear" w:color="auto" w:fill="auto"/>
                  <w:vAlign w:val="center"/>
                </w:tcPr>
                <w:p>
                  <w:pPr>
                    <w:widowControl/>
                    <w:jc w:val="center"/>
                    <w:rPr>
                      <w:color w:val="000000"/>
                      <w:kern w:val="0"/>
                      <w:szCs w:val="21"/>
                    </w:rPr>
                  </w:pPr>
                  <w:r>
                    <w:rPr>
                      <w:rFonts w:hint="eastAsia"/>
                      <w:color w:val="000000"/>
                      <w:kern w:val="0"/>
                      <w:szCs w:val="21"/>
                    </w:rPr>
                    <w:t>海水反渗透</w:t>
                  </w:r>
                  <w:r>
                    <w:rPr>
                      <w:color w:val="000000"/>
                      <w:kern w:val="0"/>
                      <w:szCs w:val="21"/>
                    </w:rPr>
                    <w:t>阻垢剂计量泵</w:t>
                  </w:r>
                </w:p>
              </w:tc>
              <w:tc>
                <w:tcPr>
                  <w:tcW w:w="929" w:type="dxa"/>
                  <w:shd w:val="clear" w:color="auto" w:fill="auto"/>
                  <w:noWrap/>
                  <w:vAlign w:val="center"/>
                </w:tcPr>
                <w:p>
                  <w:pPr>
                    <w:widowControl/>
                    <w:jc w:val="center"/>
                    <w:rPr>
                      <w:color w:val="000000"/>
                      <w:kern w:val="0"/>
                      <w:szCs w:val="21"/>
                    </w:rPr>
                  </w:pPr>
                  <w:r>
                    <w:rPr>
                      <w:color w:val="000000"/>
                      <w:kern w:val="0"/>
                      <w:szCs w:val="21"/>
                    </w:rPr>
                    <w:t>0</w:t>
                  </w:r>
                  <w:r>
                    <w:rPr>
                      <w:rFonts w:hint="eastAsia"/>
                      <w:color w:val="000000"/>
                      <w:kern w:val="0"/>
                      <w:szCs w:val="21"/>
                    </w:rPr>
                    <w:t>.</w:t>
                  </w:r>
                  <w:r>
                    <w:rPr>
                      <w:color w:val="000000"/>
                      <w:kern w:val="0"/>
                      <w:szCs w:val="21"/>
                    </w:rPr>
                    <w:t>05</w:t>
                  </w:r>
                </w:p>
              </w:tc>
              <w:tc>
                <w:tcPr>
                  <w:tcW w:w="875" w:type="dxa"/>
                  <w:shd w:val="clear" w:color="auto" w:fill="auto"/>
                  <w:noWrap/>
                  <w:vAlign w:val="center"/>
                </w:tcPr>
                <w:p>
                  <w:pPr>
                    <w:widowControl/>
                    <w:jc w:val="center"/>
                    <w:rPr>
                      <w:color w:val="000000"/>
                      <w:kern w:val="0"/>
                      <w:szCs w:val="21"/>
                    </w:rPr>
                  </w:pPr>
                  <w:r>
                    <w:rPr>
                      <w:color w:val="000000"/>
                      <w:kern w:val="0"/>
                      <w:szCs w:val="21"/>
                    </w:rPr>
                    <w:t>50</w:t>
                  </w:r>
                </w:p>
              </w:tc>
              <w:tc>
                <w:tcPr>
                  <w:tcW w:w="1607" w:type="dxa"/>
                  <w:shd w:val="clear" w:color="auto" w:fill="auto"/>
                  <w:noWrap/>
                  <w:vAlign w:val="center"/>
                </w:tcPr>
                <w:p>
                  <w:pPr>
                    <w:widowControl/>
                    <w:jc w:val="center"/>
                    <w:rPr>
                      <w:color w:val="000000"/>
                      <w:kern w:val="0"/>
                      <w:szCs w:val="21"/>
                    </w:rPr>
                  </w:pPr>
                  <w:r>
                    <w:rPr>
                      <w:color w:val="000000"/>
                      <w:kern w:val="0"/>
                      <w:szCs w:val="21"/>
                    </w:rPr>
                    <w:t>0.25</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20</w:t>
                  </w:r>
                </w:p>
              </w:tc>
              <w:tc>
                <w:tcPr>
                  <w:tcW w:w="2785" w:type="dxa"/>
                  <w:shd w:val="clear" w:color="auto" w:fill="auto"/>
                  <w:vAlign w:val="center"/>
                </w:tcPr>
                <w:p>
                  <w:pPr>
                    <w:widowControl/>
                    <w:jc w:val="center"/>
                    <w:rPr>
                      <w:color w:val="000000"/>
                      <w:kern w:val="0"/>
                      <w:szCs w:val="21"/>
                    </w:rPr>
                  </w:pPr>
                  <w:r>
                    <w:rPr>
                      <w:rFonts w:hint="eastAsia"/>
                      <w:color w:val="000000"/>
                      <w:kern w:val="0"/>
                      <w:szCs w:val="21"/>
                    </w:rPr>
                    <w:t>淡水反渗透</w:t>
                  </w:r>
                  <w:r>
                    <w:rPr>
                      <w:color w:val="000000"/>
                      <w:kern w:val="0"/>
                      <w:szCs w:val="21"/>
                    </w:rPr>
                    <w:t>阻垢剂计量泵</w:t>
                  </w:r>
                </w:p>
              </w:tc>
              <w:tc>
                <w:tcPr>
                  <w:tcW w:w="929" w:type="dxa"/>
                  <w:shd w:val="clear" w:color="auto" w:fill="auto"/>
                  <w:noWrap/>
                  <w:vAlign w:val="center"/>
                </w:tcPr>
                <w:p>
                  <w:pPr>
                    <w:widowControl/>
                    <w:jc w:val="center"/>
                    <w:rPr>
                      <w:color w:val="000000"/>
                      <w:kern w:val="0"/>
                      <w:szCs w:val="21"/>
                    </w:rPr>
                  </w:pPr>
                  <w:r>
                    <w:rPr>
                      <w:color w:val="000000"/>
                      <w:kern w:val="0"/>
                      <w:szCs w:val="21"/>
                    </w:rPr>
                    <w:t>0</w:t>
                  </w:r>
                  <w:r>
                    <w:rPr>
                      <w:rFonts w:hint="eastAsia"/>
                      <w:color w:val="000000"/>
                      <w:kern w:val="0"/>
                      <w:szCs w:val="21"/>
                    </w:rPr>
                    <w:t>.</w:t>
                  </w:r>
                  <w:r>
                    <w:rPr>
                      <w:color w:val="000000"/>
                      <w:kern w:val="0"/>
                      <w:szCs w:val="21"/>
                    </w:rPr>
                    <w:t>05</w:t>
                  </w:r>
                </w:p>
              </w:tc>
              <w:tc>
                <w:tcPr>
                  <w:tcW w:w="875" w:type="dxa"/>
                  <w:shd w:val="clear" w:color="auto" w:fill="auto"/>
                  <w:noWrap/>
                  <w:vAlign w:val="center"/>
                </w:tcPr>
                <w:p>
                  <w:pPr>
                    <w:widowControl/>
                    <w:jc w:val="center"/>
                    <w:rPr>
                      <w:color w:val="000000"/>
                      <w:kern w:val="0"/>
                      <w:szCs w:val="21"/>
                    </w:rPr>
                  </w:pPr>
                  <w:r>
                    <w:rPr>
                      <w:color w:val="000000"/>
                      <w:kern w:val="0"/>
                      <w:szCs w:val="21"/>
                    </w:rPr>
                    <w:t>50</w:t>
                  </w:r>
                </w:p>
              </w:tc>
              <w:tc>
                <w:tcPr>
                  <w:tcW w:w="1607" w:type="dxa"/>
                  <w:shd w:val="clear" w:color="auto" w:fill="auto"/>
                  <w:noWrap/>
                  <w:vAlign w:val="center"/>
                </w:tcPr>
                <w:p>
                  <w:pPr>
                    <w:widowControl/>
                    <w:jc w:val="center"/>
                    <w:rPr>
                      <w:color w:val="000000"/>
                      <w:kern w:val="0"/>
                      <w:szCs w:val="21"/>
                    </w:rPr>
                  </w:pPr>
                  <w:r>
                    <w:rPr>
                      <w:color w:val="000000"/>
                      <w:kern w:val="0"/>
                      <w:szCs w:val="21"/>
                    </w:rPr>
                    <w:t>0.25</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22</w:t>
                  </w:r>
                </w:p>
              </w:tc>
              <w:tc>
                <w:tcPr>
                  <w:tcW w:w="2785" w:type="dxa"/>
                  <w:shd w:val="clear" w:color="auto" w:fill="auto"/>
                  <w:vAlign w:val="center"/>
                </w:tcPr>
                <w:p>
                  <w:pPr>
                    <w:widowControl/>
                    <w:jc w:val="center"/>
                    <w:rPr>
                      <w:color w:val="000000"/>
                      <w:kern w:val="0"/>
                      <w:szCs w:val="21"/>
                    </w:rPr>
                  </w:pPr>
                  <w:r>
                    <w:rPr>
                      <w:color w:val="000000"/>
                      <w:kern w:val="0"/>
                      <w:szCs w:val="21"/>
                    </w:rPr>
                    <w:t>淡水反渗透进水氢氧化钠计量泵</w:t>
                  </w:r>
                </w:p>
              </w:tc>
              <w:tc>
                <w:tcPr>
                  <w:tcW w:w="929" w:type="dxa"/>
                  <w:shd w:val="clear" w:color="auto" w:fill="auto"/>
                  <w:noWrap/>
                  <w:vAlign w:val="center"/>
                </w:tcPr>
                <w:p>
                  <w:pPr>
                    <w:widowControl/>
                    <w:jc w:val="center"/>
                    <w:rPr>
                      <w:color w:val="000000"/>
                      <w:kern w:val="0"/>
                      <w:szCs w:val="21"/>
                    </w:rPr>
                  </w:pPr>
                  <w:r>
                    <w:rPr>
                      <w:color w:val="000000"/>
                      <w:kern w:val="0"/>
                      <w:szCs w:val="21"/>
                    </w:rPr>
                    <w:t>0.05</w:t>
                  </w:r>
                </w:p>
              </w:tc>
              <w:tc>
                <w:tcPr>
                  <w:tcW w:w="875" w:type="dxa"/>
                  <w:shd w:val="clear" w:color="auto" w:fill="auto"/>
                  <w:noWrap/>
                  <w:vAlign w:val="center"/>
                </w:tcPr>
                <w:p>
                  <w:pPr>
                    <w:widowControl/>
                    <w:jc w:val="center"/>
                    <w:rPr>
                      <w:color w:val="000000"/>
                      <w:kern w:val="0"/>
                      <w:szCs w:val="21"/>
                    </w:rPr>
                  </w:pPr>
                  <w:r>
                    <w:rPr>
                      <w:color w:val="000000"/>
                      <w:kern w:val="0"/>
                      <w:szCs w:val="21"/>
                    </w:rPr>
                    <w:t>40</w:t>
                  </w:r>
                </w:p>
              </w:tc>
              <w:tc>
                <w:tcPr>
                  <w:tcW w:w="1607" w:type="dxa"/>
                  <w:shd w:val="clear" w:color="auto" w:fill="auto"/>
                  <w:noWrap/>
                  <w:vAlign w:val="center"/>
                </w:tcPr>
                <w:p>
                  <w:pPr>
                    <w:widowControl/>
                    <w:jc w:val="center"/>
                    <w:rPr>
                      <w:color w:val="000000"/>
                      <w:kern w:val="0"/>
                      <w:szCs w:val="21"/>
                    </w:rPr>
                  </w:pPr>
                  <w:r>
                    <w:rPr>
                      <w:color w:val="000000"/>
                      <w:kern w:val="0"/>
                      <w:szCs w:val="21"/>
                    </w:rPr>
                    <w:t>0.25</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五</w:t>
                  </w:r>
                </w:p>
              </w:tc>
              <w:tc>
                <w:tcPr>
                  <w:tcW w:w="2785" w:type="dxa"/>
                  <w:shd w:val="clear" w:color="auto" w:fill="auto"/>
                  <w:vAlign w:val="center"/>
                </w:tcPr>
                <w:p>
                  <w:pPr>
                    <w:widowControl/>
                    <w:jc w:val="center"/>
                    <w:rPr>
                      <w:color w:val="000000"/>
                      <w:kern w:val="0"/>
                      <w:szCs w:val="21"/>
                    </w:rPr>
                  </w:pPr>
                  <w:r>
                    <w:rPr>
                      <w:color w:val="000000"/>
                      <w:kern w:val="0"/>
                      <w:szCs w:val="21"/>
                    </w:rPr>
                    <w:t>清洗系统</w:t>
                  </w:r>
                </w:p>
              </w:tc>
              <w:tc>
                <w:tcPr>
                  <w:tcW w:w="929" w:type="dxa"/>
                  <w:shd w:val="clear" w:color="auto" w:fill="auto"/>
                  <w:noWrap/>
                  <w:vAlign w:val="center"/>
                </w:tcPr>
                <w:p>
                  <w:pPr>
                    <w:widowControl/>
                    <w:jc w:val="center"/>
                    <w:rPr>
                      <w:color w:val="000000"/>
                      <w:kern w:val="0"/>
                      <w:szCs w:val="21"/>
                    </w:rPr>
                  </w:pPr>
                </w:p>
              </w:tc>
              <w:tc>
                <w:tcPr>
                  <w:tcW w:w="875" w:type="dxa"/>
                  <w:shd w:val="clear" w:color="auto" w:fill="auto"/>
                  <w:noWrap/>
                  <w:vAlign w:val="center"/>
                </w:tcPr>
                <w:p>
                  <w:pPr>
                    <w:widowControl/>
                    <w:jc w:val="center"/>
                    <w:rPr>
                      <w:color w:val="000000"/>
                      <w:kern w:val="0"/>
                      <w:szCs w:val="21"/>
                    </w:rPr>
                  </w:pPr>
                </w:p>
              </w:tc>
              <w:tc>
                <w:tcPr>
                  <w:tcW w:w="1607" w:type="dxa"/>
                  <w:shd w:val="clear" w:color="auto" w:fill="auto"/>
                  <w:noWrap/>
                  <w:vAlign w:val="center"/>
                </w:tcPr>
                <w:p>
                  <w:pPr>
                    <w:widowControl/>
                    <w:jc w:val="center"/>
                    <w:rPr>
                      <w:color w:val="000000"/>
                      <w:kern w:val="0"/>
                      <w:szCs w:val="21"/>
                    </w:rPr>
                  </w:pPr>
                </w:p>
              </w:tc>
              <w:tc>
                <w:tcPr>
                  <w:tcW w:w="1165"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24</w:t>
                  </w:r>
                </w:p>
              </w:tc>
              <w:tc>
                <w:tcPr>
                  <w:tcW w:w="2785" w:type="dxa"/>
                  <w:shd w:val="clear" w:color="auto" w:fill="auto"/>
                  <w:vAlign w:val="center"/>
                </w:tcPr>
                <w:p>
                  <w:pPr>
                    <w:widowControl/>
                    <w:jc w:val="center"/>
                    <w:rPr>
                      <w:color w:val="000000"/>
                      <w:kern w:val="0"/>
                      <w:szCs w:val="21"/>
                    </w:rPr>
                  </w:pPr>
                  <w:r>
                    <w:rPr>
                      <w:color w:val="000000"/>
                      <w:kern w:val="0"/>
                      <w:szCs w:val="21"/>
                    </w:rPr>
                    <w:t>超滤清洗泵</w:t>
                  </w:r>
                </w:p>
              </w:tc>
              <w:tc>
                <w:tcPr>
                  <w:tcW w:w="929" w:type="dxa"/>
                  <w:shd w:val="clear" w:color="auto" w:fill="auto"/>
                  <w:noWrap/>
                  <w:vAlign w:val="center"/>
                </w:tcPr>
                <w:p>
                  <w:pPr>
                    <w:widowControl/>
                    <w:jc w:val="center"/>
                    <w:rPr>
                      <w:color w:val="000000"/>
                      <w:kern w:val="0"/>
                      <w:szCs w:val="21"/>
                    </w:rPr>
                  </w:pPr>
                  <w:r>
                    <w:rPr>
                      <w:color w:val="000000"/>
                      <w:kern w:val="0"/>
                      <w:szCs w:val="21"/>
                    </w:rPr>
                    <w:t>360</w:t>
                  </w:r>
                </w:p>
              </w:tc>
              <w:tc>
                <w:tcPr>
                  <w:tcW w:w="875" w:type="dxa"/>
                  <w:shd w:val="clear" w:color="auto" w:fill="auto"/>
                  <w:noWrap/>
                  <w:vAlign w:val="center"/>
                </w:tcPr>
                <w:p>
                  <w:pPr>
                    <w:widowControl/>
                    <w:jc w:val="center"/>
                    <w:rPr>
                      <w:color w:val="000000"/>
                      <w:kern w:val="0"/>
                      <w:szCs w:val="21"/>
                    </w:rPr>
                  </w:pPr>
                  <w:r>
                    <w:rPr>
                      <w:color w:val="000000"/>
                      <w:kern w:val="0"/>
                      <w:szCs w:val="21"/>
                    </w:rPr>
                    <w:t>40</w:t>
                  </w:r>
                </w:p>
              </w:tc>
              <w:tc>
                <w:tcPr>
                  <w:tcW w:w="1607" w:type="dxa"/>
                  <w:shd w:val="clear" w:color="auto" w:fill="auto"/>
                  <w:noWrap/>
                  <w:vAlign w:val="center"/>
                </w:tcPr>
                <w:p>
                  <w:pPr>
                    <w:widowControl/>
                    <w:jc w:val="center"/>
                    <w:rPr>
                      <w:color w:val="000000"/>
                      <w:kern w:val="0"/>
                      <w:szCs w:val="21"/>
                    </w:rPr>
                  </w:pPr>
                  <w:r>
                    <w:rPr>
                      <w:color w:val="000000"/>
                      <w:kern w:val="0"/>
                      <w:szCs w:val="21"/>
                    </w:rPr>
                    <w:t>45</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25</w:t>
                  </w:r>
                </w:p>
              </w:tc>
              <w:tc>
                <w:tcPr>
                  <w:tcW w:w="2785" w:type="dxa"/>
                  <w:shd w:val="clear" w:color="auto" w:fill="auto"/>
                  <w:vAlign w:val="center"/>
                </w:tcPr>
                <w:p>
                  <w:pPr>
                    <w:jc w:val="center"/>
                    <w:rPr>
                      <w:color w:val="000000"/>
                      <w:kern w:val="0"/>
                      <w:szCs w:val="21"/>
                    </w:rPr>
                  </w:pPr>
                  <w:r>
                    <w:rPr>
                      <w:color w:val="000000"/>
                      <w:kern w:val="0"/>
                      <w:szCs w:val="21"/>
                    </w:rPr>
                    <w:t>海水反渗透清洗水泵</w:t>
                  </w:r>
                </w:p>
              </w:tc>
              <w:tc>
                <w:tcPr>
                  <w:tcW w:w="929" w:type="dxa"/>
                  <w:shd w:val="clear" w:color="auto" w:fill="auto"/>
                  <w:noWrap/>
                  <w:vAlign w:val="center"/>
                </w:tcPr>
                <w:p>
                  <w:pPr>
                    <w:widowControl/>
                    <w:jc w:val="center"/>
                    <w:rPr>
                      <w:color w:val="000000"/>
                      <w:kern w:val="0"/>
                      <w:szCs w:val="21"/>
                    </w:rPr>
                  </w:pPr>
                  <w:r>
                    <w:rPr>
                      <w:color w:val="000000"/>
                      <w:kern w:val="0"/>
                      <w:szCs w:val="21"/>
                    </w:rPr>
                    <w:t>950</w:t>
                  </w:r>
                </w:p>
              </w:tc>
              <w:tc>
                <w:tcPr>
                  <w:tcW w:w="875" w:type="dxa"/>
                  <w:shd w:val="clear" w:color="auto" w:fill="auto"/>
                  <w:noWrap/>
                  <w:vAlign w:val="center"/>
                </w:tcPr>
                <w:p>
                  <w:pPr>
                    <w:widowControl/>
                    <w:jc w:val="center"/>
                    <w:rPr>
                      <w:color w:val="000000"/>
                      <w:kern w:val="0"/>
                      <w:szCs w:val="21"/>
                    </w:rPr>
                  </w:pPr>
                  <w:r>
                    <w:rPr>
                      <w:color w:val="000000"/>
                      <w:kern w:val="0"/>
                      <w:szCs w:val="21"/>
                    </w:rPr>
                    <w:t>35</w:t>
                  </w:r>
                </w:p>
              </w:tc>
              <w:tc>
                <w:tcPr>
                  <w:tcW w:w="1607" w:type="dxa"/>
                  <w:shd w:val="clear" w:color="auto" w:fill="auto"/>
                  <w:noWrap/>
                  <w:vAlign w:val="center"/>
                </w:tcPr>
                <w:p>
                  <w:pPr>
                    <w:widowControl/>
                    <w:jc w:val="center"/>
                    <w:rPr>
                      <w:color w:val="000000"/>
                      <w:kern w:val="0"/>
                      <w:szCs w:val="21"/>
                    </w:rPr>
                  </w:pPr>
                  <w:r>
                    <w:rPr>
                      <w:color w:val="000000"/>
                      <w:kern w:val="0"/>
                      <w:szCs w:val="21"/>
                    </w:rPr>
                    <w:t>110</w:t>
                  </w:r>
                </w:p>
              </w:tc>
              <w:tc>
                <w:tcPr>
                  <w:tcW w:w="1165"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730" w:type="dxa"/>
                  <w:shd w:val="clear" w:color="auto" w:fill="auto"/>
                  <w:noWrap/>
                  <w:vAlign w:val="center"/>
                </w:tcPr>
                <w:p>
                  <w:pPr>
                    <w:widowControl/>
                    <w:jc w:val="center"/>
                    <w:rPr>
                      <w:color w:val="000000"/>
                      <w:kern w:val="0"/>
                      <w:szCs w:val="21"/>
                    </w:rPr>
                  </w:pPr>
                  <w:r>
                    <w:rPr>
                      <w:color w:val="000000"/>
                      <w:kern w:val="0"/>
                      <w:szCs w:val="21"/>
                    </w:rPr>
                    <w:t>26</w:t>
                  </w:r>
                </w:p>
              </w:tc>
              <w:tc>
                <w:tcPr>
                  <w:tcW w:w="2785" w:type="dxa"/>
                  <w:shd w:val="clear" w:color="auto" w:fill="auto"/>
                  <w:vAlign w:val="center"/>
                </w:tcPr>
                <w:p>
                  <w:pPr>
                    <w:widowControl/>
                    <w:jc w:val="center"/>
                    <w:rPr>
                      <w:color w:val="000000"/>
                      <w:kern w:val="0"/>
                      <w:szCs w:val="21"/>
                    </w:rPr>
                  </w:pPr>
                  <w:r>
                    <w:rPr>
                      <w:color w:val="000000"/>
                      <w:kern w:val="0"/>
                      <w:szCs w:val="21"/>
                    </w:rPr>
                    <w:t>淡水反渗透清洗水泵</w:t>
                  </w:r>
                </w:p>
              </w:tc>
              <w:tc>
                <w:tcPr>
                  <w:tcW w:w="929" w:type="dxa"/>
                  <w:shd w:val="clear" w:color="auto" w:fill="auto"/>
                  <w:noWrap/>
                  <w:vAlign w:val="center"/>
                </w:tcPr>
                <w:p>
                  <w:pPr>
                    <w:widowControl/>
                    <w:jc w:val="center"/>
                    <w:rPr>
                      <w:color w:val="000000"/>
                      <w:kern w:val="0"/>
                      <w:szCs w:val="21"/>
                    </w:rPr>
                  </w:pPr>
                  <w:r>
                    <w:rPr>
                      <w:color w:val="000000"/>
                      <w:kern w:val="0"/>
                      <w:szCs w:val="21"/>
                    </w:rPr>
                    <w:t>170</w:t>
                  </w:r>
                </w:p>
              </w:tc>
              <w:tc>
                <w:tcPr>
                  <w:tcW w:w="875" w:type="dxa"/>
                  <w:shd w:val="clear" w:color="auto" w:fill="auto"/>
                  <w:noWrap/>
                  <w:vAlign w:val="center"/>
                </w:tcPr>
                <w:p>
                  <w:pPr>
                    <w:widowControl/>
                    <w:jc w:val="center"/>
                    <w:rPr>
                      <w:color w:val="000000"/>
                      <w:kern w:val="0"/>
                      <w:szCs w:val="21"/>
                    </w:rPr>
                  </w:pPr>
                  <w:r>
                    <w:rPr>
                      <w:color w:val="000000"/>
                      <w:kern w:val="0"/>
                      <w:szCs w:val="21"/>
                    </w:rPr>
                    <w:t>35</w:t>
                  </w:r>
                </w:p>
              </w:tc>
              <w:tc>
                <w:tcPr>
                  <w:tcW w:w="1607" w:type="dxa"/>
                  <w:shd w:val="clear" w:color="auto" w:fill="auto"/>
                  <w:noWrap/>
                  <w:vAlign w:val="center"/>
                </w:tcPr>
                <w:p>
                  <w:pPr>
                    <w:widowControl/>
                    <w:jc w:val="center"/>
                    <w:rPr>
                      <w:color w:val="000000"/>
                      <w:kern w:val="0"/>
                      <w:szCs w:val="21"/>
                    </w:rPr>
                  </w:pPr>
                  <w:r>
                    <w:rPr>
                      <w:color w:val="000000"/>
                      <w:kern w:val="0"/>
                      <w:szCs w:val="21"/>
                    </w:rPr>
                    <w:t>22</w:t>
                  </w:r>
                </w:p>
              </w:tc>
              <w:tc>
                <w:tcPr>
                  <w:tcW w:w="1165" w:type="dxa"/>
                  <w:vAlign w:val="center"/>
                </w:tcPr>
                <w:p>
                  <w:pPr>
                    <w:widowControl/>
                    <w:jc w:val="center"/>
                    <w:rPr>
                      <w:color w:val="000000"/>
                      <w:kern w:val="0"/>
                      <w:szCs w:val="21"/>
                    </w:rPr>
                  </w:pPr>
                  <w:r>
                    <w:rPr>
                      <w:color w:val="000000"/>
                      <w:kern w:val="0"/>
                      <w:szCs w:val="21"/>
                    </w:rPr>
                    <w:t>1</w:t>
                  </w:r>
                </w:p>
              </w:tc>
            </w:tr>
          </w:tbl>
          <w:p>
            <w:pPr>
              <w:jc w:val="center"/>
              <w:rPr>
                <w:b/>
                <w:bCs/>
                <w:szCs w:val="21"/>
              </w:rPr>
            </w:pPr>
            <w:r>
              <w:rPr>
                <w:rFonts w:hint="eastAsia"/>
                <w:b/>
                <w:bCs/>
                <w:szCs w:val="21"/>
              </w:rPr>
              <w:t>表</w:t>
            </w:r>
            <w:r>
              <w:rPr>
                <w:b/>
                <w:bCs/>
                <w:szCs w:val="21"/>
              </w:rPr>
              <w:t xml:space="preserve">4 </w:t>
            </w:r>
            <w:r>
              <w:rPr>
                <w:rFonts w:hint="eastAsia"/>
                <w:b/>
                <w:bCs/>
                <w:szCs w:val="21"/>
              </w:rPr>
              <w:t>二期主要设备一览表（</w:t>
            </w:r>
            <w:r>
              <w:rPr>
                <w:b/>
                <w:bCs/>
                <w:szCs w:val="21"/>
              </w:rPr>
              <w:t>7</w:t>
            </w:r>
            <w:r>
              <w:rPr>
                <w:rFonts w:hint="eastAsia"/>
                <w:b/>
                <w:bCs/>
                <w:szCs w:val="21"/>
              </w:rPr>
              <w:t>万m</w:t>
            </w:r>
            <w:r>
              <w:rPr>
                <w:b/>
                <w:bCs/>
                <w:szCs w:val="21"/>
                <w:vertAlign w:val="superscript"/>
              </w:rPr>
              <w:t>3</w:t>
            </w:r>
            <w:r>
              <w:rPr>
                <w:b/>
                <w:bCs/>
                <w:szCs w:val="21"/>
              </w:rPr>
              <w:t>/d</w:t>
            </w:r>
            <w:r>
              <w:rPr>
                <w:rFonts w:hint="eastAsia"/>
                <w:b/>
                <w:bCs/>
                <w:szCs w:val="21"/>
              </w:rPr>
              <w:t>）</w:t>
            </w:r>
          </w:p>
          <w:tbl>
            <w:tblPr>
              <w:tblStyle w:val="88"/>
              <w:tblW w:w="795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5"/>
              <w:gridCol w:w="2791"/>
              <w:gridCol w:w="847"/>
              <w:gridCol w:w="906"/>
              <w:gridCol w:w="1661"/>
              <w:gridCol w:w="10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0" w:hRule="atLeast"/>
                <w:jc w:val="center"/>
              </w:trPr>
              <w:tc>
                <w:tcPr>
                  <w:tcW w:w="735" w:type="dxa"/>
                  <w:vMerge w:val="restart"/>
                  <w:shd w:val="clear" w:color="auto" w:fill="auto"/>
                  <w:vAlign w:val="center"/>
                </w:tcPr>
                <w:p>
                  <w:pPr>
                    <w:widowControl/>
                    <w:jc w:val="center"/>
                    <w:rPr>
                      <w:color w:val="000000"/>
                      <w:kern w:val="0"/>
                      <w:szCs w:val="21"/>
                    </w:rPr>
                  </w:pPr>
                  <w:r>
                    <w:rPr>
                      <w:color w:val="000000"/>
                      <w:kern w:val="0"/>
                      <w:szCs w:val="21"/>
                    </w:rPr>
                    <w:t>序号</w:t>
                  </w:r>
                </w:p>
              </w:tc>
              <w:tc>
                <w:tcPr>
                  <w:tcW w:w="2791" w:type="dxa"/>
                  <w:vMerge w:val="restart"/>
                  <w:shd w:val="clear" w:color="auto" w:fill="auto"/>
                  <w:vAlign w:val="center"/>
                </w:tcPr>
                <w:p>
                  <w:pPr>
                    <w:widowControl/>
                    <w:jc w:val="center"/>
                    <w:rPr>
                      <w:color w:val="000000"/>
                      <w:kern w:val="0"/>
                      <w:szCs w:val="21"/>
                    </w:rPr>
                  </w:pPr>
                  <w:r>
                    <w:rPr>
                      <w:color w:val="000000"/>
                      <w:kern w:val="0"/>
                      <w:szCs w:val="21"/>
                    </w:rPr>
                    <w:t>名称</w:t>
                  </w:r>
                </w:p>
              </w:tc>
              <w:tc>
                <w:tcPr>
                  <w:tcW w:w="3414" w:type="dxa"/>
                  <w:gridSpan w:val="3"/>
                  <w:shd w:val="clear" w:color="auto" w:fill="auto"/>
                  <w:vAlign w:val="center"/>
                </w:tcPr>
                <w:p>
                  <w:pPr>
                    <w:widowControl/>
                    <w:jc w:val="center"/>
                    <w:rPr>
                      <w:color w:val="000000"/>
                      <w:kern w:val="0"/>
                      <w:szCs w:val="21"/>
                    </w:rPr>
                  </w:pPr>
                  <w:r>
                    <w:rPr>
                      <w:rFonts w:hint="eastAsia"/>
                      <w:color w:val="000000"/>
                      <w:kern w:val="0"/>
                      <w:szCs w:val="21"/>
                    </w:rPr>
                    <w:t>设备具体参数</w:t>
                  </w:r>
                </w:p>
              </w:tc>
              <w:tc>
                <w:tcPr>
                  <w:tcW w:w="1017" w:type="dxa"/>
                  <w:vMerge w:val="restart"/>
                  <w:vAlign w:val="center"/>
                </w:tcPr>
                <w:p>
                  <w:pPr>
                    <w:widowControl/>
                    <w:jc w:val="center"/>
                    <w:rPr>
                      <w:color w:val="000000"/>
                      <w:kern w:val="0"/>
                      <w:szCs w:val="21"/>
                    </w:rPr>
                  </w:pPr>
                  <w:r>
                    <w:rPr>
                      <w:color w:val="000000"/>
                      <w:kern w:val="0"/>
                      <w:szCs w:val="21"/>
                    </w:rPr>
                    <w:t>运行数量(台)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0" w:hRule="atLeast"/>
                <w:jc w:val="center"/>
              </w:trPr>
              <w:tc>
                <w:tcPr>
                  <w:tcW w:w="735" w:type="dxa"/>
                  <w:vMerge w:val="continue"/>
                  <w:shd w:val="clear" w:color="auto" w:fill="auto"/>
                  <w:vAlign w:val="center"/>
                </w:tcPr>
                <w:p>
                  <w:pPr>
                    <w:widowControl/>
                    <w:jc w:val="center"/>
                    <w:rPr>
                      <w:color w:val="000000"/>
                      <w:kern w:val="0"/>
                      <w:szCs w:val="21"/>
                    </w:rPr>
                  </w:pPr>
                </w:p>
              </w:tc>
              <w:tc>
                <w:tcPr>
                  <w:tcW w:w="2791" w:type="dxa"/>
                  <w:vMerge w:val="continue"/>
                  <w:shd w:val="clear" w:color="auto" w:fill="auto"/>
                  <w:vAlign w:val="center"/>
                </w:tcPr>
                <w:p>
                  <w:pPr>
                    <w:widowControl/>
                    <w:jc w:val="center"/>
                    <w:rPr>
                      <w:color w:val="000000"/>
                      <w:kern w:val="0"/>
                      <w:szCs w:val="21"/>
                    </w:rPr>
                  </w:pPr>
                </w:p>
              </w:tc>
              <w:tc>
                <w:tcPr>
                  <w:tcW w:w="847" w:type="dxa"/>
                  <w:shd w:val="clear" w:color="auto" w:fill="auto"/>
                  <w:vAlign w:val="center"/>
                </w:tcPr>
                <w:p>
                  <w:pPr>
                    <w:widowControl/>
                    <w:jc w:val="center"/>
                    <w:rPr>
                      <w:color w:val="000000"/>
                      <w:kern w:val="0"/>
                      <w:szCs w:val="21"/>
                    </w:rPr>
                  </w:pPr>
                  <w:r>
                    <w:rPr>
                      <w:color w:val="000000"/>
                      <w:kern w:val="0"/>
                      <w:szCs w:val="21"/>
                    </w:rPr>
                    <w:t>流量(m</w:t>
                  </w:r>
                  <w:r>
                    <w:rPr>
                      <w:color w:val="000000"/>
                      <w:kern w:val="0"/>
                      <w:szCs w:val="21"/>
                      <w:vertAlign w:val="superscript"/>
                    </w:rPr>
                    <w:t>3</w:t>
                  </w:r>
                  <w:r>
                    <w:rPr>
                      <w:color w:val="000000"/>
                      <w:kern w:val="0"/>
                      <w:szCs w:val="21"/>
                    </w:rPr>
                    <w:t>/h)</w:t>
                  </w:r>
                </w:p>
              </w:tc>
              <w:tc>
                <w:tcPr>
                  <w:tcW w:w="906" w:type="dxa"/>
                  <w:shd w:val="clear" w:color="auto" w:fill="auto"/>
                  <w:vAlign w:val="center"/>
                </w:tcPr>
                <w:p>
                  <w:pPr>
                    <w:widowControl/>
                    <w:jc w:val="center"/>
                    <w:rPr>
                      <w:color w:val="000000"/>
                      <w:kern w:val="0"/>
                      <w:szCs w:val="21"/>
                    </w:rPr>
                  </w:pPr>
                  <w:r>
                    <w:rPr>
                      <w:color w:val="000000"/>
                      <w:kern w:val="0"/>
                      <w:szCs w:val="21"/>
                    </w:rPr>
                    <w:t>扬程(m)</w:t>
                  </w:r>
                </w:p>
              </w:tc>
              <w:tc>
                <w:tcPr>
                  <w:tcW w:w="1661" w:type="dxa"/>
                  <w:shd w:val="clear" w:color="auto" w:fill="auto"/>
                  <w:vAlign w:val="center"/>
                </w:tcPr>
                <w:p>
                  <w:pPr>
                    <w:widowControl/>
                    <w:jc w:val="center"/>
                    <w:rPr>
                      <w:color w:val="000000"/>
                      <w:kern w:val="0"/>
                      <w:szCs w:val="21"/>
                    </w:rPr>
                  </w:pPr>
                  <w:r>
                    <w:rPr>
                      <w:color w:val="000000"/>
                      <w:kern w:val="0"/>
                      <w:szCs w:val="21"/>
                    </w:rPr>
                    <w:t>计算单机运行功率（kW）</w:t>
                  </w:r>
                </w:p>
              </w:tc>
              <w:tc>
                <w:tcPr>
                  <w:tcW w:w="1017" w:type="dxa"/>
                  <w:vMerge w:val="continue"/>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一</w:t>
                  </w:r>
                </w:p>
              </w:tc>
              <w:tc>
                <w:tcPr>
                  <w:tcW w:w="2791" w:type="dxa"/>
                  <w:shd w:val="clear" w:color="auto" w:fill="auto"/>
                  <w:vAlign w:val="center"/>
                </w:tcPr>
                <w:p>
                  <w:pPr>
                    <w:widowControl/>
                    <w:jc w:val="center"/>
                    <w:rPr>
                      <w:color w:val="000000"/>
                      <w:kern w:val="0"/>
                      <w:szCs w:val="21"/>
                    </w:rPr>
                  </w:pPr>
                  <w:r>
                    <w:rPr>
                      <w:color w:val="000000"/>
                      <w:kern w:val="0"/>
                      <w:szCs w:val="21"/>
                    </w:rPr>
                    <w:t>取水系统</w:t>
                  </w:r>
                </w:p>
              </w:tc>
              <w:tc>
                <w:tcPr>
                  <w:tcW w:w="847" w:type="dxa"/>
                  <w:shd w:val="clear" w:color="auto" w:fill="auto"/>
                  <w:vAlign w:val="center"/>
                </w:tcPr>
                <w:p>
                  <w:pPr>
                    <w:widowControl/>
                    <w:jc w:val="center"/>
                    <w:rPr>
                      <w:color w:val="000000"/>
                      <w:kern w:val="0"/>
                      <w:szCs w:val="21"/>
                    </w:rPr>
                  </w:pPr>
                </w:p>
              </w:tc>
              <w:tc>
                <w:tcPr>
                  <w:tcW w:w="906" w:type="dxa"/>
                  <w:shd w:val="clear" w:color="auto" w:fill="auto"/>
                  <w:vAlign w:val="center"/>
                </w:tcPr>
                <w:p>
                  <w:pPr>
                    <w:widowControl/>
                    <w:jc w:val="center"/>
                    <w:rPr>
                      <w:color w:val="000000"/>
                      <w:kern w:val="0"/>
                      <w:szCs w:val="21"/>
                    </w:rPr>
                  </w:pPr>
                </w:p>
              </w:tc>
              <w:tc>
                <w:tcPr>
                  <w:tcW w:w="1661" w:type="dxa"/>
                  <w:shd w:val="clear" w:color="auto" w:fill="auto"/>
                  <w:vAlign w:val="center"/>
                </w:tcPr>
                <w:p>
                  <w:pPr>
                    <w:widowControl/>
                    <w:jc w:val="center"/>
                    <w:rPr>
                      <w:color w:val="000000"/>
                      <w:kern w:val="0"/>
                      <w:szCs w:val="21"/>
                    </w:rPr>
                  </w:pPr>
                </w:p>
              </w:tc>
              <w:tc>
                <w:tcPr>
                  <w:tcW w:w="1017"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w:t>
                  </w:r>
                </w:p>
              </w:tc>
              <w:tc>
                <w:tcPr>
                  <w:tcW w:w="2791" w:type="dxa"/>
                  <w:shd w:val="clear" w:color="auto" w:fill="auto"/>
                  <w:vAlign w:val="center"/>
                </w:tcPr>
                <w:p>
                  <w:pPr>
                    <w:widowControl/>
                    <w:jc w:val="center"/>
                    <w:rPr>
                      <w:color w:val="000000"/>
                      <w:kern w:val="0"/>
                      <w:szCs w:val="21"/>
                    </w:rPr>
                  </w:pPr>
                  <w:r>
                    <w:rPr>
                      <w:color w:val="000000"/>
                      <w:kern w:val="0"/>
                      <w:szCs w:val="21"/>
                    </w:rPr>
                    <w:t>取水泵</w:t>
                  </w:r>
                </w:p>
              </w:tc>
              <w:tc>
                <w:tcPr>
                  <w:tcW w:w="847" w:type="dxa"/>
                  <w:shd w:val="clear" w:color="auto" w:fill="auto"/>
                  <w:vAlign w:val="center"/>
                </w:tcPr>
                <w:p>
                  <w:pPr>
                    <w:widowControl/>
                    <w:jc w:val="center"/>
                    <w:rPr>
                      <w:color w:val="000000"/>
                      <w:kern w:val="0"/>
                      <w:szCs w:val="21"/>
                    </w:rPr>
                  </w:pPr>
                  <w:r>
                    <w:rPr>
                      <w:color w:val="000000"/>
                      <w:kern w:val="0"/>
                      <w:szCs w:val="21"/>
                    </w:rPr>
                    <w:t>10188</w:t>
                  </w:r>
                </w:p>
              </w:tc>
              <w:tc>
                <w:tcPr>
                  <w:tcW w:w="906" w:type="dxa"/>
                  <w:shd w:val="clear" w:color="auto" w:fill="auto"/>
                  <w:vAlign w:val="center"/>
                </w:tcPr>
                <w:p>
                  <w:pPr>
                    <w:widowControl/>
                    <w:jc w:val="center"/>
                    <w:rPr>
                      <w:color w:val="000000"/>
                      <w:kern w:val="0"/>
                      <w:szCs w:val="21"/>
                    </w:rPr>
                  </w:pPr>
                  <w:r>
                    <w:rPr>
                      <w:color w:val="000000"/>
                      <w:kern w:val="0"/>
                      <w:szCs w:val="21"/>
                    </w:rPr>
                    <w:t>11.39</w:t>
                  </w:r>
                </w:p>
              </w:tc>
              <w:tc>
                <w:tcPr>
                  <w:tcW w:w="1661" w:type="dxa"/>
                  <w:shd w:val="clear" w:color="auto" w:fill="auto"/>
                  <w:vAlign w:val="center"/>
                </w:tcPr>
                <w:p>
                  <w:pPr>
                    <w:widowControl/>
                    <w:jc w:val="center"/>
                    <w:rPr>
                      <w:color w:val="000000"/>
                      <w:kern w:val="0"/>
                      <w:szCs w:val="21"/>
                    </w:rPr>
                  </w:pPr>
                  <w:r>
                    <w:rPr>
                      <w:color w:val="000000"/>
                      <w:kern w:val="0"/>
                      <w:szCs w:val="21"/>
                    </w:rPr>
                    <w:t>600</w:t>
                  </w:r>
                </w:p>
              </w:tc>
              <w:tc>
                <w:tcPr>
                  <w:tcW w:w="1017"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二</w:t>
                  </w:r>
                </w:p>
              </w:tc>
              <w:tc>
                <w:tcPr>
                  <w:tcW w:w="2791" w:type="dxa"/>
                  <w:shd w:val="clear" w:color="auto" w:fill="auto"/>
                  <w:noWrap/>
                  <w:vAlign w:val="center"/>
                </w:tcPr>
                <w:p>
                  <w:pPr>
                    <w:widowControl/>
                    <w:jc w:val="center"/>
                    <w:rPr>
                      <w:color w:val="000000"/>
                      <w:kern w:val="0"/>
                      <w:szCs w:val="21"/>
                    </w:rPr>
                  </w:pPr>
                  <w:r>
                    <w:rPr>
                      <w:color w:val="000000"/>
                      <w:kern w:val="0"/>
                      <w:szCs w:val="21"/>
                    </w:rPr>
                    <w:t>初步预处理</w:t>
                  </w:r>
                </w:p>
              </w:tc>
              <w:tc>
                <w:tcPr>
                  <w:tcW w:w="847" w:type="dxa"/>
                  <w:shd w:val="clear" w:color="auto" w:fill="auto"/>
                  <w:vAlign w:val="center"/>
                </w:tcPr>
                <w:p>
                  <w:pPr>
                    <w:widowControl/>
                    <w:jc w:val="center"/>
                    <w:rPr>
                      <w:color w:val="000000"/>
                      <w:kern w:val="0"/>
                      <w:szCs w:val="21"/>
                    </w:rPr>
                  </w:pPr>
                </w:p>
              </w:tc>
              <w:tc>
                <w:tcPr>
                  <w:tcW w:w="906" w:type="dxa"/>
                  <w:shd w:val="clear" w:color="auto" w:fill="auto"/>
                  <w:vAlign w:val="center"/>
                </w:tcPr>
                <w:p>
                  <w:pPr>
                    <w:widowControl/>
                    <w:jc w:val="center"/>
                    <w:rPr>
                      <w:color w:val="000000"/>
                      <w:kern w:val="0"/>
                      <w:szCs w:val="21"/>
                    </w:rPr>
                  </w:pPr>
                </w:p>
              </w:tc>
              <w:tc>
                <w:tcPr>
                  <w:tcW w:w="1661" w:type="dxa"/>
                  <w:shd w:val="clear" w:color="auto" w:fill="auto"/>
                  <w:vAlign w:val="center"/>
                </w:tcPr>
                <w:p>
                  <w:pPr>
                    <w:widowControl/>
                    <w:jc w:val="center"/>
                    <w:rPr>
                      <w:color w:val="000000"/>
                      <w:kern w:val="0"/>
                      <w:szCs w:val="21"/>
                    </w:rPr>
                  </w:pPr>
                </w:p>
              </w:tc>
              <w:tc>
                <w:tcPr>
                  <w:tcW w:w="1017"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w:t>
                  </w:r>
                </w:p>
              </w:tc>
              <w:tc>
                <w:tcPr>
                  <w:tcW w:w="2791" w:type="dxa"/>
                  <w:shd w:val="clear" w:color="auto" w:fill="auto"/>
                  <w:noWrap/>
                  <w:vAlign w:val="center"/>
                </w:tcPr>
                <w:p>
                  <w:pPr>
                    <w:widowControl/>
                    <w:jc w:val="center"/>
                    <w:rPr>
                      <w:color w:val="000000"/>
                      <w:kern w:val="0"/>
                      <w:szCs w:val="21"/>
                    </w:rPr>
                  </w:pPr>
                  <w:r>
                    <w:rPr>
                      <w:color w:val="000000"/>
                      <w:kern w:val="0"/>
                      <w:szCs w:val="21"/>
                    </w:rPr>
                    <w:t>滤池反洗泵</w:t>
                  </w:r>
                </w:p>
              </w:tc>
              <w:tc>
                <w:tcPr>
                  <w:tcW w:w="847" w:type="dxa"/>
                  <w:shd w:val="clear" w:color="auto" w:fill="auto"/>
                  <w:noWrap/>
                  <w:vAlign w:val="center"/>
                </w:tcPr>
                <w:p>
                  <w:pPr>
                    <w:widowControl/>
                    <w:jc w:val="center"/>
                    <w:rPr>
                      <w:color w:val="000000"/>
                      <w:kern w:val="0"/>
                      <w:szCs w:val="21"/>
                    </w:rPr>
                  </w:pPr>
                  <w:r>
                    <w:rPr>
                      <w:color w:val="000000"/>
                      <w:kern w:val="0"/>
                      <w:szCs w:val="21"/>
                    </w:rPr>
                    <w:t>1300</w:t>
                  </w:r>
                </w:p>
              </w:tc>
              <w:tc>
                <w:tcPr>
                  <w:tcW w:w="906" w:type="dxa"/>
                  <w:shd w:val="clear" w:color="auto" w:fill="auto"/>
                  <w:noWrap/>
                  <w:vAlign w:val="center"/>
                </w:tcPr>
                <w:p>
                  <w:pPr>
                    <w:widowControl/>
                    <w:jc w:val="center"/>
                    <w:rPr>
                      <w:color w:val="000000"/>
                      <w:kern w:val="0"/>
                      <w:szCs w:val="21"/>
                    </w:rPr>
                  </w:pPr>
                  <w:r>
                    <w:rPr>
                      <w:color w:val="000000"/>
                      <w:kern w:val="0"/>
                      <w:szCs w:val="21"/>
                    </w:rPr>
                    <w:t>20</w:t>
                  </w:r>
                </w:p>
              </w:tc>
              <w:tc>
                <w:tcPr>
                  <w:tcW w:w="1661" w:type="dxa"/>
                  <w:shd w:val="clear" w:color="auto" w:fill="auto"/>
                  <w:noWrap/>
                  <w:vAlign w:val="center"/>
                </w:tcPr>
                <w:p>
                  <w:pPr>
                    <w:widowControl/>
                    <w:jc w:val="center"/>
                    <w:rPr>
                      <w:color w:val="000000"/>
                      <w:kern w:val="0"/>
                      <w:szCs w:val="21"/>
                    </w:rPr>
                  </w:pPr>
                  <w:r>
                    <w:rPr>
                      <w:color w:val="000000"/>
                      <w:kern w:val="0"/>
                      <w:szCs w:val="21"/>
                    </w:rPr>
                    <w:t>160</w:t>
                  </w:r>
                </w:p>
              </w:tc>
              <w:tc>
                <w:tcPr>
                  <w:tcW w:w="1017" w:type="dxa"/>
                  <w:vAlign w:val="center"/>
                </w:tcPr>
                <w:p>
                  <w:pPr>
                    <w:widowControl/>
                    <w:jc w:val="center"/>
                    <w:rPr>
                      <w:color w:val="000000"/>
                      <w:kern w:val="0"/>
                      <w:szCs w:val="21"/>
                    </w:rPr>
                  </w:pPr>
                  <w:r>
                    <w:rPr>
                      <w:color w:val="000000"/>
                      <w:kern w:val="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2</w:t>
                  </w:r>
                </w:p>
              </w:tc>
              <w:tc>
                <w:tcPr>
                  <w:tcW w:w="2791" w:type="dxa"/>
                  <w:shd w:val="clear" w:color="auto" w:fill="auto"/>
                  <w:noWrap/>
                  <w:vAlign w:val="center"/>
                </w:tcPr>
                <w:p>
                  <w:pPr>
                    <w:widowControl/>
                    <w:jc w:val="center"/>
                    <w:rPr>
                      <w:color w:val="000000"/>
                      <w:kern w:val="0"/>
                      <w:szCs w:val="21"/>
                    </w:rPr>
                  </w:pPr>
                  <w:r>
                    <w:rPr>
                      <w:color w:val="000000"/>
                      <w:kern w:val="0"/>
                      <w:szCs w:val="21"/>
                    </w:rPr>
                    <w:t>滤池</w:t>
                  </w:r>
                  <w:r>
                    <w:rPr>
                      <w:rFonts w:hint="eastAsia"/>
                      <w:color w:val="000000"/>
                      <w:kern w:val="0"/>
                      <w:szCs w:val="21"/>
                    </w:rPr>
                    <w:t>反洗</w:t>
                  </w:r>
                  <w:r>
                    <w:rPr>
                      <w:color w:val="000000"/>
                      <w:kern w:val="0"/>
                      <w:szCs w:val="21"/>
                    </w:rPr>
                    <w:t>风机</w:t>
                  </w:r>
                </w:p>
              </w:tc>
              <w:tc>
                <w:tcPr>
                  <w:tcW w:w="847" w:type="dxa"/>
                  <w:shd w:val="clear" w:color="auto" w:fill="auto"/>
                  <w:noWrap/>
                  <w:vAlign w:val="center"/>
                </w:tcPr>
                <w:p>
                  <w:pPr>
                    <w:widowControl/>
                    <w:jc w:val="center"/>
                    <w:rPr>
                      <w:color w:val="000000"/>
                      <w:kern w:val="0"/>
                      <w:szCs w:val="21"/>
                    </w:rPr>
                  </w:pPr>
                  <w:r>
                    <w:rPr>
                      <w:color w:val="000000"/>
                      <w:kern w:val="0"/>
                      <w:szCs w:val="21"/>
                    </w:rPr>
                    <w:t>9720</w:t>
                  </w:r>
                </w:p>
              </w:tc>
              <w:tc>
                <w:tcPr>
                  <w:tcW w:w="906" w:type="dxa"/>
                  <w:shd w:val="clear" w:color="auto" w:fill="auto"/>
                  <w:noWrap/>
                  <w:vAlign w:val="center"/>
                </w:tcPr>
                <w:p>
                  <w:pPr>
                    <w:widowControl/>
                    <w:jc w:val="center"/>
                    <w:rPr>
                      <w:color w:val="000000"/>
                      <w:kern w:val="0"/>
                      <w:szCs w:val="21"/>
                    </w:rPr>
                  </w:pPr>
                  <w:r>
                    <w:rPr>
                      <w:color w:val="000000"/>
                      <w:kern w:val="0"/>
                      <w:szCs w:val="21"/>
                    </w:rPr>
                    <w:t>6</w:t>
                  </w:r>
                </w:p>
              </w:tc>
              <w:tc>
                <w:tcPr>
                  <w:tcW w:w="1661" w:type="dxa"/>
                  <w:shd w:val="clear" w:color="auto" w:fill="auto"/>
                  <w:noWrap/>
                  <w:vAlign w:val="center"/>
                </w:tcPr>
                <w:p>
                  <w:pPr>
                    <w:widowControl/>
                    <w:jc w:val="center"/>
                    <w:rPr>
                      <w:color w:val="000000"/>
                      <w:kern w:val="0"/>
                      <w:szCs w:val="21"/>
                    </w:rPr>
                  </w:pPr>
                  <w:r>
                    <w:rPr>
                      <w:color w:val="000000"/>
                      <w:kern w:val="0"/>
                      <w:szCs w:val="21"/>
                    </w:rPr>
                    <w:t>225.00</w:t>
                  </w:r>
                </w:p>
              </w:tc>
              <w:tc>
                <w:tcPr>
                  <w:tcW w:w="1017"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3</w:t>
                  </w:r>
                </w:p>
              </w:tc>
              <w:tc>
                <w:tcPr>
                  <w:tcW w:w="2791" w:type="dxa"/>
                  <w:shd w:val="clear" w:color="auto" w:fill="auto"/>
                  <w:noWrap/>
                  <w:vAlign w:val="center"/>
                </w:tcPr>
                <w:p>
                  <w:pPr>
                    <w:widowControl/>
                    <w:jc w:val="center"/>
                    <w:rPr>
                      <w:color w:val="000000"/>
                      <w:kern w:val="0"/>
                      <w:szCs w:val="21"/>
                    </w:rPr>
                  </w:pPr>
                  <w:r>
                    <w:rPr>
                      <w:color w:val="000000"/>
                      <w:kern w:val="0"/>
                      <w:szCs w:val="21"/>
                    </w:rPr>
                    <w:t>混凝剂加药泵</w:t>
                  </w:r>
                </w:p>
              </w:tc>
              <w:tc>
                <w:tcPr>
                  <w:tcW w:w="847" w:type="dxa"/>
                  <w:shd w:val="clear" w:color="auto" w:fill="auto"/>
                  <w:noWrap/>
                  <w:vAlign w:val="center"/>
                </w:tcPr>
                <w:p>
                  <w:pPr>
                    <w:widowControl/>
                    <w:jc w:val="center"/>
                    <w:rPr>
                      <w:color w:val="000000"/>
                      <w:kern w:val="0"/>
                      <w:szCs w:val="21"/>
                    </w:rPr>
                  </w:pPr>
                  <w:r>
                    <w:rPr>
                      <w:color w:val="000000"/>
                      <w:kern w:val="0"/>
                      <w:szCs w:val="21"/>
                    </w:rPr>
                    <w:t>0.12</w:t>
                  </w:r>
                </w:p>
              </w:tc>
              <w:tc>
                <w:tcPr>
                  <w:tcW w:w="906" w:type="dxa"/>
                  <w:shd w:val="clear" w:color="auto" w:fill="auto"/>
                  <w:noWrap/>
                  <w:vAlign w:val="center"/>
                </w:tcPr>
                <w:p>
                  <w:pPr>
                    <w:widowControl/>
                    <w:jc w:val="center"/>
                    <w:rPr>
                      <w:color w:val="000000"/>
                      <w:kern w:val="0"/>
                      <w:szCs w:val="21"/>
                    </w:rPr>
                  </w:pPr>
                  <w:r>
                    <w:rPr>
                      <w:color w:val="000000"/>
                      <w:kern w:val="0"/>
                      <w:szCs w:val="21"/>
                    </w:rPr>
                    <w:t>50</w:t>
                  </w:r>
                </w:p>
              </w:tc>
              <w:tc>
                <w:tcPr>
                  <w:tcW w:w="1661" w:type="dxa"/>
                  <w:shd w:val="clear" w:color="auto" w:fill="auto"/>
                  <w:noWrap/>
                  <w:vAlign w:val="center"/>
                </w:tcPr>
                <w:p>
                  <w:pPr>
                    <w:widowControl/>
                    <w:jc w:val="center"/>
                    <w:rPr>
                      <w:color w:val="000000"/>
                      <w:kern w:val="0"/>
                      <w:szCs w:val="21"/>
                    </w:rPr>
                  </w:pPr>
                  <w:r>
                    <w:rPr>
                      <w:color w:val="000000"/>
                      <w:kern w:val="0"/>
                      <w:szCs w:val="21"/>
                    </w:rPr>
                    <w:t>0.37</w:t>
                  </w:r>
                </w:p>
              </w:tc>
              <w:tc>
                <w:tcPr>
                  <w:tcW w:w="1017" w:type="dxa"/>
                  <w:vAlign w:val="center"/>
                </w:tcPr>
                <w:p>
                  <w:pPr>
                    <w:widowControl/>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4</w:t>
                  </w:r>
                </w:p>
              </w:tc>
              <w:tc>
                <w:tcPr>
                  <w:tcW w:w="2791" w:type="dxa"/>
                  <w:shd w:val="clear" w:color="auto" w:fill="auto"/>
                  <w:noWrap/>
                  <w:vAlign w:val="center"/>
                </w:tcPr>
                <w:p>
                  <w:pPr>
                    <w:widowControl/>
                    <w:jc w:val="center"/>
                    <w:rPr>
                      <w:color w:val="000000"/>
                      <w:kern w:val="0"/>
                      <w:szCs w:val="21"/>
                    </w:rPr>
                  </w:pPr>
                  <w:r>
                    <w:rPr>
                      <w:color w:val="000000"/>
                      <w:kern w:val="0"/>
                      <w:szCs w:val="21"/>
                    </w:rPr>
                    <w:t>助凝剂加药泵</w:t>
                  </w:r>
                </w:p>
              </w:tc>
              <w:tc>
                <w:tcPr>
                  <w:tcW w:w="847" w:type="dxa"/>
                  <w:shd w:val="clear" w:color="auto" w:fill="auto"/>
                  <w:noWrap/>
                  <w:vAlign w:val="center"/>
                </w:tcPr>
                <w:p>
                  <w:pPr>
                    <w:widowControl/>
                    <w:jc w:val="center"/>
                    <w:rPr>
                      <w:color w:val="000000"/>
                      <w:kern w:val="0"/>
                      <w:szCs w:val="21"/>
                    </w:rPr>
                  </w:pPr>
                  <w:r>
                    <w:rPr>
                      <w:color w:val="000000"/>
                      <w:kern w:val="0"/>
                      <w:szCs w:val="21"/>
                    </w:rPr>
                    <w:t>2.5</w:t>
                  </w:r>
                </w:p>
              </w:tc>
              <w:tc>
                <w:tcPr>
                  <w:tcW w:w="906" w:type="dxa"/>
                  <w:shd w:val="clear" w:color="auto" w:fill="auto"/>
                  <w:noWrap/>
                  <w:vAlign w:val="center"/>
                </w:tcPr>
                <w:p>
                  <w:pPr>
                    <w:widowControl/>
                    <w:jc w:val="center"/>
                    <w:rPr>
                      <w:color w:val="000000"/>
                      <w:kern w:val="0"/>
                      <w:szCs w:val="21"/>
                    </w:rPr>
                  </w:pPr>
                  <w:r>
                    <w:rPr>
                      <w:color w:val="000000"/>
                      <w:kern w:val="0"/>
                      <w:szCs w:val="21"/>
                    </w:rPr>
                    <w:t>30</w:t>
                  </w:r>
                </w:p>
              </w:tc>
              <w:tc>
                <w:tcPr>
                  <w:tcW w:w="1661" w:type="dxa"/>
                  <w:shd w:val="clear" w:color="auto" w:fill="auto"/>
                  <w:noWrap/>
                  <w:vAlign w:val="center"/>
                </w:tcPr>
                <w:p>
                  <w:pPr>
                    <w:widowControl/>
                    <w:jc w:val="center"/>
                    <w:rPr>
                      <w:color w:val="000000"/>
                      <w:kern w:val="0"/>
                      <w:szCs w:val="21"/>
                    </w:rPr>
                  </w:pPr>
                  <w:r>
                    <w:rPr>
                      <w:color w:val="000000"/>
                      <w:kern w:val="0"/>
                      <w:szCs w:val="21"/>
                    </w:rPr>
                    <w:t>0.75</w:t>
                  </w:r>
                </w:p>
              </w:tc>
              <w:tc>
                <w:tcPr>
                  <w:tcW w:w="1017" w:type="dxa"/>
                  <w:vAlign w:val="center"/>
                </w:tcPr>
                <w:p>
                  <w:pPr>
                    <w:widowControl/>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三</w:t>
                  </w:r>
                </w:p>
              </w:tc>
              <w:tc>
                <w:tcPr>
                  <w:tcW w:w="2791" w:type="dxa"/>
                  <w:shd w:val="clear" w:color="auto" w:fill="auto"/>
                  <w:noWrap/>
                  <w:vAlign w:val="center"/>
                </w:tcPr>
                <w:p>
                  <w:pPr>
                    <w:widowControl/>
                    <w:jc w:val="center"/>
                    <w:rPr>
                      <w:color w:val="000000"/>
                      <w:kern w:val="0"/>
                      <w:szCs w:val="21"/>
                    </w:rPr>
                  </w:pPr>
                  <w:r>
                    <w:rPr>
                      <w:color w:val="000000"/>
                      <w:kern w:val="0"/>
                      <w:szCs w:val="21"/>
                    </w:rPr>
                    <w:t>超滤系统</w:t>
                  </w:r>
                </w:p>
              </w:tc>
              <w:tc>
                <w:tcPr>
                  <w:tcW w:w="847" w:type="dxa"/>
                  <w:shd w:val="clear" w:color="auto" w:fill="auto"/>
                  <w:noWrap/>
                  <w:vAlign w:val="center"/>
                </w:tcPr>
                <w:p>
                  <w:pPr>
                    <w:widowControl/>
                    <w:jc w:val="center"/>
                    <w:rPr>
                      <w:color w:val="000000"/>
                      <w:kern w:val="0"/>
                      <w:szCs w:val="21"/>
                    </w:rPr>
                  </w:pPr>
                </w:p>
              </w:tc>
              <w:tc>
                <w:tcPr>
                  <w:tcW w:w="906" w:type="dxa"/>
                  <w:shd w:val="clear" w:color="auto" w:fill="auto"/>
                  <w:noWrap/>
                  <w:vAlign w:val="center"/>
                </w:tcPr>
                <w:p>
                  <w:pPr>
                    <w:widowControl/>
                    <w:jc w:val="center"/>
                    <w:rPr>
                      <w:color w:val="000000"/>
                      <w:kern w:val="0"/>
                      <w:szCs w:val="21"/>
                    </w:rPr>
                  </w:pPr>
                </w:p>
              </w:tc>
              <w:tc>
                <w:tcPr>
                  <w:tcW w:w="1661" w:type="dxa"/>
                  <w:shd w:val="clear" w:color="auto" w:fill="auto"/>
                  <w:noWrap/>
                  <w:vAlign w:val="center"/>
                </w:tcPr>
                <w:p>
                  <w:pPr>
                    <w:widowControl/>
                    <w:jc w:val="center"/>
                    <w:rPr>
                      <w:color w:val="000000"/>
                      <w:kern w:val="0"/>
                      <w:szCs w:val="21"/>
                    </w:rPr>
                  </w:pPr>
                </w:p>
              </w:tc>
              <w:tc>
                <w:tcPr>
                  <w:tcW w:w="1017"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7</w:t>
                  </w:r>
                </w:p>
              </w:tc>
              <w:tc>
                <w:tcPr>
                  <w:tcW w:w="2791" w:type="dxa"/>
                  <w:shd w:val="clear" w:color="auto" w:fill="auto"/>
                  <w:noWrap/>
                  <w:vAlign w:val="center"/>
                </w:tcPr>
                <w:p>
                  <w:pPr>
                    <w:widowControl/>
                    <w:jc w:val="center"/>
                    <w:rPr>
                      <w:color w:val="000000"/>
                      <w:kern w:val="0"/>
                      <w:szCs w:val="21"/>
                    </w:rPr>
                  </w:pPr>
                  <w:r>
                    <w:rPr>
                      <w:color w:val="000000"/>
                      <w:kern w:val="0"/>
                      <w:szCs w:val="21"/>
                    </w:rPr>
                    <w:t>超滤供水泵</w:t>
                  </w:r>
                </w:p>
              </w:tc>
              <w:tc>
                <w:tcPr>
                  <w:tcW w:w="847" w:type="dxa"/>
                  <w:shd w:val="clear" w:color="auto" w:fill="auto"/>
                  <w:noWrap/>
                  <w:vAlign w:val="center"/>
                </w:tcPr>
                <w:p>
                  <w:pPr>
                    <w:widowControl/>
                    <w:jc w:val="center"/>
                    <w:rPr>
                      <w:color w:val="000000"/>
                      <w:kern w:val="0"/>
                      <w:szCs w:val="21"/>
                    </w:rPr>
                  </w:pPr>
                  <w:r>
                    <w:rPr>
                      <w:color w:val="000000"/>
                      <w:kern w:val="0"/>
                      <w:szCs w:val="21"/>
                    </w:rPr>
                    <w:t>1226</w:t>
                  </w:r>
                </w:p>
              </w:tc>
              <w:tc>
                <w:tcPr>
                  <w:tcW w:w="906" w:type="dxa"/>
                  <w:shd w:val="clear" w:color="auto" w:fill="auto"/>
                  <w:noWrap/>
                  <w:vAlign w:val="center"/>
                </w:tcPr>
                <w:p>
                  <w:pPr>
                    <w:widowControl/>
                    <w:jc w:val="center"/>
                    <w:rPr>
                      <w:color w:val="000000"/>
                      <w:kern w:val="0"/>
                      <w:szCs w:val="21"/>
                    </w:rPr>
                  </w:pPr>
                  <w:r>
                    <w:rPr>
                      <w:color w:val="000000"/>
                      <w:kern w:val="0"/>
                      <w:szCs w:val="21"/>
                    </w:rPr>
                    <w:t>30</w:t>
                  </w:r>
                </w:p>
              </w:tc>
              <w:tc>
                <w:tcPr>
                  <w:tcW w:w="1661" w:type="dxa"/>
                  <w:shd w:val="clear" w:color="auto" w:fill="auto"/>
                  <w:noWrap/>
                  <w:vAlign w:val="center"/>
                </w:tcPr>
                <w:p>
                  <w:pPr>
                    <w:widowControl/>
                    <w:jc w:val="center"/>
                    <w:rPr>
                      <w:color w:val="000000"/>
                      <w:kern w:val="0"/>
                      <w:szCs w:val="21"/>
                    </w:rPr>
                  </w:pPr>
                  <w:r>
                    <w:rPr>
                      <w:color w:val="000000"/>
                      <w:kern w:val="0"/>
                      <w:szCs w:val="21"/>
                    </w:rPr>
                    <w:t>160</w:t>
                  </w:r>
                </w:p>
              </w:tc>
              <w:tc>
                <w:tcPr>
                  <w:tcW w:w="1017" w:type="dxa"/>
                  <w:vAlign w:val="center"/>
                </w:tcPr>
                <w:p>
                  <w:pPr>
                    <w:widowControl/>
                    <w:jc w:val="center"/>
                    <w:rPr>
                      <w:color w:val="000000"/>
                      <w:kern w:val="0"/>
                      <w:szCs w:val="21"/>
                    </w:rPr>
                  </w:pPr>
                  <w:r>
                    <w:rPr>
                      <w:color w:val="000000"/>
                      <w:kern w:val="0"/>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8</w:t>
                  </w:r>
                </w:p>
              </w:tc>
              <w:tc>
                <w:tcPr>
                  <w:tcW w:w="2791" w:type="dxa"/>
                  <w:shd w:val="clear" w:color="auto" w:fill="auto"/>
                  <w:noWrap/>
                  <w:vAlign w:val="center"/>
                </w:tcPr>
                <w:p>
                  <w:pPr>
                    <w:widowControl/>
                    <w:jc w:val="center"/>
                    <w:rPr>
                      <w:color w:val="000000"/>
                      <w:kern w:val="0"/>
                      <w:szCs w:val="21"/>
                    </w:rPr>
                  </w:pPr>
                  <w:r>
                    <w:rPr>
                      <w:color w:val="000000"/>
                      <w:kern w:val="0"/>
                      <w:szCs w:val="21"/>
                    </w:rPr>
                    <w:t>超滤反洗泵</w:t>
                  </w:r>
                </w:p>
              </w:tc>
              <w:tc>
                <w:tcPr>
                  <w:tcW w:w="847" w:type="dxa"/>
                  <w:shd w:val="clear" w:color="auto" w:fill="auto"/>
                  <w:noWrap/>
                  <w:vAlign w:val="center"/>
                </w:tcPr>
                <w:p>
                  <w:pPr>
                    <w:widowControl/>
                    <w:jc w:val="center"/>
                    <w:rPr>
                      <w:color w:val="000000"/>
                      <w:kern w:val="0"/>
                      <w:szCs w:val="21"/>
                    </w:rPr>
                  </w:pPr>
                  <w:r>
                    <w:rPr>
                      <w:color w:val="000000"/>
                      <w:kern w:val="0"/>
                      <w:szCs w:val="21"/>
                    </w:rPr>
                    <w:t>750</w:t>
                  </w:r>
                </w:p>
              </w:tc>
              <w:tc>
                <w:tcPr>
                  <w:tcW w:w="906" w:type="dxa"/>
                  <w:shd w:val="clear" w:color="auto" w:fill="auto"/>
                  <w:noWrap/>
                  <w:vAlign w:val="center"/>
                </w:tcPr>
                <w:p>
                  <w:pPr>
                    <w:widowControl/>
                    <w:jc w:val="center"/>
                    <w:rPr>
                      <w:color w:val="000000"/>
                      <w:kern w:val="0"/>
                      <w:szCs w:val="21"/>
                    </w:rPr>
                  </w:pPr>
                  <w:r>
                    <w:rPr>
                      <w:color w:val="000000"/>
                      <w:kern w:val="0"/>
                      <w:szCs w:val="21"/>
                    </w:rPr>
                    <w:t>40</w:t>
                  </w:r>
                </w:p>
              </w:tc>
              <w:tc>
                <w:tcPr>
                  <w:tcW w:w="1661" w:type="dxa"/>
                  <w:shd w:val="clear" w:color="auto" w:fill="auto"/>
                  <w:noWrap/>
                  <w:vAlign w:val="center"/>
                </w:tcPr>
                <w:p>
                  <w:pPr>
                    <w:widowControl/>
                    <w:jc w:val="center"/>
                    <w:rPr>
                      <w:color w:val="000000"/>
                      <w:kern w:val="0"/>
                      <w:szCs w:val="21"/>
                    </w:rPr>
                  </w:pPr>
                  <w:r>
                    <w:rPr>
                      <w:color w:val="000000"/>
                      <w:kern w:val="0"/>
                      <w:szCs w:val="21"/>
                    </w:rPr>
                    <w:t>130</w:t>
                  </w:r>
                </w:p>
              </w:tc>
              <w:tc>
                <w:tcPr>
                  <w:tcW w:w="1017" w:type="dxa"/>
                  <w:vAlign w:val="center"/>
                </w:tcPr>
                <w:p>
                  <w:pPr>
                    <w:widowControl/>
                    <w:jc w:val="center"/>
                    <w:rPr>
                      <w:color w:val="000000"/>
                      <w:kern w:val="0"/>
                      <w:szCs w:val="21"/>
                    </w:rPr>
                  </w:pPr>
                  <w:r>
                    <w:rPr>
                      <w:color w:val="000000"/>
                      <w:kern w:val="0"/>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9</w:t>
                  </w:r>
                </w:p>
              </w:tc>
              <w:tc>
                <w:tcPr>
                  <w:tcW w:w="2791" w:type="dxa"/>
                  <w:shd w:val="clear" w:color="auto" w:fill="auto"/>
                  <w:noWrap/>
                  <w:vAlign w:val="center"/>
                </w:tcPr>
                <w:p>
                  <w:pPr>
                    <w:widowControl/>
                    <w:jc w:val="center"/>
                    <w:rPr>
                      <w:color w:val="000000"/>
                      <w:kern w:val="0"/>
                      <w:szCs w:val="21"/>
                    </w:rPr>
                  </w:pPr>
                  <w:r>
                    <w:rPr>
                      <w:color w:val="000000"/>
                      <w:kern w:val="0"/>
                      <w:szCs w:val="21"/>
                    </w:rPr>
                    <w:t>超滤空压机</w:t>
                  </w:r>
                </w:p>
              </w:tc>
              <w:tc>
                <w:tcPr>
                  <w:tcW w:w="847" w:type="dxa"/>
                  <w:shd w:val="clear" w:color="auto" w:fill="auto"/>
                  <w:noWrap/>
                  <w:vAlign w:val="center"/>
                </w:tcPr>
                <w:p>
                  <w:pPr>
                    <w:widowControl/>
                    <w:jc w:val="center"/>
                    <w:rPr>
                      <w:color w:val="000000"/>
                      <w:kern w:val="0"/>
                      <w:szCs w:val="21"/>
                    </w:rPr>
                  </w:pPr>
                  <w:r>
                    <w:rPr>
                      <w:color w:val="000000"/>
                      <w:kern w:val="0"/>
                      <w:szCs w:val="21"/>
                    </w:rPr>
                    <w:t>1200</w:t>
                  </w:r>
                </w:p>
              </w:tc>
              <w:tc>
                <w:tcPr>
                  <w:tcW w:w="906" w:type="dxa"/>
                  <w:shd w:val="clear" w:color="auto" w:fill="auto"/>
                  <w:noWrap/>
                  <w:vAlign w:val="center"/>
                </w:tcPr>
                <w:p>
                  <w:pPr>
                    <w:widowControl/>
                    <w:jc w:val="center"/>
                    <w:rPr>
                      <w:color w:val="000000"/>
                      <w:kern w:val="0"/>
                      <w:szCs w:val="21"/>
                    </w:rPr>
                  </w:pPr>
                  <w:r>
                    <w:rPr>
                      <w:color w:val="000000"/>
                      <w:kern w:val="0"/>
                      <w:szCs w:val="21"/>
                    </w:rPr>
                    <w:t>75</w:t>
                  </w:r>
                </w:p>
              </w:tc>
              <w:tc>
                <w:tcPr>
                  <w:tcW w:w="1661" w:type="dxa"/>
                  <w:shd w:val="clear" w:color="auto" w:fill="auto"/>
                  <w:noWrap/>
                  <w:vAlign w:val="center"/>
                </w:tcPr>
                <w:p>
                  <w:pPr>
                    <w:widowControl/>
                    <w:jc w:val="center"/>
                    <w:rPr>
                      <w:color w:val="000000"/>
                      <w:kern w:val="0"/>
                      <w:szCs w:val="21"/>
                    </w:rPr>
                  </w:pPr>
                  <w:r>
                    <w:rPr>
                      <w:color w:val="000000"/>
                      <w:kern w:val="0"/>
                      <w:szCs w:val="21"/>
                    </w:rPr>
                    <w:t>280</w:t>
                  </w:r>
                </w:p>
              </w:tc>
              <w:tc>
                <w:tcPr>
                  <w:tcW w:w="1017" w:type="dxa"/>
                  <w:vAlign w:val="center"/>
                </w:tcPr>
                <w:p>
                  <w:pPr>
                    <w:widowControl/>
                    <w:jc w:val="center"/>
                    <w:rPr>
                      <w:color w:val="000000"/>
                      <w:kern w:val="0"/>
                      <w:szCs w:val="21"/>
                    </w:rPr>
                  </w:pPr>
                  <w:r>
                    <w:rPr>
                      <w:color w:val="000000"/>
                      <w:kern w:val="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10</w:t>
                  </w:r>
                </w:p>
              </w:tc>
              <w:tc>
                <w:tcPr>
                  <w:tcW w:w="2791" w:type="dxa"/>
                  <w:shd w:val="clear" w:color="auto" w:fill="auto"/>
                  <w:noWrap/>
                  <w:vAlign w:val="center"/>
                </w:tcPr>
                <w:p>
                  <w:pPr>
                    <w:widowControl/>
                    <w:jc w:val="center"/>
                    <w:rPr>
                      <w:color w:val="000000"/>
                      <w:kern w:val="0"/>
                      <w:szCs w:val="21"/>
                    </w:rPr>
                  </w:pPr>
                  <w:r>
                    <w:rPr>
                      <w:color w:val="000000"/>
                      <w:kern w:val="0"/>
                      <w:szCs w:val="21"/>
                    </w:rPr>
                    <w:t>超滤CEB盐酸计量泵</w:t>
                  </w:r>
                </w:p>
              </w:tc>
              <w:tc>
                <w:tcPr>
                  <w:tcW w:w="847" w:type="dxa"/>
                  <w:shd w:val="clear" w:color="auto" w:fill="auto"/>
                  <w:noWrap/>
                  <w:vAlign w:val="center"/>
                </w:tcPr>
                <w:p>
                  <w:pPr>
                    <w:widowControl/>
                    <w:jc w:val="center"/>
                    <w:rPr>
                      <w:color w:val="000000"/>
                      <w:kern w:val="0"/>
                      <w:szCs w:val="21"/>
                    </w:rPr>
                  </w:pPr>
                  <w:r>
                    <w:rPr>
                      <w:color w:val="000000"/>
                      <w:kern w:val="0"/>
                      <w:szCs w:val="21"/>
                    </w:rPr>
                    <w:t>2</w:t>
                  </w:r>
                </w:p>
              </w:tc>
              <w:tc>
                <w:tcPr>
                  <w:tcW w:w="906" w:type="dxa"/>
                  <w:shd w:val="clear" w:color="auto" w:fill="auto"/>
                  <w:noWrap/>
                  <w:vAlign w:val="center"/>
                </w:tcPr>
                <w:p>
                  <w:pPr>
                    <w:widowControl/>
                    <w:jc w:val="center"/>
                    <w:rPr>
                      <w:color w:val="000000"/>
                      <w:kern w:val="0"/>
                      <w:szCs w:val="21"/>
                    </w:rPr>
                  </w:pPr>
                  <w:r>
                    <w:rPr>
                      <w:color w:val="000000"/>
                      <w:kern w:val="0"/>
                      <w:szCs w:val="21"/>
                    </w:rPr>
                    <w:t>70</w:t>
                  </w:r>
                </w:p>
              </w:tc>
              <w:tc>
                <w:tcPr>
                  <w:tcW w:w="1661" w:type="dxa"/>
                  <w:shd w:val="clear" w:color="auto" w:fill="auto"/>
                  <w:noWrap/>
                  <w:vAlign w:val="center"/>
                </w:tcPr>
                <w:p>
                  <w:pPr>
                    <w:widowControl/>
                    <w:jc w:val="center"/>
                    <w:rPr>
                      <w:color w:val="000000"/>
                      <w:kern w:val="0"/>
                      <w:szCs w:val="21"/>
                    </w:rPr>
                  </w:pPr>
                  <w:r>
                    <w:rPr>
                      <w:color w:val="000000"/>
                      <w:kern w:val="0"/>
                      <w:szCs w:val="21"/>
                    </w:rPr>
                    <w:t>1.1</w:t>
                  </w:r>
                </w:p>
              </w:tc>
              <w:tc>
                <w:tcPr>
                  <w:tcW w:w="1017"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11</w:t>
                  </w:r>
                </w:p>
              </w:tc>
              <w:tc>
                <w:tcPr>
                  <w:tcW w:w="2791" w:type="dxa"/>
                  <w:shd w:val="clear" w:color="auto" w:fill="auto"/>
                  <w:noWrap/>
                  <w:vAlign w:val="center"/>
                </w:tcPr>
                <w:p>
                  <w:pPr>
                    <w:widowControl/>
                    <w:jc w:val="center"/>
                    <w:rPr>
                      <w:color w:val="000000"/>
                      <w:kern w:val="0"/>
                      <w:szCs w:val="21"/>
                    </w:rPr>
                  </w:pPr>
                  <w:r>
                    <w:rPr>
                      <w:color w:val="000000"/>
                      <w:kern w:val="0"/>
                      <w:szCs w:val="21"/>
                    </w:rPr>
                    <w:t>超滤CEB次氯酸钠计量泵</w:t>
                  </w:r>
                </w:p>
              </w:tc>
              <w:tc>
                <w:tcPr>
                  <w:tcW w:w="847" w:type="dxa"/>
                  <w:shd w:val="clear" w:color="auto" w:fill="auto"/>
                  <w:noWrap/>
                  <w:vAlign w:val="center"/>
                </w:tcPr>
                <w:p>
                  <w:pPr>
                    <w:widowControl/>
                    <w:jc w:val="center"/>
                    <w:rPr>
                      <w:color w:val="000000"/>
                      <w:kern w:val="0"/>
                      <w:szCs w:val="21"/>
                    </w:rPr>
                  </w:pPr>
                  <w:r>
                    <w:rPr>
                      <w:color w:val="000000"/>
                      <w:kern w:val="0"/>
                      <w:szCs w:val="21"/>
                    </w:rPr>
                    <w:t>2</w:t>
                  </w:r>
                </w:p>
              </w:tc>
              <w:tc>
                <w:tcPr>
                  <w:tcW w:w="906" w:type="dxa"/>
                  <w:shd w:val="clear" w:color="auto" w:fill="auto"/>
                  <w:noWrap/>
                  <w:vAlign w:val="center"/>
                </w:tcPr>
                <w:p>
                  <w:pPr>
                    <w:widowControl/>
                    <w:jc w:val="center"/>
                    <w:rPr>
                      <w:color w:val="000000"/>
                      <w:kern w:val="0"/>
                      <w:szCs w:val="21"/>
                    </w:rPr>
                  </w:pPr>
                  <w:r>
                    <w:rPr>
                      <w:color w:val="000000"/>
                      <w:kern w:val="0"/>
                      <w:szCs w:val="21"/>
                    </w:rPr>
                    <w:t>70</w:t>
                  </w:r>
                </w:p>
              </w:tc>
              <w:tc>
                <w:tcPr>
                  <w:tcW w:w="1661" w:type="dxa"/>
                  <w:shd w:val="clear" w:color="auto" w:fill="auto"/>
                  <w:noWrap/>
                  <w:vAlign w:val="center"/>
                </w:tcPr>
                <w:p>
                  <w:pPr>
                    <w:widowControl/>
                    <w:jc w:val="center"/>
                    <w:rPr>
                      <w:color w:val="000000"/>
                      <w:kern w:val="0"/>
                      <w:szCs w:val="21"/>
                    </w:rPr>
                  </w:pPr>
                  <w:r>
                    <w:rPr>
                      <w:color w:val="000000"/>
                      <w:kern w:val="0"/>
                      <w:szCs w:val="21"/>
                    </w:rPr>
                    <w:t>3</w:t>
                  </w:r>
                </w:p>
              </w:tc>
              <w:tc>
                <w:tcPr>
                  <w:tcW w:w="1017"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四</w:t>
                  </w:r>
                </w:p>
              </w:tc>
              <w:tc>
                <w:tcPr>
                  <w:tcW w:w="2791" w:type="dxa"/>
                  <w:shd w:val="clear" w:color="auto" w:fill="auto"/>
                  <w:noWrap/>
                  <w:vAlign w:val="center"/>
                </w:tcPr>
                <w:p>
                  <w:pPr>
                    <w:widowControl/>
                    <w:jc w:val="center"/>
                    <w:rPr>
                      <w:color w:val="000000"/>
                      <w:kern w:val="0"/>
                      <w:szCs w:val="21"/>
                    </w:rPr>
                  </w:pPr>
                  <w:r>
                    <w:rPr>
                      <w:color w:val="000000"/>
                      <w:kern w:val="0"/>
                      <w:szCs w:val="21"/>
                    </w:rPr>
                    <w:t>反渗透系统</w:t>
                  </w:r>
                </w:p>
              </w:tc>
              <w:tc>
                <w:tcPr>
                  <w:tcW w:w="847" w:type="dxa"/>
                  <w:shd w:val="clear" w:color="auto" w:fill="auto"/>
                  <w:noWrap/>
                  <w:vAlign w:val="center"/>
                </w:tcPr>
                <w:p>
                  <w:pPr>
                    <w:widowControl/>
                    <w:jc w:val="center"/>
                    <w:rPr>
                      <w:color w:val="000000"/>
                      <w:kern w:val="0"/>
                      <w:szCs w:val="21"/>
                    </w:rPr>
                  </w:pPr>
                </w:p>
              </w:tc>
              <w:tc>
                <w:tcPr>
                  <w:tcW w:w="906" w:type="dxa"/>
                  <w:shd w:val="clear" w:color="auto" w:fill="auto"/>
                  <w:noWrap/>
                  <w:vAlign w:val="center"/>
                </w:tcPr>
                <w:p>
                  <w:pPr>
                    <w:widowControl/>
                    <w:jc w:val="center"/>
                    <w:rPr>
                      <w:color w:val="000000"/>
                      <w:kern w:val="0"/>
                      <w:szCs w:val="21"/>
                    </w:rPr>
                  </w:pPr>
                </w:p>
              </w:tc>
              <w:tc>
                <w:tcPr>
                  <w:tcW w:w="1661" w:type="dxa"/>
                  <w:shd w:val="clear" w:color="auto" w:fill="auto"/>
                  <w:noWrap/>
                  <w:vAlign w:val="center"/>
                </w:tcPr>
                <w:p>
                  <w:pPr>
                    <w:widowControl/>
                    <w:jc w:val="center"/>
                    <w:rPr>
                      <w:color w:val="000000"/>
                      <w:kern w:val="0"/>
                      <w:szCs w:val="21"/>
                    </w:rPr>
                  </w:pPr>
                </w:p>
              </w:tc>
              <w:tc>
                <w:tcPr>
                  <w:tcW w:w="1017"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12</w:t>
                  </w:r>
                </w:p>
              </w:tc>
              <w:tc>
                <w:tcPr>
                  <w:tcW w:w="2791" w:type="dxa"/>
                  <w:shd w:val="clear" w:color="auto" w:fill="auto"/>
                  <w:noWrap/>
                  <w:vAlign w:val="center"/>
                </w:tcPr>
                <w:p>
                  <w:pPr>
                    <w:widowControl/>
                    <w:jc w:val="center"/>
                    <w:rPr>
                      <w:color w:val="000000"/>
                      <w:kern w:val="0"/>
                      <w:szCs w:val="21"/>
                    </w:rPr>
                  </w:pPr>
                  <w:r>
                    <w:rPr>
                      <w:color w:val="000000"/>
                      <w:kern w:val="0"/>
                      <w:szCs w:val="21"/>
                    </w:rPr>
                    <w:t>海水反渗透给水泵</w:t>
                  </w:r>
                </w:p>
              </w:tc>
              <w:tc>
                <w:tcPr>
                  <w:tcW w:w="847" w:type="dxa"/>
                  <w:shd w:val="clear" w:color="auto" w:fill="auto"/>
                  <w:noWrap/>
                  <w:vAlign w:val="center"/>
                </w:tcPr>
                <w:p>
                  <w:pPr>
                    <w:widowControl/>
                    <w:jc w:val="center"/>
                    <w:rPr>
                      <w:color w:val="000000"/>
                      <w:kern w:val="0"/>
                      <w:szCs w:val="21"/>
                    </w:rPr>
                  </w:pPr>
                  <w:r>
                    <w:rPr>
                      <w:color w:val="000000"/>
                      <w:kern w:val="0"/>
                      <w:szCs w:val="21"/>
                    </w:rPr>
                    <w:t>1080</w:t>
                  </w:r>
                </w:p>
              </w:tc>
              <w:tc>
                <w:tcPr>
                  <w:tcW w:w="906" w:type="dxa"/>
                  <w:shd w:val="clear" w:color="auto" w:fill="auto"/>
                  <w:noWrap/>
                  <w:vAlign w:val="center"/>
                </w:tcPr>
                <w:p>
                  <w:pPr>
                    <w:widowControl/>
                    <w:jc w:val="center"/>
                    <w:rPr>
                      <w:color w:val="000000"/>
                      <w:kern w:val="0"/>
                      <w:szCs w:val="21"/>
                    </w:rPr>
                  </w:pPr>
                  <w:r>
                    <w:rPr>
                      <w:color w:val="000000"/>
                      <w:kern w:val="0"/>
                      <w:szCs w:val="21"/>
                    </w:rPr>
                    <w:t>35</w:t>
                  </w:r>
                </w:p>
              </w:tc>
              <w:tc>
                <w:tcPr>
                  <w:tcW w:w="1661" w:type="dxa"/>
                  <w:shd w:val="clear" w:color="auto" w:fill="auto"/>
                  <w:noWrap/>
                  <w:vAlign w:val="center"/>
                </w:tcPr>
                <w:p>
                  <w:pPr>
                    <w:widowControl/>
                    <w:jc w:val="center"/>
                    <w:rPr>
                      <w:color w:val="000000"/>
                      <w:kern w:val="0"/>
                      <w:szCs w:val="21"/>
                    </w:rPr>
                  </w:pPr>
                  <w:r>
                    <w:rPr>
                      <w:color w:val="000000"/>
                      <w:kern w:val="0"/>
                      <w:szCs w:val="21"/>
                    </w:rPr>
                    <w:t>160</w:t>
                  </w:r>
                </w:p>
              </w:tc>
              <w:tc>
                <w:tcPr>
                  <w:tcW w:w="1017" w:type="dxa"/>
                  <w:vAlign w:val="center"/>
                </w:tcPr>
                <w:p>
                  <w:pPr>
                    <w:widowControl/>
                    <w:jc w:val="center"/>
                    <w:rPr>
                      <w:color w:val="000000"/>
                      <w:kern w:val="0"/>
                      <w:szCs w:val="21"/>
                    </w:rPr>
                  </w:pPr>
                  <w:r>
                    <w:rPr>
                      <w:color w:val="000000"/>
                      <w:kern w:val="0"/>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13</w:t>
                  </w:r>
                </w:p>
              </w:tc>
              <w:tc>
                <w:tcPr>
                  <w:tcW w:w="2791" w:type="dxa"/>
                  <w:shd w:val="clear" w:color="auto" w:fill="auto"/>
                  <w:noWrap/>
                  <w:vAlign w:val="center"/>
                </w:tcPr>
                <w:p>
                  <w:pPr>
                    <w:widowControl/>
                    <w:jc w:val="center"/>
                    <w:rPr>
                      <w:color w:val="000000"/>
                      <w:kern w:val="0"/>
                      <w:szCs w:val="21"/>
                    </w:rPr>
                  </w:pPr>
                  <w:r>
                    <w:rPr>
                      <w:color w:val="000000"/>
                      <w:kern w:val="0"/>
                      <w:szCs w:val="21"/>
                    </w:rPr>
                    <w:t>海水反渗透高压泵</w:t>
                  </w:r>
                </w:p>
              </w:tc>
              <w:tc>
                <w:tcPr>
                  <w:tcW w:w="847" w:type="dxa"/>
                  <w:shd w:val="clear" w:color="auto" w:fill="auto"/>
                  <w:noWrap/>
                  <w:vAlign w:val="center"/>
                </w:tcPr>
                <w:p>
                  <w:pPr>
                    <w:widowControl/>
                    <w:jc w:val="center"/>
                    <w:rPr>
                      <w:color w:val="000000"/>
                      <w:kern w:val="0"/>
                      <w:szCs w:val="21"/>
                    </w:rPr>
                  </w:pPr>
                  <w:r>
                    <w:rPr>
                      <w:color w:val="000000"/>
                      <w:kern w:val="0"/>
                      <w:szCs w:val="21"/>
                    </w:rPr>
                    <w:t>433</w:t>
                  </w:r>
                </w:p>
              </w:tc>
              <w:tc>
                <w:tcPr>
                  <w:tcW w:w="906" w:type="dxa"/>
                  <w:shd w:val="clear" w:color="auto" w:fill="auto"/>
                  <w:noWrap/>
                  <w:vAlign w:val="center"/>
                </w:tcPr>
                <w:p>
                  <w:pPr>
                    <w:widowControl/>
                    <w:jc w:val="center"/>
                    <w:rPr>
                      <w:color w:val="000000"/>
                      <w:kern w:val="0"/>
                      <w:szCs w:val="21"/>
                    </w:rPr>
                  </w:pPr>
                  <w:r>
                    <w:rPr>
                      <w:color w:val="000000"/>
                      <w:kern w:val="0"/>
                      <w:szCs w:val="21"/>
                    </w:rPr>
                    <w:t>710</w:t>
                  </w:r>
                </w:p>
              </w:tc>
              <w:tc>
                <w:tcPr>
                  <w:tcW w:w="1661" w:type="dxa"/>
                  <w:shd w:val="clear" w:color="auto" w:fill="auto"/>
                  <w:noWrap/>
                  <w:vAlign w:val="center"/>
                </w:tcPr>
                <w:p>
                  <w:pPr>
                    <w:widowControl/>
                    <w:jc w:val="center"/>
                    <w:rPr>
                      <w:color w:val="000000"/>
                      <w:kern w:val="0"/>
                      <w:szCs w:val="21"/>
                    </w:rPr>
                  </w:pPr>
                  <w:r>
                    <w:rPr>
                      <w:color w:val="000000"/>
                      <w:kern w:val="0"/>
                      <w:szCs w:val="21"/>
                    </w:rPr>
                    <w:t>1250</w:t>
                  </w:r>
                </w:p>
              </w:tc>
              <w:tc>
                <w:tcPr>
                  <w:tcW w:w="1017" w:type="dxa"/>
                  <w:vAlign w:val="center"/>
                </w:tcPr>
                <w:p>
                  <w:pPr>
                    <w:widowControl/>
                    <w:jc w:val="center"/>
                    <w:rPr>
                      <w:color w:val="000000"/>
                      <w:kern w:val="0"/>
                      <w:szCs w:val="21"/>
                    </w:rPr>
                  </w:pPr>
                  <w:r>
                    <w:rPr>
                      <w:color w:val="000000"/>
                      <w:kern w:val="0"/>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14</w:t>
                  </w:r>
                </w:p>
              </w:tc>
              <w:tc>
                <w:tcPr>
                  <w:tcW w:w="2791" w:type="dxa"/>
                  <w:shd w:val="clear" w:color="auto" w:fill="auto"/>
                  <w:noWrap/>
                  <w:vAlign w:val="center"/>
                </w:tcPr>
                <w:p>
                  <w:pPr>
                    <w:widowControl/>
                    <w:jc w:val="center"/>
                    <w:rPr>
                      <w:color w:val="000000"/>
                      <w:kern w:val="0"/>
                      <w:szCs w:val="21"/>
                    </w:rPr>
                  </w:pPr>
                  <w:r>
                    <w:rPr>
                      <w:color w:val="000000"/>
                      <w:kern w:val="0"/>
                      <w:szCs w:val="21"/>
                    </w:rPr>
                    <w:t>增压泵</w:t>
                  </w:r>
                </w:p>
              </w:tc>
              <w:tc>
                <w:tcPr>
                  <w:tcW w:w="847" w:type="dxa"/>
                  <w:shd w:val="clear" w:color="auto" w:fill="auto"/>
                  <w:noWrap/>
                  <w:vAlign w:val="center"/>
                </w:tcPr>
                <w:p>
                  <w:pPr>
                    <w:widowControl/>
                    <w:jc w:val="center"/>
                    <w:rPr>
                      <w:color w:val="000000"/>
                      <w:kern w:val="0"/>
                      <w:szCs w:val="21"/>
                    </w:rPr>
                  </w:pPr>
                  <w:r>
                    <w:rPr>
                      <w:color w:val="000000"/>
                      <w:kern w:val="0"/>
                      <w:szCs w:val="21"/>
                    </w:rPr>
                    <w:t>650</w:t>
                  </w:r>
                </w:p>
              </w:tc>
              <w:tc>
                <w:tcPr>
                  <w:tcW w:w="906" w:type="dxa"/>
                  <w:shd w:val="clear" w:color="auto" w:fill="auto"/>
                  <w:noWrap/>
                  <w:vAlign w:val="center"/>
                </w:tcPr>
                <w:p>
                  <w:pPr>
                    <w:widowControl/>
                    <w:jc w:val="center"/>
                    <w:rPr>
                      <w:color w:val="000000"/>
                      <w:kern w:val="0"/>
                      <w:szCs w:val="21"/>
                    </w:rPr>
                  </w:pPr>
                  <w:r>
                    <w:rPr>
                      <w:color w:val="000000"/>
                      <w:kern w:val="0"/>
                      <w:szCs w:val="21"/>
                    </w:rPr>
                    <w:t>51</w:t>
                  </w:r>
                </w:p>
              </w:tc>
              <w:tc>
                <w:tcPr>
                  <w:tcW w:w="1661" w:type="dxa"/>
                  <w:shd w:val="clear" w:color="auto" w:fill="auto"/>
                  <w:noWrap/>
                  <w:vAlign w:val="center"/>
                </w:tcPr>
                <w:p>
                  <w:pPr>
                    <w:widowControl/>
                    <w:jc w:val="center"/>
                    <w:rPr>
                      <w:color w:val="000000"/>
                      <w:kern w:val="0"/>
                      <w:szCs w:val="21"/>
                    </w:rPr>
                  </w:pPr>
                  <w:r>
                    <w:rPr>
                      <w:color w:val="000000"/>
                      <w:kern w:val="0"/>
                      <w:szCs w:val="21"/>
                    </w:rPr>
                    <w:t>160</w:t>
                  </w:r>
                </w:p>
              </w:tc>
              <w:tc>
                <w:tcPr>
                  <w:tcW w:w="1017" w:type="dxa"/>
                  <w:vAlign w:val="center"/>
                </w:tcPr>
                <w:p>
                  <w:pPr>
                    <w:widowControl/>
                    <w:jc w:val="center"/>
                    <w:rPr>
                      <w:color w:val="000000"/>
                      <w:kern w:val="0"/>
                      <w:szCs w:val="21"/>
                    </w:rPr>
                  </w:pPr>
                  <w:r>
                    <w:rPr>
                      <w:color w:val="000000"/>
                      <w:kern w:val="0"/>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15</w:t>
                  </w:r>
                </w:p>
              </w:tc>
              <w:tc>
                <w:tcPr>
                  <w:tcW w:w="2791" w:type="dxa"/>
                  <w:shd w:val="clear" w:color="auto" w:fill="auto"/>
                  <w:noWrap/>
                  <w:vAlign w:val="center"/>
                </w:tcPr>
                <w:p>
                  <w:pPr>
                    <w:widowControl/>
                    <w:jc w:val="center"/>
                    <w:rPr>
                      <w:color w:val="000000"/>
                      <w:kern w:val="0"/>
                      <w:szCs w:val="21"/>
                    </w:rPr>
                  </w:pPr>
                  <w:r>
                    <w:rPr>
                      <w:color w:val="000000"/>
                      <w:kern w:val="0"/>
                      <w:szCs w:val="21"/>
                    </w:rPr>
                    <w:t>海水反渗透冲洗泵</w:t>
                  </w:r>
                </w:p>
              </w:tc>
              <w:tc>
                <w:tcPr>
                  <w:tcW w:w="847" w:type="dxa"/>
                  <w:shd w:val="clear" w:color="auto" w:fill="auto"/>
                  <w:noWrap/>
                  <w:vAlign w:val="center"/>
                </w:tcPr>
                <w:p>
                  <w:pPr>
                    <w:widowControl/>
                    <w:jc w:val="center"/>
                    <w:rPr>
                      <w:color w:val="000000"/>
                      <w:kern w:val="0"/>
                      <w:szCs w:val="21"/>
                    </w:rPr>
                  </w:pPr>
                  <w:r>
                    <w:rPr>
                      <w:color w:val="000000"/>
                      <w:kern w:val="0"/>
                      <w:szCs w:val="21"/>
                    </w:rPr>
                    <w:t>650</w:t>
                  </w:r>
                </w:p>
              </w:tc>
              <w:tc>
                <w:tcPr>
                  <w:tcW w:w="906" w:type="dxa"/>
                  <w:shd w:val="clear" w:color="auto" w:fill="auto"/>
                  <w:noWrap/>
                  <w:vAlign w:val="center"/>
                </w:tcPr>
                <w:p>
                  <w:pPr>
                    <w:widowControl/>
                    <w:jc w:val="center"/>
                    <w:rPr>
                      <w:color w:val="000000"/>
                      <w:kern w:val="0"/>
                      <w:szCs w:val="21"/>
                    </w:rPr>
                  </w:pPr>
                  <w:r>
                    <w:rPr>
                      <w:color w:val="000000"/>
                      <w:kern w:val="0"/>
                      <w:szCs w:val="21"/>
                    </w:rPr>
                    <w:t>35</w:t>
                  </w:r>
                </w:p>
              </w:tc>
              <w:tc>
                <w:tcPr>
                  <w:tcW w:w="1661" w:type="dxa"/>
                  <w:shd w:val="clear" w:color="auto" w:fill="auto"/>
                  <w:noWrap/>
                  <w:vAlign w:val="center"/>
                </w:tcPr>
                <w:p>
                  <w:pPr>
                    <w:widowControl/>
                    <w:jc w:val="center"/>
                    <w:rPr>
                      <w:color w:val="000000"/>
                      <w:kern w:val="0"/>
                      <w:szCs w:val="21"/>
                    </w:rPr>
                  </w:pPr>
                  <w:r>
                    <w:rPr>
                      <w:color w:val="000000"/>
                      <w:kern w:val="0"/>
                      <w:szCs w:val="21"/>
                    </w:rPr>
                    <w:t>132</w:t>
                  </w:r>
                </w:p>
              </w:tc>
              <w:tc>
                <w:tcPr>
                  <w:tcW w:w="1017" w:type="dxa"/>
                  <w:vAlign w:val="center"/>
                </w:tcPr>
                <w:p>
                  <w:pPr>
                    <w:widowControl/>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16</w:t>
                  </w:r>
                </w:p>
              </w:tc>
              <w:tc>
                <w:tcPr>
                  <w:tcW w:w="2791" w:type="dxa"/>
                  <w:shd w:val="clear" w:color="auto" w:fill="auto"/>
                  <w:noWrap/>
                  <w:vAlign w:val="center"/>
                </w:tcPr>
                <w:p>
                  <w:pPr>
                    <w:widowControl/>
                    <w:jc w:val="center"/>
                    <w:rPr>
                      <w:color w:val="000000"/>
                      <w:kern w:val="0"/>
                      <w:szCs w:val="21"/>
                    </w:rPr>
                  </w:pPr>
                  <w:r>
                    <w:rPr>
                      <w:color w:val="000000"/>
                      <w:kern w:val="0"/>
                      <w:szCs w:val="21"/>
                    </w:rPr>
                    <w:t>还原剂计量泵</w:t>
                  </w:r>
                </w:p>
              </w:tc>
              <w:tc>
                <w:tcPr>
                  <w:tcW w:w="847" w:type="dxa"/>
                  <w:shd w:val="clear" w:color="auto" w:fill="auto"/>
                  <w:noWrap/>
                  <w:vAlign w:val="center"/>
                </w:tcPr>
                <w:p>
                  <w:pPr>
                    <w:widowControl/>
                    <w:jc w:val="center"/>
                    <w:rPr>
                      <w:color w:val="000000"/>
                      <w:kern w:val="0"/>
                      <w:szCs w:val="21"/>
                    </w:rPr>
                  </w:pPr>
                  <w:r>
                    <w:rPr>
                      <w:color w:val="000000"/>
                      <w:kern w:val="0"/>
                      <w:szCs w:val="21"/>
                    </w:rPr>
                    <w:t>0.4</w:t>
                  </w:r>
                </w:p>
              </w:tc>
              <w:tc>
                <w:tcPr>
                  <w:tcW w:w="906" w:type="dxa"/>
                  <w:shd w:val="clear" w:color="auto" w:fill="auto"/>
                  <w:noWrap/>
                  <w:vAlign w:val="center"/>
                </w:tcPr>
                <w:p>
                  <w:pPr>
                    <w:widowControl/>
                    <w:jc w:val="center"/>
                    <w:rPr>
                      <w:color w:val="000000"/>
                      <w:kern w:val="0"/>
                      <w:szCs w:val="21"/>
                    </w:rPr>
                  </w:pPr>
                  <w:r>
                    <w:rPr>
                      <w:color w:val="000000"/>
                      <w:kern w:val="0"/>
                      <w:szCs w:val="21"/>
                    </w:rPr>
                    <w:t>40</w:t>
                  </w:r>
                </w:p>
              </w:tc>
              <w:tc>
                <w:tcPr>
                  <w:tcW w:w="1661" w:type="dxa"/>
                  <w:shd w:val="clear" w:color="auto" w:fill="auto"/>
                  <w:noWrap/>
                  <w:vAlign w:val="center"/>
                </w:tcPr>
                <w:p>
                  <w:pPr>
                    <w:widowControl/>
                    <w:jc w:val="center"/>
                    <w:rPr>
                      <w:color w:val="000000"/>
                      <w:kern w:val="0"/>
                      <w:szCs w:val="21"/>
                    </w:rPr>
                  </w:pPr>
                  <w:r>
                    <w:rPr>
                      <w:color w:val="000000"/>
                      <w:kern w:val="0"/>
                      <w:szCs w:val="21"/>
                    </w:rPr>
                    <w:t>0.75</w:t>
                  </w:r>
                </w:p>
              </w:tc>
              <w:tc>
                <w:tcPr>
                  <w:tcW w:w="1017"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17</w:t>
                  </w:r>
                </w:p>
              </w:tc>
              <w:tc>
                <w:tcPr>
                  <w:tcW w:w="2791" w:type="dxa"/>
                  <w:shd w:val="clear" w:color="auto" w:fill="auto"/>
                  <w:noWrap/>
                  <w:vAlign w:val="center"/>
                </w:tcPr>
                <w:p>
                  <w:pPr>
                    <w:widowControl/>
                    <w:jc w:val="center"/>
                    <w:rPr>
                      <w:color w:val="000000"/>
                      <w:kern w:val="0"/>
                      <w:szCs w:val="21"/>
                    </w:rPr>
                  </w:pPr>
                  <w:r>
                    <w:rPr>
                      <w:rFonts w:hint="eastAsia"/>
                      <w:szCs w:val="21"/>
                    </w:rPr>
                    <w:t>产水氢氧化钠计量泵</w:t>
                  </w:r>
                </w:p>
              </w:tc>
              <w:tc>
                <w:tcPr>
                  <w:tcW w:w="847" w:type="dxa"/>
                  <w:shd w:val="clear" w:color="auto" w:fill="auto"/>
                  <w:noWrap/>
                  <w:vAlign w:val="center"/>
                </w:tcPr>
                <w:p>
                  <w:pPr>
                    <w:widowControl/>
                    <w:jc w:val="center"/>
                    <w:rPr>
                      <w:color w:val="000000"/>
                      <w:kern w:val="0"/>
                      <w:szCs w:val="21"/>
                    </w:rPr>
                  </w:pPr>
                  <w:r>
                    <w:rPr>
                      <w:color w:val="000000"/>
                      <w:kern w:val="0"/>
                      <w:szCs w:val="21"/>
                    </w:rPr>
                    <w:t>0.05</w:t>
                  </w:r>
                </w:p>
              </w:tc>
              <w:tc>
                <w:tcPr>
                  <w:tcW w:w="906" w:type="dxa"/>
                  <w:shd w:val="clear" w:color="auto" w:fill="auto"/>
                  <w:noWrap/>
                  <w:vAlign w:val="center"/>
                </w:tcPr>
                <w:p>
                  <w:pPr>
                    <w:widowControl/>
                    <w:jc w:val="center"/>
                    <w:rPr>
                      <w:color w:val="000000"/>
                      <w:kern w:val="0"/>
                      <w:szCs w:val="21"/>
                    </w:rPr>
                  </w:pPr>
                  <w:r>
                    <w:rPr>
                      <w:color w:val="000000"/>
                      <w:kern w:val="0"/>
                      <w:szCs w:val="21"/>
                    </w:rPr>
                    <w:t>40</w:t>
                  </w:r>
                </w:p>
              </w:tc>
              <w:tc>
                <w:tcPr>
                  <w:tcW w:w="1661" w:type="dxa"/>
                  <w:shd w:val="clear" w:color="auto" w:fill="auto"/>
                  <w:noWrap/>
                  <w:vAlign w:val="center"/>
                </w:tcPr>
                <w:p>
                  <w:pPr>
                    <w:widowControl/>
                    <w:jc w:val="center"/>
                    <w:rPr>
                      <w:color w:val="000000"/>
                      <w:kern w:val="0"/>
                      <w:szCs w:val="21"/>
                    </w:rPr>
                  </w:pPr>
                  <w:r>
                    <w:rPr>
                      <w:color w:val="000000"/>
                      <w:kern w:val="0"/>
                      <w:szCs w:val="21"/>
                    </w:rPr>
                    <w:t>0.25</w:t>
                  </w:r>
                </w:p>
              </w:tc>
              <w:tc>
                <w:tcPr>
                  <w:tcW w:w="1017"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18</w:t>
                  </w:r>
                </w:p>
              </w:tc>
              <w:tc>
                <w:tcPr>
                  <w:tcW w:w="2791" w:type="dxa"/>
                  <w:shd w:val="clear" w:color="auto" w:fill="auto"/>
                  <w:noWrap/>
                  <w:vAlign w:val="center"/>
                </w:tcPr>
                <w:p>
                  <w:pPr>
                    <w:widowControl/>
                    <w:jc w:val="center"/>
                    <w:rPr>
                      <w:color w:val="000000"/>
                      <w:kern w:val="0"/>
                      <w:szCs w:val="21"/>
                    </w:rPr>
                  </w:pPr>
                  <w:r>
                    <w:rPr>
                      <w:color w:val="000000"/>
                      <w:kern w:val="0"/>
                      <w:szCs w:val="21"/>
                    </w:rPr>
                    <w:t>阻垢剂计量泵</w:t>
                  </w:r>
                </w:p>
              </w:tc>
              <w:tc>
                <w:tcPr>
                  <w:tcW w:w="847" w:type="dxa"/>
                  <w:shd w:val="clear" w:color="auto" w:fill="auto"/>
                  <w:noWrap/>
                  <w:vAlign w:val="center"/>
                </w:tcPr>
                <w:p>
                  <w:pPr>
                    <w:widowControl/>
                    <w:jc w:val="center"/>
                    <w:rPr>
                      <w:color w:val="000000"/>
                      <w:kern w:val="0"/>
                      <w:szCs w:val="21"/>
                    </w:rPr>
                  </w:pPr>
                  <w:r>
                    <w:rPr>
                      <w:color w:val="000000"/>
                      <w:kern w:val="0"/>
                      <w:szCs w:val="21"/>
                    </w:rPr>
                    <w:t>0</w:t>
                  </w:r>
                  <w:r>
                    <w:rPr>
                      <w:rFonts w:hint="eastAsia"/>
                      <w:color w:val="000000"/>
                      <w:kern w:val="0"/>
                      <w:szCs w:val="21"/>
                    </w:rPr>
                    <w:t>.</w:t>
                  </w:r>
                  <w:r>
                    <w:rPr>
                      <w:color w:val="000000"/>
                      <w:kern w:val="0"/>
                      <w:szCs w:val="21"/>
                    </w:rPr>
                    <w:t>05</w:t>
                  </w:r>
                </w:p>
              </w:tc>
              <w:tc>
                <w:tcPr>
                  <w:tcW w:w="906" w:type="dxa"/>
                  <w:shd w:val="clear" w:color="auto" w:fill="auto"/>
                  <w:noWrap/>
                  <w:vAlign w:val="center"/>
                </w:tcPr>
                <w:p>
                  <w:pPr>
                    <w:widowControl/>
                    <w:jc w:val="center"/>
                    <w:rPr>
                      <w:color w:val="000000"/>
                      <w:kern w:val="0"/>
                      <w:szCs w:val="21"/>
                    </w:rPr>
                  </w:pPr>
                  <w:r>
                    <w:rPr>
                      <w:color w:val="000000"/>
                      <w:kern w:val="0"/>
                      <w:szCs w:val="21"/>
                    </w:rPr>
                    <w:t>50</w:t>
                  </w:r>
                </w:p>
              </w:tc>
              <w:tc>
                <w:tcPr>
                  <w:tcW w:w="1661" w:type="dxa"/>
                  <w:shd w:val="clear" w:color="auto" w:fill="auto"/>
                  <w:noWrap/>
                  <w:vAlign w:val="center"/>
                </w:tcPr>
                <w:p>
                  <w:pPr>
                    <w:widowControl/>
                    <w:jc w:val="center"/>
                    <w:rPr>
                      <w:color w:val="000000"/>
                      <w:kern w:val="0"/>
                      <w:szCs w:val="21"/>
                    </w:rPr>
                  </w:pPr>
                  <w:r>
                    <w:rPr>
                      <w:color w:val="000000"/>
                      <w:kern w:val="0"/>
                      <w:szCs w:val="21"/>
                    </w:rPr>
                    <w:t>0.25</w:t>
                  </w:r>
                </w:p>
              </w:tc>
              <w:tc>
                <w:tcPr>
                  <w:tcW w:w="1017"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五</w:t>
                  </w:r>
                </w:p>
              </w:tc>
              <w:tc>
                <w:tcPr>
                  <w:tcW w:w="2791" w:type="dxa"/>
                  <w:shd w:val="clear" w:color="auto" w:fill="auto"/>
                  <w:noWrap/>
                  <w:vAlign w:val="center"/>
                </w:tcPr>
                <w:p>
                  <w:pPr>
                    <w:widowControl/>
                    <w:jc w:val="center"/>
                    <w:rPr>
                      <w:color w:val="000000"/>
                      <w:kern w:val="0"/>
                      <w:szCs w:val="21"/>
                    </w:rPr>
                  </w:pPr>
                  <w:r>
                    <w:rPr>
                      <w:color w:val="000000"/>
                      <w:kern w:val="0"/>
                      <w:szCs w:val="21"/>
                    </w:rPr>
                    <w:t>清洗系统</w:t>
                  </w:r>
                </w:p>
              </w:tc>
              <w:tc>
                <w:tcPr>
                  <w:tcW w:w="847" w:type="dxa"/>
                  <w:shd w:val="clear" w:color="auto" w:fill="auto"/>
                  <w:noWrap/>
                  <w:vAlign w:val="center"/>
                </w:tcPr>
                <w:p>
                  <w:pPr>
                    <w:widowControl/>
                    <w:jc w:val="center"/>
                    <w:rPr>
                      <w:color w:val="000000"/>
                      <w:kern w:val="0"/>
                      <w:szCs w:val="21"/>
                    </w:rPr>
                  </w:pPr>
                </w:p>
              </w:tc>
              <w:tc>
                <w:tcPr>
                  <w:tcW w:w="906" w:type="dxa"/>
                  <w:shd w:val="clear" w:color="auto" w:fill="auto"/>
                  <w:noWrap/>
                  <w:vAlign w:val="center"/>
                </w:tcPr>
                <w:p>
                  <w:pPr>
                    <w:widowControl/>
                    <w:jc w:val="center"/>
                    <w:rPr>
                      <w:color w:val="000000"/>
                      <w:kern w:val="0"/>
                      <w:szCs w:val="21"/>
                    </w:rPr>
                  </w:pPr>
                </w:p>
              </w:tc>
              <w:tc>
                <w:tcPr>
                  <w:tcW w:w="1661" w:type="dxa"/>
                  <w:shd w:val="clear" w:color="auto" w:fill="auto"/>
                  <w:noWrap/>
                  <w:vAlign w:val="center"/>
                </w:tcPr>
                <w:p>
                  <w:pPr>
                    <w:widowControl/>
                    <w:jc w:val="center"/>
                    <w:rPr>
                      <w:color w:val="000000"/>
                      <w:kern w:val="0"/>
                      <w:szCs w:val="21"/>
                    </w:rPr>
                  </w:pPr>
                </w:p>
              </w:tc>
              <w:tc>
                <w:tcPr>
                  <w:tcW w:w="1017"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19</w:t>
                  </w:r>
                </w:p>
              </w:tc>
              <w:tc>
                <w:tcPr>
                  <w:tcW w:w="2791" w:type="dxa"/>
                  <w:shd w:val="clear" w:color="auto" w:fill="auto"/>
                  <w:noWrap/>
                  <w:vAlign w:val="center"/>
                </w:tcPr>
                <w:p>
                  <w:pPr>
                    <w:widowControl/>
                    <w:jc w:val="center"/>
                    <w:rPr>
                      <w:color w:val="000000"/>
                      <w:kern w:val="0"/>
                      <w:szCs w:val="21"/>
                    </w:rPr>
                  </w:pPr>
                  <w:r>
                    <w:rPr>
                      <w:color w:val="000000"/>
                      <w:kern w:val="0"/>
                      <w:szCs w:val="21"/>
                    </w:rPr>
                    <w:t>超滤清洗泵</w:t>
                  </w:r>
                </w:p>
              </w:tc>
              <w:tc>
                <w:tcPr>
                  <w:tcW w:w="847" w:type="dxa"/>
                  <w:shd w:val="clear" w:color="auto" w:fill="auto"/>
                  <w:noWrap/>
                  <w:vAlign w:val="center"/>
                </w:tcPr>
                <w:p>
                  <w:pPr>
                    <w:widowControl/>
                    <w:jc w:val="center"/>
                    <w:rPr>
                      <w:color w:val="000000"/>
                      <w:kern w:val="0"/>
                      <w:szCs w:val="21"/>
                    </w:rPr>
                  </w:pPr>
                  <w:r>
                    <w:rPr>
                      <w:color w:val="000000"/>
                      <w:kern w:val="0"/>
                      <w:szCs w:val="21"/>
                    </w:rPr>
                    <w:t>360</w:t>
                  </w:r>
                </w:p>
              </w:tc>
              <w:tc>
                <w:tcPr>
                  <w:tcW w:w="906" w:type="dxa"/>
                  <w:shd w:val="clear" w:color="auto" w:fill="auto"/>
                  <w:noWrap/>
                  <w:vAlign w:val="center"/>
                </w:tcPr>
                <w:p>
                  <w:pPr>
                    <w:widowControl/>
                    <w:jc w:val="center"/>
                    <w:rPr>
                      <w:color w:val="000000"/>
                      <w:kern w:val="0"/>
                      <w:szCs w:val="21"/>
                    </w:rPr>
                  </w:pPr>
                  <w:r>
                    <w:rPr>
                      <w:color w:val="000000"/>
                      <w:kern w:val="0"/>
                      <w:szCs w:val="21"/>
                    </w:rPr>
                    <w:t>40</w:t>
                  </w:r>
                </w:p>
              </w:tc>
              <w:tc>
                <w:tcPr>
                  <w:tcW w:w="1661" w:type="dxa"/>
                  <w:shd w:val="clear" w:color="auto" w:fill="auto"/>
                  <w:noWrap/>
                  <w:vAlign w:val="center"/>
                </w:tcPr>
                <w:p>
                  <w:pPr>
                    <w:widowControl/>
                    <w:jc w:val="center"/>
                    <w:rPr>
                      <w:color w:val="000000"/>
                      <w:kern w:val="0"/>
                      <w:szCs w:val="21"/>
                    </w:rPr>
                  </w:pPr>
                  <w:r>
                    <w:rPr>
                      <w:color w:val="000000"/>
                      <w:kern w:val="0"/>
                      <w:szCs w:val="21"/>
                    </w:rPr>
                    <w:t>45</w:t>
                  </w:r>
                </w:p>
              </w:tc>
              <w:tc>
                <w:tcPr>
                  <w:tcW w:w="1017"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color w:val="000000"/>
                      <w:kern w:val="0"/>
                      <w:szCs w:val="21"/>
                    </w:rPr>
                    <w:t>20</w:t>
                  </w:r>
                </w:p>
              </w:tc>
              <w:tc>
                <w:tcPr>
                  <w:tcW w:w="2791" w:type="dxa"/>
                  <w:shd w:val="clear" w:color="auto" w:fill="auto"/>
                  <w:noWrap/>
                  <w:vAlign w:val="center"/>
                </w:tcPr>
                <w:p>
                  <w:pPr>
                    <w:widowControl/>
                    <w:jc w:val="center"/>
                    <w:rPr>
                      <w:color w:val="000000"/>
                      <w:kern w:val="0"/>
                      <w:szCs w:val="21"/>
                    </w:rPr>
                  </w:pPr>
                  <w:r>
                    <w:rPr>
                      <w:color w:val="000000"/>
                      <w:kern w:val="0"/>
                      <w:szCs w:val="21"/>
                    </w:rPr>
                    <w:t>海水反渗透清洗水泵</w:t>
                  </w:r>
                </w:p>
              </w:tc>
              <w:tc>
                <w:tcPr>
                  <w:tcW w:w="847" w:type="dxa"/>
                  <w:shd w:val="clear" w:color="auto" w:fill="auto"/>
                  <w:noWrap/>
                  <w:vAlign w:val="center"/>
                </w:tcPr>
                <w:p>
                  <w:pPr>
                    <w:widowControl/>
                    <w:jc w:val="center"/>
                    <w:rPr>
                      <w:color w:val="000000"/>
                      <w:kern w:val="0"/>
                      <w:szCs w:val="21"/>
                    </w:rPr>
                  </w:pPr>
                  <w:r>
                    <w:rPr>
                      <w:color w:val="000000"/>
                      <w:kern w:val="0"/>
                      <w:szCs w:val="21"/>
                    </w:rPr>
                    <w:t>950</w:t>
                  </w:r>
                </w:p>
              </w:tc>
              <w:tc>
                <w:tcPr>
                  <w:tcW w:w="906" w:type="dxa"/>
                  <w:shd w:val="clear" w:color="auto" w:fill="auto"/>
                  <w:noWrap/>
                  <w:vAlign w:val="center"/>
                </w:tcPr>
                <w:p>
                  <w:pPr>
                    <w:widowControl/>
                    <w:jc w:val="center"/>
                    <w:rPr>
                      <w:color w:val="000000"/>
                      <w:kern w:val="0"/>
                      <w:szCs w:val="21"/>
                    </w:rPr>
                  </w:pPr>
                  <w:r>
                    <w:rPr>
                      <w:color w:val="000000"/>
                      <w:kern w:val="0"/>
                      <w:szCs w:val="21"/>
                    </w:rPr>
                    <w:t>35</w:t>
                  </w:r>
                </w:p>
              </w:tc>
              <w:tc>
                <w:tcPr>
                  <w:tcW w:w="1661" w:type="dxa"/>
                  <w:shd w:val="clear" w:color="auto" w:fill="auto"/>
                  <w:noWrap/>
                  <w:vAlign w:val="center"/>
                </w:tcPr>
                <w:p>
                  <w:pPr>
                    <w:widowControl/>
                    <w:jc w:val="center"/>
                    <w:rPr>
                      <w:color w:val="000000"/>
                      <w:kern w:val="0"/>
                      <w:szCs w:val="21"/>
                    </w:rPr>
                  </w:pPr>
                  <w:r>
                    <w:rPr>
                      <w:color w:val="000000"/>
                      <w:kern w:val="0"/>
                      <w:szCs w:val="21"/>
                    </w:rPr>
                    <w:t>110</w:t>
                  </w:r>
                </w:p>
              </w:tc>
              <w:tc>
                <w:tcPr>
                  <w:tcW w:w="1017" w:type="dxa"/>
                  <w:vAlign w:val="center"/>
                </w:tcPr>
                <w:p>
                  <w:pPr>
                    <w:widowControl/>
                    <w:jc w:val="center"/>
                    <w:rPr>
                      <w:color w:val="000000"/>
                      <w:kern w:val="0"/>
                      <w:szCs w:val="21"/>
                    </w:rPr>
                  </w:pPr>
                  <w:r>
                    <w:rPr>
                      <w:color w:val="000000"/>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widowControl/>
                    <w:jc w:val="center"/>
                    <w:rPr>
                      <w:color w:val="000000"/>
                      <w:kern w:val="0"/>
                      <w:szCs w:val="21"/>
                    </w:rPr>
                  </w:pPr>
                  <w:r>
                    <w:rPr>
                      <w:rFonts w:hint="eastAsia"/>
                      <w:color w:val="000000"/>
                      <w:kern w:val="0"/>
                      <w:szCs w:val="21"/>
                    </w:rPr>
                    <w:t>六</w:t>
                  </w:r>
                </w:p>
              </w:tc>
              <w:tc>
                <w:tcPr>
                  <w:tcW w:w="2791" w:type="dxa"/>
                  <w:shd w:val="clear" w:color="auto" w:fill="auto"/>
                  <w:noWrap/>
                  <w:vAlign w:val="center"/>
                </w:tcPr>
                <w:p>
                  <w:pPr>
                    <w:widowControl/>
                    <w:jc w:val="center"/>
                    <w:rPr>
                      <w:color w:val="000000"/>
                      <w:kern w:val="0"/>
                      <w:szCs w:val="21"/>
                    </w:rPr>
                  </w:pPr>
                  <w:r>
                    <w:rPr>
                      <w:rFonts w:hint="eastAsia"/>
                      <w:color w:val="000000"/>
                      <w:kern w:val="0"/>
                      <w:szCs w:val="21"/>
                    </w:rPr>
                    <w:t>低温多效</w:t>
                  </w:r>
                </w:p>
              </w:tc>
              <w:tc>
                <w:tcPr>
                  <w:tcW w:w="847" w:type="dxa"/>
                  <w:shd w:val="clear" w:color="auto" w:fill="auto"/>
                  <w:noWrap/>
                  <w:vAlign w:val="center"/>
                </w:tcPr>
                <w:p>
                  <w:pPr>
                    <w:widowControl/>
                    <w:jc w:val="center"/>
                    <w:rPr>
                      <w:color w:val="000000"/>
                      <w:kern w:val="0"/>
                      <w:szCs w:val="21"/>
                    </w:rPr>
                  </w:pPr>
                </w:p>
              </w:tc>
              <w:tc>
                <w:tcPr>
                  <w:tcW w:w="906" w:type="dxa"/>
                  <w:shd w:val="clear" w:color="auto" w:fill="auto"/>
                  <w:noWrap/>
                  <w:vAlign w:val="center"/>
                </w:tcPr>
                <w:p>
                  <w:pPr>
                    <w:widowControl/>
                    <w:jc w:val="center"/>
                    <w:rPr>
                      <w:color w:val="000000"/>
                      <w:kern w:val="0"/>
                      <w:szCs w:val="21"/>
                    </w:rPr>
                  </w:pPr>
                </w:p>
              </w:tc>
              <w:tc>
                <w:tcPr>
                  <w:tcW w:w="1661" w:type="dxa"/>
                  <w:shd w:val="clear" w:color="auto" w:fill="auto"/>
                  <w:noWrap/>
                  <w:vAlign w:val="center"/>
                </w:tcPr>
                <w:p>
                  <w:pPr>
                    <w:widowControl/>
                    <w:jc w:val="center"/>
                    <w:rPr>
                      <w:color w:val="000000"/>
                      <w:kern w:val="0"/>
                      <w:szCs w:val="21"/>
                    </w:rPr>
                  </w:pPr>
                </w:p>
              </w:tc>
              <w:tc>
                <w:tcPr>
                  <w:tcW w:w="1017" w:type="dxa"/>
                  <w:vAlign w:val="center"/>
                </w:tcPr>
                <w:p>
                  <w:pPr>
                    <w:widowControl/>
                    <w:jc w:val="center"/>
                    <w:rPr>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1</w:t>
                  </w:r>
                </w:p>
              </w:tc>
              <w:tc>
                <w:tcPr>
                  <w:tcW w:w="2791" w:type="dxa"/>
                  <w:shd w:val="clear" w:color="auto" w:fill="auto"/>
                  <w:noWrap/>
                  <w:vAlign w:val="center"/>
                </w:tcPr>
                <w:p>
                  <w:pPr>
                    <w:spacing w:line="360" w:lineRule="auto"/>
                    <w:jc w:val="center"/>
                    <w:rPr>
                      <w:color w:val="000000"/>
                      <w:szCs w:val="21"/>
                    </w:rPr>
                  </w:pPr>
                  <w:r>
                    <w:rPr>
                      <w:color w:val="000000"/>
                      <w:szCs w:val="21"/>
                    </w:rPr>
                    <w:t>原料水泵</w:t>
                  </w:r>
                </w:p>
              </w:tc>
              <w:tc>
                <w:tcPr>
                  <w:tcW w:w="847" w:type="dxa"/>
                  <w:shd w:val="clear" w:color="auto" w:fill="auto"/>
                  <w:noWrap/>
                  <w:vAlign w:val="center"/>
                </w:tcPr>
                <w:p>
                  <w:pPr>
                    <w:spacing w:line="360" w:lineRule="auto"/>
                    <w:jc w:val="center"/>
                    <w:rPr>
                      <w:color w:val="000000"/>
                      <w:szCs w:val="21"/>
                    </w:rPr>
                  </w:pPr>
                  <w:r>
                    <w:rPr>
                      <w:color w:val="000000"/>
                      <w:szCs w:val="21"/>
                    </w:rPr>
                    <w:t>810</w:t>
                  </w:r>
                </w:p>
              </w:tc>
              <w:tc>
                <w:tcPr>
                  <w:tcW w:w="906" w:type="dxa"/>
                  <w:shd w:val="clear" w:color="auto" w:fill="auto"/>
                  <w:noWrap/>
                  <w:vAlign w:val="center"/>
                </w:tcPr>
                <w:p>
                  <w:pPr>
                    <w:spacing w:line="360" w:lineRule="auto"/>
                    <w:jc w:val="center"/>
                    <w:rPr>
                      <w:color w:val="000000"/>
                      <w:szCs w:val="21"/>
                    </w:rPr>
                  </w:pPr>
                  <w:r>
                    <w:rPr>
                      <w:color w:val="000000"/>
                      <w:szCs w:val="21"/>
                    </w:rPr>
                    <w:t>15</w:t>
                  </w:r>
                </w:p>
              </w:tc>
              <w:tc>
                <w:tcPr>
                  <w:tcW w:w="1661" w:type="dxa"/>
                  <w:shd w:val="clear" w:color="auto" w:fill="auto"/>
                  <w:noWrap/>
                  <w:vAlign w:val="center"/>
                </w:tcPr>
                <w:p>
                  <w:pPr>
                    <w:spacing w:line="360" w:lineRule="auto"/>
                    <w:jc w:val="center"/>
                    <w:rPr>
                      <w:color w:val="000000"/>
                      <w:szCs w:val="21"/>
                    </w:rPr>
                  </w:pPr>
                  <w:r>
                    <w:rPr>
                      <w:color w:val="000000"/>
                      <w:szCs w:val="21"/>
                    </w:rPr>
                    <w:t>44.24</w:t>
                  </w:r>
                </w:p>
              </w:tc>
              <w:tc>
                <w:tcPr>
                  <w:tcW w:w="1017" w:type="dxa"/>
                  <w:vAlign w:val="center"/>
                </w:tcPr>
                <w:p>
                  <w:pPr>
                    <w:spacing w:line="360" w:lineRule="auto"/>
                    <w:jc w:val="center"/>
                    <w:rPr>
                      <w:color w:val="000000"/>
                      <w:szCs w:val="21"/>
                    </w:rPr>
                  </w:pPr>
                  <w:r>
                    <w:rPr>
                      <w:color w:val="00000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2</w:t>
                  </w:r>
                </w:p>
              </w:tc>
              <w:tc>
                <w:tcPr>
                  <w:tcW w:w="2791" w:type="dxa"/>
                  <w:shd w:val="clear" w:color="auto" w:fill="auto"/>
                  <w:noWrap/>
                  <w:vAlign w:val="center"/>
                </w:tcPr>
                <w:p>
                  <w:pPr>
                    <w:spacing w:line="360" w:lineRule="auto"/>
                    <w:jc w:val="center"/>
                    <w:rPr>
                      <w:color w:val="000000"/>
                      <w:szCs w:val="21"/>
                    </w:rPr>
                  </w:pPr>
                  <w:r>
                    <w:rPr>
                      <w:color w:val="000000"/>
                      <w:szCs w:val="21"/>
                    </w:rPr>
                    <w:t>浓水泵</w:t>
                  </w:r>
                </w:p>
              </w:tc>
              <w:tc>
                <w:tcPr>
                  <w:tcW w:w="847" w:type="dxa"/>
                  <w:shd w:val="clear" w:color="auto" w:fill="auto"/>
                  <w:noWrap/>
                  <w:vAlign w:val="center"/>
                </w:tcPr>
                <w:p>
                  <w:pPr>
                    <w:spacing w:line="360" w:lineRule="auto"/>
                    <w:jc w:val="center"/>
                    <w:rPr>
                      <w:color w:val="000000"/>
                      <w:szCs w:val="21"/>
                    </w:rPr>
                  </w:pPr>
                  <w:r>
                    <w:rPr>
                      <w:color w:val="000000"/>
                      <w:szCs w:val="21"/>
                    </w:rPr>
                    <w:t>250</w:t>
                  </w:r>
                </w:p>
              </w:tc>
              <w:tc>
                <w:tcPr>
                  <w:tcW w:w="906" w:type="dxa"/>
                  <w:shd w:val="clear" w:color="auto" w:fill="auto"/>
                  <w:noWrap/>
                  <w:vAlign w:val="center"/>
                </w:tcPr>
                <w:p>
                  <w:pPr>
                    <w:spacing w:line="360" w:lineRule="auto"/>
                    <w:jc w:val="center"/>
                    <w:rPr>
                      <w:color w:val="000000"/>
                      <w:szCs w:val="21"/>
                    </w:rPr>
                  </w:pPr>
                  <w:r>
                    <w:rPr>
                      <w:color w:val="000000"/>
                      <w:szCs w:val="21"/>
                    </w:rPr>
                    <w:t>25</w:t>
                  </w:r>
                </w:p>
              </w:tc>
              <w:tc>
                <w:tcPr>
                  <w:tcW w:w="1661" w:type="dxa"/>
                  <w:shd w:val="clear" w:color="auto" w:fill="auto"/>
                  <w:noWrap/>
                  <w:vAlign w:val="center"/>
                </w:tcPr>
                <w:p>
                  <w:pPr>
                    <w:spacing w:line="360" w:lineRule="auto"/>
                    <w:jc w:val="center"/>
                    <w:rPr>
                      <w:color w:val="000000"/>
                      <w:szCs w:val="21"/>
                    </w:rPr>
                  </w:pPr>
                  <w:r>
                    <w:rPr>
                      <w:color w:val="000000"/>
                      <w:szCs w:val="21"/>
                    </w:rPr>
                    <w:t>24.59</w:t>
                  </w:r>
                </w:p>
              </w:tc>
              <w:tc>
                <w:tcPr>
                  <w:tcW w:w="1017" w:type="dxa"/>
                  <w:vAlign w:val="center"/>
                </w:tcPr>
                <w:p>
                  <w:pPr>
                    <w:spacing w:line="360" w:lineRule="auto"/>
                    <w:jc w:val="center"/>
                    <w:rPr>
                      <w:color w:val="000000"/>
                      <w:szCs w:val="21"/>
                    </w:rPr>
                  </w:pPr>
                  <w:r>
                    <w:rPr>
                      <w:color w:val="00000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3</w:t>
                  </w:r>
                </w:p>
              </w:tc>
              <w:tc>
                <w:tcPr>
                  <w:tcW w:w="2791" w:type="dxa"/>
                  <w:shd w:val="clear" w:color="auto" w:fill="auto"/>
                  <w:noWrap/>
                  <w:vAlign w:val="center"/>
                </w:tcPr>
                <w:p>
                  <w:pPr>
                    <w:spacing w:line="360" w:lineRule="auto"/>
                    <w:jc w:val="center"/>
                    <w:rPr>
                      <w:color w:val="000000"/>
                      <w:szCs w:val="21"/>
                    </w:rPr>
                  </w:pPr>
                  <w:r>
                    <w:rPr>
                      <w:color w:val="000000"/>
                      <w:szCs w:val="21"/>
                    </w:rPr>
                    <w:t>产品水泵</w:t>
                  </w:r>
                </w:p>
              </w:tc>
              <w:tc>
                <w:tcPr>
                  <w:tcW w:w="847" w:type="dxa"/>
                  <w:shd w:val="clear" w:color="auto" w:fill="auto"/>
                  <w:noWrap/>
                  <w:vAlign w:val="center"/>
                </w:tcPr>
                <w:p>
                  <w:pPr>
                    <w:spacing w:line="360" w:lineRule="auto"/>
                    <w:jc w:val="center"/>
                    <w:rPr>
                      <w:color w:val="000000"/>
                      <w:szCs w:val="21"/>
                    </w:rPr>
                  </w:pPr>
                  <w:r>
                    <w:rPr>
                      <w:color w:val="000000"/>
                      <w:szCs w:val="21"/>
                    </w:rPr>
                    <w:t>210</w:t>
                  </w:r>
                </w:p>
              </w:tc>
              <w:tc>
                <w:tcPr>
                  <w:tcW w:w="906" w:type="dxa"/>
                  <w:shd w:val="clear" w:color="auto" w:fill="auto"/>
                  <w:noWrap/>
                  <w:vAlign w:val="center"/>
                </w:tcPr>
                <w:p>
                  <w:pPr>
                    <w:spacing w:line="360" w:lineRule="auto"/>
                    <w:jc w:val="center"/>
                    <w:rPr>
                      <w:color w:val="000000"/>
                      <w:szCs w:val="21"/>
                    </w:rPr>
                  </w:pPr>
                  <w:r>
                    <w:rPr>
                      <w:color w:val="000000"/>
                      <w:szCs w:val="21"/>
                    </w:rPr>
                    <w:t>20</w:t>
                  </w:r>
                </w:p>
              </w:tc>
              <w:tc>
                <w:tcPr>
                  <w:tcW w:w="1661" w:type="dxa"/>
                  <w:shd w:val="clear" w:color="auto" w:fill="auto"/>
                  <w:noWrap/>
                  <w:vAlign w:val="center"/>
                </w:tcPr>
                <w:p>
                  <w:pPr>
                    <w:spacing w:line="360" w:lineRule="auto"/>
                    <w:jc w:val="center"/>
                    <w:rPr>
                      <w:color w:val="000000"/>
                      <w:szCs w:val="21"/>
                    </w:rPr>
                  </w:pPr>
                  <w:r>
                    <w:rPr>
                      <w:color w:val="000000"/>
                      <w:szCs w:val="21"/>
                    </w:rPr>
                    <w:t>16.53</w:t>
                  </w:r>
                </w:p>
              </w:tc>
              <w:tc>
                <w:tcPr>
                  <w:tcW w:w="1017" w:type="dxa"/>
                  <w:vAlign w:val="center"/>
                </w:tcPr>
                <w:p>
                  <w:pPr>
                    <w:spacing w:line="360" w:lineRule="auto"/>
                    <w:jc w:val="center"/>
                    <w:rPr>
                      <w:color w:val="000000"/>
                      <w:szCs w:val="21"/>
                    </w:rPr>
                  </w:pPr>
                  <w:r>
                    <w:rPr>
                      <w:color w:val="00000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4</w:t>
                  </w:r>
                </w:p>
              </w:tc>
              <w:tc>
                <w:tcPr>
                  <w:tcW w:w="2791" w:type="dxa"/>
                  <w:shd w:val="clear" w:color="auto" w:fill="auto"/>
                  <w:noWrap/>
                  <w:vAlign w:val="center"/>
                </w:tcPr>
                <w:p>
                  <w:pPr>
                    <w:spacing w:line="360" w:lineRule="auto"/>
                    <w:jc w:val="center"/>
                    <w:rPr>
                      <w:color w:val="000000"/>
                      <w:szCs w:val="21"/>
                    </w:rPr>
                  </w:pPr>
                  <w:r>
                    <w:rPr>
                      <w:color w:val="000000"/>
                      <w:szCs w:val="21"/>
                    </w:rPr>
                    <w:t>8-11效中间水泵</w:t>
                  </w:r>
                </w:p>
              </w:tc>
              <w:tc>
                <w:tcPr>
                  <w:tcW w:w="847" w:type="dxa"/>
                  <w:shd w:val="clear" w:color="auto" w:fill="auto"/>
                  <w:noWrap/>
                  <w:vAlign w:val="center"/>
                </w:tcPr>
                <w:p>
                  <w:pPr>
                    <w:spacing w:line="360" w:lineRule="auto"/>
                    <w:jc w:val="center"/>
                    <w:rPr>
                      <w:color w:val="000000"/>
                      <w:szCs w:val="21"/>
                    </w:rPr>
                  </w:pPr>
                  <w:r>
                    <w:rPr>
                      <w:color w:val="000000"/>
                      <w:szCs w:val="21"/>
                    </w:rPr>
                    <w:t>460</w:t>
                  </w:r>
                </w:p>
              </w:tc>
              <w:tc>
                <w:tcPr>
                  <w:tcW w:w="906" w:type="dxa"/>
                  <w:shd w:val="clear" w:color="auto" w:fill="auto"/>
                  <w:noWrap/>
                  <w:vAlign w:val="center"/>
                </w:tcPr>
                <w:p>
                  <w:pPr>
                    <w:spacing w:line="360" w:lineRule="auto"/>
                    <w:jc w:val="center"/>
                    <w:rPr>
                      <w:color w:val="000000"/>
                      <w:szCs w:val="21"/>
                    </w:rPr>
                  </w:pPr>
                  <w:r>
                    <w:rPr>
                      <w:color w:val="000000"/>
                      <w:szCs w:val="21"/>
                    </w:rPr>
                    <w:t>25</w:t>
                  </w:r>
                </w:p>
              </w:tc>
              <w:tc>
                <w:tcPr>
                  <w:tcW w:w="1661" w:type="dxa"/>
                  <w:shd w:val="clear" w:color="auto" w:fill="auto"/>
                  <w:noWrap/>
                  <w:vAlign w:val="center"/>
                </w:tcPr>
                <w:p>
                  <w:pPr>
                    <w:spacing w:line="360" w:lineRule="auto"/>
                    <w:jc w:val="center"/>
                    <w:rPr>
                      <w:color w:val="000000"/>
                      <w:szCs w:val="21"/>
                    </w:rPr>
                  </w:pPr>
                  <w:r>
                    <w:rPr>
                      <w:color w:val="000000"/>
                      <w:szCs w:val="21"/>
                    </w:rPr>
                    <w:t>42.70</w:t>
                  </w:r>
                </w:p>
              </w:tc>
              <w:tc>
                <w:tcPr>
                  <w:tcW w:w="1017" w:type="dxa"/>
                  <w:vAlign w:val="center"/>
                </w:tcPr>
                <w:p>
                  <w:pPr>
                    <w:spacing w:line="360" w:lineRule="auto"/>
                    <w:jc w:val="center"/>
                    <w:rPr>
                      <w:color w:val="000000"/>
                      <w:szCs w:val="21"/>
                    </w:rPr>
                  </w:pPr>
                  <w:r>
                    <w:rPr>
                      <w:color w:val="00000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5</w:t>
                  </w:r>
                </w:p>
              </w:tc>
              <w:tc>
                <w:tcPr>
                  <w:tcW w:w="2791" w:type="dxa"/>
                  <w:shd w:val="clear" w:color="auto" w:fill="auto"/>
                  <w:noWrap/>
                  <w:vAlign w:val="center"/>
                </w:tcPr>
                <w:p>
                  <w:pPr>
                    <w:spacing w:line="360" w:lineRule="auto"/>
                    <w:jc w:val="center"/>
                    <w:rPr>
                      <w:color w:val="000000"/>
                      <w:szCs w:val="21"/>
                    </w:rPr>
                  </w:pPr>
                  <w:r>
                    <w:rPr>
                      <w:color w:val="000000"/>
                      <w:szCs w:val="21"/>
                    </w:rPr>
                    <w:t>4-7效中间水泵</w:t>
                  </w:r>
                </w:p>
              </w:tc>
              <w:tc>
                <w:tcPr>
                  <w:tcW w:w="847" w:type="dxa"/>
                  <w:shd w:val="clear" w:color="auto" w:fill="auto"/>
                  <w:noWrap/>
                  <w:vAlign w:val="center"/>
                </w:tcPr>
                <w:p>
                  <w:pPr>
                    <w:spacing w:line="360" w:lineRule="auto"/>
                    <w:jc w:val="center"/>
                    <w:rPr>
                      <w:color w:val="000000"/>
                      <w:szCs w:val="21"/>
                    </w:rPr>
                  </w:pPr>
                  <w:r>
                    <w:rPr>
                      <w:color w:val="000000"/>
                      <w:szCs w:val="21"/>
                    </w:rPr>
                    <w:t>420</w:t>
                  </w:r>
                </w:p>
              </w:tc>
              <w:tc>
                <w:tcPr>
                  <w:tcW w:w="906" w:type="dxa"/>
                  <w:shd w:val="clear" w:color="auto" w:fill="auto"/>
                  <w:noWrap/>
                  <w:vAlign w:val="center"/>
                </w:tcPr>
                <w:p>
                  <w:pPr>
                    <w:spacing w:line="360" w:lineRule="auto"/>
                    <w:jc w:val="center"/>
                    <w:rPr>
                      <w:color w:val="000000"/>
                      <w:szCs w:val="21"/>
                    </w:rPr>
                  </w:pPr>
                  <w:r>
                    <w:rPr>
                      <w:color w:val="000000"/>
                      <w:szCs w:val="21"/>
                    </w:rPr>
                    <w:t>25</w:t>
                  </w:r>
                </w:p>
              </w:tc>
              <w:tc>
                <w:tcPr>
                  <w:tcW w:w="1661" w:type="dxa"/>
                  <w:shd w:val="clear" w:color="auto" w:fill="auto"/>
                  <w:noWrap/>
                  <w:vAlign w:val="center"/>
                </w:tcPr>
                <w:p>
                  <w:pPr>
                    <w:spacing w:line="360" w:lineRule="auto"/>
                    <w:jc w:val="center"/>
                    <w:rPr>
                      <w:color w:val="000000"/>
                      <w:szCs w:val="21"/>
                    </w:rPr>
                  </w:pPr>
                  <w:r>
                    <w:rPr>
                      <w:color w:val="000000"/>
                      <w:szCs w:val="21"/>
                    </w:rPr>
                    <w:t>39.42</w:t>
                  </w:r>
                </w:p>
              </w:tc>
              <w:tc>
                <w:tcPr>
                  <w:tcW w:w="1017" w:type="dxa"/>
                  <w:vAlign w:val="center"/>
                </w:tcPr>
                <w:p>
                  <w:pPr>
                    <w:spacing w:line="360" w:lineRule="auto"/>
                    <w:jc w:val="center"/>
                    <w:rPr>
                      <w:color w:val="000000"/>
                      <w:szCs w:val="21"/>
                    </w:rPr>
                  </w:pPr>
                  <w:r>
                    <w:rPr>
                      <w:color w:val="00000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6</w:t>
                  </w:r>
                </w:p>
              </w:tc>
              <w:tc>
                <w:tcPr>
                  <w:tcW w:w="2791" w:type="dxa"/>
                  <w:shd w:val="clear" w:color="auto" w:fill="auto"/>
                  <w:noWrap/>
                  <w:vAlign w:val="center"/>
                </w:tcPr>
                <w:p>
                  <w:pPr>
                    <w:spacing w:line="360" w:lineRule="auto"/>
                    <w:jc w:val="center"/>
                    <w:rPr>
                      <w:color w:val="000000"/>
                      <w:szCs w:val="21"/>
                    </w:rPr>
                  </w:pPr>
                  <w:r>
                    <w:rPr>
                      <w:color w:val="000000"/>
                      <w:szCs w:val="21"/>
                    </w:rPr>
                    <w:t>1-3效中间水泵</w:t>
                  </w:r>
                </w:p>
              </w:tc>
              <w:tc>
                <w:tcPr>
                  <w:tcW w:w="847" w:type="dxa"/>
                  <w:shd w:val="clear" w:color="auto" w:fill="auto"/>
                  <w:noWrap/>
                  <w:vAlign w:val="center"/>
                </w:tcPr>
                <w:p>
                  <w:pPr>
                    <w:spacing w:line="360" w:lineRule="auto"/>
                    <w:jc w:val="center"/>
                    <w:rPr>
                      <w:color w:val="000000"/>
                      <w:szCs w:val="21"/>
                    </w:rPr>
                  </w:pPr>
                  <w:r>
                    <w:rPr>
                      <w:color w:val="000000"/>
                      <w:szCs w:val="21"/>
                    </w:rPr>
                    <w:t>340</w:t>
                  </w:r>
                </w:p>
              </w:tc>
              <w:tc>
                <w:tcPr>
                  <w:tcW w:w="906" w:type="dxa"/>
                  <w:shd w:val="clear" w:color="auto" w:fill="auto"/>
                  <w:noWrap/>
                  <w:vAlign w:val="center"/>
                </w:tcPr>
                <w:p>
                  <w:pPr>
                    <w:spacing w:line="360" w:lineRule="auto"/>
                    <w:jc w:val="center"/>
                    <w:rPr>
                      <w:color w:val="000000"/>
                      <w:szCs w:val="21"/>
                    </w:rPr>
                  </w:pPr>
                  <w:r>
                    <w:rPr>
                      <w:color w:val="000000"/>
                      <w:szCs w:val="21"/>
                    </w:rPr>
                    <w:t>25</w:t>
                  </w:r>
                </w:p>
              </w:tc>
              <w:tc>
                <w:tcPr>
                  <w:tcW w:w="1661" w:type="dxa"/>
                  <w:shd w:val="clear" w:color="auto" w:fill="auto"/>
                  <w:noWrap/>
                  <w:vAlign w:val="center"/>
                </w:tcPr>
                <w:p>
                  <w:pPr>
                    <w:spacing w:line="360" w:lineRule="auto"/>
                    <w:jc w:val="center"/>
                    <w:rPr>
                      <w:color w:val="000000"/>
                      <w:szCs w:val="21"/>
                    </w:rPr>
                  </w:pPr>
                  <w:r>
                    <w:rPr>
                      <w:color w:val="000000"/>
                      <w:szCs w:val="21"/>
                    </w:rPr>
                    <w:t>32.47</w:t>
                  </w:r>
                </w:p>
              </w:tc>
              <w:tc>
                <w:tcPr>
                  <w:tcW w:w="1017" w:type="dxa"/>
                  <w:vAlign w:val="center"/>
                </w:tcPr>
                <w:p>
                  <w:pPr>
                    <w:spacing w:line="360" w:lineRule="auto"/>
                    <w:jc w:val="center"/>
                    <w:rPr>
                      <w:color w:val="000000"/>
                      <w:szCs w:val="21"/>
                    </w:rPr>
                  </w:pPr>
                  <w:r>
                    <w:rPr>
                      <w:color w:val="00000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7</w:t>
                  </w:r>
                </w:p>
              </w:tc>
              <w:tc>
                <w:tcPr>
                  <w:tcW w:w="2791" w:type="dxa"/>
                  <w:shd w:val="clear" w:color="auto" w:fill="auto"/>
                  <w:noWrap/>
                  <w:vAlign w:val="center"/>
                </w:tcPr>
                <w:p>
                  <w:pPr>
                    <w:spacing w:line="360" w:lineRule="auto"/>
                    <w:jc w:val="center"/>
                    <w:rPr>
                      <w:color w:val="000000"/>
                      <w:szCs w:val="21"/>
                    </w:rPr>
                  </w:pPr>
                  <w:r>
                    <w:rPr>
                      <w:color w:val="000000"/>
                      <w:szCs w:val="21"/>
                    </w:rPr>
                    <w:t>首效冷凝水泵</w:t>
                  </w:r>
                </w:p>
              </w:tc>
              <w:tc>
                <w:tcPr>
                  <w:tcW w:w="847" w:type="dxa"/>
                  <w:shd w:val="clear" w:color="auto" w:fill="auto"/>
                  <w:noWrap/>
                  <w:vAlign w:val="center"/>
                </w:tcPr>
                <w:p>
                  <w:pPr>
                    <w:spacing w:line="360" w:lineRule="auto"/>
                    <w:jc w:val="center"/>
                    <w:rPr>
                      <w:color w:val="000000"/>
                      <w:szCs w:val="21"/>
                    </w:rPr>
                  </w:pPr>
                  <w:r>
                    <w:rPr>
                      <w:color w:val="000000"/>
                      <w:szCs w:val="21"/>
                    </w:rPr>
                    <w:t>32</w:t>
                  </w:r>
                </w:p>
              </w:tc>
              <w:tc>
                <w:tcPr>
                  <w:tcW w:w="906" w:type="dxa"/>
                  <w:shd w:val="clear" w:color="auto" w:fill="auto"/>
                  <w:noWrap/>
                  <w:vAlign w:val="center"/>
                </w:tcPr>
                <w:p>
                  <w:pPr>
                    <w:spacing w:line="360" w:lineRule="auto"/>
                    <w:jc w:val="center"/>
                    <w:rPr>
                      <w:color w:val="000000"/>
                      <w:szCs w:val="21"/>
                    </w:rPr>
                  </w:pPr>
                  <w:r>
                    <w:rPr>
                      <w:color w:val="000000"/>
                      <w:szCs w:val="21"/>
                    </w:rPr>
                    <w:t>25</w:t>
                  </w:r>
                </w:p>
              </w:tc>
              <w:tc>
                <w:tcPr>
                  <w:tcW w:w="1661" w:type="dxa"/>
                  <w:shd w:val="clear" w:color="auto" w:fill="auto"/>
                  <w:noWrap/>
                  <w:vAlign w:val="center"/>
                </w:tcPr>
                <w:p>
                  <w:pPr>
                    <w:spacing w:line="360" w:lineRule="auto"/>
                    <w:jc w:val="center"/>
                    <w:rPr>
                      <w:color w:val="000000"/>
                      <w:szCs w:val="21"/>
                    </w:rPr>
                  </w:pPr>
                  <w:r>
                    <w:rPr>
                      <w:color w:val="000000"/>
                      <w:szCs w:val="21"/>
                    </w:rPr>
                    <w:t>3.67</w:t>
                  </w:r>
                </w:p>
              </w:tc>
              <w:tc>
                <w:tcPr>
                  <w:tcW w:w="1017" w:type="dxa"/>
                  <w:vAlign w:val="center"/>
                </w:tcPr>
                <w:p>
                  <w:pPr>
                    <w:spacing w:line="360" w:lineRule="auto"/>
                    <w:jc w:val="center"/>
                    <w:rPr>
                      <w:color w:val="000000"/>
                      <w:szCs w:val="21"/>
                    </w:rPr>
                  </w:pPr>
                  <w:r>
                    <w:rPr>
                      <w:color w:val="00000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8</w:t>
                  </w:r>
                </w:p>
              </w:tc>
              <w:tc>
                <w:tcPr>
                  <w:tcW w:w="2791" w:type="dxa"/>
                  <w:shd w:val="clear" w:color="auto" w:fill="auto"/>
                  <w:noWrap/>
                  <w:vAlign w:val="center"/>
                </w:tcPr>
                <w:p>
                  <w:pPr>
                    <w:spacing w:line="360" w:lineRule="auto"/>
                    <w:jc w:val="center"/>
                    <w:rPr>
                      <w:color w:val="000000"/>
                      <w:szCs w:val="21"/>
                    </w:rPr>
                  </w:pPr>
                  <w:r>
                    <w:rPr>
                      <w:color w:val="000000"/>
                      <w:szCs w:val="21"/>
                    </w:rPr>
                    <w:t>水环真空泵</w:t>
                  </w:r>
                </w:p>
              </w:tc>
              <w:tc>
                <w:tcPr>
                  <w:tcW w:w="847" w:type="dxa"/>
                  <w:shd w:val="clear" w:color="auto" w:fill="auto"/>
                  <w:noWrap/>
                  <w:vAlign w:val="center"/>
                </w:tcPr>
                <w:p>
                  <w:pPr>
                    <w:spacing w:line="360" w:lineRule="auto"/>
                    <w:jc w:val="center"/>
                    <w:rPr>
                      <w:color w:val="000000"/>
                      <w:szCs w:val="21"/>
                    </w:rPr>
                  </w:pPr>
                  <w:r>
                    <w:rPr>
                      <w:color w:val="000000"/>
                      <w:szCs w:val="21"/>
                    </w:rPr>
                    <w:t>0</w:t>
                  </w:r>
                </w:p>
              </w:tc>
              <w:tc>
                <w:tcPr>
                  <w:tcW w:w="906" w:type="dxa"/>
                  <w:shd w:val="clear" w:color="auto" w:fill="auto"/>
                  <w:noWrap/>
                  <w:vAlign w:val="center"/>
                </w:tcPr>
                <w:p>
                  <w:pPr>
                    <w:spacing w:line="360" w:lineRule="auto"/>
                    <w:jc w:val="center"/>
                    <w:rPr>
                      <w:color w:val="000000"/>
                      <w:szCs w:val="21"/>
                    </w:rPr>
                  </w:pPr>
                  <w:r>
                    <w:rPr>
                      <w:color w:val="000000"/>
                      <w:szCs w:val="21"/>
                    </w:rPr>
                    <w:t>0</w:t>
                  </w:r>
                </w:p>
              </w:tc>
              <w:tc>
                <w:tcPr>
                  <w:tcW w:w="1661" w:type="dxa"/>
                  <w:shd w:val="clear" w:color="auto" w:fill="auto"/>
                  <w:noWrap/>
                  <w:vAlign w:val="center"/>
                </w:tcPr>
                <w:p>
                  <w:pPr>
                    <w:spacing w:line="360" w:lineRule="auto"/>
                    <w:jc w:val="center"/>
                    <w:rPr>
                      <w:color w:val="000000"/>
                      <w:szCs w:val="21"/>
                    </w:rPr>
                  </w:pPr>
                  <w:r>
                    <w:rPr>
                      <w:color w:val="000000"/>
                      <w:szCs w:val="21"/>
                    </w:rPr>
                    <w:t>180.00</w:t>
                  </w:r>
                </w:p>
              </w:tc>
              <w:tc>
                <w:tcPr>
                  <w:tcW w:w="1017" w:type="dxa"/>
                  <w:vAlign w:val="center"/>
                </w:tcPr>
                <w:p>
                  <w:pPr>
                    <w:spacing w:line="360" w:lineRule="auto"/>
                    <w:jc w:val="center"/>
                    <w:rPr>
                      <w:color w:val="000000"/>
                      <w:szCs w:val="21"/>
                    </w:rPr>
                  </w:pPr>
                  <w:r>
                    <w:rPr>
                      <w:color w:val="00000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9</w:t>
                  </w:r>
                </w:p>
              </w:tc>
              <w:tc>
                <w:tcPr>
                  <w:tcW w:w="2791" w:type="dxa"/>
                  <w:shd w:val="clear" w:color="auto" w:fill="auto"/>
                  <w:noWrap/>
                  <w:vAlign w:val="center"/>
                </w:tcPr>
                <w:p>
                  <w:pPr>
                    <w:spacing w:line="360" w:lineRule="auto"/>
                    <w:jc w:val="center"/>
                    <w:rPr>
                      <w:color w:val="000000"/>
                      <w:szCs w:val="21"/>
                    </w:rPr>
                  </w:pPr>
                  <w:r>
                    <w:rPr>
                      <w:color w:val="000000"/>
                      <w:szCs w:val="21"/>
                    </w:rPr>
                    <w:t>消除过热泵</w:t>
                  </w:r>
                </w:p>
              </w:tc>
              <w:tc>
                <w:tcPr>
                  <w:tcW w:w="847" w:type="dxa"/>
                  <w:shd w:val="clear" w:color="auto" w:fill="auto"/>
                  <w:noWrap/>
                  <w:vAlign w:val="center"/>
                </w:tcPr>
                <w:p>
                  <w:pPr>
                    <w:spacing w:line="360" w:lineRule="auto"/>
                    <w:jc w:val="center"/>
                    <w:rPr>
                      <w:color w:val="000000"/>
                      <w:szCs w:val="21"/>
                    </w:rPr>
                  </w:pPr>
                  <w:r>
                    <w:rPr>
                      <w:color w:val="000000"/>
                      <w:szCs w:val="21"/>
                    </w:rPr>
                    <w:t>2</w:t>
                  </w:r>
                </w:p>
              </w:tc>
              <w:tc>
                <w:tcPr>
                  <w:tcW w:w="906" w:type="dxa"/>
                  <w:shd w:val="clear" w:color="auto" w:fill="auto"/>
                  <w:noWrap/>
                  <w:vAlign w:val="center"/>
                </w:tcPr>
                <w:p>
                  <w:pPr>
                    <w:spacing w:line="360" w:lineRule="auto"/>
                    <w:jc w:val="center"/>
                    <w:rPr>
                      <w:color w:val="000000"/>
                      <w:szCs w:val="21"/>
                    </w:rPr>
                  </w:pPr>
                  <w:r>
                    <w:rPr>
                      <w:color w:val="000000"/>
                      <w:szCs w:val="21"/>
                    </w:rPr>
                    <w:t>60</w:t>
                  </w:r>
                </w:p>
              </w:tc>
              <w:tc>
                <w:tcPr>
                  <w:tcW w:w="1661" w:type="dxa"/>
                  <w:shd w:val="clear" w:color="auto" w:fill="auto"/>
                  <w:noWrap/>
                  <w:vAlign w:val="center"/>
                </w:tcPr>
                <w:p>
                  <w:pPr>
                    <w:spacing w:line="360" w:lineRule="auto"/>
                    <w:jc w:val="center"/>
                    <w:rPr>
                      <w:color w:val="000000"/>
                      <w:szCs w:val="21"/>
                    </w:rPr>
                  </w:pPr>
                  <w:r>
                    <w:rPr>
                      <w:color w:val="000000"/>
                      <w:szCs w:val="21"/>
                    </w:rPr>
                    <w:t>0.66</w:t>
                  </w:r>
                </w:p>
              </w:tc>
              <w:tc>
                <w:tcPr>
                  <w:tcW w:w="1017" w:type="dxa"/>
                  <w:vAlign w:val="center"/>
                </w:tcPr>
                <w:p>
                  <w:pPr>
                    <w:spacing w:line="360" w:lineRule="auto"/>
                    <w:jc w:val="center"/>
                    <w:rPr>
                      <w:color w:val="000000"/>
                      <w:szCs w:val="21"/>
                    </w:rPr>
                  </w:pPr>
                  <w:r>
                    <w:rPr>
                      <w:color w:val="00000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10</w:t>
                  </w:r>
                </w:p>
              </w:tc>
              <w:tc>
                <w:tcPr>
                  <w:tcW w:w="2791" w:type="dxa"/>
                  <w:shd w:val="clear" w:color="auto" w:fill="auto"/>
                  <w:noWrap/>
                  <w:vAlign w:val="center"/>
                </w:tcPr>
                <w:p>
                  <w:pPr>
                    <w:spacing w:line="360" w:lineRule="auto"/>
                    <w:jc w:val="center"/>
                    <w:rPr>
                      <w:color w:val="000000"/>
                      <w:szCs w:val="21"/>
                    </w:rPr>
                  </w:pPr>
                  <w:r>
                    <w:rPr>
                      <w:color w:val="000000"/>
                      <w:szCs w:val="21"/>
                    </w:rPr>
                    <w:t>消泡剂计量泵</w:t>
                  </w:r>
                </w:p>
              </w:tc>
              <w:tc>
                <w:tcPr>
                  <w:tcW w:w="847" w:type="dxa"/>
                  <w:shd w:val="clear" w:color="auto" w:fill="auto"/>
                  <w:noWrap/>
                  <w:vAlign w:val="center"/>
                </w:tcPr>
                <w:p>
                  <w:pPr>
                    <w:spacing w:line="360" w:lineRule="auto"/>
                    <w:jc w:val="center"/>
                    <w:rPr>
                      <w:color w:val="000000"/>
                      <w:szCs w:val="21"/>
                    </w:rPr>
                  </w:pPr>
                  <w:r>
                    <w:rPr>
                      <w:color w:val="000000"/>
                      <w:szCs w:val="21"/>
                    </w:rPr>
                    <w:t>0</w:t>
                  </w:r>
                </w:p>
              </w:tc>
              <w:tc>
                <w:tcPr>
                  <w:tcW w:w="906" w:type="dxa"/>
                  <w:shd w:val="clear" w:color="auto" w:fill="auto"/>
                  <w:noWrap/>
                  <w:vAlign w:val="center"/>
                </w:tcPr>
                <w:p>
                  <w:pPr>
                    <w:spacing w:line="360" w:lineRule="auto"/>
                    <w:jc w:val="center"/>
                    <w:rPr>
                      <w:color w:val="000000"/>
                      <w:szCs w:val="21"/>
                    </w:rPr>
                  </w:pPr>
                  <w:r>
                    <w:rPr>
                      <w:color w:val="000000"/>
                      <w:szCs w:val="21"/>
                    </w:rPr>
                    <w:t>0</w:t>
                  </w:r>
                </w:p>
              </w:tc>
              <w:tc>
                <w:tcPr>
                  <w:tcW w:w="1661" w:type="dxa"/>
                  <w:shd w:val="clear" w:color="auto" w:fill="auto"/>
                  <w:noWrap/>
                  <w:vAlign w:val="center"/>
                </w:tcPr>
                <w:p>
                  <w:pPr>
                    <w:spacing w:line="360" w:lineRule="auto"/>
                    <w:jc w:val="center"/>
                    <w:rPr>
                      <w:color w:val="000000"/>
                      <w:szCs w:val="21"/>
                    </w:rPr>
                  </w:pPr>
                  <w:r>
                    <w:rPr>
                      <w:color w:val="000000"/>
                      <w:szCs w:val="21"/>
                    </w:rPr>
                    <w:t>0.75</w:t>
                  </w:r>
                </w:p>
              </w:tc>
              <w:tc>
                <w:tcPr>
                  <w:tcW w:w="1017" w:type="dxa"/>
                  <w:vAlign w:val="center"/>
                </w:tcPr>
                <w:p>
                  <w:pPr>
                    <w:spacing w:line="360" w:lineRule="auto"/>
                    <w:jc w:val="center"/>
                    <w:rPr>
                      <w:color w:val="000000"/>
                      <w:szCs w:val="21"/>
                    </w:rPr>
                  </w:pPr>
                  <w:r>
                    <w:rPr>
                      <w:color w:val="00000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11</w:t>
                  </w:r>
                </w:p>
              </w:tc>
              <w:tc>
                <w:tcPr>
                  <w:tcW w:w="2791" w:type="dxa"/>
                  <w:shd w:val="clear" w:color="auto" w:fill="auto"/>
                  <w:noWrap/>
                  <w:vAlign w:val="center"/>
                </w:tcPr>
                <w:p>
                  <w:pPr>
                    <w:spacing w:line="360" w:lineRule="auto"/>
                    <w:jc w:val="center"/>
                    <w:rPr>
                      <w:color w:val="000000"/>
                      <w:szCs w:val="21"/>
                    </w:rPr>
                  </w:pPr>
                  <w:r>
                    <w:rPr>
                      <w:color w:val="000000"/>
                      <w:szCs w:val="21"/>
                    </w:rPr>
                    <w:t>阻垢剂计量泵</w:t>
                  </w:r>
                </w:p>
              </w:tc>
              <w:tc>
                <w:tcPr>
                  <w:tcW w:w="847" w:type="dxa"/>
                  <w:shd w:val="clear" w:color="auto" w:fill="auto"/>
                  <w:noWrap/>
                  <w:vAlign w:val="center"/>
                </w:tcPr>
                <w:p>
                  <w:pPr>
                    <w:spacing w:line="360" w:lineRule="auto"/>
                    <w:jc w:val="center"/>
                    <w:rPr>
                      <w:color w:val="000000"/>
                      <w:szCs w:val="21"/>
                    </w:rPr>
                  </w:pPr>
                  <w:r>
                    <w:rPr>
                      <w:color w:val="000000"/>
                      <w:szCs w:val="21"/>
                    </w:rPr>
                    <w:t>0</w:t>
                  </w:r>
                </w:p>
              </w:tc>
              <w:tc>
                <w:tcPr>
                  <w:tcW w:w="906" w:type="dxa"/>
                  <w:shd w:val="clear" w:color="auto" w:fill="auto"/>
                  <w:noWrap/>
                  <w:vAlign w:val="center"/>
                </w:tcPr>
                <w:p>
                  <w:pPr>
                    <w:spacing w:line="360" w:lineRule="auto"/>
                    <w:jc w:val="center"/>
                    <w:rPr>
                      <w:color w:val="000000"/>
                      <w:szCs w:val="21"/>
                    </w:rPr>
                  </w:pPr>
                  <w:r>
                    <w:rPr>
                      <w:color w:val="000000"/>
                      <w:szCs w:val="21"/>
                    </w:rPr>
                    <w:t>0</w:t>
                  </w:r>
                </w:p>
              </w:tc>
              <w:tc>
                <w:tcPr>
                  <w:tcW w:w="1661" w:type="dxa"/>
                  <w:shd w:val="clear" w:color="auto" w:fill="auto"/>
                  <w:noWrap/>
                  <w:vAlign w:val="center"/>
                </w:tcPr>
                <w:p>
                  <w:pPr>
                    <w:spacing w:line="360" w:lineRule="auto"/>
                    <w:jc w:val="center"/>
                    <w:rPr>
                      <w:color w:val="000000"/>
                      <w:szCs w:val="21"/>
                    </w:rPr>
                  </w:pPr>
                  <w:r>
                    <w:rPr>
                      <w:color w:val="000000"/>
                      <w:szCs w:val="21"/>
                    </w:rPr>
                    <w:t>0.75</w:t>
                  </w:r>
                </w:p>
              </w:tc>
              <w:tc>
                <w:tcPr>
                  <w:tcW w:w="1017" w:type="dxa"/>
                  <w:vAlign w:val="center"/>
                </w:tcPr>
                <w:p>
                  <w:pPr>
                    <w:spacing w:line="360" w:lineRule="auto"/>
                    <w:jc w:val="center"/>
                    <w:rPr>
                      <w:color w:val="000000"/>
                      <w:szCs w:val="21"/>
                    </w:rPr>
                  </w:pPr>
                  <w:r>
                    <w:rPr>
                      <w:color w:val="00000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735" w:type="dxa"/>
                  <w:shd w:val="clear" w:color="auto" w:fill="auto"/>
                  <w:noWrap/>
                  <w:vAlign w:val="center"/>
                </w:tcPr>
                <w:p>
                  <w:pPr>
                    <w:spacing w:line="360" w:lineRule="auto"/>
                    <w:jc w:val="center"/>
                    <w:rPr>
                      <w:color w:val="000000"/>
                      <w:szCs w:val="21"/>
                    </w:rPr>
                  </w:pPr>
                  <w:r>
                    <w:rPr>
                      <w:color w:val="000000"/>
                      <w:szCs w:val="21"/>
                    </w:rPr>
                    <w:t>12</w:t>
                  </w:r>
                </w:p>
              </w:tc>
              <w:tc>
                <w:tcPr>
                  <w:tcW w:w="2791" w:type="dxa"/>
                  <w:shd w:val="clear" w:color="auto" w:fill="auto"/>
                  <w:noWrap/>
                  <w:vAlign w:val="center"/>
                </w:tcPr>
                <w:p>
                  <w:pPr>
                    <w:spacing w:line="360" w:lineRule="auto"/>
                    <w:jc w:val="center"/>
                    <w:rPr>
                      <w:color w:val="000000"/>
                      <w:szCs w:val="21"/>
                    </w:rPr>
                  </w:pPr>
                  <w:r>
                    <w:rPr>
                      <w:color w:val="000000"/>
                      <w:szCs w:val="21"/>
                    </w:rPr>
                    <w:t>清洗泵</w:t>
                  </w:r>
                </w:p>
              </w:tc>
              <w:tc>
                <w:tcPr>
                  <w:tcW w:w="847" w:type="dxa"/>
                  <w:shd w:val="clear" w:color="auto" w:fill="auto"/>
                  <w:noWrap/>
                  <w:vAlign w:val="center"/>
                </w:tcPr>
                <w:p>
                  <w:pPr>
                    <w:spacing w:line="360" w:lineRule="auto"/>
                    <w:jc w:val="center"/>
                    <w:rPr>
                      <w:color w:val="000000"/>
                      <w:szCs w:val="21"/>
                    </w:rPr>
                  </w:pPr>
                  <w:r>
                    <w:rPr>
                      <w:color w:val="000000"/>
                      <w:szCs w:val="21"/>
                    </w:rPr>
                    <w:t>150</w:t>
                  </w:r>
                </w:p>
              </w:tc>
              <w:tc>
                <w:tcPr>
                  <w:tcW w:w="906" w:type="dxa"/>
                  <w:shd w:val="clear" w:color="auto" w:fill="auto"/>
                  <w:noWrap/>
                  <w:vAlign w:val="center"/>
                </w:tcPr>
                <w:p>
                  <w:pPr>
                    <w:spacing w:line="360" w:lineRule="auto"/>
                    <w:jc w:val="center"/>
                    <w:rPr>
                      <w:color w:val="000000"/>
                      <w:szCs w:val="21"/>
                    </w:rPr>
                  </w:pPr>
                  <w:r>
                    <w:rPr>
                      <w:color w:val="000000"/>
                      <w:szCs w:val="21"/>
                    </w:rPr>
                    <w:t>25</w:t>
                  </w:r>
                </w:p>
              </w:tc>
              <w:tc>
                <w:tcPr>
                  <w:tcW w:w="1661" w:type="dxa"/>
                  <w:shd w:val="clear" w:color="auto" w:fill="auto"/>
                  <w:noWrap/>
                  <w:vAlign w:val="center"/>
                </w:tcPr>
                <w:p>
                  <w:pPr>
                    <w:spacing w:line="360" w:lineRule="auto"/>
                    <w:jc w:val="center"/>
                    <w:rPr>
                      <w:color w:val="000000"/>
                      <w:szCs w:val="21"/>
                    </w:rPr>
                  </w:pPr>
                  <w:r>
                    <w:rPr>
                      <w:color w:val="000000"/>
                      <w:szCs w:val="21"/>
                    </w:rPr>
                    <w:t>15.07</w:t>
                  </w:r>
                </w:p>
              </w:tc>
              <w:tc>
                <w:tcPr>
                  <w:tcW w:w="1017" w:type="dxa"/>
                  <w:vAlign w:val="center"/>
                </w:tcPr>
                <w:p>
                  <w:pPr>
                    <w:spacing w:line="360" w:lineRule="auto"/>
                    <w:jc w:val="center"/>
                    <w:rPr>
                      <w:color w:val="000000"/>
                      <w:szCs w:val="21"/>
                    </w:rPr>
                  </w:pPr>
                  <w:r>
                    <w:rPr>
                      <w:color w:val="000000"/>
                      <w:szCs w:val="21"/>
                    </w:rPr>
                    <w:t>2</w:t>
                  </w:r>
                </w:p>
              </w:tc>
            </w:tr>
          </w:tbl>
          <w:p>
            <w:pPr>
              <w:adjustRightInd w:val="0"/>
              <w:snapToGrid w:val="0"/>
              <w:spacing w:line="360" w:lineRule="auto"/>
              <w:ind w:firstLine="480" w:firstLineChars="200"/>
              <w:rPr>
                <w:sz w:val="24"/>
              </w:rPr>
            </w:pPr>
            <w:r>
              <w:rPr>
                <w:rFonts w:hint="eastAsia"/>
                <w:sz w:val="24"/>
              </w:rPr>
              <w:t xml:space="preserve"> (</w:t>
            </w:r>
            <w:r>
              <w:rPr>
                <w:sz w:val="24"/>
              </w:rPr>
              <w:t xml:space="preserve">2) </w:t>
            </w:r>
            <w:r>
              <w:rPr>
                <w:rFonts w:hint="eastAsia"/>
                <w:sz w:val="24"/>
              </w:rPr>
              <w:t>平面布置</w:t>
            </w:r>
          </w:p>
          <w:p>
            <w:pPr>
              <w:adjustRightInd w:val="0"/>
              <w:snapToGrid w:val="0"/>
              <w:spacing w:line="360" w:lineRule="auto"/>
              <w:ind w:firstLine="480" w:firstLineChars="200"/>
              <w:rPr>
                <w:sz w:val="24"/>
              </w:rPr>
            </w:pPr>
            <w:r>
              <w:rPr>
                <w:rFonts w:hint="eastAsia"/>
                <w:sz w:val="24"/>
              </w:rPr>
              <w:t>工程用地为现状电厂原建筑拆除空地，仅留存原一期循环水泵房和一期汽机房。一期工程采用“V型滤池→超滤→反渗透→矿化处理”的海水淡化工艺，原水进入微絮凝-V型滤池，预处理后出水经超滤处理进入海水淡化车间，反渗透出水经过矿化滤池后，进入产品水池，由送水泵房提升出厂或电厂自用。二期工程2万m</w:t>
            </w:r>
            <w:r>
              <w:rPr>
                <w:rFonts w:hint="eastAsia"/>
                <w:sz w:val="24"/>
                <w:vertAlign w:val="superscript"/>
              </w:rPr>
              <w:t>3</w:t>
            </w:r>
            <w:r>
              <w:rPr>
                <w:rFonts w:hint="eastAsia"/>
                <w:sz w:val="24"/>
              </w:rPr>
              <w:t>/d低温多效+5万m</w:t>
            </w:r>
            <w:r>
              <w:rPr>
                <w:rFonts w:hint="eastAsia"/>
                <w:sz w:val="24"/>
                <w:vertAlign w:val="superscript"/>
              </w:rPr>
              <w:t>3</w:t>
            </w:r>
            <w:r>
              <w:rPr>
                <w:rFonts w:hint="eastAsia"/>
                <w:sz w:val="24"/>
              </w:rPr>
              <w:t>/d反渗透工艺，其中反渗透工艺与一期一致。</w:t>
            </w:r>
          </w:p>
          <w:p>
            <w:pPr>
              <w:adjustRightInd w:val="0"/>
              <w:snapToGrid w:val="0"/>
              <w:spacing w:line="360" w:lineRule="auto"/>
              <w:ind w:firstLine="480" w:firstLineChars="200"/>
              <w:rPr>
                <w:sz w:val="24"/>
              </w:rPr>
            </w:pPr>
            <w:r>
              <w:rPr>
                <w:rFonts w:hint="eastAsia"/>
                <w:sz w:val="24"/>
              </w:rPr>
              <w:t>工程厂区平面布置图见附图</w:t>
            </w:r>
            <w:r>
              <w:rPr>
                <w:sz w:val="24"/>
              </w:rPr>
              <w:t>5</w:t>
            </w:r>
            <w:r>
              <w:rPr>
                <w:rFonts w:hint="eastAsia"/>
                <w:sz w:val="24"/>
              </w:rPr>
              <w:t>。</w:t>
            </w:r>
          </w:p>
          <w:p>
            <w:pPr>
              <w:adjustRightInd w:val="0"/>
              <w:snapToGrid w:val="0"/>
              <w:spacing w:line="360" w:lineRule="auto"/>
              <w:ind w:firstLine="480" w:firstLineChars="200"/>
              <w:rPr>
                <w:sz w:val="24"/>
              </w:rPr>
            </w:pPr>
            <w:r>
              <w:rPr>
                <w:rFonts w:hint="eastAsia"/>
                <w:sz w:val="24"/>
              </w:rPr>
              <w:t>(</w:t>
            </w:r>
            <w:r>
              <w:rPr>
                <w:sz w:val="24"/>
              </w:rPr>
              <w:t xml:space="preserve">3) </w:t>
            </w:r>
            <w:r>
              <w:rPr>
                <w:rFonts w:hint="eastAsia"/>
                <w:sz w:val="24"/>
              </w:rPr>
              <w:t>原辅材料</w:t>
            </w:r>
          </w:p>
          <w:p>
            <w:pPr>
              <w:adjustRightInd w:val="0"/>
              <w:snapToGrid w:val="0"/>
              <w:spacing w:line="360" w:lineRule="auto"/>
              <w:ind w:firstLine="480" w:firstLineChars="200"/>
              <w:rPr>
                <w:sz w:val="24"/>
              </w:rPr>
            </w:pPr>
            <w:r>
              <w:rPr>
                <w:rFonts w:hint="eastAsia"/>
                <w:sz w:val="24"/>
              </w:rPr>
              <w:t>一期、二期工程化学药剂使用量见表</w:t>
            </w:r>
            <w:r>
              <w:rPr>
                <w:sz w:val="24"/>
              </w:rPr>
              <w:t>5</w:t>
            </w:r>
            <w:r>
              <w:rPr>
                <w:rFonts w:hint="eastAsia"/>
                <w:sz w:val="24"/>
              </w:rPr>
              <w:t>。</w:t>
            </w:r>
          </w:p>
          <w:p>
            <w:pPr>
              <w:adjustRightInd w:val="0"/>
              <w:snapToGrid w:val="0"/>
              <w:spacing w:line="360" w:lineRule="auto"/>
              <w:jc w:val="center"/>
              <w:rPr>
                <w:b/>
                <w:sz w:val="24"/>
              </w:rPr>
            </w:pPr>
            <w:bookmarkStart w:id="1" w:name="_Hlk51591109"/>
            <w:r>
              <w:rPr>
                <w:rFonts w:hint="eastAsia"/>
                <w:b/>
                <w:sz w:val="24"/>
              </w:rPr>
              <w:t>表</w:t>
            </w:r>
            <w:r>
              <w:rPr>
                <w:b/>
                <w:sz w:val="24"/>
              </w:rPr>
              <w:t xml:space="preserve">5 </w:t>
            </w:r>
            <w:r>
              <w:rPr>
                <w:rFonts w:hint="eastAsia"/>
                <w:b/>
                <w:sz w:val="24"/>
              </w:rPr>
              <w:t>工程化学药剂使用量</w:t>
            </w:r>
          </w:p>
          <w:bookmarkEnd w:id="1"/>
          <w:tbl>
            <w:tblPr>
              <w:tblStyle w:val="88"/>
              <w:tblW w:w="777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5"/>
              <w:gridCol w:w="2993"/>
              <w:gridCol w:w="1057"/>
              <w:gridCol w:w="1427"/>
              <w:gridCol w:w="13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2" w:hRule="atLeast"/>
                <w:jc w:val="center"/>
              </w:trPr>
              <w:tc>
                <w:tcPr>
                  <w:tcW w:w="945" w:type="dxa"/>
                  <w:vAlign w:val="center"/>
                </w:tcPr>
                <w:p>
                  <w:pPr>
                    <w:jc w:val="center"/>
                    <w:rPr>
                      <w:szCs w:val="21"/>
                    </w:rPr>
                  </w:pPr>
                  <w:r>
                    <w:rPr>
                      <w:szCs w:val="21"/>
                    </w:rPr>
                    <w:t>序号</w:t>
                  </w:r>
                </w:p>
              </w:tc>
              <w:tc>
                <w:tcPr>
                  <w:tcW w:w="2993" w:type="dxa"/>
                  <w:vAlign w:val="center"/>
                </w:tcPr>
                <w:p>
                  <w:pPr>
                    <w:jc w:val="center"/>
                    <w:rPr>
                      <w:szCs w:val="21"/>
                    </w:rPr>
                  </w:pPr>
                  <w:r>
                    <w:rPr>
                      <w:szCs w:val="21"/>
                    </w:rPr>
                    <w:t>药剂名称</w:t>
                  </w:r>
                </w:p>
              </w:tc>
              <w:tc>
                <w:tcPr>
                  <w:tcW w:w="1057" w:type="dxa"/>
                  <w:vAlign w:val="center"/>
                </w:tcPr>
                <w:p>
                  <w:pPr>
                    <w:jc w:val="center"/>
                    <w:rPr>
                      <w:szCs w:val="21"/>
                    </w:rPr>
                  </w:pPr>
                  <w:r>
                    <w:rPr>
                      <w:szCs w:val="21"/>
                    </w:rPr>
                    <w:t>用量（t/a）</w:t>
                  </w:r>
                </w:p>
              </w:tc>
              <w:tc>
                <w:tcPr>
                  <w:tcW w:w="1427" w:type="dxa"/>
                  <w:vAlign w:val="center"/>
                </w:tcPr>
                <w:p>
                  <w:pPr>
                    <w:jc w:val="center"/>
                    <w:rPr>
                      <w:szCs w:val="21"/>
                    </w:rPr>
                  </w:pPr>
                  <w:r>
                    <w:rPr>
                      <w:szCs w:val="21"/>
                    </w:rPr>
                    <w:t>一期用量</w:t>
                  </w:r>
                </w:p>
                <w:p>
                  <w:pPr>
                    <w:jc w:val="center"/>
                    <w:rPr>
                      <w:szCs w:val="21"/>
                    </w:rPr>
                  </w:pPr>
                  <w:r>
                    <w:rPr>
                      <w:szCs w:val="21"/>
                    </w:rPr>
                    <w:t>（t/a）</w:t>
                  </w:r>
                </w:p>
              </w:tc>
              <w:tc>
                <w:tcPr>
                  <w:tcW w:w="1351" w:type="dxa"/>
                  <w:vAlign w:val="center"/>
                </w:tcPr>
                <w:p>
                  <w:pPr>
                    <w:jc w:val="center"/>
                    <w:rPr>
                      <w:szCs w:val="21"/>
                    </w:rPr>
                  </w:pPr>
                  <w:r>
                    <w:rPr>
                      <w:szCs w:val="21"/>
                    </w:rPr>
                    <w:t>二期用量</w:t>
                  </w:r>
                </w:p>
                <w:p>
                  <w:pPr>
                    <w:jc w:val="center"/>
                    <w:rPr>
                      <w:szCs w:val="21"/>
                    </w:rPr>
                  </w:pPr>
                  <w:r>
                    <w:rPr>
                      <w:szCs w:val="21"/>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6" w:hRule="atLeast"/>
                <w:jc w:val="center"/>
              </w:trPr>
              <w:tc>
                <w:tcPr>
                  <w:tcW w:w="945" w:type="dxa"/>
                  <w:vAlign w:val="center"/>
                </w:tcPr>
                <w:p>
                  <w:pPr>
                    <w:jc w:val="center"/>
                    <w:rPr>
                      <w:szCs w:val="21"/>
                    </w:rPr>
                  </w:pPr>
                  <w:r>
                    <w:rPr>
                      <w:szCs w:val="21"/>
                    </w:rPr>
                    <w:t>1</w:t>
                  </w:r>
                </w:p>
              </w:tc>
              <w:tc>
                <w:tcPr>
                  <w:tcW w:w="2993" w:type="dxa"/>
                  <w:vAlign w:val="center"/>
                </w:tcPr>
                <w:p>
                  <w:pPr>
                    <w:jc w:val="center"/>
                    <w:rPr>
                      <w:szCs w:val="21"/>
                    </w:rPr>
                  </w:pPr>
                  <w:r>
                    <w:rPr>
                      <w:szCs w:val="21"/>
                    </w:rPr>
                    <w:t>混凝剂P</w:t>
                  </w:r>
                  <w:r>
                    <w:rPr>
                      <w:rFonts w:hint="eastAsia"/>
                      <w:szCs w:val="21"/>
                    </w:rPr>
                    <w:t>F</w:t>
                  </w:r>
                  <w:r>
                    <w:rPr>
                      <w:szCs w:val="21"/>
                    </w:rPr>
                    <w:t>C(11%</w:t>
                  </w:r>
                  <w:r>
                    <w:rPr>
                      <w:rFonts w:hint="eastAsia"/>
                      <w:szCs w:val="21"/>
                    </w:rPr>
                    <w:t>液体</w:t>
                  </w:r>
                  <w:r>
                    <w:rPr>
                      <w:szCs w:val="21"/>
                    </w:rPr>
                    <w:t>)</w:t>
                  </w:r>
                </w:p>
              </w:tc>
              <w:tc>
                <w:tcPr>
                  <w:tcW w:w="1057" w:type="dxa"/>
                  <w:vAlign w:val="center"/>
                </w:tcPr>
                <w:p>
                  <w:pPr>
                    <w:jc w:val="center"/>
                    <w:rPr>
                      <w:szCs w:val="21"/>
                    </w:rPr>
                  </w:pPr>
                  <w:r>
                    <w:rPr>
                      <w:rFonts w:hint="eastAsia"/>
                      <w:szCs w:val="21"/>
                    </w:rPr>
                    <w:t>983.25</w:t>
                  </w:r>
                </w:p>
              </w:tc>
              <w:tc>
                <w:tcPr>
                  <w:tcW w:w="1427" w:type="dxa"/>
                  <w:vAlign w:val="center"/>
                </w:tcPr>
                <w:p>
                  <w:pPr>
                    <w:jc w:val="center"/>
                    <w:rPr>
                      <w:szCs w:val="21"/>
                    </w:rPr>
                  </w:pPr>
                  <w:r>
                    <w:rPr>
                      <w:rFonts w:hint="eastAsia"/>
                      <w:szCs w:val="21"/>
                    </w:rPr>
                    <w:t>453.33</w:t>
                  </w:r>
                </w:p>
              </w:tc>
              <w:tc>
                <w:tcPr>
                  <w:tcW w:w="1351" w:type="dxa"/>
                  <w:vAlign w:val="center"/>
                </w:tcPr>
                <w:p>
                  <w:pPr>
                    <w:jc w:val="center"/>
                    <w:rPr>
                      <w:szCs w:val="21"/>
                    </w:rPr>
                  </w:pPr>
                  <w:r>
                    <w:rPr>
                      <w:szCs w:val="21"/>
                    </w:rPr>
                    <w:t>529.92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6" w:hRule="atLeast"/>
                <w:jc w:val="center"/>
              </w:trPr>
              <w:tc>
                <w:tcPr>
                  <w:tcW w:w="945" w:type="dxa"/>
                  <w:vAlign w:val="center"/>
                </w:tcPr>
                <w:p>
                  <w:pPr>
                    <w:jc w:val="center"/>
                    <w:rPr>
                      <w:szCs w:val="21"/>
                    </w:rPr>
                  </w:pPr>
                  <w:r>
                    <w:rPr>
                      <w:szCs w:val="21"/>
                    </w:rPr>
                    <w:t>2</w:t>
                  </w:r>
                </w:p>
              </w:tc>
              <w:tc>
                <w:tcPr>
                  <w:tcW w:w="2993" w:type="dxa"/>
                  <w:vAlign w:val="center"/>
                </w:tcPr>
                <w:p>
                  <w:pPr>
                    <w:jc w:val="center"/>
                    <w:rPr>
                      <w:szCs w:val="21"/>
                    </w:rPr>
                  </w:pPr>
                  <w:r>
                    <w:rPr>
                      <w:szCs w:val="21"/>
                    </w:rPr>
                    <w:t>助凝剂PAM</w:t>
                  </w:r>
                </w:p>
              </w:tc>
              <w:tc>
                <w:tcPr>
                  <w:tcW w:w="1057" w:type="dxa"/>
                  <w:vAlign w:val="center"/>
                </w:tcPr>
                <w:p>
                  <w:pPr>
                    <w:jc w:val="center"/>
                    <w:rPr>
                      <w:szCs w:val="21"/>
                    </w:rPr>
                  </w:pPr>
                  <w:r>
                    <w:rPr>
                      <w:rFonts w:hint="eastAsia"/>
                      <w:szCs w:val="21"/>
                    </w:rPr>
                    <w:t>33.25</w:t>
                  </w:r>
                </w:p>
              </w:tc>
              <w:tc>
                <w:tcPr>
                  <w:tcW w:w="1427" w:type="dxa"/>
                  <w:vAlign w:val="center"/>
                </w:tcPr>
                <w:p>
                  <w:pPr>
                    <w:jc w:val="center"/>
                    <w:rPr>
                      <w:szCs w:val="21"/>
                    </w:rPr>
                  </w:pPr>
                  <w:r>
                    <w:rPr>
                      <w:rFonts w:hint="eastAsia"/>
                      <w:szCs w:val="21"/>
                    </w:rPr>
                    <w:t>15.33</w:t>
                  </w:r>
                </w:p>
              </w:tc>
              <w:tc>
                <w:tcPr>
                  <w:tcW w:w="1351" w:type="dxa"/>
                  <w:vAlign w:val="center"/>
                </w:tcPr>
                <w:p>
                  <w:pPr>
                    <w:jc w:val="center"/>
                    <w:rPr>
                      <w:szCs w:val="21"/>
                    </w:rPr>
                  </w:pPr>
                  <w:r>
                    <w:rPr>
                      <w:szCs w:val="21"/>
                    </w:rPr>
                    <w:t>17.92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6" w:hRule="atLeast"/>
                <w:jc w:val="center"/>
              </w:trPr>
              <w:tc>
                <w:tcPr>
                  <w:tcW w:w="945" w:type="dxa"/>
                  <w:vAlign w:val="center"/>
                </w:tcPr>
                <w:p>
                  <w:pPr>
                    <w:jc w:val="center"/>
                    <w:rPr>
                      <w:szCs w:val="21"/>
                    </w:rPr>
                  </w:pPr>
                  <w:r>
                    <w:rPr>
                      <w:szCs w:val="21"/>
                    </w:rPr>
                    <w:t>4</w:t>
                  </w:r>
                </w:p>
              </w:tc>
              <w:tc>
                <w:tcPr>
                  <w:tcW w:w="2993" w:type="dxa"/>
                  <w:vAlign w:val="center"/>
                </w:tcPr>
                <w:p>
                  <w:pPr>
                    <w:jc w:val="center"/>
                    <w:rPr>
                      <w:szCs w:val="21"/>
                    </w:rPr>
                  </w:pPr>
                  <w:r>
                    <w:rPr>
                      <w:szCs w:val="21"/>
                    </w:rPr>
                    <w:t>盐酸(30%)</w:t>
                  </w:r>
                </w:p>
              </w:tc>
              <w:tc>
                <w:tcPr>
                  <w:tcW w:w="1057" w:type="dxa"/>
                  <w:vAlign w:val="center"/>
                </w:tcPr>
                <w:p>
                  <w:pPr>
                    <w:jc w:val="center"/>
                    <w:rPr>
                      <w:szCs w:val="21"/>
                    </w:rPr>
                  </w:pPr>
                  <w:r>
                    <w:rPr>
                      <w:szCs w:val="21"/>
                    </w:rPr>
                    <w:t>272.086</w:t>
                  </w:r>
                </w:p>
              </w:tc>
              <w:tc>
                <w:tcPr>
                  <w:tcW w:w="1427" w:type="dxa"/>
                  <w:vAlign w:val="center"/>
                </w:tcPr>
                <w:p>
                  <w:pPr>
                    <w:jc w:val="center"/>
                    <w:rPr>
                      <w:szCs w:val="21"/>
                    </w:rPr>
                  </w:pPr>
                  <w:r>
                    <w:rPr>
                      <w:szCs w:val="21"/>
                    </w:rPr>
                    <w:t>117.156</w:t>
                  </w:r>
                </w:p>
              </w:tc>
              <w:tc>
                <w:tcPr>
                  <w:tcW w:w="1351" w:type="dxa"/>
                  <w:vAlign w:val="center"/>
                </w:tcPr>
                <w:p>
                  <w:pPr>
                    <w:jc w:val="center"/>
                    <w:rPr>
                      <w:szCs w:val="21"/>
                    </w:rPr>
                  </w:pPr>
                  <w:r>
                    <w:rPr>
                      <w:szCs w:val="21"/>
                    </w:rPr>
                    <w:t>154.93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6" w:hRule="atLeast"/>
                <w:jc w:val="center"/>
              </w:trPr>
              <w:tc>
                <w:tcPr>
                  <w:tcW w:w="945" w:type="dxa"/>
                  <w:vAlign w:val="center"/>
                </w:tcPr>
                <w:p>
                  <w:pPr>
                    <w:jc w:val="center"/>
                    <w:rPr>
                      <w:szCs w:val="21"/>
                    </w:rPr>
                  </w:pPr>
                  <w:r>
                    <w:rPr>
                      <w:szCs w:val="21"/>
                    </w:rPr>
                    <w:t>5</w:t>
                  </w:r>
                </w:p>
              </w:tc>
              <w:tc>
                <w:tcPr>
                  <w:tcW w:w="2993" w:type="dxa"/>
                  <w:vAlign w:val="center"/>
                </w:tcPr>
                <w:p>
                  <w:pPr>
                    <w:jc w:val="center"/>
                    <w:rPr>
                      <w:szCs w:val="21"/>
                    </w:rPr>
                  </w:pPr>
                  <w:r>
                    <w:rPr>
                      <w:szCs w:val="21"/>
                    </w:rPr>
                    <w:t>阻垢剂(100%)</w:t>
                  </w:r>
                </w:p>
              </w:tc>
              <w:tc>
                <w:tcPr>
                  <w:tcW w:w="1057" w:type="dxa"/>
                  <w:vAlign w:val="center"/>
                </w:tcPr>
                <w:p>
                  <w:pPr>
                    <w:jc w:val="center"/>
                    <w:rPr>
                      <w:szCs w:val="21"/>
                    </w:rPr>
                  </w:pPr>
                  <w:r>
                    <w:rPr>
                      <w:szCs w:val="21"/>
                    </w:rPr>
                    <w:t>198.37</w:t>
                  </w:r>
                </w:p>
              </w:tc>
              <w:tc>
                <w:tcPr>
                  <w:tcW w:w="1427" w:type="dxa"/>
                  <w:vAlign w:val="center"/>
                </w:tcPr>
                <w:p>
                  <w:pPr>
                    <w:jc w:val="center"/>
                    <w:rPr>
                      <w:szCs w:val="21"/>
                    </w:rPr>
                  </w:pPr>
                  <w:r>
                    <w:rPr>
                      <w:rFonts w:hint="eastAsia"/>
                      <w:szCs w:val="21"/>
                    </w:rPr>
                    <w:t>76.65</w:t>
                  </w:r>
                </w:p>
              </w:tc>
              <w:tc>
                <w:tcPr>
                  <w:tcW w:w="1351" w:type="dxa"/>
                  <w:vAlign w:val="center"/>
                </w:tcPr>
                <w:p>
                  <w:pPr>
                    <w:jc w:val="center"/>
                    <w:rPr>
                      <w:szCs w:val="21"/>
                    </w:rPr>
                  </w:pPr>
                  <w:r>
                    <w:rPr>
                      <w:szCs w:val="21"/>
                    </w:rPr>
                    <w:t>121.72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6" w:hRule="atLeast"/>
                <w:jc w:val="center"/>
              </w:trPr>
              <w:tc>
                <w:tcPr>
                  <w:tcW w:w="945" w:type="dxa"/>
                  <w:vAlign w:val="center"/>
                </w:tcPr>
                <w:p>
                  <w:pPr>
                    <w:jc w:val="center"/>
                    <w:rPr>
                      <w:szCs w:val="21"/>
                    </w:rPr>
                  </w:pPr>
                  <w:r>
                    <w:rPr>
                      <w:szCs w:val="21"/>
                    </w:rPr>
                    <w:t>6</w:t>
                  </w:r>
                </w:p>
              </w:tc>
              <w:tc>
                <w:tcPr>
                  <w:tcW w:w="2993" w:type="dxa"/>
                  <w:vAlign w:val="center"/>
                </w:tcPr>
                <w:p>
                  <w:pPr>
                    <w:jc w:val="center"/>
                    <w:rPr>
                      <w:szCs w:val="21"/>
                    </w:rPr>
                  </w:pPr>
                  <w:r>
                    <w:rPr>
                      <w:szCs w:val="21"/>
                    </w:rPr>
                    <w:t>氢氧化钠</w:t>
                  </w:r>
                  <w:r>
                    <w:rPr>
                      <w:rFonts w:hint="eastAsia"/>
                      <w:szCs w:val="21"/>
                    </w:rPr>
                    <w:t>液体</w:t>
                  </w:r>
                </w:p>
              </w:tc>
              <w:tc>
                <w:tcPr>
                  <w:tcW w:w="1057" w:type="dxa"/>
                  <w:vAlign w:val="center"/>
                </w:tcPr>
                <w:p>
                  <w:pPr>
                    <w:jc w:val="center"/>
                    <w:rPr>
                      <w:szCs w:val="21"/>
                    </w:rPr>
                  </w:pPr>
                  <w:r>
                    <w:rPr>
                      <w:szCs w:val="21"/>
                    </w:rPr>
                    <w:t>52.88</w:t>
                  </w:r>
                </w:p>
              </w:tc>
              <w:tc>
                <w:tcPr>
                  <w:tcW w:w="1427" w:type="dxa"/>
                  <w:vAlign w:val="center"/>
                </w:tcPr>
                <w:p>
                  <w:pPr>
                    <w:jc w:val="center"/>
                    <w:rPr>
                      <w:szCs w:val="21"/>
                    </w:rPr>
                  </w:pPr>
                  <w:r>
                    <w:rPr>
                      <w:szCs w:val="21"/>
                    </w:rPr>
                    <w:t>24.03</w:t>
                  </w:r>
                </w:p>
              </w:tc>
              <w:tc>
                <w:tcPr>
                  <w:tcW w:w="1351" w:type="dxa"/>
                  <w:vAlign w:val="center"/>
                </w:tcPr>
                <w:p>
                  <w:pPr>
                    <w:jc w:val="center"/>
                    <w:rPr>
                      <w:szCs w:val="21"/>
                    </w:rPr>
                  </w:pPr>
                  <w:r>
                    <w:rPr>
                      <w:szCs w:val="21"/>
                    </w:rPr>
                    <w:t>29.15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6" w:hRule="atLeast"/>
                <w:jc w:val="center"/>
              </w:trPr>
              <w:tc>
                <w:tcPr>
                  <w:tcW w:w="945" w:type="dxa"/>
                  <w:vAlign w:val="center"/>
                </w:tcPr>
                <w:p>
                  <w:pPr>
                    <w:jc w:val="center"/>
                    <w:rPr>
                      <w:szCs w:val="21"/>
                    </w:rPr>
                  </w:pPr>
                  <w:r>
                    <w:rPr>
                      <w:rFonts w:hint="eastAsia"/>
                      <w:szCs w:val="21"/>
                    </w:rPr>
                    <w:t>7</w:t>
                  </w:r>
                </w:p>
              </w:tc>
              <w:tc>
                <w:tcPr>
                  <w:tcW w:w="2993" w:type="dxa"/>
                  <w:vAlign w:val="center"/>
                </w:tcPr>
                <w:p>
                  <w:pPr>
                    <w:jc w:val="center"/>
                    <w:rPr>
                      <w:szCs w:val="21"/>
                    </w:rPr>
                  </w:pPr>
                  <w:r>
                    <w:rPr>
                      <w:rFonts w:hint="eastAsia"/>
                      <w:szCs w:val="21"/>
                    </w:rPr>
                    <w:t>还原剂（亚硫酸氢钠4</w:t>
                  </w:r>
                  <w:r>
                    <w:rPr>
                      <w:szCs w:val="21"/>
                    </w:rPr>
                    <w:t>0</w:t>
                  </w:r>
                  <w:r>
                    <w:rPr>
                      <w:rFonts w:hint="eastAsia"/>
                      <w:szCs w:val="21"/>
                    </w:rPr>
                    <w:t>%）</w:t>
                  </w:r>
                </w:p>
              </w:tc>
              <w:tc>
                <w:tcPr>
                  <w:tcW w:w="1057" w:type="dxa"/>
                  <w:vAlign w:val="center"/>
                </w:tcPr>
                <w:p>
                  <w:pPr>
                    <w:jc w:val="center"/>
                    <w:rPr>
                      <w:szCs w:val="21"/>
                    </w:rPr>
                  </w:pPr>
                  <w:r>
                    <w:rPr>
                      <w:rFonts w:hint="eastAsia"/>
                      <w:szCs w:val="21"/>
                    </w:rPr>
                    <w:t>47.5</w:t>
                  </w:r>
                </w:p>
              </w:tc>
              <w:tc>
                <w:tcPr>
                  <w:tcW w:w="1427" w:type="dxa"/>
                  <w:vAlign w:val="center"/>
                </w:tcPr>
                <w:p>
                  <w:pPr>
                    <w:jc w:val="center"/>
                    <w:rPr>
                      <w:szCs w:val="21"/>
                    </w:rPr>
                  </w:pPr>
                  <w:r>
                    <w:rPr>
                      <w:rFonts w:hint="eastAsia"/>
                      <w:szCs w:val="21"/>
                    </w:rPr>
                    <w:t>21.9</w:t>
                  </w:r>
                </w:p>
              </w:tc>
              <w:tc>
                <w:tcPr>
                  <w:tcW w:w="1351" w:type="dxa"/>
                  <w:vAlign w:val="center"/>
                </w:tcPr>
                <w:p>
                  <w:pPr>
                    <w:jc w:val="center"/>
                    <w:rPr>
                      <w:szCs w:val="21"/>
                    </w:rPr>
                  </w:pPr>
                  <w:r>
                    <w:rPr>
                      <w:szCs w:val="21"/>
                    </w:rPr>
                    <w:t>25.6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6" w:hRule="atLeast"/>
                <w:jc w:val="center"/>
              </w:trPr>
              <w:tc>
                <w:tcPr>
                  <w:tcW w:w="945" w:type="dxa"/>
                  <w:vAlign w:val="center"/>
                </w:tcPr>
                <w:p>
                  <w:pPr>
                    <w:jc w:val="center"/>
                    <w:rPr>
                      <w:szCs w:val="21"/>
                    </w:rPr>
                  </w:pPr>
                  <w:r>
                    <w:rPr>
                      <w:rFonts w:hint="eastAsia"/>
                      <w:szCs w:val="21"/>
                    </w:rPr>
                    <w:t>8</w:t>
                  </w:r>
                </w:p>
              </w:tc>
              <w:tc>
                <w:tcPr>
                  <w:tcW w:w="2993" w:type="dxa"/>
                  <w:vAlign w:val="center"/>
                </w:tcPr>
                <w:p>
                  <w:pPr>
                    <w:jc w:val="center"/>
                    <w:rPr>
                      <w:szCs w:val="21"/>
                    </w:rPr>
                  </w:pPr>
                  <w:r>
                    <w:rPr>
                      <w:rFonts w:hint="eastAsia"/>
                      <w:szCs w:val="21"/>
                    </w:rPr>
                    <w:t>次氯酸钠（1</w:t>
                  </w:r>
                  <w:r>
                    <w:rPr>
                      <w:szCs w:val="21"/>
                    </w:rPr>
                    <w:t>0</w:t>
                  </w:r>
                  <w:r>
                    <w:rPr>
                      <w:rFonts w:hint="eastAsia"/>
                      <w:szCs w:val="21"/>
                    </w:rPr>
                    <w:t>%）</w:t>
                  </w:r>
                </w:p>
              </w:tc>
              <w:tc>
                <w:tcPr>
                  <w:tcW w:w="1057" w:type="dxa"/>
                  <w:vAlign w:val="center"/>
                </w:tcPr>
                <w:p>
                  <w:pPr>
                    <w:jc w:val="center"/>
                    <w:rPr>
                      <w:szCs w:val="21"/>
                    </w:rPr>
                  </w:pPr>
                  <w:r>
                    <w:rPr>
                      <w:rFonts w:hint="eastAsia"/>
                      <w:szCs w:val="21"/>
                    </w:rPr>
                    <w:t>2</w:t>
                  </w:r>
                  <w:r>
                    <w:rPr>
                      <w:szCs w:val="21"/>
                    </w:rPr>
                    <w:t>22.6</w:t>
                  </w:r>
                </w:p>
              </w:tc>
              <w:tc>
                <w:tcPr>
                  <w:tcW w:w="1427" w:type="dxa"/>
                  <w:vAlign w:val="center"/>
                </w:tcPr>
                <w:p>
                  <w:pPr>
                    <w:jc w:val="center"/>
                    <w:rPr>
                      <w:szCs w:val="21"/>
                    </w:rPr>
                  </w:pPr>
                  <w:r>
                    <w:rPr>
                      <w:rFonts w:hint="eastAsia"/>
                      <w:szCs w:val="21"/>
                    </w:rPr>
                    <w:t>8</w:t>
                  </w:r>
                  <w:r>
                    <w:rPr>
                      <w:szCs w:val="21"/>
                    </w:rPr>
                    <w:t>3.475</w:t>
                  </w:r>
                </w:p>
              </w:tc>
              <w:tc>
                <w:tcPr>
                  <w:tcW w:w="1351" w:type="dxa"/>
                  <w:vAlign w:val="center"/>
                </w:tcPr>
                <w:p>
                  <w:pPr>
                    <w:jc w:val="center"/>
                    <w:rPr>
                      <w:szCs w:val="21"/>
                    </w:rPr>
                  </w:pPr>
                  <w:r>
                    <w:rPr>
                      <w:rFonts w:hint="eastAsia"/>
                      <w:szCs w:val="21"/>
                    </w:rPr>
                    <w:t>1</w:t>
                  </w:r>
                  <w:r>
                    <w:rPr>
                      <w:szCs w:val="21"/>
                    </w:rPr>
                    <w:t>39.125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6" w:hRule="atLeast"/>
                <w:jc w:val="center"/>
              </w:trPr>
              <w:tc>
                <w:tcPr>
                  <w:tcW w:w="945" w:type="dxa"/>
                  <w:vAlign w:val="center"/>
                </w:tcPr>
                <w:p>
                  <w:pPr>
                    <w:jc w:val="center"/>
                    <w:rPr>
                      <w:szCs w:val="21"/>
                    </w:rPr>
                  </w:pPr>
                  <w:r>
                    <w:rPr>
                      <w:szCs w:val="21"/>
                    </w:rPr>
                    <w:t>9</w:t>
                  </w:r>
                </w:p>
              </w:tc>
              <w:tc>
                <w:tcPr>
                  <w:tcW w:w="2993" w:type="dxa"/>
                  <w:vAlign w:val="center"/>
                </w:tcPr>
                <w:p>
                  <w:pPr>
                    <w:jc w:val="center"/>
                    <w:rPr>
                      <w:szCs w:val="21"/>
                    </w:rPr>
                  </w:pPr>
                  <w:r>
                    <w:rPr>
                      <w:rFonts w:hint="eastAsia"/>
                      <w:szCs w:val="21"/>
                    </w:rPr>
                    <w:t>聚醚类消泡剂</w:t>
                  </w:r>
                </w:p>
              </w:tc>
              <w:tc>
                <w:tcPr>
                  <w:tcW w:w="1057" w:type="dxa"/>
                  <w:vAlign w:val="center"/>
                </w:tcPr>
                <w:p>
                  <w:pPr>
                    <w:jc w:val="center"/>
                    <w:rPr>
                      <w:szCs w:val="21"/>
                    </w:rPr>
                  </w:pPr>
                  <w:r>
                    <w:rPr>
                      <w:szCs w:val="21"/>
                    </w:rPr>
                    <w:t>3.212</w:t>
                  </w:r>
                </w:p>
              </w:tc>
              <w:tc>
                <w:tcPr>
                  <w:tcW w:w="1427" w:type="dxa"/>
                  <w:vAlign w:val="center"/>
                </w:tcPr>
                <w:p>
                  <w:pPr>
                    <w:jc w:val="center"/>
                    <w:rPr>
                      <w:szCs w:val="21"/>
                    </w:rPr>
                  </w:pPr>
                  <w:r>
                    <w:rPr>
                      <w:rFonts w:hint="eastAsia"/>
                      <w:szCs w:val="21"/>
                    </w:rPr>
                    <w:t>/</w:t>
                  </w:r>
                </w:p>
              </w:tc>
              <w:tc>
                <w:tcPr>
                  <w:tcW w:w="1351" w:type="dxa"/>
                  <w:vAlign w:val="center"/>
                </w:tcPr>
                <w:p>
                  <w:pPr>
                    <w:jc w:val="center"/>
                    <w:rPr>
                      <w:szCs w:val="21"/>
                    </w:rPr>
                  </w:pPr>
                  <w:r>
                    <w:rPr>
                      <w:szCs w:val="21"/>
                    </w:rPr>
                    <w:t>3.212</w:t>
                  </w:r>
                </w:p>
              </w:tc>
            </w:tr>
          </w:tbl>
          <w:p>
            <w:pPr>
              <w:adjustRightInd w:val="0"/>
              <w:snapToGrid w:val="0"/>
              <w:spacing w:line="360" w:lineRule="auto"/>
              <w:ind w:firstLine="482" w:firstLineChars="200"/>
              <w:rPr>
                <w:b/>
                <w:sz w:val="24"/>
              </w:rPr>
            </w:pPr>
            <w:r>
              <w:rPr>
                <w:b/>
                <w:sz w:val="24"/>
              </w:rPr>
              <w:t xml:space="preserve">6. </w:t>
            </w:r>
            <w:r>
              <w:rPr>
                <w:rFonts w:hint="eastAsia"/>
                <w:b/>
                <w:sz w:val="24"/>
              </w:rPr>
              <w:t>进出水水质</w:t>
            </w:r>
          </w:p>
          <w:p>
            <w:pPr>
              <w:adjustRightInd w:val="0"/>
              <w:snapToGrid w:val="0"/>
              <w:spacing w:line="360" w:lineRule="auto"/>
              <w:ind w:firstLine="480" w:firstLineChars="200"/>
              <w:rPr>
                <w:sz w:val="24"/>
              </w:rPr>
            </w:pPr>
            <w:r>
              <w:rPr>
                <w:rFonts w:hint="eastAsia"/>
                <w:sz w:val="24"/>
              </w:rPr>
              <w:t>(</w:t>
            </w:r>
            <w:r>
              <w:rPr>
                <w:sz w:val="24"/>
              </w:rPr>
              <w:t xml:space="preserve">1) </w:t>
            </w:r>
            <w:r>
              <w:rPr>
                <w:rFonts w:hint="eastAsia"/>
                <w:sz w:val="24"/>
              </w:rPr>
              <w:t>进水水质</w:t>
            </w:r>
          </w:p>
          <w:p>
            <w:pPr>
              <w:widowControl/>
              <w:adjustRightInd w:val="0"/>
              <w:snapToGrid w:val="0"/>
              <w:spacing w:beforeLines="50" w:afterLines="50" w:line="336" w:lineRule="auto"/>
              <w:ind w:firstLine="480" w:firstLineChars="200"/>
              <w:rPr>
                <w:b/>
                <w:sz w:val="24"/>
              </w:rPr>
            </w:pPr>
            <w:r>
              <w:rPr>
                <w:color w:val="000000"/>
                <w:kern w:val="0"/>
                <w:sz w:val="24"/>
                <w:szCs w:val="22"/>
              </w:rPr>
              <w:t>本工程设计采用年平均水温</w:t>
            </w:r>
            <w:r>
              <w:rPr>
                <w:rFonts w:hint="eastAsia"/>
                <w:color w:val="000000"/>
                <w:kern w:val="0"/>
                <w:sz w:val="24"/>
                <w:szCs w:val="22"/>
              </w:rPr>
              <w:t>15℃，</w:t>
            </w:r>
            <w:r>
              <w:rPr>
                <w:color w:val="000000"/>
                <w:kern w:val="0"/>
                <w:sz w:val="24"/>
                <w:szCs w:val="22"/>
              </w:rPr>
              <w:t>按照</w:t>
            </w:r>
            <w:r>
              <w:rPr>
                <w:rFonts w:hint="eastAsia"/>
                <w:color w:val="000000"/>
                <w:kern w:val="0"/>
                <w:sz w:val="24"/>
                <w:szCs w:val="22"/>
              </w:rPr>
              <w:t>低温2℃</w:t>
            </w:r>
            <w:r>
              <w:rPr>
                <w:color w:val="000000"/>
                <w:kern w:val="0"/>
                <w:sz w:val="24"/>
                <w:szCs w:val="22"/>
              </w:rPr>
              <w:t>和高温</w:t>
            </w:r>
            <w:r>
              <w:rPr>
                <w:rFonts w:hint="eastAsia"/>
                <w:color w:val="000000"/>
                <w:kern w:val="0"/>
                <w:sz w:val="24"/>
                <w:szCs w:val="22"/>
              </w:rPr>
              <w:t>27℃</w:t>
            </w:r>
            <w:r>
              <w:rPr>
                <w:color w:val="000000"/>
                <w:kern w:val="0"/>
                <w:sz w:val="24"/>
                <w:szCs w:val="22"/>
              </w:rPr>
              <w:t>进行校核</w:t>
            </w:r>
            <w:r>
              <w:rPr>
                <w:rFonts w:hint="eastAsia"/>
                <w:color w:val="000000"/>
                <w:kern w:val="0"/>
                <w:sz w:val="24"/>
                <w:szCs w:val="22"/>
              </w:rPr>
              <w:t>，进水水质采用进水口附近海水现状监测点位9号位的检测结果，详见表</w:t>
            </w:r>
            <w:r>
              <w:rPr>
                <w:color w:val="000000"/>
                <w:kern w:val="0"/>
                <w:sz w:val="24"/>
                <w:szCs w:val="22"/>
              </w:rPr>
              <w:t>6。</w:t>
            </w:r>
          </w:p>
          <w:p>
            <w:pPr>
              <w:adjustRightInd w:val="0"/>
              <w:snapToGrid w:val="0"/>
              <w:spacing w:line="360" w:lineRule="auto"/>
              <w:jc w:val="center"/>
              <w:rPr>
                <w:b/>
                <w:sz w:val="24"/>
              </w:rPr>
            </w:pPr>
            <w:r>
              <w:rPr>
                <w:rFonts w:hint="eastAsia"/>
                <w:b/>
                <w:sz w:val="24"/>
              </w:rPr>
              <w:t>表</w:t>
            </w:r>
            <w:r>
              <w:rPr>
                <w:b/>
                <w:sz w:val="24"/>
              </w:rPr>
              <w:t xml:space="preserve">6 </w:t>
            </w:r>
            <w:r>
              <w:rPr>
                <w:rFonts w:hint="eastAsia"/>
                <w:b/>
                <w:sz w:val="24"/>
              </w:rPr>
              <w:t>进水水质一览表（单位：</w:t>
            </w:r>
            <w:r>
              <w:rPr>
                <w:b/>
                <w:sz w:val="24"/>
              </w:rPr>
              <w:t>mg/L</w:t>
            </w:r>
            <w:r>
              <w:rPr>
                <w:rFonts w:hint="eastAsia"/>
                <w:b/>
                <w:sz w:val="24"/>
              </w:rPr>
              <w:t>）</w:t>
            </w:r>
          </w:p>
          <w:tbl>
            <w:tblPr>
              <w:tblStyle w:val="88"/>
              <w:tblW w:w="699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9"/>
              <w:gridCol w:w="2333"/>
              <w:gridCol w:w="32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szCs w:val="21"/>
                    </w:rPr>
                    <w:t>序号</w:t>
                  </w:r>
                </w:p>
              </w:tc>
              <w:tc>
                <w:tcPr>
                  <w:tcW w:w="2333" w:type="dxa"/>
                  <w:shd w:val="clear" w:color="auto" w:fill="auto"/>
                  <w:vAlign w:val="center"/>
                </w:tcPr>
                <w:p>
                  <w:pPr>
                    <w:adjustRightInd w:val="0"/>
                    <w:snapToGrid w:val="0"/>
                    <w:jc w:val="center"/>
                    <w:rPr>
                      <w:szCs w:val="21"/>
                    </w:rPr>
                  </w:pPr>
                  <w:r>
                    <w:rPr>
                      <w:szCs w:val="21"/>
                    </w:rPr>
                    <w:t>项目</w:t>
                  </w:r>
                </w:p>
              </w:tc>
              <w:tc>
                <w:tcPr>
                  <w:tcW w:w="3207" w:type="dxa"/>
                  <w:shd w:val="clear" w:color="auto" w:fill="auto"/>
                  <w:vAlign w:val="center"/>
                </w:tcPr>
                <w:p>
                  <w:pPr>
                    <w:adjustRightInd w:val="0"/>
                    <w:snapToGrid w:val="0"/>
                    <w:jc w:val="center"/>
                    <w:rPr>
                      <w:color w:val="FF0000"/>
                      <w:szCs w:val="21"/>
                    </w:rPr>
                  </w:pPr>
                  <w:r>
                    <w:rPr>
                      <w:rFonts w:hint="eastAsia"/>
                      <w:szCs w:val="21"/>
                    </w:rPr>
                    <w:t>取水口水质监测结果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1</w:t>
                  </w:r>
                </w:p>
              </w:tc>
              <w:tc>
                <w:tcPr>
                  <w:tcW w:w="2333" w:type="dxa"/>
                  <w:shd w:val="clear" w:color="auto" w:fill="auto"/>
                  <w:vAlign w:val="center"/>
                </w:tcPr>
                <w:p>
                  <w:pPr>
                    <w:adjustRightInd w:val="0"/>
                    <w:snapToGrid w:val="0"/>
                    <w:jc w:val="center"/>
                    <w:rPr>
                      <w:szCs w:val="21"/>
                    </w:rPr>
                  </w:pPr>
                  <w:r>
                    <w:rPr>
                      <w:szCs w:val="21"/>
                    </w:rPr>
                    <w:t>COD</w:t>
                  </w:r>
                  <w:r>
                    <w:rPr>
                      <w:szCs w:val="21"/>
                      <w:vertAlign w:val="subscript"/>
                    </w:rPr>
                    <w:t>Mn</w:t>
                  </w:r>
                </w:p>
              </w:tc>
              <w:tc>
                <w:tcPr>
                  <w:tcW w:w="3207" w:type="dxa"/>
                  <w:shd w:val="clear" w:color="auto" w:fill="auto"/>
                  <w:vAlign w:val="center"/>
                </w:tcPr>
                <w:p>
                  <w:pPr>
                    <w:adjustRightInd w:val="0"/>
                    <w:snapToGrid w:val="0"/>
                    <w:jc w:val="center"/>
                    <w:rPr>
                      <w:szCs w:val="21"/>
                    </w:rPr>
                  </w:pPr>
                  <w:r>
                    <w:rPr>
                      <w:rFonts w:hint="eastAsia"/>
                      <w:szCs w:val="21"/>
                    </w:rPr>
                    <w:t>0.41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2</w:t>
                  </w:r>
                </w:p>
              </w:tc>
              <w:tc>
                <w:tcPr>
                  <w:tcW w:w="2333" w:type="dxa"/>
                  <w:shd w:val="clear" w:color="auto" w:fill="auto"/>
                  <w:vAlign w:val="center"/>
                </w:tcPr>
                <w:p>
                  <w:pPr>
                    <w:adjustRightInd w:val="0"/>
                    <w:snapToGrid w:val="0"/>
                    <w:jc w:val="center"/>
                    <w:rPr>
                      <w:szCs w:val="21"/>
                    </w:rPr>
                  </w:pPr>
                  <w:r>
                    <w:rPr>
                      <w:rFonts w:hint="eastAsia"/>
                      <w:szCs w:val="21"/>
                    </w:rPr>
                    <w:t>氨氮</w:t>
                  </w:r>
                </w:p>
              </w:tc>
              <w:tc>
                <w:tcPr>
                  <w:tcW w:w="3207" w:type="dxa"/>
                  <w:shd w:val="clear" w:color="auto" w:fill="auto"/>
                  <w:vAlign w:val="center"/>
                </w:tcPr>
                <w:p>
                  <w:pPr>
                    <w:adjustRightInd w:val="0"/>
                    <w:snapToGrid w:val="0"/>
                    <w:jc w:val="center"/>
                    <w:rPr>
                      <w:szCs w:val="21"/>
                    </w:rPr>
                  </w:pPr>
                  <w:r>
                    <w:rPr>
                      <w:szCs w:val="21"/>
                    </w:rPr>
                    <w:t>0.003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3</w:t>
                  </w:r>
                </w:p>
              </w:tc>
              <w:tc>
                <w:tcPr>
                  <w:tcW w:w="2333" w:type="dxa"/>
                  <w:shd w:val="clear" w:color="auto" w:fill="auto"/>
                  <w:vAlign w:val="center"/>
                </w:tcPr>
                <w:p>
                  <w:pPr>
                    <w:adjustRightInd w:val="0"/>
                    <w:snapToGrid w:val="0"/>
                    <w:jc w:val="center"/>
                    <w:rPr>
                      <w:szCs w:val="21"/>
                    </w:rPr>
                  </w:pPr>
                  <w:r>
                    <w:rPr>
                      <w:rFonts w:hint="eastAsia"/>
                      <w:szCs w:val="21"/>
                    </w:rPr>
                    <w:t>无机氮</w:t>
                  </w:r>
                </w:p>
              </w:tc>
              <w:tc>
                <w:tcPr>
                  <w:tcW w:w="3207" w:type="dxa"/>
                  <w:shd w:val="clear" w:color="auto" w:fill="auto"/>
                  <w:vAlign w:val="center"/>
                </w:tcPr>
                <w:p>
                  <w:pPr>
                    <w:adjustRightInd w:val="0"/>
                    <w:snapToGrid w:val="0"/>
                    <w:jc w:val="center"/>
                    <w:rPr>
                      <w:szCs w:val="21"/>
                    </w:rPr>
                  </w:pPr>
                  <w:r>
                    <w:rPr>
                      <w:rFonts w:hint="eastAsia"/>
                      <w:szCs w:val="21"/>
                    </w:rPr>
                    <w:t>0.01358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4</w:t>
                  </w:r>
                </w:p>
              </w:tc>
              <w:tc>
                <w:tcPr>
                  <w:tcW w:w="2333" w:type="dxa"/>
                  <w:shd w:val="clear" w:color="auto" w:fill="auto"/>
                  <w:vAlign w:val="center"/>
                </w:tcPr>
                <w:p>
                  <w:pPr>
                    <w:adjustRightInd w:val="0"/>
                    <w:snapToGrid w:val="0"/>
                    <w:jc w:val="center"/>
                    <w:rPr>
                      <w:szCs w:val="21"/>
                    </w:rPr>
                  </w:pPr>
                  <w:r>
                    <w:rPr>
                      <w:szCs w:val="21"/>
                    </w:rPr>
                    <w:t>活性磷酸盐</w:t>
                  </w:r>
                </w:p>
              </w:tc>
              <w:tc>
                <w:tcPr>
                  <w:tcW w:w="3207" w:type="dxa"/>
                  <w:shd w:val="clear" w:color="auto" w:fill="auto"/>
                  <w:vAlign w:val="center"/>
                </w:tcPr>
                <w:p>
                  <w:pPr>
                    <w:adjustRightInd w:val="0"/>
                    <w:snapToGrid w:val="0"/>
                    <w:jc w:val="center"/>
                    <w:rPr>
                      <w:szCs w:val="21"/>
                    </w:rPr>
                  </w:pPr>
                  <w:r>
                    <w:rPr>
                      <w:rFonts w:hint="eastAsia"/>
                      <w:szCs w:val="21"/>
                    </w:rPr>
                    <w:t>0.0003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5</w:t>
                  </w:r>
                </w:p>
              </w:tc>
              <w:tc>
                <w:tcPr>
                  <w:tcW w:w="2333" w:type="dxa"/>
                  <w:shd w:val="clear" w:color="auto" w:fill="auto"/>
                  <w:vAlign w:val="center"/>
                </w:tcPr>
                <w:p>
                  <w:pPr>
                    <w:adjustRightInd w:val="0"/>
                    <w:snapToGrid w:val="0"/>
                    <w:jc w:val="center"/>
                    <w:rPr>
                      <w:szCs w:val="21"/>
                    </w:rPr>
                  </w:pPr>
                  <w:r>
                    <w:rPr>
                      <w:szCs w:val="21"/>
                    </w:rPr>
                    <w:t>石油类</w:t>
                  </w:r>
                </w:p>
              </w:tc>
              <w:tc>
                <w:tcPr>
                  <w:tcW w:w="3207" w:type="dxa"/>
                  <w:shd w:val="clear" w:color="auto" w:fill="auto"/>
                  <w:vAlign w:val="center"/>
                </w:tcPr>
                <w:p>
                  <w:pPr>
                    <w:adjustRightInd w:val="0"/>
                    <w:snapToGrid w:val="0"/>
                    <w:jc w:val="center"/>
                    <w:rPr>
                      <w:szCs w:val="21"/>
                    </w:rPr>
                  </w:pPr>
                  <w:r>
                    <w:rPr>
                      <w:rFonts w:hint="eastAsia"/>
                      <w:szCs w:val="21"/>
                    </w:rPr>
                    <w:t>0.0103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6</w:t>
                  </w:r>
                </w:p>
              </w:tc>
              <w:tc>
                <w:tcPr>
                  <w:tcW w:w="2333" w:type="dxa"/>
                  <w:shd w:val="clear" w:color="auto" w:fill="auto"/>
                  <w:vAlign w:val="center"/>
                </w:tcPr>
                <w:p>
                  <w:pPr>
                    <w:adjustRightInd w:val="0"/>
                    <w:snapToGrid w:val="0"/>
                    <w:jc w:val="center"/>
                    <w:rPr>
                      <w:szCs w:val="21"/>
                    </w:rPr>
                  </w:pPr>
                  <w:r>
                    <w:rPr>
                      <w:szCs w:val="21"/>
                    </w:rPr>
                    <w:t>挥发酚</w:t>
                  </w:r>
                </w:p>
              </w:tc>
              <w:tc>
                <w:tcPr>
                  <w:tcW w:w="3207" w:type="dxa"/>
                  <w:shd w:val="clear" w:color="auto" w:fill="auto"/>
                  <w:vAlign w:val="center"/>
                </w:tcPr>
                <w:p>
                  <w:pPr>
                    <w:adjustRightInd w:val="0"/>
                    <w:snapToGrid w:val="0"/>
                    <w:jc w:val="center"/>
                    <w:rPr>
                      <w:szCs w:val="21"/>
                    </w:rPr>
                  </w:pPr>
                  <w:r>
                    <w:rPr>
                      <w:szCs w:val="21"/>
                    </w:rPr>
                    <w:t>未检出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7</w:t>
                  </w:r>
                </w:p>
              </w:tc>
              <w:tc>
                <w:tcPr>
                  <w:tcW w:w="2333" w:type="dxa"/>
                  <w:shd w:val="clear" w:color="auto" w:fill="auto"/>
                  <w:vAlign w:val="center"/>
                </w:tcPr>
                <w:p>
                  <w:pPr>
                    <w:adjustRightInd w:val="0"/>
                    <w:snapToGrid w:val="0"/>
                    <w:jc w:val="center"/>
                    <w:rPr>
                      <w:szCs w:val="21"/>
                    </w:rPr>
                  </w:pPr>
                  <w:r>
                    <w:rPr>
                      <w:szCs w:val="21"/>
                    </w:rPr>
                    <w:t>硫化物</w:t>
                  </w:r>
                </w:p>
              </w:tc>
              <w:tc>
                <w:tcPr>
                  <w:tcW w:w="3207" w:type="dxa"/>
                  <w:shd w:val="clear" w:color="auto" w:fill="auto"/>
                  <w:vAlign w:val="center"/>
                </w:tcPr>
                <w:p>
                  <w:pPr>
                    <w:adjustRightInd w:val="0"/>
                    <w:snapToGrid w:val="0"/>
                    <w:jc w:val="center"/>
                    <w:rPr>
                      <w:szCs w:val="21"/>
                    </w:rPr>
                  </w:pPr>
                  <w:r>
                    <w:rPr>
                      <w:rFonts w:hint="eastAsia"/>
                      <w:szCs w:val="21"/>
                    </w:rPr>
                    <w:t>未检出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8</w:t>
                  </w:r>
                </w:p>
              </w:tc>
              <w:tc>
                <w:tcPr>
                  <w:tcW w:w="2333" w:type="dxa"/>
                  <w:shd w:val="clear" w:color="auto" w:fill="auto"/>
                  <w:vAlign w:val="center"/>
                </w:tcPr>
                <w:p>
                  <w:pPr>
                    <w:adjustRightInd w:val="0"/>
                    <w:snapToGrid w:val="0"/>
                    <w:jc w:val="center"/>
                    <w:rPr>
                      <w:szCs w:val="21"/>
                    </w:rPr>
                  </w:pPr>
                  <w:r>
                    <w:rPr>
                      <w:szCs w:val="21"/>
                    </w:rPr>
                    <w:t>Cu</w:t>
                  </w:r>
                </w:p>
              </w:tc>
              <w:tc>
                <w:tcPr>
                  <w:tcW w:w="3207" w:type="dxa"/>
                  <w:shd w:val="clear" w:color="auto" w:fill="auto"/>
                  <w:vAlign w:val="center"/>
                </w:tcPr>
                <w:p>
                  <w:pPr>
                    <w:adjustRightInd w:val="0"/>
                    <w:snapToGrid w:val="0"/>
                    <w:jc w:val="center"/>
                    <w:rPr>
                      <w:szCs w:val="21"/>
                    </w:rPr>
                  </w:pPr>
                  <w:r>
                    <w:rPr>
                      <w:rFonts w:hint="eastAsia"/>
                      <w:szCs w:val="21"/>
                    </w:rPr>
                    <w:t>0.00364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9</w:t>
                  </w:r>
                </w:p>
              </w:tc>
              <w:tc>
                <w:tcPr>
                  <w:tcW w:w="2333" w:type="dxa"/>
                  <w:shd w:val="clear" w:color="auto" w:fill="auto"/>
                  <w:vAlign w:val="center"/>
                </w:tcPr>
                <w:p>
                  <w:pPr>
                    <w:adjustRightInd w:val="0"/>
                    <w:snapToGrid w:val="0"/>
                    <w:jc w:val="center"/>
                    <w:rPr>
                      <w:szCs w:val="21"/>
                    </w:rPr>
                  </w:pPr>
                  <w:r>
                    <w:rPr>
                      <w:szCs w:val="21"/>
                    </w:rPr>
                    <w:t>Pb</w:t>
                  </w:r>
                </w:p>
              </w:tc>
              <w:tc>
                <w:tcPr>
                  <w:tcW w:w="3207" w:type="dxa"/>
                  <w:shd w:val="clear" w:color="auto" w:fill="auto"/>
                  <w:vAlign w:val="center"/>
                </w:tcPr>
                <w:p>
                  <w:pPr>
                    <w:adjustRightInd w:val="0"/>
                    <w:snapToGrid w:val="0"/>
                    <w:jc w:val="center"/>
                    <w:rPr>
                      <w:szCs w:val="21"/>
                    </w:rPr>
                  </w:pPr>
                  <w:r>
                    <w:rPr>
                      <w:rFonts w:hint="eastAsia"/>
                      <w:szCs w:val="21"/>
                    </w:rPr>
                    <w:t>0.00045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10</w:t>
                  </w:r>
                </w:p>
              </w:tc>
              <w:tc>
                <w:tcPr>
                  <w:tcW w:w="2333" w:type="dxa"/>
                  <w:shd w:val="clear" w:color="auto" w:fill="auto"/>
                  <w:vAlign w:val="center"/>
                </w:tcPr>
                <w:p>
                  <w:pPr>
                    <w:adjustRightInd w:val="0"/>
                    <w:snapToGrid w:val="0"/>
                    <w:jc w:val="center"/>
                    <w:rPr>
                      <w:szCs w:val="21"/>
                    </w:rPr>
                  </w:pPr>
                  <w:r>
                    <w:rPr>
                      <w:szCs w:val="21"/>
                    </w:rPr>
                    <w:t>Cd</w:t>
                  </w:r>
                </w:p>
              </w:tc>
              <w:tc>
                <w:tcPr>
                  <w:tcW w:w="3207" w:type="dxa"/>
                  <w:shd w:val="clear" w:color="auto" w:fill="auto"/>
                  <w:vAlign w:val="center"/>
                </w:tcPr>
                <w:p>
                  <w:pPr>
                    <w:adjustRightInd w:val="0"/>
                    <w:snapToGrid w:val="0"/>
                    <w:jc w:val="center"/>
                    <w:rPr>
                      <w:szCs w:val="21"/>
                    </w:rPr>
                  </w:pPr>
                  <w:r>
                    <w:rPr>
                      <w:rFonts w:hint="eastAsia"/>
                      <w:szCs w:val="21"/>
                    </w:rPr>
                    <w:t>0.00045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11</w:t>
                  </w:r>
                </w:p>
              </w:tc>
              <w:tc>
                <w:tcPr>
                  <w:tcW w:w="2333" w:type="dxa"/>
                  <w:shd w:val="clear" w:color="auto" w:fill="auto"/>
                  <w:vAlign w:val="center"/>
                </w:tcPr>
                <w:p>
                  <w:pPr>
                    <w:adjustRightInd w:val="0"/>
                    <w:snapToGrid w:val="0"/>
                    <w:jc w:val="center"/>
                    <w:rPr>
                      <w:szCs w:val="21"/>
                    </w:rPr>
                  </w:pPr>
                  <w:r>
                    <w:rPr>
                      <w:szCs w:val="21"/>
                    </w:rPr>
                    <w:t>总Cr</w:t>
                  </w:r>
                </w:p>
              </w:tc>
              <w:tc>
                <w:tcPr>
                  <w:tcW w:w="3207" w:type="dxa"/>
                  <w:shd w:val="clear" w:color="auto" w:fill="auto"/>
                  <w:vAlign w:val="center"/>
                </w:tcPr>
                <w:p>
                  <w:pPr>
                    <w:adjustRightInd w:val="0"/>
                    <w:snapToGrid w:val="0"/>
                    <w:jc w:val="center"/>
                    <w:rPr>
                      <w:szCs w:val="21"/>
                    </w:rPr>
                  </w:pPr>
                  <w:r>
                    <w:rPr>
                      <w:rFonts w:hint="eastAsia"/>
                      <w:szCs w:val="21"/>
                    </w:rPr>
                    <w:t>0.00346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12</w:t>
                  </w:r>
                </w:p>
              </w:tc>
              <w:tc>
                <w:tcPr>
                  <w:tcW w:w="2333" w:type="dxa"/>
                  <w:shd w:val="clear" w:color="auto" w:fill="auto"/>
                  <w:vAlign w:val="center"/>
                </w:tcPr>
                <w:p>
                  <w:pPr>
                    <w:adjustRightInd w:val="0"/>
                    <w:snapToGrid w:val="0"/>
                    <w:jc w:val="center"/>
                    <w:rPr>
                      <w:szCs w:val="21"/>
                    </w:rPr>
                  </w:pPr>
                  <w:r>
                    <w:rPr>
                      <w:szCs w:val="21"/>
                    </w:rPr>
                    <w:t>Zn</w:t>
                  </w:r>
                </w:p>
              </w:tc>
              <w:tc>
                <w:tcPr>
                  <w:tcW w:w="3207" w:type="dxa"/>
                  <w:shd w:val="clear" w:color="auto" w:fill="auto"/>
                  <w:vAlign w:val="center"/>
                </w:tcPr>
                <w:p>
                  <w:pPr>
                    <w:adjustRightInd w:val="0"/>
                    <w:snapToGrid w:val="0"/>
                    <w:jc w:val="center"/>
                    <w:rPr>
                      <w:szCs w:val="21"/>
                    </w:rPr>
                  </w:pPr>
                  <w:r>
                    <w:rPr>
                      <w:rFonts w:hint="eastAsia"/>
                      <w:szCs w:val="21"/>
                    </w:rPr>
                    <w:t>0.00412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13</w:t>
                  </w:r>
                </w:p>
              </w:tc>
              <w:tc>
                <w:tcPr>
                  <w:tcW w:w="2333" w:type="dxa"/>
                  <w:shd w:val="clear" w:color="auto" w:fill="auto"/>
                  <w:vAlign w:val="center"/>
                </w:tcPr>
                <w:p>
                  <w:pPr>
                    <w:adjustRightInd w:val="0"/>
                    <w:snapToGrid w:val="0"/>
                    <w:jc w:val="center"/>
                    <w:rPr>
                      <w:szCs w:val="21"/>
                    </w:rPr>
                  </w:pPr>
                  <w:r>
                    <w:rPr>
                      <w:szCs w:val="21"/>
                    </w:rPr>
                    <w:t>Hg</w:t>
                  </w:r>
                </w:p>
              </w:tc>
              <w:tc>
                <w:tcPr>
                  <w:tcW w:w="3207" w:type="dxa"/>
                  <w:shd w:val="clear" w:color="auto" w:fill="auto"/>
                  <w:vAlign w:val="center"/>
                </w:tcPr>
                <w:p>
                  <w:pPr>
                    <w:adjustRightInd w:val="0"/>
                    <w:snapToGrid w:val="0"/>
                    <w:jc w:val="center"/>
                    <w:rPr>
                      <w:szCs w:val="21"/>
                    </w:rPr>
                  </w:pPr>
                  <w:r>
                    <w:rPr>
                      <w:rFonts w:hint="eastAsia"/>
                      <w:szCs w:val="21"/>
                    </w:rPr>
                    <w:t>0.000001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14</w:t>
                  </w:r>
                </w:p>
              </w:tc>
              <w:tc>
                <w:tcPr>
                  <w:tcW w:w="2333" w:type="dxa"/>
                  <w:shd w:val="clear" w:color="auto" w:fill="auto"/>
                  <w:vAlign w:val="center"/>
                </w:tcPr>
                <w:p>
                  <w:pPr>
                    <w:adjustRightInd w:val="0"/>
                    <w:snapToGrid w:val="0"/>
                    <w:jc w:val="center"/>
                    <w:rPr>
                      <w:szCs w:val="21"/>
                    </w:rPr>
                  </w:pPr>
                  <w:r>
                    <w:rPr>
                      <w:szCs w:val="21"/>
                    </w:rPr>
                    <w:t>As</w:t>
                  </w:r>
                </w:p>
              </w:tc>
              <w:tc>
                <w:tcPr>
                  <w:tcW w:w="3207" w:type="dxa"/>
                  <w:shd w:val="clear" w:color="auto" w:fill="auto"/>
                  <w:vAlign w:val="center"/>
                </w:tcPr>
                <w:p>
                  <w:pPr>
                    <w:adjustRightInd w:val="0"/>
                    <w:snapToGrid w:val="0"/>
                    <w:jc w:val="center"/>
                    <w:rPr>
                      <w:szCs w:val="21"/>
                    </w:rPr>
                  </w:pPr>
                  <w:r>
                    <w:rPr>
                      <w:rFonts w:hint="eastAsia"/>
                      <w:szCs w:val="21"/>
                    </w:rPr>
                    <w:t>0.00418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459" w:type="dxa"/>
                  <w:shd w:val="clear" w:color="auto" w:fill="auto"/>
                  <w:vAlign w:val="center"/>
                </w:tcPr>
                <w:p>
                  <w:pPr>
                    <w:adjustRightInd w:val="0"/>
                    <w:snapToGrid w:val="0"/>
                    <w:jc w:val="center"/>
                    <w:rPr>
                      <w:szCs w:val="21"/>
                    </w:rPr>
                  </w:pPr>
                  <w:r>
                    <w:rPr>
                      <w:rFonts w:hint="eastAsia"/>
                      <w:szCs w:val="21"/>
                    </w:rPr>
                    <w:t>1</w:t>
                  </w:r>
                  <w:r>
                    <w:rPr>
                      <w:szCs w:val="21"/>
                    </w:rPr>
                    <w:t>5</w:t>
                  </w:r>
                </w:p>
              </w:tc>
              <w:tc>
                <w:tcPr>
                  <w:tcW w:w="2333" w:type="dxa"/>
                  <w:shd w:val="clear" w:color="auto" w:fill="auto"/>
                  <w:vAlign w:val="center"/>
                </w:tcPr>
                <w:p>
                  <w:pPr>
                    <w:adjustRightInd w:val="0"/>
                    <w:snapToGrid w:val="0"/>
                    <w:jc w:val="center"/>
                    <w:rPr>
                      <w:szCs w:val="21"/>
                    </w:rPr>
                  </w:pPr>
                  <w:r>
                    <w:rPr>
                      <w:rFonts w:hint="eastAsia"/>
                      <w:szCs w:val="21"/>
                    </w:rPr>
                    <w:t>悬浮物</w:t>
                  </w:r>
                </w:p>
              </w:tc>
              <w:tc>
                <w:tcPr>
                  <w:tcW w:w="3207" w:type="dxa"/>
                  <w:shd w:val="clear" w:color="auto" w:fill="auto"/>
                  <w:vAlign w:val="center"/>
                </w:tcPr>
                <w:p>
                  <w:pPr>
                    <w:adjustRightInd w:val="0"/>
                    <w:snapToGrid w:val="0"/>
                    <w:jc w:val="center"/>
                    <w:rPr>
                      <w:szCs w:val="21"/>
                    </w:rPr>
                  </w:pPr>
                  <w:r>
                    <w:rPr>
                      <w:rFonts w:hint="eastAsia"/>
                      <w:szCs w:val="21"/>
                    </w:rPr>
                    <w:t>4</w:t>
                  </w:r>
                  <w:r>
                    <w:rPr>
                      <w:szCs w:val="21"/>
                    </w:rPr>
                    <w:t>.81</w:t>
                  </w:r>
                </w:p>
              </w:tc>
            </w:tr>
          </w:tbl>
          <w:p>
            <w:pPr>
              <w:widowControl/>
              <w:adjustRightInd w:val="0"/>
              <w:snapToGrid w:val="0"/>
              <w:spacing w:beforeLines="50" w:afterLines="50" w:line="336" w:lineRule="auto"/>
              <w:ind w:firstLine="480" w:firstLineChars="200"/>
              <w:rPr>
                <w:color w:val="000000"/>
                <w:kern w:val="0"/>
                <w:sz w:val="24"/>
                <w:szCs w:val="22"/>
              </w:rPr>
            </w:pPr>
            <w:r>
              <w:rPr>
                <w:color w:val="000000"/>
                <w:kern w:val="0"/>
                <w:sz w:val="24"/>
                <w:szCs w:val="22"/>
              </w:rPr>
              <w:t>针对</w:t>
            </w:r>
            <w:r>
              <w:rPr>
                <w:rFonts w:hint="eastAsia"/>
                <w:color w:val="000000"/>
                <w:kern w:val="0"/>
                <w:sz w:val="24"/>
                <w:szCs w:val="22"/>
              </w:rPr>
              <w:t>本次反渗透拟用的</w:t>
            </w:r>
            <w:r>
              <w:rPr>
                <w:color w:val="000000"/>
                <w:kern w:val="0"/>
                <w:sz w:val="24"/>
                <w:szCs w:val="22"/>
              </w:rPr>
              <w:t>聚酰胺膜，其进水指标</w:t>
            </w:r>
            <w:r>
              <w:rPr>
                <w:rFonts w:hint="eastAsia"/>
                <w:color w:val="000000"/>
                <w:kern w:val="0"/>
                <w:sz w:val="24"/>
                <w:szCs w:val="22"/>
              </w:rPr>
              <w:t>要求</w:t>
            </w:r>
            <w:r>
              <w:rPr>
                <w:color w:val="000000"/>
                <w:kern w:val="0"/>
                <w:sz w:val="24"/>
                <w:szCs w:val="22"/>
              </w:rPr>
              <w:t>见表7。</w:t>
            </w:r>
          </w:p>
          <w:p>
            <w:pPr>
              <w:adjustRightInd w:val="0"/>
              <w:snapToGrid w:val="0"/>
              <w:spacing w:line="360" w:lineRule="auto"/>
              <w:jc w:val="center"/>
              <w:rPr>
                <w:b/>
                <w:sz w:val="24"/>
              </w:rPr>
            </w:pPr>
            <w:r>
              <w:rPr>
                <w:rFonts w:hint="eastAsia"/>
                <w:b/>
                <w:sz w:val="24"/>
              </w:rPr>
              <w:t>表</w:t>
            </w:r>
            <w:r>
              <w:rPr>
                <w:b/>
                <w:sz w:val="24"/>
              </w:rPr>
              <w:t xml:space="preserve">7 </w:t>
            </w:r>
            <w:r>
              <w:rPr>
                <w:rFonts w:hint="eastAsia"/>
                <w:b/>
                <w:sz w:val="24"/>
              </w:rPr>
              <w:t>反渗透进水水质要求</w:t>
            </w:r>
          </w:p>
          <w:tbl>
            <w:tblPr>
              <w:tblStyle w:val="88"/>
              <w:tblW w:w="81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00"/>
              <w:gridCol w:w="2700"/>
              <w:gridCol w:w="2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5" w:hRule="atLeast"/>
                <w:tblHeader/>
                <w:jc w:val="center"/>
              </w:trPr>
              <w:tc>
                <w:tcPr>
                  <w:tcW w:w="2700" w:type="dxa"/>
                </w:tcPr>
                <w:p>
                  <w:pPr>
                    <w:widowControl/>
                    <w:adjustRightInd w:val="0"/>
                    <w:snapToGrid w:val="0"/>
                    <w:spacing w:line="336" w:lineRule="auto"/>
                    <w:jc w:val="center"/>
                    <w:rPr>
                      <w:b/>
                      <w:color w:val="000000"/>
                      <w:kern w:val="0"/>
                      <w:szCs w:val="21"/>
                    </w:rPr>
                  </w:pPr>
                  <w:r>
                    <w:rPr>
                      <w:rFonts w:hint="eastAsia"/>
                      <w:b/>
                      <w:color w:val="000000"/>
                      <w:kern w:val="0"/>
                      <w:szCs w:val="21"/>
                    </w:rPr>
                    <w:t>序号</w:t>
                  </w:r>
                </w:p>
              </w:tc>
              <w:tc>
                <w:tcPr>
                  <w:tcW w:w="2700" w:type="dxa"/>
                  <w:vAlign w:val="center"/>
                </w:tcPr>
                <w:p>
                  <w:pPr>
                    <w:widowControl/>
                    <w:adjustRightInd w:val="0"/>
                    <w:snapToGrid w:val="0"/>
                    <w:spacing w:line="336" w:lineRule="auto"/>
                    <w:jc w:val="center"/>
                    <w:rPr>
                      <w:b/>
                      <w:color w:val="000000"/>
                      <w:kern w:val="0"/>
                      <w:szCs w:val="21"/>
                    </w:rPr>
                  </w:pPr>
                  <w:r>
                    <w:rPr>
                      <w:b/>
                      <w:color w:val="000000"/>
                      <w:kern w:val="0"/>
                      <w:szCs w:val="21"/>
                    </w:rPr>
                    <w:t>项目</w:t>
                  </w:r>
                </w:p>
              </w:tc>
              <w:tc>
                <w:tcPr>
                  <w:tcW w:w="2700" w:type="dxa"/>
                  <w:vAlign w:val="center"/>
                </w:tcPr>
                <w:p>
                  <w:pPr>
                    <w:widowControl/>
                    <w:adjustRightInd w:val="0"/>
                    <w:snapToGrid w:val="0"/>
                    <w:spacing w:line="336" w:lineRule="auto"/>
                    <w:jc w:val="center"/>
                    <w:rPr>
                      <w:b/>
                      <w:color w:val="000000"/>
                      <w:kern w:val="0"/>
                      <w:szCs w:val="21"/>
                    </w:rPr>
                  </w:pPr>
                  <w:r>
                    <w:rPr>
                      <w:b/>
                      <w:color w:val="000000"/>
                      <w:kern w:val="0"/>
                      <w:szCs w:val="21"/>
                    </w:rPr>
                    <w:t>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5" w:hRule="atLeast"/>
                <w:jc w:val="center"/>
              </w:trPr>
              <w:tc>
                <w:tcPr>
                  <w:tcW w:w="2700" w:type="dxa"/>
                </w:tcPr>
                <w:p>
                  <w:pPr>
                    <w:widowControl/>
                    <w:adjustRightInd w:val="0"/>
                    <w:snapToGrid w:val="0"/>
                    <w:spacing w:line="336" w:lineRule="auto"/>
                    <w:jc w:val="center"/>
                    <w:rPr>
                      <w:color w:val="000000"/>
                      <w:kern w:val="0"/>
                      <w:szCs w:val="21"/>
                    </w:rPr>
                  </w:pPr>
                  <w:r>
                    <w:rPr>
                      <w:rFonts w:hint="eastAsia"/>
                      <w:color w:val="000000"/>
                      <w:kern w:val="0"/>
                      <w:szCs w:val="21"/>
                    </w:rPr>
                    <w:t>1</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SDI</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5" w:hRule="atLeast"/>
                <w:jc w:val="center"/>
              </w:trPr>
              <w:tc>
                <w:tcPr>
                  <w:tcW w:w="2700" w:type="dxa"/>
                </w:tcPr>
                <w:p>
                  <w:pPr>
                    <w:widowControl/>
                    <w:adjustRightInd w:val="0"/>
                    <w:snapToGrid w:val="0"/>
                    <w:spacing w:line="336" w:lineRule="auto"/>
                    <w:jc w:val="center"/>
                    <w:rPr>
                      <w:color w:val="000000"/>
                      <w:kern w:val="0"/>
                      <w:szCs w:val="21"/>
                    </w:rPr>
                  </w:pPr>
                  <w:r>
                    <w:rPr>
                      <w:rFonts w:hint="eastAsia"/>
                      <w:color w:val="000000"/>
                      <w:kern w:val="0"/>
                      <w:szCs w:val="21"/>
                    </w:rPr>
                    <w:t>2</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浊度（NTU）</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5" w:hRule="atLeast"/>
                <w:jc w:val="center"/>
              </w:trPr>
              <w:tc>
                <w:tcPr>
                  <w:tcW w:w="2700" w:type="dxa"/>
                </w:tcPr>
                <w:p>
                  <w:pPr>
                    <w:widowControl/>
                    <w:adjustRightInd w:val="0"/>
                    <w:snapToGrid w:val="0"/>
                    <w:spacing w:line="336" w:lineRule="auto"/>
                    <w:jc w:val="center"/>
                    <w:rPr>
                      <w:color w:val="000000"/>
                      <w:kern w:val="0"/>
                      <w:szCs w:val="21"/>
                    </w:rPr>
                  </w:pPr>
                  <w:r>
                    <w:rPr>
                      <w:color w:val="000000"/>
                      <w:kern w:val="0"/>
                      <w:szCs w:val="21"/>
                    </w:rPr>
                    <w:t>3</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Fe（mg/L）</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5" w:hRule="atLeast"/>
                <w:jc w:val="center"/>
              </w:trPr>
              <w:tc>
                <w:tcPr>
                  <w:tcW w:w="2700" w:type="dxa"/>
                </w:tcPr>
                <w:p>
                  <w:pPr>
                    <w:widowControl/>
                    <w:adjustRightInd w:val="0"/>
                    <w:snapToGrid w:val="0"/>
                    <w:spacing w:line="336" w:lineRule="auto"/>
                    <w:jc w:val="center"/>
                    <w:rPr>
                      <w:color w:val="000000"/>
                      <w:kern w:val="0"/>
                      <w:szCs w:val="21"/>
                    </w:rPr>
                  </w:pPr>
                  <w:r>
                    <w:rPr>
                      <w:color w:val="000000"/>
                      <w:kern w:val="0"/>
                      <w:szCs w:val="21"/>
                    </w:rPr>
                    <w:t>4</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余氯（mg/L）</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5" w:hRule="atLeast"/>
                <w:jc w:val="center"/>
              </w:trPr>
              <w:tc>
                <w:tcPr>
                  <w:tcW w:w="2700" w:type="dxa"/>
                </w:tcPr>
                <w:p>
                  <w:pPr>
                    <w:widowControl/>
                    <w:adjustRightInd w:val="0"/>
                    <w:snapToGrid w:val="0"/>
                    <w:spacing w:line="336" w:lineRule="auto"/>
                    <w:jc w:val="center"/>
                    <w:rPr>
                      <w:color w:val="000000"/>
                      <w:kern w:val="0"/>
                      <w:szCs w:val="21"/>
                    </w:rPr>
                  </w:pPr>
                  <w:r>
                    <w:rPr>
                      <w:color w:val="000000"/>
                      <w:kern w:val="0"/>
                      <w:szCs w:val="21"/>
                    </w:rPr>
                    <w:t>5</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COD</w:t>
                  </w:r>
                  <w:r>
                    <w:rPr>
                      <w:color w:val="000000"/>
                      <w:kern w:val="0"/>
                      <w:szCs w:val="21"/>
                      <w:vertAlign w:val="subscript"/>
                    </w:rPr>
                    <w:t>Mn</w:t>
                  </w:r>
                  <w:r>
                    <w:rPr>
                      <w:color w:val="000000"/>
                      <w:kern w:val="0"/>
                      <w:szCs w:val="21"/>
                    </w:rPr>
                    <w:t>（mg/L）</w:t>
                  </w:r>
                </w:p>
              </w:tc>
              <w:tc>
                <w:tcPr>
                  <w:tcW w:w="2700" w:type="dxa"/>
                  <w:vAlign w:val="center"/>
                </w:tcPr>
                <w:p>
                  <w:pPr>
                    <w:widowControl/>
                    <w:adjustRightInd w:val="0"/>
                    <w:snapToGrid w:val="0"/>
                    <w:spacing w:line="336" w:lineRule="auto"/>
                    <w:jc w:val="center"/>
                    <w:rPr>
                      <w:color w:val="000000"/>
                      <w:kern w:val="0"/>
                      <w:szCs w:val="21"/>
                    </w:rPr>
                  </w:pPr>
                  <w:r>
                    <w:rPr>
                      <w:rFonts w:hint="eastAsia"/>
                      <w:color w:val="000000"/>
                      <w:kern w:val="0"/>
                      <w:szCs w:val="21"/>
                    </w:rPr>
                    <w:t>＜</w:t>
                  </w:r>
                  <w:r>
                    <w:rPr>
                      <w:color w:val="000000"/>
                      <w:kern w:val="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5" w:hRule="atLeast"/>
                <w:jc w:val="center"/>
              </w:trPr>
              <w:tc>
                <w:tcPr>
                  <w:tcW w:w="2700" w:type="dxa"/>
                </w:tcPr>
                <w:p>
                  <w:pPr>
                    <w:widowControl/>
                    <w:adjustRightInd w:val="0"/>
                    <w:snapToGrid w:val="0"/>
                    <w:spacing w:line="336" w:lineRule="auto"/>
                    <w:jc w:val="center"/>
                    <w:rPr>
                      <w:color w:val="000000"/>
                      <w:kern w:val="0"/>
                      <w:szCs w:val="21"/>
                    </w:rPr>
                  </w:pPr>
                  <w:r>
                    <w:rPr>
                      <w:color w:val="000000"/>
                      <w:kern w:val="0"/>
                      <w:szCs w:val="21"/>
                    </w:rPr>
                    <w:t>6</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水温（</w:t>
                  </w:r>
                  <w:r>
                    <w:rPr>
                      <w:rFonts w:hint="eastAsia"/>
                      <w:color w:val="000000"/>
                      <w:kern w:val="0"/>
                      <w:szCs w:val="21"/>
                    </w:rPr>
                    <w:t>℃</w:t>
                  </w:r>
                  <w:r>
                    <w:rPr>
                      <w:color w:val="000000"/>
                      <w:kern w:val="0"/>
                      <w:szCs w:val="21"/>
                    </w:rPr>
                    <w:t>）</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1～35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5" w:hRule="atLeast"/>
                <w:jc w:val="center"/>
              </w:trPr>
              <w:tc>
                <w:tcPr>
                  <w:tcW w:w="2700" w:type="dxa"/>
                </w:tcPr>
                <w:p>
                  <w:pPr>
                    <w:widowControl/>
                    <w:adjustRightInd w:val="0"/>
                    <w:snapToGrid w:val="0"/>
                    <w:spacing w:line="336" w:lineRule="auto"/>
                    <w:jc w:val="center"/>
                    <w:rPr>
                      <w:color w:val="000000"/>
                      <w:kern w:val="0"/>
                      <w:szCs w:val="21"/>
                    </w:rPr>
                  </w:pPr>
                  <w:r>
                    <w:rPr>
                      <w:color w:val="000000"/>
                      <w:kern w:val="0"/>
                      <w:szCs w:val="21"/>
                    </w:rPr>
                    <w:t>7</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pH值</w:t>
                  </w:r>
                </w:p>
              </w:tc>
              <w:tc>
                <w:tcPr>
                  <w:tcW w:w="2700" w:type="dxa"/>
                  <w:vAlign w:val="center"/>
                </w:tcPr>
                <w:p>
                  <w:pPr>
                    <w:widowControl/>
                    <w:adjustRightInd w:val="0"/>
                    <w:snapToGrid w:val="0"/>
                    <w:spacing w:line="336" w:lineRule="auto"/>
                    <w:jc w:val="center"/>
                    <w:rPr>
                      <w:color w:val="000000"/>
                      <w:kern w:val="0"/>
                      <w:szCs w:val="21"/>
                    </w:rPr>
                  </w:pPr>
                  <w:r>
                    <w:rPr>
                      <w:color w:val="000000"/>
                      <w:kern w:val="0"/>
                      <w:szCs w:val="21"/>
                    </w:rPr>
                    <w:t>4～11</w:t>
                  </w:r>
                </w:p>
              </w:tc>
            </w:tr>
          </w:tbl>
          <w:p>
            <w:pPr>
              <w:adjustRightInd w:val="0"/>
              <w:snapToGrid w:val="0"/>
              <w:spacing w:line="360" w:lineRule="auto"/>
              <w:ind w:firstLine="480" w:firstLineChars="200"/>
              <w:rPr>
                <w:sz w:val="24"/>
              </w:rPr>
            </w:pPr>
            <w:r>
              <w:rPr>
                <w:rFonts w:hint="eastAsia"/>
                <w:sz w:val="24"/>
              </w:rPr>
              <w:t>(2) 设计出水水质</w:t>
            </w:r>
          </w:p>
          <w:p>
            <w:pPr>
              <w:adjustRightInd w:val="0"/>
              <w:snapToGrid w:val="0"/>
              <w:spacing w:line="360" w:lineRule="auto"/>
              <w:ind w:firstLine="480" w:firstLineChars="200"/>
              <w:rPr>
                <w:sz w:val="24"/>
              </w:rPr>
            </w:pPr>
            <w:r>
              <w:rPr>
                <w:rFonts w:hint="eastAsia"/>
                <w:sz w:val="24"/>
              </w:rPr>
              <w:t>工程设计出水水质用于厂内生活用水及威海市自来水。</w:t>
            </w:r>
          </w:p>
          <w:p>
            <w:pPr>
              <w:adjustRightInd w:val="0"/>
              <w:snapToGrid w:val="0"/>
              <w:spacing w:line="360" w:lineRule="auto"/>
              <w:ind w:firstLine="482" w:firstLineChars="200"/>
              <w:rPr>
                <w:b/>
                <w:sz w:val="24"/>
              </w:rPr>
            </w:pPr>
            <w:r>
              <w:rPr>
                <w:b/>
                <w:sz w:val="24"/>
              </w:rPr>
              <w:t xml:space="preserve">7. </w:t>
            </w:r>
            <w:r>
              <w:rPr>
                <w:rFonts w:hint="eastAsia"/>
                <w:b/>
                <w:sz w:val="24"/>
              </w:rPr>
              <w:t>劳动定员</w:t>
            </w:r>
          </w:p>
          <w:p>
            <w:pPr>
              <w:adjustRightInd w:val="0"/>
              <w:snapToGrid w:val="0"/>
              <w:spacing w:line="360" w:lineRule="auto"/>
              <w:ind w:firstLine="480" w:firstLineChars="200"/>
              <w:rPr>
                <w:sz w:val="24"/>
              </w:rPr>
            </w:pPr>
            <w:r>
              <w:rPr>
                <w:rFonts w:hint="eastAsia"/>
                <w:sz w:val="24"/>
              </w:rPr>
              <w:t>厂区内部员工调配，不新增劳动定员。</w:t>
            </w:r>
          </w:p>
          <w:p>
            <w:pPr>
              <w:adjustRightInd w:val="0"/>
              <w:snapToGrid w:val="0"/>
              <w:spacing w:line="360" w:lineRule="auto"/>
              <w:ind w:firstLine="482" w:firstLineChars="200"/>
              <w:rPr>
                <w:b/>
                <w:sz w:val="24"/>
              </w:rPr>
            </w:pPr>
            <w:r>
              <w:rPr>
                <w:b/>
                <w:sz w:val="24"/>
              </w:rPr>
              <w:t>8. 产业政策符合性</w:t>
            </w:r>
          </w:p>
          <w:p>
            <w:pPr>
              <w:adjustRightInd w:val="0"/>
              <w:snapToGrid w:val="0"/>
              <w:spacing w:line="360" w:lineRule="auto"/>
              <w:ind w:firstLine="480" w:firstLineChars="200"/>
              <w:rPr>
                <w:sz w:val="24"/>
              </w:rPr>
            </w:pPr>
            <w:r>
              <w:rPr>
                <w:sz w:val="24"/>
              </w:rPr>
              <w:t>本项目为</w:t>
            </w:r>
            <w:r>
              <w:rPr>
                <w:rFonts w:hint="eastAsia"/>
                <w:sz w:val="24"/>
              </w:rPr>
              <w:t>海水综合利用类</w:t>
            </w:r>
            <w:r>
              <w:rPr>
                <w:sz w:val="24"/>
              </w:rPr>
              <w:t>项目，属于《产业结构调整指导目录(2019年</w:t>
            </w:r>
            <w:r>
              <w:rPr>
                <w:rFonts w:hint="eastAsia"/>
                <w:sz w:val="24"/>
              </w:rPr>
              <w:t>本</w:t>
            </w:r>
            <w:r>
              <w:rPr>
                <w:sz w:val="24"/>
              </w:rPr>
              <w:t>)》</w:t>
            </w:r>
            <w:r>
              <w:rPr>
                <w:rFonts w:hint="eastAsia"/>
                <w:sz w:val="24"/>
              </w:rPr>
              <w:t>(修正版)</w:t>
            </w:r>
            <w:r>
              <w:rPr>
                <w:sz w:val="24"/>
              </w:rPr>
              <w:t>中</w:t>
            </w:r>
            <w:r>
              <w:rPr>
                <w:rFonts w:hint="eastAsia"/>
                <w:sz w:val="24"/>
              </w:rPr>
              <w:t>“</w:t>
            </w:r>
            <w:r>
              <w:rPr>
                <w:sz w:val="24"/>
              </w:rPr>
              <w:t>鼓励类</w:t>
            </w:r>
            <w:r>
              <w:rPr>
                <w:rFonts w:hint="eastAsia"/>
                <w:sz w:val="24"/>
              </w:rPr>
              <w:t>，四十三、环境保护与资源节约综合利用”中的“3、微咸水、苦咸水、劣质水、海水的开发利用及海水淡化工程”，</w:t>
            </w:r>
            <w:r>
              <w:rPr>
                <w:sz w:val="24"/>
              </w:rPr>
              <w:t>符合国家产业政策要求</w:t>
            </w:r>
            <w:r>
              <w:rPr>
                <w:rFonts w:hint="eastAsia"/>
                <w:sz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 w:hRule="atLeast"/>
          <w:jc w:val="center"/>
        </w:trPr>
        <w:tc>
          <w:tcPr>
            <w:tcW w:w="9061" w:type="dxa"/>
            <w:gridSpan w:val="10"/>
            <w:vAlign w:val="center"/>
          </w:tcPr>
          <w:p>
            <w:pPr>
              <w:adjustRightInd w:val="0"/>
              <w:snapToGrid w:val="0"/>
              <w:spacing w:line="360" w:lineRule="auto"/>
              <w:rPr>
                <w:rFonts w:ascii="宋体" w:hAnsi="宋体"/>
                <w:b/>
                <w:sz w:val="24"/>
              </w:rPr>
            </w:pPr>
            <w:r>
              <w:rPr>
                <w:rFonts w:hint="eastAsia" w:ascii="宋体" w:hAnsi="宋体"/>
                <w:b/>
                <w:sz w:val="24"/>
              </w:rPr>
              <w:t>与本项目有</w:t>
            </w:r>
            <w:r>
              <w:rPr>
                <w:rFonts w:ascii="宋体" w:hAnsi="宋体"/>
                <w:b/>
                <w:sz w:val="24"/>
              </w:rPr>
              <w:t>关的原有污染情况及主要环境问题</w:t>
            </w:r>
          </w:p>
          <w:p>
            <w:pPr>
              <w:adjustRightInd w:val="0"/>
              <w:snapToGrid w:val="0"/>
              <w:spacing w:line="360" w:lineRule="auto"/>
              <w:ind w:firstLine="480" w:firstLineChars="200"/>
              <w:rPr>
                <w:snapToGrid w:val="0"/>
                <w:kern w:val="0"/>
                <w:sz w:val="24"/>
              </w:rPr>
            </w:pPr>
            <w:r>
              <w:rPr>
                <w:rFonts w:hint="eastAsia"/>
                <w:snapToGrid w:val="0"/>
                <w:kern w:val="0"/>
                <w:sz w:val="24"/>
              </w:rPr>
              <w:t>本项目为新建项目，无原有污染情况。</w:t>
            </w:r>
          </w:p>
          <w:p>
            <w:pPr>
              <w:adjustRightInd w:val="0"/>
              <w:snapToGrid w:val="0"/>
              <w:spacing w:line="360" w:lineRule="auto"/>
              <w:ind w:firstLine="480" w:firstLineChars="200"/>
              <w:rPr>
                <w:snapToGrid w:val="0"/>
                <w:kern w:val="0"/>
                <w:sz w:val="24"/>
              </w:rPr>
            </w:pPr>
          </w:p>
          <w:p>
            <w:pPr>
              <w:adjustRightInd w:val="0"/>
              <w:snapToGrid w:val="0"/>
              <w:spacing w:line="360" w:lineRule="auto"/>
              <w:ind w:firstLine="480" w:firstLineChars="200"/>
              <w:rPr>
                <w:snapToGrid w:val="0"/>
                <w:kern w:val="0"/>
                <w:sz w:val="24"/>
              </w:rPr>
            </w:pPr>
          </w:p>
          <w:p>
            <w:pPr>
              <w:adjustRightInd w:val="0"/>
              <w:snapToGrid w:val="0"/>
              <w:spacing w:line="360" w:lineRule="auto"/>
              <w:ind w:firstLine="480" w:firstLineChars="200"/>
              <w:rPr>
                <w:snapToGrid w:val="0"/>
                <w:kern w:val="0"/>
                <w:sz w:val="24"/>
              </w:rPr>
            </w:pPr>
          </w:p>
          <w:p>
            <w:pPr>
              <w:adjustRightInd w:val="0"/>
              <w:snapToGrid w:val="0"/>
              <w:spacing w:line="360" w:lineRule="auto"/>
              <w:rPr>
                <w:snapToGrid w:val="0"/>
                <w:kern w:val="0"/>
                <w:sz w:val="24"/>
              </w:rPr>
            </w:pPr>
          </w:p>
        </w:tc>
      </w:tr>
    </w:tbl>
    <w:p>
      <w:pPr>
        <w:spacing w:line="440" w:lineRule="exact"/>
        <w:rPr>
          <w:rFonts w:eastAsia="黑体"/>
          <w:sz w:val="30"/>
        </w:rPr>
        <w:sectPr>
          <w:footerReference r:id="rId11" w:type="first"/>
          <w:pgSz w:w="11907" w:h="16840"/>
          <w:pgMar w:top="1440" w:right="1531" w:bottom="1440" w:left="1531" w:header="851" w:footer="992" w:gutter="0"/>
          <w:pgNumType w:start="1"/>
          <w:cols w:space="720" w:num="1"/>
          <w:titlePg/>
          <w:docGrid w:linePitch="312" w:charSpace="0"/>
        </w:sectPr>
      </w:pPr>
    </w:p>
    <w:p>
      <w:pPr>
        <w:spacing w:line="440" w:lineRule="exact"/>
        <w:outlineLvl w:val="0"/>
        <w:rPr>
          <w:rFonts w:eastAsia="黑体"/>
          <w:sz w:val="30"/>
        </w:rPr>
      </w:pPr>
      <w:r>
        <w:rPr>
          <w:rFonts w:eastAsia="黑体"/>
          <w:sz w:val="30"/>
        </w:rPr>
        <w:t>建设项目所在地自然环境社会环境简况</w:t>
      </w:r>
    </w:p>
    <w:tbl>
      <w:tblPr>
        <w:tblStyle w:val="88"/>
        <w:tblW w:w="8770"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77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401" w:hRule="atLeast"/>
          <w:jc w:val="center"/>
        </w:trPr>
        <w:tc>
          <w:tcPr>
            <w:tcW w:w="8770" w:type="dxa"/>
          </w:tcPr>
          <w:p>
            <w:pPr>
              <w:spacing w:line="480" w:lineRule="exact"/>
              <w:rPr>
                <w:rFonts w:eastAsia="楷体_GB2312"/>
              </w:rPr>
            </w:pPr>
            <w:r>
              <w:rPr>
                <w:rFonts w:eastAsia="楷体_GB2312"/>
                <w:sz w:val="24"/>
              </w:rPr>
              <w:t>自然环境简况(地形、地貌、地质、气候、气象、水文、植被、生物多样性等)</w:t>
            </w:r>
          </w:p>
          <w:p>
            <w:pPr>
              <w:widowControl/>
              <w:spacing w:line="360" w:lineRule="auto"/>
              <w:ind w:firstLine="482" w:firstLineChars="200"/>
              <w:rPr>
                <w:b/>
                <w:kern w:val="0"/>
                <w:sz w:val="24"/>
              </w:rPr>
            </w:pPr>
            <w:r>
              <w:rPr>
                <w:b/>
                <w:kern w:val="0"/>
                <w:sz w:val="24"/>
              </w:rPr>
              <w:t>1</w:t>
            </w:r>
            <w:r>
              <w:rPr>
                <w:b/>
                <w:bCs/>
                <w:kern w:val="0"/>
                <w:sz w:val="24"/>
                <w:szCs w:val="20"/>
              </w:rPr>
              <w:t xml:space="preserve">  </w:t>
            </w:r>
            <w:r>
              <w:rPr>
                <w:rFonts w:hint="eastAsia"/>
                <w:b/>
                <w:kern w:val="0"/>
                <w:sz w:val="24"/>
              </w:rPr>
              <w:t>地理位置</w:t>
            </w:r>
          </w:p>
          <w:p>
            <w:pPr>
              <w:widowControl/>
              <w:autoSpaceDE w:val="0"/>
              <w:autoSpaceDN w:val="0"/>
              <w:snapToGrid w:val="0"/>
              <w:spacing w:line="360" w:lineRule="auto"/>
              <w:ind w:firstLine="480" w:firstLineChars="200"/>
              <w:rPr>
                <w:kern w:val="0"/>
                <w:sz w:val="24"/>
                <w:szCs w:val="18"/>
              </w:rPr>
            </w:pPr>
            <w:r>
              <w:rPr>
                <w:rFonts w:hint="eastAsia"/>
                <w:kern w:val="0"/>
                <w:sz w:val="24"/>
                <w:szCs w:val="18"/>
              </w:rPr>
              <w:t>威海市位于山东半岛东端，地处北纬</w:t>
            </w:r>
            <w:r>
              <w:rPr>
                <w:kern w:val="0"/>
                <w:sz w:val="24"/>
                <w:szCs w:val="18"/>
              </w:rPr>
              <w:t>36°41′</w:t>
            </w:r>
            <w:r>
              <w:rPr>
                <w:rFonts w:hint="eastAsia"/>
                <w:kern w:val="0"/>
                <w:sz w:val="24"/>
                <w:szCs w:val="18"/>
              </w:rPr>
              <w:t>～</w:t>
            </w:r>
            <w:r>
              <w:rPr>
                <w:kern w:val="0"/>
                <w:sz w:val="24"/>
                <w:szCs w:val="18"/>
              </w:rPr>
              <w:t>37°35′</w:t>
            </w:r>
            <w:r>
              <w:rPr>
                <w:rFonts w:hint="eastAsia"/>
                <w:kern w:val="0"/>
                <w:sz w:val="24"/>
                <w:szCs w:val="18"/>
              </w:rPr>
              <w:t>，东经</w:t>
            </w:r>
            <w:r>
              <w:rPr>
                <w:kern w:val="0"/>
                <w:sz w:val="24"/>
                <w:szCs w:val="18"/>
              </w:rPr>
              <w:t>121°11′</w:t>
            </w:r>
            <w:r>
              <w:rPr>
                <w:rFonts w:hint="eastAsia"/>
                <w:kern w:val="0"/>
                <w:sz w:val="24"/>
                <w:szCs w:val="18"/>
              </w:rPr>
              <w:t>～</w:t>
            </w:r>
            <w:r>
              <w:rPr>
                <w:kern w:val="0"/>
                <w:sz w:val="24"/>
                <w:szCs w:val="18"/>
              </w:rPr>
              <w:t>122°42′</w:t>
            </w:r>
            <w:r>
              <w:rPr>
                <w:rFonts w:hint="eastAsia"/>
                <w:kern w:val="0"/>
                <w:sz w:val="24"/>
                <w:szCs w:val="18"/>
              </w:rPr>
              <w:t>。北、东、南三面濒临黄海，北与辽东半岛相对，东及东南与朝鲜半岛和日本列岛隔海相望，西与烟台市接壤。东西最大横距</w:t>
            </w:r>
            <w:r>
              <w:rPr>
                <w:kern w:val="0"/>
                <w:sz w:val="24"/>
                <w:szCs w:val="18"/>
              </w:rPr>
              <w:t>135 km</w:t>
            </w:r>
            <w:r>
              <w:rPr>
                <w:rFonts w:hint="eastAsia"/>
                <w:kern w:val="0"/>
                <w:sz w:val="24"/>
                <w:szCs w:val="18"/>
              </w:rPr>
              <w:t>，南北最大纵距</w:t>
            </w:r>
            <w:r>
              <w:rPr>
                <w:kern w:val="0"/>
                <w:sz w:val="24"/>
                <w:szCs w:val="18"/>
              </w:rPr>
              <w:t>81 km</w:t>
            </w:r>
            <w:r>
              <w:rPr>
                <w:rFonts w:hint="eastAsia"/>
                <w:kern w:val="0"/>
                <w:sz w:val="24"/>
                <w:szCs w:val="18"/>
              </w:rPr>
              <w:t>，总面积</w:t>
            </w:r>
            <w:r>
              <w:rPr>
                <w:kern w:val="0"/>
                <w:sz w:val="24"/>
                <w:szCs w:val="18"/>
              </w:rPr>
              <w:t>5436 km</w:t>
            </w:r>
            <w:r>
              <w:rPr>
                <w:kern w:val="0"/>
                <w:sz w:val="24"/>
                <w:szCs w:val="18"/>
                <w:vertAlign w:val="superscript"/>
              </w:rPr>
              <w:t>2</w:t>
            </w:r>
            <w:r>
              <w:rPr>
                <w:rFonts w:hint="eastAsia"/>
                <w:kern w:val="0"/>
                <w:sz w:val="24"/>
                <w:szCs w:val="18"/>
              </w:rPr>
              <w:t>，其中市区面积</w:t>
            </w:r>
            <w:r>
              <w:rPr>
                <w:kern w:val="0"/>
                <w:sz w:val="24"/>
                <w:szCs w:val="18"/>
              </w:rPr>
              <w:t>731 km</w:t>
            </w:r>
            <w:r>
              <w:rPr>
                <w:kern w:val="0"/>
                <w:sz w:val="24"/>
                <w:szCs w:val="18"/>
                <w:vertAlign w:val="superscript"/>
              </w:rPr>
              <w:t>2</w:t>
            </w:r>
            <w:r>
              <w:rPr>
                <w:rFonts w:hint="eastAsia"/>
                <w:kern w:val="0"/>
                <w:sz w:val="24"/>
                <w:szCs w:val="18"/>
              </w:rPr>
              <w:t>。海岸线长</w:t>
            </w:r>
            <w:r>
              <w:rPr>
                <w:kern w:val="0"/>
                <w:sz w:val="24"/>
                <w:szCs w:val="18"/>
              </w:rPr>
              <w:t>985.9 km</w:t>
            </w:r>
            <w:r>
              <w:rPr>
                <w:rFonts w:hint="eastAsia"/>
                <w:kern w:val="0"/>
                <w:sz w:val="24"/>
                <w:szCs w:val="18"/>
              </w:rPr>
              <w:t>。辖环翠区、火炬高技术产业开发区、经济技术开发区、临港经济技术开发区、文登区及乳山、荣成</w:t>
            </w:r>
            <w:r>
              <w:rPr>
                <w:kern w:val="0"/>
                <w:sz w:val="24"/>
                <w:szCs w:val="18"/>
              </w:rPr>
              <w:t>2</w:t>
            </w:r>
            <w:r>
              <w:rPr>
                <w:rFonts w:hint="eastAsia"/>
                <w:kern w:val="0"/>
                <w:sz w:val="24"/>
                <w:szCs w:val="18"/>
              </w:rPr>
              <w:t>市。</w:t>
            </w:r>
          </w:p>
          <w:p>
            <w:pPr>
              <w:widowControl/>
              <w:spacing w:line="360" w:lineRule="auto"/>
              <w:ind w:firstLine="480" w:firstLineChars="200"/>
              <w:rPr>
                <w:kern w:val="0"/>
                <w:sz w:val="24"/>
              </w:rPr>
            </w:pPr>
            <w:r>
              <w:rPr>
                <w:rFonts w:hint="eastAsia"/>
                <w:kern w:val="0"/>
                <w:sz w:val="24"/>
                <w:szCs w:val="18"/>
              </w:rPr>
              <w:t>环翠区位于威海市北部，史称</w:t>
            </w:r>
            <w:r>
              <w:rPr>
                <w:kern w:val="0"/>
                <w:sz w:val="24"/>
                <w:szCs w:val="18"/>
              </w:rPr>
              <w:t>“</w:t>
            </w:r>
            <w:r>
              <w:rPr>
                <w:rFonts w:hint="eastAsia"/>
                <w:kern w:val="0"/>
                <w:sz w:val="24"/>
                <w:szCs w:val="18"/>
              </w:rPr>
              <w:t>威海卫</w:t>
            </w:r>
            <w:r>
              <w:rPr>
                <w:kern w:val="0"/>
                <w:sz w:val="24"/>
                <w:szCs w:val="18"/>
              </w:rPr>
              <w:t>”</w:t>
            </w:r>
            <w:r>
              <w:rPr>
                <w:rFonts w:hint="eastAsia"/>
                <w:kern w:val="0"/>
                <w:sz w:val="24"/>
                <w:szCs w:val="18"/>
              </w:rPr>
              <w:t>，是威海市的政治、经济、科技、文化中心，辖</w:t>
            </w:r>
            <w:r>
              <w:rPr>
                <w:kern w:val="0"/>
                <w:sz w:val="24"/>
                <w:szCs w:val="18"/>
              </w:rPr>
              <w:t>3</w:t>
            </w:r>
            <w:r>
              <w:rPr>
                <w:rFonts w:hint="eastAsia"/>
                <w:kern w:val="0"/>
                <w:sz w:val="24"/>
                <w:szCs w:val="18"/>
              </w:rPr>
              <w:t>个镇、</w:t>
            </w:r>
            <w:r>
              <w:rPr>
                <w:kern w:val="0"/>
                <w:sz w:val="24"/>
                <w:szCs w:val="18"/>
              </w:rPr>
              <w:t>5</w:t>
            </w:r>
            <w:r>
              <w:rPr>
                <w:rFonts w:hint="eastAsia"/>
                <w:kern w:val="0"/>
                <w:sz w:val="24"/>
                <w:szCs w:val="18"/>
              </w:rPr>
              <w:t>个街道办事处，</w:t>
            </w:r>
            <w:r>
              <w:rPr>
                <w:kern w:val="0"/>
                <w:sz w:val="24"/>
                <w:szCs w:val="18"/>
              </w:rPr>
              <w:t>88</w:t>
            </w:r>
            <w:r>
              <w:rPr>
                <w:rFonts w:hint="eastAsia"/>
                <w:kern w:val="0"/>
                <w:sz w:val="24"/>
                <w:szCs w:val="18"/>
              </w:rPr>
              <w:t>个村民委员会、</w:t>
            </w:r>
            <w:r>
              <w:rPr>
                <w:kern w:val="0"/>
                <w:sz w:val="24"/>
                <w:szCs w:val="18"/>
              </w:rPr>
              <w:t>110</w:t>
            </w:r>
            <w:r>
              <w:rPr>
                <w:rFonts w:hint="eastAsia"/>
                <w:kern w:val="0"/>
                <w:sz w:val="24"/>
                <w:szCs w:val="18"/>
              </w:rPr>
              <w:t>个居民委员会，总面积</w:t>
            </w:r>
            <w:r>
              <w:rPr>
                <w:kern w:val="0"/>
                <w:sz w:val="24"/>
                <w:szCs w:val="18"/>
              </w:rPr>
              <w:t>275 km</w:t>
            </w:r>
            <w:r>
              <w:rPr>
                <w:kern w:val="0"/>
                <w:sz w:val="24"/>
                <w:szCs w:val="18"/>
                <w:vertAlign w:val="superscript"/>
              </w:rPr>
              <w:t>2</w:t>
            </w:r>
            <w:r>
              <w:rPr>
                <w:rFonts w:hint="eastAsia"/>
                <w:kern w:val="0"/>
                <w:sz w:val="24"/>
                <w:szCs w:val="18"/>
              </w:rPr>
              <w:t>，海岸线长</w:t>
            </w:r>
            <w:r>
              <w:rPr>
                <w:kern w:val="0"/>
                <w:sz w:val="24"/>
                <w:szCs w:val="18"/>
              </w:rPr>
              <w:t>88 km</w:t>
            </w:r>
            <w:r>
              <w:rPr>
                <w:rFonts w:hint="eastAsia"/>
                <w:kern w:val="0"/>
                <w:sz w:val="24"/>
                <w:szCs w:val="18"/>
              </w:rPr>
              <w:t>。</w:t>
            </w:r>
          </w:p>
          <w:p>
            <w:pPr>
              <w:widowControl/>
              <w:spacing w:line="360" w:lineRule="auto"/>
              <w:ind w:firstLine="482" w:firstLineChars="200"/>
              <w:rPr>
                <w:b/>
                <w:kern w:val="0"/>
                <w:sz w:val="24"/>
              </w:rPr>
            </w:pPr>
            <w:r>
              <w:rPr>
                <w:b/>
                <w:kern w:val="0"/>
                <w:sz w:val="24"/>
              </w:rPr>
              <w:t>2</w:t>
            </w:r>
            <w:r>
              <w:rPr>
                <w:b/>
                <w:bCs/>
                <w:kern w:val="0"/>
                <w:sz w:val="24"/>
                <w:szCs w:val="20"/>
              </w:rPr>
              <w:t xml:space="preserve">  </w:t>
            </w:r>
            <w:r>
              <w:rPr>
                <w:rFonts w:hint="eastAsia"/>
                <w:b/>
                <w:kern w:val="0"/>
                <w:sz w:val="24"/>
              </w:rPr>
              <w:t>地质、地形、地貌</w:t>
            </w:r>
          </w:p>
          <w:p>
            <w:pPr>
              <w:widowControl/>
              <w:autoSpaceDE w:val="0"/>
              <w:autoSpaceDN w:val="0"/>
              <w:snapToGrid w:val="0"/>
              <w:spacing w:line="360" w:lineRule="auto"/>
              <w:ind w:firstLine="480" w:firstLineChars="200"/>
              <w:rPr>
                <w:kern w:val="0"/>
                <w:sz w:val="24"/>
                <w:szCs w:val="18"/>
              </w:rPr>
            </w:pPr>
            <w:r>
              <w:rPr>
                <w:rFonts w:hint="eastAsia"/>
                <w:kern w:val="0"/>
                <w:sz w:val="24"/>
                <w:szCs w:val="18"/>
              </w:rPr>
              <w:t>威海市环翠区为低山丘陵区，地势起伏和缓，区内海拔最高点为位于威海市东南</w:t>
            </w:r>
            <w:r>
              <w:rPr>
                <w:kern w:val="0"/>
                <w:sz w:val="24"/>
                <w:szCs w:val="18"/>
              </w:rPr>
              <w:t>20</w:t>
            </w:r>
            <w:r>
              <w:rPr>
                <w:rFonts w:hint="eastAsia"/>
                <w:kern w:val="0"/>
                <w:sz w:val="24"/>
                <w:szCs w:val="18"/>
              </w:rPr>
              <w:t>公里处的正棋峰，海拔</w:t>
            </w:r>
            <w:r>
              <w:rPr>
                <w:kern w:val="0"/>
                <w:sz w:val="24"/>
                <w:szCs w:val="18"/>
              </w:rPr>
              <w:t>483.7</w:t>
            </w:r>
            <w:r>
              <w:rPr>
                <w:rFonts w:hint="eastAsia"/>
                <w:kern w:val="0"/>
                <w:sz w:val="24"/>
                <w:szCs w:val="18"/>
              </w:rPr>
              <w:t>米，地形主要为</w:t>
            </w:r>
            <w:r>
              <w:rPr>
                <w:kern w:val="0"/>
                <w:sz w:val="24"/>
                <w:szCs w:val="18"/>
              </w:rPr>
              <w:t>200</w:t>
            </w:r>
            <w:r>
              <w:rPr>
                <w:rFonts w:hint="eastAsia"/>
                <w:kern w:val="0"/>
                <w:sz w:val="24"/>
                <w:szCs w:val="18"/>
              </w:rPr>
              <w:t>～</w:t>
            </w:r>
            <w:r>
              <w:rPr>
                <w:kern w:val="0"/>
                <w:sz w:val="24"/>
                <w:szCs w:val="18"/>
              </w:rPr>
              <w:t>300</w:t>
            </w:r>
            <w:r>
              <w:rPr>
                <w:rFonts w:hint="eastAsia"/>
                <w:kern w:val="0"/>
                <w:sz w:val="24"/>
                <w:szCs w:val="18"/>
              </w:rPr>
              <w:t>米的波状丘陵。山体主要由花岗闪长岩构成，表面土层覆盖较薄，多岩石裸露；山丘中谷地开阔，平谷较多；平原多为滨海平原和山前倾斜平原。河网密布，地表排水良好。三面环海，海湾类型属港湾海岸，海岸线曲折，多港湾、岛屿。</w:t>
            </w:r>
          </w:p>
          <w:p>
            <w:pPr>
              <w:widowControl/>
              <w:autoSpaceDE w:val="0"/>
              <w:autoSpaceDN w:val="0"/>
              <w:snapToGrid w:val="0"/>
              <w:spacing w:line="360" w:lineRule="auto"/>
              <w:ind w:firstLine="480" w:firstLineChars="200"/>
              <w:rPr>
                <w:kern w:val="0"/>
                <w:sz w:val="24"/>
                <w:szCs w:val="18"/>
              </w:rPr>
            </w:pPr>
            <w:r>
              <w:rPr>
                <w:rFonts w:hint="eastAsia"/>
                <w:kern w:val="0"/>
                <w:sz w:val="24"/>
                <w:szCs w:val="18"/>
              </w:rPr>
              <w:t>环翠区位于山东省胶北断块隆起的东端，其南侧与胶莱坳陷的东部边缘接壤，境内出露地层自老至新有晚太古界的胶东群、中生界白垩系青山群及新生界第四系。</w:t>
            </w:r>
          </w:p>
          <w:p>
            <w:pPr>
              <w:widowControl/>
              <w:spacing w:line="360" w:lineRule="auto"/>
              <w:ind w:firstLine="480" w:firstLineChars="200"/>
              <w:rPr>
                <w:kern w:val="0"/>
                <w:sz w:val="24"/>
                <w:szCs w:val="18"/>
              </w:rPr>
            </w:pPr>
            <w:r>
              <w:rPr>
                <w:rFonts w:hint="eastAsia"/>
                <w:kern w:val="0"/>
                <w:sz w:val="24"/>
                <w:szCs w:val="18"/>
              </w:rPr>
              <w:t>本项目位于环翠区，自然地势东高西低，南高北低，总体较平坦。地貌单元属于剥蚀丘陵类型，地质构造不发育，区域地质环境稳定，不具备发生泥石流、滑坡等地质条件。地质结构自上而下依次为：人工堆积层，主要为素填土、耕土，厚度</w:t>
            </w:r>
            <w:r>
              <w:rPr>
                <w:kern w:val="0"/>
                <w:sz w:val="24"/>
                <w:szCs w:val="18"/>
              </w:rPr>
              <w:t>0.4~1.3m</w:t>
            </w:r>
            <w:r>
              <w:rPr>
                <w:rFonts w:hint="eastAsia"/>
                <w:kern w:val="0"/>
                <w:sz w:val="24"/>
                <w:szCs w:val="18"/>
              </w:rPr>
              <w:t>；第四系新近冲洪积层，以中砂、粉质粘土为主，中砂层厚</w:t>
            </w:r>
            <w:r>
              <w:rPr>
                <w:kern w:val="0"/>
                <w:sz w:val="24"/>
                <w:szCs w:val="18"/>
              </w:rPr>
              <w:t>0.9~2.8m</w:t>
            </w:r>
            <w:r>
              <w:rPr>
                <w:rFonts w:hint="eastAsia"/>
                <w:kern w:val="0"/>
                <w:sz w:val="24"/>
                <w:szCs w:val="18"/>
              </w:rPr>
              <w:t>，粉质粘土层厚</w:t>
            </w:r>
            <w:r>
              <w:rPr>
                <w:kern w:val="0"/>
                <w:sz w:val="24"/>
                <w:szCs w:val="18"/>
              </w:rPr>
              <w:t>0.9~2.1m</w:t>
            </w:r>
            <w:r>
              <w:rPr>
                <w:rFonts w:hint="eastAsia"/>
                <w:kern w:val="0"/>
                <w:sz w:val="24"/>
                <w:szCs w:val="18"/>
              </w:rPr>
              <w:t>；第四系冲洪积层，粉质粘土层厚</w:t>
            </w:r>
            <w:r>
              <w:rPr>
                <w:kern w:val="0"/>
                <w:sz w:val="24"/>
                <w:szCs w:val="18"/>
              </w:rPr>
              <w:t>0.4~7.9m</w:t>
            </w:r>
            <w:r>
              <w:rPr>
                <w:rFonts w:hint="eastAsia"/>
                <w:kern w:val="0"/>
                <w:sz w:val="24"/>
                <w:szCs w:val="18"/>
              </w:rPr>
              <w:t>，粗砂层厚</w:t>
            </w:r>
            <w:r>
              <w:rPr>
                <w:kern w:val="0"/>
                <w:sz w:val="24"/>
                <w:szCs w:val="18"/>
              </w:rPr>
              <w:t>1.2~1.5m</w:t>
            </w:r>
            <w:r>
              <w:rPr>
                <w:rFonts w:hint="eastAsia"/>
                <w:kern w:val="0"/>
                <w:sz w:val="24"/>
                <w:szCs w:val="18"/>
              </w:rPr>
              <w:t>；下元古界胶东群变质岩系，自上而下为残积土、斜长片麻岩，残积土厚度</w:t>
            </w:r>
            <w:r>
              <w:rPr>
                <w:kern w:val="0"/>
                <w:sz w:val="24"/>
                <w:szCs w:val="18"/>
              </w:rPr>
              <w:t>0.2~3.3m</w:t>
            </w:r>
            <w:r>
              <w:rPr>
                <w:rFonts w:hint="eastAsia"/>
                <w:kern w:val="0"/>
                <w:sz w:val="24"/>
                <w:szCs w:val="18"/>
              </w:rPr>
              <w:t>，斜长片麻岩层厚</w:t>
            </w:r>
            <w:r>
              <w:rPr>
                <w:kern w:val="0"/>
                <w:sz w:val="24"/>
                <w:szCs w:val="18"/>
              </w:rPr>
              <w:t>0.2~1.9m</w:t>
            </w:r>
            <w:r>
              <w:rPr>
                <w:rFonts w:hint="eastAsia"/>
                <w:kern w:val="0"/>
                <w:sz w:val="24"/>
                <w:szCs w:val="18"/>
              </w:rPr>
              <w:t>。地震动峰值加速度</w:t>
            </w:r>
            <w:r>
              <w:rPr>
                <w:kern w:val="0"/>
                <w:sz w:val="24"/>
                <w:szCs w:val="18"/>
              </w:rPr>
              <w:t>0.10g</w:t>
            </w:r>
            <w:r>
              <w:rPr>
                <w:rFonts w:hint="eastAsia"/>
                <w:kern w:val="0"/>
                <w:sz w:val="24"/>
                <w:szCs w:val="18"/>
              </w:rPr>
              <w:t>，地震烈度为</w:t>
            </w:r>
            <w:r>
              <w:rPr>
                <w:kern w:val="0"/>
                <w:sz w:val="24"/>
                <w:szCs w:val="18"/>
              </w:rPr>
              <w:t>7</w:t>
            </w:r>
            <w:r>
              <w:rPr>
                <w:rFonts w:hint="eastAsia"/>
                <w:kern w:val="0"/>
                <w:sz w:val="24"/>
                <w:szCs w:val="18"/>
              </w:rPr>
              <w:t>度。场地大部分已平整，无植被覆盖。</w:t>
            </w:r>
          </w:p>
          <w:p>
            <w:pPr>
              <w:widowControl/>
              <w:spacing w:line="360" w:lineRule="auto"/>
              <w:ind w:firstLine="482" w:firstLineChars="200"/>
              <w:rPr>
                <w:b/>
                <w:kern w:val="0"/>
                <w:sz w:val="24"/>
              </w:rPr>
            </w:pPr>
            <w:r>
              <w:rPr>
                <w:b/>
                <w:kern w:val="0"/>
                <w:sz w:val="24"/>
              </w:rPr>
              <w:t>3</w:t>
            </w:r>
            <w:r>
              <w:rPr>
                <w:b/>
                <w:bCs/>
                <w:kern w:val="0"/>
                <w:sz w:val="24"/>
                <w:szCs w:val="20"/>
              </w:rPr>
              <w:t xml:space="preserve">  </w:t>
            </w:r>
            <w:r>
              <w:rPr>
                <w:rFonts w:hint="eastAsia"/>
                <w:b/>
                <w:kern w:val="0"/>
                <w:sz w:val="24"/>
              </w:rPr>
              <w:t>气候、气象</w:t>
            </w:r>
          </w:p>
          <w:p>
            <w:pPr>
              <w:widowControl/>
              <w:spacing w:line="360" w:lineRule="auto"/>
              <w:ind w:firstLine="480" w:firstLineChars="200"/>
              <w:rPr>
                <w:snapToGrid w:val="0"/>
                <w:kern w:val="0"/>
                <w:sz w:val="24"/>
              </w:rPr>
            </w:pPr>
            <w:r>
              <w:rPr>
                <w:rFonts w:hint="eastAsia"/>
                <w:snapToGrid w:val="0"/>
                <w:kern w:val="0"/>
                <w:sz w:val="24"/>
              </w:rPr>
              <w:t>威海市地处中纬度地带，属北温带季风型大陆性气候，四季明显，受海洋影响，空气湿润，气候温和，冬无严寒，夏无酷暑，光照充足，具有明显的海洋性气候特征。主要有春冷、夏凉、秋暖、冬温、昼夜温差小，无霜期长，无霜期达</w:t>
            </w:r>
            <w:r>
              <w:rPr>
                <w:snapToGrid w:val="0"/>
                <w:kern w:val="0"/>
                <w:sz w:val="24"/>
              </w:rPr>
              <w:t>220d</w:t>
            </w:r>
            <w:r>
              <w:rPr>
                <w:rFonts w:hint="eastAsia"/>
                <w:snapToGrid w:val="0"/>
                <w:kern w:val="0"/>
                <w:sz w:val="24"/>
              </w:rPr>
              <w:t>，大风多、湿度大等特点。全市历年平均风速为</w:t>
            </w:r>
            <w:r>
              <w:rPr>
                <w:snapToGrid w:val="0"/>
                <w:kern w:val="0"/>
                <w:sz w:val="24"/>
              </w:rPr>
              <w:t>4.8m/s</w:t>
            </w:r>
            <w:r>
              <w:rPr>
                <w:rFonts w:hint="eastAsia"/>
                <w:snapToGrid w:val="0"/>
                <w:kern w:val="0"/>
                <w:sz w:val="24"/>
              </w:rPr>
              <w:t>，最大风速</w:t>
            </w:r>
            <w:r>
              <w:rPr>
                <w:snapToGrid w:val="0"/>
                <w:kern w:val="0"/>
                <w:sz w:val="24"/>
              </w:rPr>
              <w:t>23.0 m/s</w:t>
            </w:r>
            <w:r>
              <w:rPr>
                <w:rFonts w:hint="eastAsia"/>
                <w:snapToGrid w:val="0"/>
                <w:kern w:val="0"/>
                <w:sz w:val="24"/>
              </w:rPr>
              <w:t>；年最多风向为南风和西北风，出现频率均为</w:t>
            </w:r>
            <w:r>
              <w:rPr>
                <w:snapToGrid w:val="0"/>
                <w:kern w:val="0"/>
                <w:sz w:val="24"/>
              </w:rPr>
              <w:t>12%</w:t>
            </w:r>
            <w:r>
              <w:rPr>
                <w:rFonts w:hint="eastAsia"/>
                <w:snapToGrid w:val="0"/>
                <w:kern w:val="0"/>
                <w:sz w:val="24"/>
              </w:rPr>
              <w:t>；年平均气温为</w:t>
            </w:r>
            <w:r>
              <w:rPr>
                <w:snapToGrid w:val="0"/>
                <w:kern w:val="0"/>
                <w:sz w:val="24"/>
              </w:rPr>
              <w:t>13.1℃</w:t>
            </w:r>
            <w:r>
              <w:rPr>
                <w:rFonts w:hint="eastAsia"/>
                <w:snapToGrid w:val="0"/>
                <w:kern w:val="0"/>
                <w:sz w:val="24"/>
              </w:rPr>
              <w:t>，极端最低气温</w:t>
            </w:r>
            <w:r>
              <w:rPr>
                <w:snapToGrid w:val="0"/>
                <w:kern w:val="0"/>
                <w:sz w:val="24"/>
              </w:rPr>
              <w:t>-12.4℃</w:t>
            </w:r>
            <w:r>
              <w:rPr>
                <w:rFonts w:hint="eastAsia"/>
                <w:snapToGrid w:val="0"/>
                <w:kern w:val="0"/>
                <w:sz w:val="24"/>
              </w:rPr>
              <w:t>，极端最高气温</w:t>
            </w:r>
            <w:r>
              <w:rPr>
                <w:snapToGrid w:val="0"/>
                <w:kern w:val="0"/>
                <w:sz w:val="24"/>
              </w:rPr>
              <w:t>37.4℃</w:t>
            </w:r>
            <w:r>
              <w:rPr>
                <w:rFonts w:hint="eastAsia"/>
                <w:snapToGrid w:val="0"/>
                <w:kern w:val="0"/>
                <w:sz w:val="24"/>
              </w:rPr>
              <w:t>；年平均相对湿度</w:t>
            </w:r>
            <w:r>
              <w:rPr>
                <w:snapToGrid w:val="0"/>
                <w:kern w:val="0"/>
                <w:sz w:val="24"/>
              </w:rPr>
              <w:t>64.4%</w:t>
            </w:r>
            <w:r>
              <w:rPr>
                <w:rFonts w:hint="eastAsia"/>
                <w:snapToGrid w:val="0"/>
                <w:kern w:val="0"/>
                <w:sz w:val="24"/>
              </w:rPr>
              <w:t>；年降水量平均为</w:t>
            </w:r>
            <w:r>
              <w:rPr>
                <w:snapToGrid w:val="0"/>
                <w:kern w:val="0"/>
                <w:sz w:val="24"/>
              </w:rPr>
              <w:t>708.4mm</w:t>
            </w:r>
            <w:r>
              <w:rPr>
                <w:rFonts w:hint="eastAsia"/>
                <w:snapToGrid w:val="0"/>
                <w:kern w:val="0"/>
                <w:sz w:val="24"/>
              </w:rPr>
              <w:t>，年最大降水量</w:t>
            </w:r>
            <w:r>
              <w:rPr>
                <w:snapToGrid w:val="0"/>
                <w:kern w:val="0"/>
                <w:sz w:val="24"/>
              </w:rPr>
              <w:t>1233.8mm</w:t>
            </w:r>
            <w:r>
              <w:rPr>
                <w:rFonts w:hint="eastAsia"/>
                <w:snapToGrid w:val="0"/>
                <w:kern w:val="0"/>
                <w:sz w:val="24"/>
              </w:rPr>
              <w:t>；年日照时数</w:t>
            </w:r>
            <w:r>
              <w:rPr>
                <w:snapToGrid w:val="0"/>
                <w:kern w:val="0"/>
                <w:sz w:val="24"/>
              </w:rPr>
              <w:t>2598.2h</w:t>
            </w:r>
            <w:r>
              <w:rPr>
                <w:rFonts w:hint="eastAsia"/>
                <w:snapToGrid w:val="0"/>
                <w:kern w:val="0"/>
                <w:sz w:val="24"/>
              </w:rPr>
              <w:t>。</w:t>
            </w:r>
          </w:p>
          <w:p>
            <w:pPr>
              <w:widowControl/>
              <w:spacing w:line="360" w:lineRule="auto"/>
              <w:ind w:firstLine="482" w:firstLineChars="200"/>
              <w:rPr>
                <w:rFonts w:eastAsia="黑体"/>
                <w:kern w:val="0"/>
                <w:sz w:val="24"/>
              </w:rPr>
            </w:pPr>
            <w:r>
              <w:rPr>
                <w:b/>
                <w:kern w:val="0"/>
                <w:sz w:val="24"/>
              </w:rPr>
              <w:t>4</w:t>
            </w:r>
            <w:r>
              <w:rPr>
                <w:b/>
                <w:bCs/>
                <w:kern w:val="0"/>
                <w:sz w:val="24"/>
                <w:szCs w:val="20"/>
              </w:rPr>
              <w:t xml:space="preserve">  </w:t>
            </w:r>
            <w:r>
              <w:rPr>
                <w:rFonts w:hint="eastAsia"/>
                <w:b/>
                <w:kern w:val="0"/>
                <w:sz w:val="24"/>
              </w:rPr>
              <w:t>水文</w:t>
            </w:r>
            <w:r>
              <w:rPr>
                <w:rFonts w:eastAsia="黑体"/>
                <w:kern w:val="0"/>
                <w:sz w:val="24"/>
              </w:rPr>
              <w:t xml:space="preserve"> </w:t>
            </w:r>
          </w:p>
          <w:p>
            <w:pPr>
              <w:widowControl/>
              <w:spacing w:line="360" w:lineRule="auto"/>
              <w:ind w:firstLine="480" w:firstLineChars="200"/>
              <w:rPr>
                <w:kern w:val="0"/>
                <w:sz w:val="24"/>
                <w:szCs w:val="20"/>
              </w:rPr>
            </w:pPr>
            <w:r>
              <w:rPr>
                <w:rFonts w:hint="eastAsia"/>
                <w:kern w:val="0"/>
                <w:sz w:val="24"/>
                <w:szCs w:val="20"/>
              </w:rPr>
              <w:t>（</w:t>
            </w:r>
            <w:r>
              <w:rPr>
                <w:kern w:val="0"/>
                <w:sz w:val="24"/>
                <w:szCs w:val="20"/>
              </w:rPr>
              <w:t>1</w:t>
            </w:r>
            <w:r>
              <w:rPr>
                <w:rFonts w:hint="eastAsia"/>
                <w:kern w:val="0"/>
                <w:sz w:val="24"/>
                <w:szCs w:val="20"/>
              </w:rPr>
              <w:t>）地表水</w:t>
            </w:r>
          </w:p>
          <w:p>
            <w:pPr>
              <w:widowControl/>
              <w:spacing w:line="360" w:lineRule="auto"/>
              <w:ind w:firstLine="480" w:firstLineChars="200"/>
              <w:rPr>
                <w:kern w:val="0"/>
                <w:sz w:val="24"/>
                <w:szCs w:val="20"/>
              </w:rPr>
            </w:pPr>
            <w:r>
              <w:rPr>
                <w:rFonts w:hint="eastAsia"/>
                <w:kern w:val="0"/>
                <w:sz w:val="24"/>
                <w:szCs w:val="20"/>
              </w:rPr>
              <w:t>威海市河流属半岛边沿水系，为季风区雨源型河流。河床比降大，源短流急，暴涨暴落。径流量受季节影响差异较大，枯水季节多断流。全市有大小河流</w:t>
            </w:r>
            <w:r>
              <w:rPr>
                <w:kern w:val="0"/>
                <w:sz w:val="24"/>
                <w:szCs w:val="20"/>
              </w:rPr>
              <w:t>1000</w:t>
            </w:r>
            <w:r>
              <w:rPr>
                <w:rFonts w:hint="eastAsia"/>
                <w:kern w:val="0"/>
                <w:sz w:val="24"/>
                <w:szCs w:val="20"/>
              </w:rPr>
              <w:t>多条，全市径流系数为</w:t>
            </w:r>
            <w:r>
              <w:rPr>
                <w:kern w:val="0"/>
                <w:sz w:val="24"/>
                <w:szCs w:val="20"/>
              </w:rPr>
              <w:t>0.386</w:t>
            </w:r>
            <w:r>
              <w:rPr>
                <w:rFonts w:hint="eastAsia"/>
                <w:kern w:val="0"/>
                <w:sz w:val="24"/>
                <w:szCs w:val="20"/>
              </w:rPr>
              <w:t>。</w:t>
            </w:r>
          </w:p>
          <w:p>
            <w:pPr>
              <w:widowControl/>
              <w:spacing w:line="360" w:lineRule="auto"/>
              <w:ind w:firstLine="480" w:firstLineChars="200"/>
              <w:rPr>
                <w:kern w:val="0"/>
                <w:sz w:val="24"/>
                <w:szCs w:val="20"/>
              </w:rPr>
            </w:pPr>
            <w:r>
              <w:rPr>
                <w:rFonts w:hint="eastAsia"/>
                <w:kern w:val="0"/>
                <w:sz w:val="24"/>
                <w:szCs w:val="20"/>
              </w:rPr>
              <w:t>环翠区流域面积</w:t>
            </w:r>
            <w:r>
              <w:rPr>
                <w:kern w:val="0"/>
                <w:sz w:val="24"/>
                <w:szCs w:val="20"/>
              </w:rPr>
              <w:t>5 km</w:t>
            </w:r>
            <w:r>
              <w:rPr>
                <w:kern w:val="0"/>
                <w:sz w:val="24"/>
                <w:szCs w:val="20"/>
                <w:vertAlign w:val="superscript"/>
              </w:rPr>
              <w:t>2</w:t>
            </w:r>
            <w:r>
              <w:rPr>
                <w:rFonts w:hint="eastAsia"/>
                <w:kern w:val="0"/>
                <w:sz w:val="24"/>
                <w:szCs w:val="20"/>
              </w:rPr>
              <w:t>以上的河流有</w:t>
            </w:r>
            <w:r>
              <w:rPr>
                <w:kern w:val="0"/>
                <w:sz w:val="24"/>
                <w:szCs w:val="20"/>
              </w:rPr>
              <w:t>11</w:t>
            </w:r>
            <w:r>
              <w:rPr>
                <w:rFonts w:hint="eastAsia"/>
                <w:kern w:val="0"/>
                <w:sz w:val="24"/>
                <w:szCs w:val="20"/>
              </w:rPr>
              <w:t>条，控制流域面积约</w:t>
            </w:r>
            <w:r>
              <w:rPr>
                <w:kern w:val="0"/>
                <w:sz w:val="24"/>
                <w:szCs w:val="20"/>
              </w:rPr>
              <w:t>300 km</w:t>
            </w:r>
            <w:r>
              <w:rPr>
                <w:kern w:val="0"/>
                <w:sz w:val="24"/>
                <w:szCs w:val="20"/>
                <w:vertAlign w:val="superscript"/>
              </w:rPr>
              <w:t>2</w:t>
            </w:r>
            <w:r>
              <w:rPr>
                <w:rFonts w:hint="eastAsia"/>
                <w:kern w:val="0"/>
                <w:sz w:val="24"/>
                <w:szCs w:val="20"/>
              </w:rPr>
              <w:t>。其中五渚河为最大河流，流域面积</w:t>
            </w:r>
            <w:r>
              <w:rPr>
                <w:kern w:val="0"/>
                <w:sz w:val="24"/>
                <w:szCs w:val="20"/>
              </w:rPr>
              <w:t>120 km</w:t>
            </w:r>
            <w:r>
              <w:rPr>
                <w:kern w:val="0"/>
                <w:sz w:val="24"/>
                <w:szCs w:val="20"/>
                <w:vertAlign w:val="superscript"/>
              </w:rPr>
              <w:t>2</w:t>
            </w:r>
            <w:r>
              <w:rPr>
                <w:rFonts w:hint="eastAsia"/>
                <w:kern w:val="0"/>
                <w:sz w:val="24"/>
                <w:szCs w:val="20"/>
              </w:rPr>
              <w:t>，干流总长</w:t>
            </w:r>
            <w:r>
              <w:rPr>
                <w:kern w:val="0"/>
                <w:sz w:val="24"/>
                <w:szCs w:val="20"/>
              </w:rPr>
              <w:t>27 km</w:t>
            </w:r>
            <w:r>
              <w:rPr>
                <w:rFonts w:hint="eastAsia"/>
                <w:kern w:val="0"/>
                <w:sz w:val="24"/>
                <w:szCs w:val="20"/>
              </w:rPr>
              <w:t>。这些河流均属季节性河流，源短、流急，汛期暴雨成灾，河床冲刷严重，汛期过后，河道干枯，河床裸露。</w:t>
            </w:r>
          </w:p>
          <w:p>
            <w:pPr>
              <w:widowControl/>
              <w:spacing w:line="360" w:lineRule="auto"/>
              <w:ind w:firstLine="480" w:firstLineChars="200"/>
              <w:rPr>
                <w:kern w:val="0"/>
                <w:sz w:val="24"/>
                <w:szCs w:val="20"/>
              </w:rPr>
            </w:pPr>
            <w:r>
              <w:rPr>
                <w:rFonts w:hint="eastAsia"/>
                <w:kern w:val="0"/>
                <w:sz w:val="24"/>
                <w:szCs w:val="20"/>
              </w:rPr>
              <w:t>（</w:t>
            </w:r>
            <w:r>
              <w:rPr>
                <w:kern w:val="0"/>
                <w:sz w:val="24"/>
                <w:szCs w:val="20"/>
              </w:rPr>
              <w:t>2</w:t>
            </w:r>
            <w:r>
              <w:rPr>
                <w:rFonts w:hint="eastAsia"/>
                <w:kern w:val="0"/>
                <w:sz w:val="24"/>
                <w:szCs w:val="20"/>
              </w:rPr>
              <w:t>）地下水</w:t>
            </w:r>
          </w:p>
          <w:p>
            <w:pPr>
              <w:widowControl/>
              <w:spacing w:line="360" w:lineRule="auto"/>
              <w:ind w:firstLine="480" w:firstLineChars="200"/>
              <w:rPr>
                <w:kern w:val="0"/>
                <w:sz w:val="24"/>
              </w:rPr>
            </w:pPr>
            <w:r>
              <w:rPr>
                <w:rFonts w:hint="eastAsia"/>
                <w:color w:val="000000"/>
                <w:kern w:val="0"/>
                <w:sz w:val="24"/>
              </w:rPr>
              <w:t>项目区地下水类型主要是第四系孔隙潜水和微承压水，主要含水层为第四系海相的粉细砂、中砂，陆相坡洪积的粗砂、粉细砂等；埋深一般为1-10 m，分布均匀，连续呈层状，水量较丰富；地下水来源主要靠降水补给，此外还受地形、地貌、岩性、地质构造和人类活动的影响，地下水</w:t>
            </w:r>
            <w:r>
              <w:rPr>
                <w:rFonts w:hint="eastAsia"/>
                <w:kern w:val="0"/>
                <w:sz w:val="24"/>
              </w:rPr>
              <w:t>位呈动态变化状态，流向由东南向西北。</w:t>
            </w:r>
          </w:p>
          <w:p>
            <w:pPr>
              <w:widowControl/>
              <w:spacing w:line="360" w:lineRule="auto"/>
              <w:ind w:firstLine="480" w:firstLineChars="200"/>
              <w:rPr>
                <w:kern w:val="0"/>
                <w:sz w:val="24"/>
              </w:rPr>
            </w:pPr>
            <w:r>
              <w:rPr>
                <w:rFonts w:hint="eastAsia"/>
                <w:kern w:val="0"/>
                <w:sz w:val="24"/>
              </w:rPr>
              <w:t>（3）海洋水文</w:t>
            </w:r>
          </w:p>
          <w:p>
            <w:pPr>
              <w:widowControl/>
              <w:spacing w:line="360" w:lineRule="auto"/>
              <w:ind w:firstLine="480" w:firstLineChars="200"/>
              <w:rPr>
                <w:kern w:val="0"/>
                <w:sz w:val="24"/>
                <w:szCs w:val="20"/>
              </w:rPr>
            </w:pPr>
            <w:r>
              <w:rPr>
                <w:kern w:val="0"/>
                <w:sz w:val="24"/>
                <w:szCs w:val="20"/>
              </w:rPr>
              <w:t>1</w:t>
            </w:r>
            <w:r>
              <w:rPr>
                <w:rFonts w:hint="eastAsia"/>
                <w:kern w:val="0"/>
                <w:sz w:val="24"/>
                <w:szCs w:val="20"/>
              </w:rPr>
              <w:t>）潮汐</w:t>
            </w:r>
          </w:p>
          <w:p>
            <w:pPr>
              <w:widowControl/>
              <w:spacing w:line="360" w:lineRule="auto"/>
              <w:ind w:firstLine="480" w:firstLineChars="200"/>
              <w:rPr>
                <w:kern w:val="0"/>
                <w:sz w:val="24"/>
                <w:szCs w:val="20"/>
              </w:rPr>
            </w:pPr>
            <w:bookmarkStart w:id="2" w:name="_Toc119644212"/>
            <w:r>
              <w:rPr>
                <w:kern w:val="0"/>
                <w:sz w:val="24"/>
                <w:szCs w:val="20"/>
              </w:rPr>
              <w:t>威海近海潮汐是由东海输入的潮波震动引起的。其变化除受北海左旋潮波控制外，还受成山头M</w:t>
            </w:r>
            <w:r>
              <w:rPr>
                <w:kern w:val="0"/>
                <w:sz w:val="24"/>
                <w:szCs w:val="20"/>
                <w:vertAlign w:val="subscript"/>
              </w:rPr>
              <w:t>2</w:t>
            </w:r>
            <w:r>
              <w:rPr>
                <w:kern w:val="0"/>
                <w:sz w:val="24"/>
                <w:szCs w:val="20"/>
              </w:rPr>
              <w:t>分潮无潮点和蓬莱外K</w:t>
            </w:r>
            <w:r>
              <w:rPr>
                <w:kern w:val="0"/>
                <w:sz w:val="24"/>
                <w:szCs w:val="20"/>
                <w:vertAlign w:val="subscript"/>
              </w:rPr>
              <w:t>1</w:t>
            </w:r>
            <w:r>
              <w:rPr>
                <w:kern w:val="0"/>
                <w:sz w:val="24"/>
                <w:szCs w:val="20"/>
              </w:rPr>
              <w:t>分潮点影响。通过观测分析，工程海区为非正规半日潮，有明显日不等现象。潮汐类型判断比值为0.52，属不规则半日潮型。</w:t>
            </w:r>
          </w:p>
          <w:p>
            <w:pPr>
              <w:widowControl/>
              <w:spacing w:line="360" w:lineRule="auto"/>
              <w:ind w:firstLine="480" w:firstLineChars="200"/>
              <w:rPr>
                <w:kern w:val="0"/>
                <w:sz w:val="24"/>
                <w:szCs w:val="20"/>
              </w:rPr>
            </w:pPr>
            <w:r>
              <w:rPr>
                <w:kern w:val="0"/>
                <w:sz w:val="24"/>
                <w:szCs w:val="20"/>
              </w:rPr>
              <w:t>2</w:t>
            </w:r>
            <w:r>
              <w:rPr>
                <w:rFonts w:hint="eastAsia"/>
                <w:kern w:val="0"/>
                <w:sz w:val="24"/>
                <w:szCs w:val="20"/>
              </w:rPr>
              <w:t>）潮流</w:t>
            </w:r>
          </w:p>
          <w:p>
            <w:pPr>
              <w:widowControl/>
              <w:spacing w:line="360" w:lineRule="auto"/>
              <w:ind w:firstLine="480" w:firstLineChars="200"/>
              <w:rPr>
                <w:kern w:val="0"/>
                <w:sz w:val="24"/>
                <w:szCs w:val="20"/>
              </w:rPr>
            </w:pPr>
            <w:r>
              <w:rPr>
                <w:kern w:val="0"/>
                <w:sz w:val="24"/>
                <w:szCs w:val="20"/>
              </w:rPr>
              <w:t>通过大、小潮全潮（25小时）同步水文测验，分析出如下规律：</w:t>
            </w:r>
          </w:p>
          <w:p>
            <w:pPr>
              <w:widowControl/>
              <w:spacing w:line="360" w:lineRule="auto"/>
              <w:ind w:firstLine="480" w:firstLineChars="200"/>
              <w:rPr>
                <w:kern w:val="0"/>
                <w:sz w:val="24"/>
                <w:szCs w:val="20"/>
              </w:rPr>
            </w:pPr>
            <w:r>
              <w:rPr>
                <w:rFonts w:hint="eastAsia" w:ascii="宋体" w:hAnsi="宋体" w:cs="宋体"/>
                <w:kern w:val="0"/>
                <w:sz w:val="24"/>
                <w:szCs w:val="20"/>
              </w:rPr>
              <w:t>①</w:t>
            </w:r>
            <w:r>
              <w:rPr>
                <w:kern w:val="0"/>
                <w:sz w:val="24"/>
                <w:szCs w:val="20"/>
              </w:rPr>
              <w:t xml:space="preserve"> 威海湾是弱潮流区，即使在大朝期间，最大流速也不超过40cm/s；</w:t>
            </w:r>
          </w:p>
          <w:p>
            <w:pPr>
              <w:widowControl/>
              <w:spacing w:line="360" w:lineRule="auto"/>
              <w:ind w:firstLine="480" w:firstLineChars="200"/>
              <w:rPr>
                <w:kern w:val="0"/>
                <w:sz w:val="24"/>
                <w:szCs w:val="20"/>
              </w:rPr>
            </w:pPr>
            <w:r>
              <w:rPr>
                <w:rFonts w:hint="eastAsia" w:ascii="宋体" w:hAnsi="宋体" w:cs="宋体"/>
                <w:kern w:val="0"/>
                <w:sz w:val="24"/>
                <w:szCs w:val="20"/>
              </w:rPr>
              <w:t>②</w:t>
            </w:r>
            <w:r>
              <w:rPr>
                <w:kern w:val="0"/>
                <w:sz w:val="24"/>
                <w:szCs w:val="20"/>
              </w:rPr>
              <w:t xml:space="preserve"> 大潮流速普遍大于小潮流速；</w:t>
            </w:r>
          </w:p>
          <w:p>
            <w:pPr>
              <w:widowControl/>
              <w:spacing w:line="360" w:lineRule="auto"/>
              <w:ind w:firstLine="480" w:firstLineChars="200"/>
              <w:rPr>
                <w:kern w:val="0"/>
                <w:sz w:val="24"/>
                <w:szCs w:val="20"/>
              </w:rPr>
            </w:pPr>
            <w:r>
              <w:rPr>
                <w:rFonts w:hint="eastAsia" w:ascii="宋体" w:hAnsi="宋体" w:cs="宋体"/>
                <w:kern w:val="0"/>
                <w:sz w:val="24"/>
                <w:szCs w:val="20"/>
              </w:rPr>
              <w:t>③</w:t>
            </w:r>
            <w:r>
              <w:rPr>
                <w:kern w:val="0"/>
                <w:sz w:val="24"/>
                <w:szCs w:val="20"/>
              </w:rPr>
              <w:t xml:space="preserve"> 由于地形影响，最大涨落潮流方向随地形而变。</w:t>
            </w:r>
            <w:r>
              <w:rPr>
                <w:rFonts w:hint="eastAsia"/>
                <w:kern w:val="0"/>
                <w:sz w:val="24"/>
                <w:szCs w:val="20"/>
              </w:rPr>
              <w:t xml:space="preserve"> </w:t>
            </w:r>
          </w:p>
          <w:p>
            <w:pPr>
              <w:widowControl/>
              <w:spacing w:line="360" w:lineRule="auto"/>
              <w:ind w:firstLine="480" w:firstLineChars="200"/>
              <w:rPr>
                <w:kern w:val="0"/>
                <w:sz w:val="24"/>
                <w:szCs w:val="20"/>
              </w:rPr>
            </w:pPr>
            <w:r>
              <w:rPr>
                <w:rFonts w:hint="eastAsia" w:ascii="宋体" w:hAnsi="宋体" w:cs="宋体"/>
                <w:kern w:val="0"/>
                <w:sz w:val="24"/>
                <w:szCs w:val="20"/>
              </w:rPr>
              <w:t>④</w:t>
            </w:r>
            <w:r>
              <w:rPr>
                <w:kern w:val="0"/>
                <w:sz w:val="24"/>
                <w:szCs w:val="20"/>
              </w:rPr>
              <w:t xml:space="preserve"> 潮流性质判别数</w:t>
            </w:r>
            <w:r>
              <w:rPr>
                <w:kern w:val="0"/>
                <w:sz w:val="24"/>
                <w:szCs w:val="20"/>
              </w:rPr>
              <w:object>
                <v:shape id="_x0000_i1025" o:spt="75" type="#_x0000_t75" style="height:18pt;width:84pt;" o:ole="t" filled="f" o:preferrelative="t" stroked="f" coordsize="21600,21600">
                  <v:path/>
                  <v:fill on="f" focussize="0,0"/>
                  <v:stroke on="f" joinstyle="miter"/>
                  <v:imagedata r:id="rId18" o:title=""/>
                  <o:lock v:ext="edit" aspectratio="t"/>
                  <w10:wrap type="none"/>
                  <w10:anchorlock/>
                </v:shape>
                <o:OLEObject Type="Embed" ProgID="Equation.3" ShapeID="_x0000_i1025" DrawAspect="Content" ObjectID="_1468075725" r:id="rId17">
                  <o:LockedField>false</o:LockedField>
                </o:OLEObject>
              </w:object>
            </w:r>
            <w:r>
              <w:rPr>
                <w:kern w:val="0"/>
                <w:sz w:val="24"/>
                <w:szCs w:val="20"/>
              </w:rPr>
              <w:t>均&lt;0.5，表明威海湾潮流也属半日潮型。</w:t>
            </w:r>
          </w:p>
          <w:p>
            <w:pPr>
              <w:widowControl/>
              <w:spacing w:line="360" w:lineRule="auto"/>
              <w:ind w:firstLine="480" w:firstLineChars="200"/>
              <w:rPr>
                <w:kern w:val="0"/>
                <w:sz w:val="24"/>
                <w:szCs w:val="20"/>
              </w:rPr>
            </w:pPr>
            <w:r>
              <w:rPr>
                <w:kern w:val="0"/>
                <w:sz w:val="24"/>
                <w:szCs w:val="20"/>
              </w:rPr>
              <w:t>3</w:t>
            </w:r>
            <w:r>
              <w:rPr>
                <w:rFonts w:hint="eastAsia"/>
                <w:kern w:val="0"/>
                <w:sz w:val="24"/>
                <w:szCs w:val="20"/>
              </w:rPr>
              <w:t>）波浪</w:t>
            </w:r>
            <w:bookmarkEnd w:id="2"/>
          </w:p>
          <w:p>
            <w:pPr>
              <w:widowControl/>
              <w:spacing w:line="360" w:lineRule="auto"/>
              <w:ind w:firstLine="480" w:firstLineChars="200"/>
              <w:rPr>
                <w:kern w:val="0"/>
                <w:sz w:val="24"/>
              </w:rPr>
            </w:pPr>
            <w:r>
              <w:rPr>
                <w:kern w:val="0"/>
                <w:sz w:val="24"/>
                <w:szCs w:val="20"/>
              </w:rPr>
              <w:t>电厂附近海面上出现的波形多为风浪或以涌浪为主的混合浪，波向的规律取决于风向（涌浪除外），羊龙湾一带多NE风，常浪向和强浪向均为NE向。</w:t>
            </w:r>
          </w:p>
          <w:p>
            <w:pPr>
              <w:widowControl/>
              <w:spacing w:line="360" w:lineRule="auto"/>
              <w:ind w:firstLine="482" w:firstLineChars="200"/>
              <w:rPr>
                <w:b/>
                <w:kern w:val="0"/>
                <w:sz w:val="24"/>
              </w:rPr>
            </w:pPr>
            <w:r>
              <w:rPr>
                <w:b/>
                <w:kern w:val="0"/>
                <w:sz w:val="24"/>
              </w:rPr>
              <w:t>5</w:t>
            </w:r>
            <w:r>
              <w:rPr>
                <w:b/>
                <w:bCs/>
                <w:kern w:val="0"/>
                <w:sz w:val="24"/>
                <w:szCs w:val="20"/>
              </w:rPr>
              <w:t xml:space="preserve">  </w:t>
            </w:r>
            <w:r>
              <w:rPr>
                <w:rFonts w:hint="eastAsia"/>
                <w:b/>
                <w:kern w:val="0"/>
                <w:sz w:val="24"/>
              </w:rPr>
              <w:t>植被、生物多样性</w:t>
            </w:r>
          </w:p>
          <w:p>
            <w:pPr>
              <w:widowControl/>
              <w:spacing w:line="360" w:lineRule="auto"/>
              <w:ind w:firstLine="480" w:firstLineChars="200"/>
              <w:rPr>
                <w:sz w:val="24"/>
                <w:szCs w:val="20"/>
              </w:rPr>
            </w:pPr>
            <w:r>
              <w:rPr>
                <w:rFonts w:hint="eastAsia"/>
                <w:sz w:val="24"/>
                <w:szCs w:val="20"/>
              </w:rPr>
              <w:t>威海市境内植被以木本植物为主，具有明显的次生性质。全市的林地总面积有</w:t>
            </w:r>
            <w:r>
              <w:rPr>
                <w:sz w:val="24"/>
                <w:szCs w:val="20"/>
              </w:rPr>
              <w:t>17.2</w:t>
            </w:r>
            <w:r>
              <w:rPr>
                <w:rFonts w:hint="eastAsia"/>
                <w:sz w:val="24"/>
                <w:szCs w:val="20"/>
              </w:rPr>
              <w:t>万公顷，森林覆盖率达到</w:t>
            </w:r>
            <w:r>
              <w:rPr>
                <w:sz w:val="24"/>
                <w:szCs w:val="20"/>
              </w:rPr>
              <w:t>34.2%</w:t>
            </w:r>
            <w:r>
              <w:rPr>
                <w:rFonts w:hint="eastAsia"/>
                <w:sz w:val="24"/>
                <w:szCs w:val="20"/>
              </w:rPr>
              <w:t>。全市野生植物按经济价值和用途可分为牧草类、淀粉糖类、油脂类、纤维类、芳香油类、鞣质栲胶类、土农药类及药材类等</w:t>
            </w:r>
            <w:r>
              <w:rPr>
                <w:sz w:val="24"/>
                <w:szCs w:val="20"/>
              </w:rPr>
              <w:t>8</w:t>
            </w:r>
            <w:r>
              <w:rPr>
                <w:rFonts w:hint="eastAsia"/>
                <w:sz w:val="24"/>
                <w:szCs w:val="20"/>
              </w:rPr>
              <w:t>大类。</w:t>
            </w:r>
          </w:p>
          <w:p>
            <w:pPr>
              <w:widowControl/>
              <w:spacing w:line="360" w:lineRule="auto"/>
              <w:ind w:firstLine="480" w:firstLineChars="200"/>
              <w:rPr>
                <w:sz w:val="24"/>
                <w:szCs w:val="20"/>
              </w:rPr>
            </w:pPr>
            <w:r>
              <w:rPr>
                <w:rFonts w:hint="eastAsia"/>
                <w:sz w:val="24"/>
                <w:szCs w:val="20"/>
              </w:rPr>
              <w:t>野生动物资源中，兽类品种为数不多，鸟类品种资源比较丰富。兽类主要品种有梅花鹿、狐狸、豹猫、刺猬、蝙蝠、水鼠、大家鼠、小家鼠、草兔、黄鼠狼、獾、狼、大仓鼠等。两栖类主要品种有大蟾蜍、黑斑蛙、金钱蛙、北方狭口蛙、东方铃蟾。爬行类主要品种有麻蝎、壁虎、红点锦蛇、虎斑游蛇、黄脊游蛇、乌龟、鳖、山地麻蝎、草蜥、蝮蛇、海龟、海蛇等。鸟类有</w:t>
            </w:r>
            <w:r>
              <w:rPr>
                <w:sz w:val="24"/>
                <w:szCs w:val="20"/>
              </w:rPr>
              <w:t>250</w:t>
            </w:r>
            <w:r>
              <w:rPr>
                <w:rFonts w:hint="eastAsia"/>
                <w:sz w:val="24"/>
                <w:szCs w:val="20"/>
              </w:rPr>
              <w:t>多种，其中以旅鸟为主，占</w:t>
            </w:r>
            <w:r>
              <w:rPr>
                <w:sz w:val="24"/>
                <w:szCs w:val="20"/>
              </w:rPr>
              <w:t>70%</w:t>
            </w:r>
            <w:r>
              <w:rPr>
                <w:rFonts w:hint="eastAsia"/>
                <w:sz w:val="24"/>
                <w:szCs w:val="20"/>
              </w:rPr>
              <w:t>以上，候鸟和留鸟种类较少。常见的鸟类有麻雀、黄鹂、斑鸠、八哥、百灵、燕子、乌鸦、布谷鸟、啄木鸟、猫头鹰、野鸡、布鸽、雁鹫、海鸥等。列入国家保护的野生动物一级的有梅花鹿、中华秋沙鸭、金雕、黑鹳</w:t>
            </w:r>
            <w:r>
              <w:rPr>
                <w:sz w:val="24"/>
                <w:szCs w:val="20"/>
              </w:rPr>
              <w:t>4</w:t>
            </w:r>
            <w:r>
              <w:rPr>
                <w:rFonts w:hint="eastAsia"/>
                <w:sz w:val="24"/>
                <w:szCs w:val="20"/>
              </w:rPr>
              <w:t>种，二级的有大天鹅、鸳鸯、灰鹤、苍鹰等</w:t>
            </w:r>
            <w:r>
              <w:rPr>
                <w:sz w:val="24"/>
                <w:szCs w:val="20"/>
              </w:rPr>
              <w:t>12</w:t>
            </w:r>
            <w:r>
              <w:rPr>
                <w:rFonts w:hint="eastAsia"/>
                <w:sz w:val="24"/>
                <w:szCs w:val="20"/>
              </w:rPr>
              <w:t>种；其余鸟类及狐狸、豹猫、獾、黄鼬、刺猬等列入山东省重点保护野生动物。</w:t>
            </w:r>
          </w:p>
          <w:p>
            <w:pPr>
              <w:spacing w:line="440" w:lineRule="exact"/>
              <w:ind w:firstLine="480"/>
              <w:rPr>
                <w:color w:val="000000"/>
                <w:sz w:val="24"/>
              </w:rPr>
            </w:pPr>
            <w:r>
              <w:rPr>
                <w:rFonts w:hint="eastAsia"/>
                <w:color w:val="000000"/>
                <w:sz w:val="24"/>
              </w:rPr>
              <w:t>沿岸浮游生物及其他饵料生物充足，为鱼、虾、贝藻等多种水产生物的繁衍、生息提供了优越的环境条件。威海市的海洋渔业资源以底层鱼虾为主，主要经济鱼虾都是黄海地方群。</w:t>
            </w:r>
          </w:p>
          <w:p>
            <w:pPr>
              <w:spacing w:line="440" w:lineRule="exact"/>
              <w:ind w:firstLine="480"/>
              <w:rPr>
                <w:sz w:val="24"/>
              </w:rPr>
            </w:pPr>
          </w:p>
        </w:tc>
      </w:tr>
    </w:tbl>
    <w:p>
      <w:pPr>
        <w:widowControl/>
        <w:spacing w:line="360" w:lineRule="auto"/>
        <w:ind w:firstLine="600" w:firstLineChars="200"/>
        <w:rPr>
          <w:rFonts w:eastAsia="黑体"/>
          <w:sz w:val="30"/>
        </w:rPr>
      </w:pPr>
    </w:p>
    <w:p>
      <w:pPr>
        <w:spacing w:line="440" w:lineRule="exact"/>
        <w:outlineLvl w:val="0"/>
        <w:rPr>
          <w:rFonts w:eastAsia="黑体"/>
          <w:sz w:val="30"/>
        </w:rPr>
      </w:pPr>
      <w:r>
        <w:rPr>
          <w:rFonts w:eastAsia="黑体"/>
          <w:sz w:val="30"/>
        </w:rPr>
        <w:t>环境质量状况</w:t>
      </w:r>
    </w:p>
    <w:tbl>
      <w:tblPr>
        <w:tblStyle w:val="88"/>
        <w:tblW w:w="8505"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0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363" w:hRule="atLeast"/>
          <w:jc w:val="center"/>
        </w:trPr>
        <w:tc>
          <w:tcPr>
            <w:tcW w:w="8505" w:type="dxa"/>
          </w:tcPr>
          <w:p>
            <w:pPr>
              <w:pStyle w:val="31"/>
              <w:spacing w:line="440" w:lineRule="exact"/>
              <w:rPr>
                <w:rFonts w:ascii="Times New Roman" w:eastAsia="楷体_GB2312"/>
              </w:rPr>
            </w:pPr>
            <w:r>
              <w:rPr>
                <w:rFonts w:ascii="Times New Roman" w:eastAsia="楷体_GB2312"/>
              </w:rPr>
              <w:t>建设项目所在地区域环境质量现状及主要环境问题(环境空气、地面水、地下水、声环境、生态环境等)</w:t>
            </w:r>
          </w:p>
          <w:p>
            <w:pPr>
              <w:adjustRightInd w:val="0"/>
              <w:snapToGrid w:val="0"/>
              <w:spacing w:beforeLines="50" w:line="360" w:lineRule="auto"/>
              <w:ind w:firstLine="482" w:firstLineChars="200"/>
              <w:rPr>
                <w:b/>
                <w:sz w:val="24"/>
              </w:rPr>
            </w:pPr>
            <w:r>
              <w:rPr>
                <w:rFonts w:hint="eastAsia"/>
                <w:b/>
                <w:sz w:val="24"/>
              </w:rPr>
              <w:t>1.</w:t>
            </w:r>
            <w:r>
              <w:rPr>
                <w:b/>
                <w:sz w:val="24"/>
              </w:rPr>
              <w:t xml:space="preserve"> </w:t>
            </w:r>
            <w:r>
              <w:rPr>
                <w:rFonts w:hint="eastAsia"/>
                <w:b/>
                <w:sz w:val="24"/>
              </w:rPr>
              <w:t>功能区划</w:t>
            </w:r>
          </w:p>
          <w:p>
            <w:pPr>
              <w:widowControl/>
              <w:spacing w:line="360" w:lineRule="auto"/>
              <w:ind w:firstLine="480" w:firstLineChars="200"/>
              <w:rPr>
                <w:sz w:val="24"/>
              </w:rPr>
            </w:pPr>
            <w:r>
              <w:rPr>
                <w:rFonts w:hint="eastAsia"/>
                <w:sz w:val="24"/>
              </w:rPr>
              <w:t>（1）陆域功能区划</w:t>
            </w:r>
          </w:p>
          <w:p>
            <w:pPr>
              <w:widowControl/>
              <w:spacing w:line="360" w:lineRule="auto"/>
              <w:ind w:firstLine="480" w:firstLineChars="200"/>
              <w:rPr>
                <w:kern w:val="0"/>
                <w:sz w:val="24"/>
              </w:rPr>
            </w:pPr>
            <w:r>
              <w:rPr>
                <w:rFonts w:hint="eastAsia"/>
                <w:sz w:val="24"/>
              </w:rPr>
              <w:t>项目所在地大气环境属二类功能区，环境空气质量执行《环境空气质量标准》（GB3095-2012）中二级标准；项目用地属工业用地（临港工业区），</w:t>
            </w:r>
            <w:r>
              <w:rPr>
                <w:rFonts w:hint="eastAsia"/>
                <w:kern w:val="0"/>
                <w:sz w:val="24"/>
              </w:rPr>
              <w:t>声环境为</w:t>
            </w:r>
            <w:r>
              <w:rPr>
                <w:kern w:val="0"/>
                <w:sz w:val="24"/>
              </w:rPr>
              <w:t>3</w:t>
            </w:r>
            <w:r>
              <w:rPr>
                <w:rFonts w:hint="eastAsia"/>
                <w:kern w:val="0"/>
                <w:sz w:val="24"/>
              </w:rPr>
              <w:t>类区，</w:t>
            </w:r>
            <w:r>
              <w:rPr>
                <w:rFonts w:hint="eastAsia"/>
                <w:sz w:val="24"/>
              </w:rPr>
              <w:t>厂界声环境质量执行《声环境质量标准》（GB3096-</w:t>
            </w:r>
            <w:r>
              <w:rPr>
                <w:sz w:val="24"/>
              </w:rPr>
              <w:t>2008</w:t>
            </w:r>
            <w:r>
              <w:rPr>
                <w:rFonts w:hint="eastAsia"/>
                <w:sz w:val="24"/>
              </w:rPr>
              <w:t>）中3类标准；项目所在区域</w:t>
            </w:r>
            <w:r>
              <w:rPr>
                <w:rFonts w:hint="eastAsia"/>
                <w:kern w:val="0"/>
                <w:sz w:val="24"/>
              </w:rPr>
              <w:t>地下水执行《地下水质量标准》（</w:t>
            </w:r>
            <w:r>
              <w:rPr>
                <w:kern w:val="0"/>
                <w:sz w:val="24"/>
              </w:rPr>
              <w:t>GB/T14848-2017</w:t>
            </w:r>
            <w:r>
              <w:rPr>
                <w:rFonts w:hint="eastAsia"/>
                <w:kern w:val="0"/>
                <w:sz w:val="24"/>
              </w:rPr>
              <w:t>）</w:t>
            </w:r>
            <w:r>
              <w:rPr>
                <w:kern w:val="0"/>
                <w:sz w:val="24"/>
              </w:rPr>
              <w:t>Ⅲ</w:t>
            </w:r>
            <w:r>
              <w:rPr>
                <w:rFonts w:hint="eastAsia"/>
                <w:kern w:val="0"/>
                <w:sz w:val="24"/>
              </w:rPr>
              <w:t>类标准；生态环境为城市生态环境类型。</w:t>
            </w:r>
          </w:p>
          <w:p>
            <w:pPr>
              <w:widowControl/>
              <w:spacing w:line="360" w:lineRule="auto"/>
              <w:ind w:firstLine="480" w:firstLineChars="200"/>
              <w:rPr>
                <w:kern w:val="0"/>
                <w:sz w:val="24"/>
              </w:rPr>
            </w:pPr>
            <w:r>
              <w:rPr>
                <w:rFonts w:hint="eastAsia"/>
                <w:kern w:val="0"/>
                <w:sz w:val="24"/>
              </w:rPr>
              <w:t>（2）海洋功能区划</w:t>
            </w:r>
          </w:p>
          <w:p>
            <w:pPr>
              <w:widowControl/>
              <w:spacing w:line="360" w:lineRule="auto"/>
              <w:ind w:firstLine="480" w:firstLineChars="200"/>
              <w:rPr>
                <w:sz w:val="24"/>
              </w:rPr>
            </w:pPr>
            <w:r>
              <w:rPr>
                <w:rFonts w:hint="eastAsia"/>
                <w:sz w:val="24"/>
              </w:rPr>
              <w:t>根据《山东省海洋功能区划（2012-2020年）》，工程附近海域分布有威海刘公岛海洋保护区（</w:t>
            </w:r>
            <w:r>
              <w:rPr>
                <w:sz w:val="24"/>
              </w:rPr>
              <w:t>A6-29</w:t>
            </w:r>
            <w:r>
              <w:rPr>
                <w:rFonts w:hint="eastAsia"/>
                <w:sz w:val="24"/>
              </w:rPr>
              <w:t>）、</w:t>
            </w:r>
            <w:r>
              <w:rPr>
                <w:sz w:val="24"/>
              </w:rPr>
              <w:t>刘公岛-鸡鸣岛农渔业区（A1-18）</w:t>
            </w:r>
            <w:r>
              <w:rPr>
                <w:rFonts w:hint="eastAsia"/>
                <w:sz w:val="24"/>
              </w:rPr>
              <w:t>、</w:t>
            </w:r>
            <w:r>
              <w:rPr>
                <w:sz w:val="24"/>
              </w:rPr>
              <w:t>威海湾旅游休闲娱乐区（A5-23）</w:t>
            </w:r>
            <w:r>
              <w:rPr>
                <w:rFonts w:hint="eastAsia"/>
                <w:sz w:val="24"/>
              </w:rPr>
              <w:t>、</w:t>
            </w:r>
            <w:r>
              <w:rPr>
                <w:sz w:val="24"/>
              </w:rPr>
              <w:t>威海港口航运区（A2-13）、威海南港口航运区（A2-15）</w:t>
            </w:r>
            <w:r>
              <w:rPr>
                <w:rFonts w:hint="eastAsia"/>
                <w:sz w:val="24"/>
              </w:rPr>
              <w:t>。</w:t>
            </w:r>
          </w:p>
          <w:p>
            <w:pPr>
              <w:widowControl/>
              <w:spacing w:line="360" w:lineRule="auto"/>
              <w:ind w:firstLine="420" w:firstLineChars="200"/>
              <w:rPr>
                <w:kern w:val="0"/>
                <w:sz w:val="24"/>
              </w:rPr>
            </w:pPr>
            <w:r>
              <w:drawing>
                <wp:anchor distT="0" distB="0" distL="114300" distR="114300" simplePos="0" relativeHeight="251890688" behindDoc="0" locked="0" layoutInCell="1" allowOverlap="1">
                  <wp:simplePos x="0" y="0"/>
                  <wp:positionH relativeFrom="column">
                    <wp:posOffset>9525</wp:posOffset>
                  </wp:positionH>
                  <wp:positionV relativeFrom="paragraph">
                    <wp:posOffset>231775</wp:posOffset>
                  </wp:positionV>
                  <wp:extent cx="5242560" cy="3863340"/>
                  <wp:effectExtent l="0" t="0" r="0" b="4445"/>
                  <wp:wrapNone/>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19" cstate="print">
                            <a:extLst>
                              <a:ext uri="{28A0092B-C50C-407E-A947-70E740481C1C}">
                                <a14:useLocalDpi xmlns:a14="http://schemas.microsoft.com/office/drawing/2010/main" val="0"/>
                              </a:ext>
                            </a:extLst>
                          </a:blip>
                          <a:srcRect l="3911"/>
                          <a:stretch>
                            <a:fillRect/>
                          </a:stretch>
                        </pic:blipFill>
                        <pic:spPr>
                          <a:xfrm>
                            <a:off x="0" y="0"/>
                            <a:ext cx="5242560" cy="3863145"/>
                          </a:xfrm>
                          <a:prstGeom prst="rect">
                            <a:avLst/>
                          </a:prstGeom>
                          <a:noFill/>
                          <a:ln>
                            <a:noFill/>
                          </a:ln>
                        </pic:spPr>
                      </pic:pic>
                    </a:graphicData>
                  </a:graphic>
                </wp:anchor>
              </w:drawing>
            </w:r>
            <w:r>
              <w:rPr>
                <w:rFonts w:hint="eastAsia"/>
                <w:kern w:val="0"/>
                <w:sz w:val="24"/>
              </w:rPr>
              <w:t>海洋功能区分布见图1和图2。各功能区的海洋环境保护要求见表8。</w:t>
            </w: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color w:val="FF0000"/>
                <w:kern w:val="0"/>
                <w:sz w:val="24"/>
              </w:rPr>
            </w:pPr>
          </w:p>
          <w:p>
            <w:pPr>
              <w:widowControl/>
              <w:spacing w:line="360" w:lineRule="auto"/>
              <w:jc w:val="center"/>
              <w:rPr>
                <w:b/>
                <w:kern w:val="0"/>
                <w:sz w:val="24"/>
              </w:rPr>
            </w:pPr>
            <w:r>
              <w:rPr>
                <w:rFonts w:hint="eastAsia"/>
                <w:b/>
                <w:kern w:val="0"/>
                <w:sz w:val="24"/>
              </w:rPr>
              <w:t>图1</w:t>
            </w:r>
            <w:r>
              <w:rPr>
                <w:b/>
                <w:kern w:val="0"/>
                <w:sz w:val="24"/>
              </w:rPr>
              <w:t xml:space="preserve">  </w:t>
            </w:r>
            <w:r>
              <w:rPr>
                <w:rFonts w:hint="eastAsia"/>
                <w:b/>
                <w:kern w:val="0"/>
                <w:sz w:val="24"/>
              </w:rPr>
              <w:t>项目所在海域海洋功能区划图（</w:t>
            </w:r>
            <w:r>
              <w:rPr>
                <w:b/>
                <w:sz w:val="24"/>
              </w:rPr>
              <w:t>A1-18</w:t>
            </w:r>
            <w:r>
              <w:rPr>
                <w:rFonts w:hint="eastAsia"/>
                <w:b/>
                <w:sz w:val="24"/>
              </w:rPr>
              <w:t>、</w:t>
            </w:r>
            <w:r>
              <w:rPr>
                <w:b/>
                <w:sz w:val="24"/>
              </w:rPr>
              <w:t>A2-13</w:t>
            </w:r>
            <w:r>
              <w:rPr>
                <w:rFonts w:hint="eastAsia"/>
                <w:b/>
                <w:sz w:val="24"/>
              </w:rPr>
              <w:t>、</w:t>
            </w:r>
            <w:r>
              <w:rPr>
                <w:b/>
                <w:sz w:val="24"/>
              </w:rPr>
              <w:t>A2-15</w:t>
            </w:r>
            <w:r>
              <w:rPr>
                <w:rFonts w:hint="eastAsia"/>
                <w:b/>
                <w:kern w:val="0"/>
                <w:sz w:val="24"/>
              </w:rPr>
              <w:t>）</w:t>
            </w:r>
          </w:p>
          <w:p>
            <w:pPr>
              <w:widowControl/>
              <w:spacing w:line="360" w:lineRule="auto"/>
              <w:jc w:val="center"/>
              <w:rPr>
                <w:color w:val="FF0000"/>
                <w:kern w:val="0"/>
                <w:sz w:val="24"/>
              </w:rPr>
            </w:pPr>
            <w:r>
              <w:drawing>
                <wp:inline distT="0" distB="0" distL="0" distR="0">
                  <wp:extent cx="5039995" cy="3568065"/>
                  <wp:effectExtent l="0" t="0" r="825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5040000" cy="3568645"/>
                          </a:xfrm>
                          <a:prstGeom prst="rect">
                            <a:avLst/>
                          </a:prstGeom>
                          <a:noFill/>
                          <a:ln>
                            <a:noFill/>
                          </a:ln>
                        </pic:spPr>
                      </pic:pic>
                    </a:graphicData>
                  </a:graphic>
                </wp:inline>
              </w:drawing>
            </w:r>
          </w:p>
          <w:p>
            <w:pPr>
              <w:widowControl/>
              <w:spacing w:line="360" w:lineRule="auto"/>
              <w:jc w:val="center"/>
              <w:rPr>
                <w:b/>
                <w:kern w:val="0"/>
                <w:sz w:val="24"/>
              </w:rPr>
            </w:pPr>
            <w:r>
              <w:rPr>
                <w:rFonts w:hint="eastAsia"/>
                <w:b/>
                <w:kern w:val="0"/>
                <w:sz w:val="24"/>
              </w:rPr>
              <w:t>图2</w:t>
            </w:r>
            <w:r>
              <w:rPr>
                <w:b/>
                <w:kern w:val="0"/>
                <w:sz w:val="24"/>
              </w:rPr>
              <w:t xml:space="preserve">  </w:t>
            </w:r>
            <w:r>
              <w:rPr>
                <w:rFonts w:hint="eastAsia"/>
                <w:b/>
                <w:kern w:val="0"/>
                <w:sz w:val="24"/>
              </w:rPr>
              <w:t>项目所在海域海洋功能区划图（</w:t>
            </w:r>
            <w:r>
              <w:rPr>
                <w:b/>
                <w:sz w:val="24"/>
              </w:rPr>
              <w:t>A6-29</w:t>
            </w:r>
            <w:r>
              <w:rPr>
                <w:rFonts w:hint="eastAsia"/>
                <w:b/>
                <w:sz w:val="24"/>
              </w:rPr>
              <w:t>、</w:t>
            </w:r>
            <w:r>
              <w:rPr>
                <w:b/>
                <w:sz w:val="24"/>
              </w:rPr>
              <w:t>A5-23</w:t>
            </w:r>
            <w:r>
              <w:rPr>
                <w:rFonts w:hint="eastAsia"/>
                <w:b/>
                <w:sz w:val="24"/>
              </w:rPr>
              <w:t>、</w:t>
            </w:r>
            <w:r>
              <w:rPr>
                <w:b/>
                <w:sz w:val="24"/>
              </w:rPr>
              <w:t>A2-13</w:t>
            </w:r>
            <w:r>
              <w:rPr>
                <w:rFonts w:hint="eastAsia"/>
                <w:b/>
                <w:sz w:val="24"/>
              </w:rPr>
              <w:t>、</w:t>
            </w:r>
            <w:r>
              <w:rPr>
                <w:b/>
                <w:sz w:val="24"/>
              </w:rPr>
              <w:t>A1-18</w:t>
            </w:r>
            <w:r>
              <w:rPr>
                <w:rFonts w:hint="eastAsia"/>
                <w:b/>
                <w:kern w:val="0"/>
                <w:sz w:val="24"/>
              </w:rPr>
              <w:t>）</w:t>
            </w:r>
          </w:p>
          <w:p>
            <w:pPr>
              <w:widowControl/>
              <w:spacing w:line="360" w:lineRule="auto"/>
              <w:ind w:firstLine="482" w:firstLineChars="200"/>
              <w:jc w:val="center"/>
              <w:rPr>
                <w:kern w:val="0"/>
                <w:sz w:val="24"/>
              </w:rPr>
            </w:pPr>
            <w:r>
              <w:rPr>
                <w:rFonts w:hint="eastAsia"/>
                <w:b/>
                <w:kern w:val="0"/>
                <w:sz w:val="24"/>
              </w:rPr>
              <w:t>表8</w:t>
            </w:r>
            <w:r>
              <w:rPr>
                <w:b/>
                <w:kern w:val="0"/>
                <w:sz w:val="24"/>
              </w:rPr>
              <w:t xml:space="preserve">  </w:t>
            </w:r>
            <w:r>
              <w:rPr>
                <w:rFonts w:hint="eastAsia"/>
                <w:b/>
                <w:kern w:val="0"/>
                <w:sz w:val="24"/>
              </w:rPr>
              <w:t>项目所在海域各海洋功能区海洋环境保护要求</w:t>
            </w:r>
          </w:p>
          <w:tbl>
            <w:tblPr>
              <w:tblStyle w:val="89"/>
              <w:tblW w:w="810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850"/>
              <w:gridCol w:w="6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8" w:type="dxa"/>
                  <w:vAlign w:val="center"/>
                </w:tcPr>
                <w:p>
                  <w:pPr>
                    <w:widowControl/>
                    <w:spacing w:line="360" w:lineRule="auto"/>
                    <w:jc w:val="center"/>
                    <w:rPr>
                      <w:kern w:val="0"/>
                      <w:szCs w:val="21"/>
                    </w:rPr>
                  </w:pPr>
                  <w:r>
                    <w:rPr>
                      <w:rFonts w:hint="eastAsia"/>
                      <w:szCs w:val="21"/>
                    </w:rPr>
                    <w:t>代码</w:t>
                  </w:r>
                </w:p>
              </w:tc>
              <w:tc>
                <w:tcPr>
                  <w:tcW w:w="850" w:type="dxa"/>
                  <w:vAlign w:val="center"/>
                </w:tcPr>
                <w:p>
                  <w:pPr>
                    <w:spacing w:line="260" w:lineRule="exact"/>
                    <w:jc w:val="center"/>
                    <w:rPr>
                      <w:szCs w:val="21"/>
                    </w:rPr>
                  </w:pPr>
                  <w:r>
                    <w:rPr>
                      <w:rFonts w:hint="eastAsia"/>
                      <w:szCs w:val="21"/>
                    </w:rPr>
                    <w:t>功能区</w:t>
                  </w:r>
                </w:p>
                <w:p>
                  <w:pPr>
                    <w:widowControl/>
                    <w:spacing w:line="360" w:lineRule="auto"/>
                    <w:jc w:val="center"/>
                    <w:rPr>
                      <w:kern w:val="0"/>
                      <w:szCs w:val="21"/>
                    </w:rPr>
                  </w:pPr>
                  <w:r>
                    <w:rPr>
                      <w:rFonts w:hint="eastAsia"/>
                      <w:szCs w:val="21"/>
                    </w:rPr>
                    <w:t>名称</w:t>
                  </w:r>
                </w:p>
              </w:tc>
              <w:tc>
                <w:tcPr>
                  <w:tcW w:w="6403" w:type="dxa"/>
                  <w:vAlign w:val="center"/>
                </w:tcPr>
                <w:p>
                  <w:pPr>
                    <w:widowControl/>
                    <w:spacing w:line="360" w:lineRule="auto"/>
                    <w:jc w:val="center"/>
                    <w:rPr>
                      <w:kern w:val="0"/>
                      <w:szCs w:val="21"/>
                    </w:rPr>
                  </w:pPr>
                  <w:r>
                    <w:rPr>
                      <w:rFonts w:hint="eastAsia"/>
                      <w:szCs w:val="21"/>
                    </w:rPr>
                    <w:t>海洋环境保护要求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8" w:type="dxa"/>
                  <w:vAlign w:val="center"/>
                </w:tcPr>
                <w:p>
                  <w:pPr>
                    <w:widowControl/>
                    <w:spacing w:line="360" w:lineRule="auto"/>
                    <w:rPr>
                      <w:kern w:val="0"/>
                      <w:szCs w:val="21"/>
                    </w:rPr>
                  </w:pPr>
                  <w:r>
                    <w:rPr>
                      <w:rFonts w:hint="eastAsia"/>
                      <w:szCs w:val="21"/>
                    </w:rPr>
                    <w:t>A6-29</w:t>
                  </w:r>
                </w:p>
              </w:tc>
              <w:tc>
                <w:tcPr>
                  <w:tcW w:w="850" w:type="dxa"/>
                  <w:vAlign w:val="center"/>
                </w:tcPr>
                <w:p>
                  <w:pPr>
                    <w:widowControl/>
                    <w:spacing w:line="360" w:lineRule="auto"/>
                    <w:rPr>
                      <w:kern w:val="0"/>
                      <w:szCs w:val="21"/>
                    </w:rPr>
                  </w:pPr>
                  <w:r>
                    <w:rPr>
                      <w:rFonts w:hint="eastAsia"/>
                      <w:szCs w:val="21"/>
                    </w:rPr>
                    <w:t>威海刘公岛海洋保护区</w:t>
                  </w:r>
                </w:p>
              </w:tc>
              <w:tc>
                <w:tcPr>
                  <w:tcW w:w="6403" w:type="dxa"/>
                </w:tcPr>
                <w:p>
                  <w:pPr>
                    <w:widowControl/>
                    <w:spacing w:line="360" w:lineRule="auto"/>
                    <w:rPr>
                      <w:szCs w:val="21"/>
                    </w:rPr>
                  </w:pPr>
                  <w:r>
                    <w:rPr>
                      <w:rFonts w:hint="eastAsia"/>
                      <w:szCs w:val="21"/>
                    </w:rPr>
                    <w:t>生态保护重点目标：海岛生态系统、人文历史遗迹。</w:t>
                  </w:r>
                </w:p>
                <w:p>
                  <w:pPr>
                    <w:widowControl/>
                    <w:spacing w:line="360" w:lineRule="auto"/>
                    <w:rPr>
                      <w:kern w:val="0"/>
                      <w:szCs w:val="21"/>
                    </w:rPr>
                  </w:pPr>
                  <w:r>
                    <w:rPr>
                      <w:rFonts w:hint="eastAsia"/>
                      <w:szCs w:val="21"/>
                    </w:rPr>
                    <w:t>环境保护要求：严格执行国家关于海洋环境保护的法律、法规和标准，加强海洋环境质量监测。维持、恢复、改善海洋生态环境和生物多样性，保护自然景观，减少保护区周边海域环境点面源污染。海水水质不劣于二类标准，海洋沉积物质量和海洋生物质量不劣于一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8" w:type="dxa"/>
                  <w:vAlign w:val="center"/>
                </w:tcPr>
                <w:p>
                  <w:pPr>
                    <w:widowControl/>
                    <w:spacing w:line="360" w:lineRule="auto"/>
                    <w:rPr>
                      <w:kern w:val="0"/>
                      <w:szCs w:val="21"/>
                    </w:rPr>
                  </w:pPr>
                  <w:r>
                    <w:rPr>
                      <w:rFonts w:hint="eastAsia"/>
                      <w:szCs w:val="21"/>
                    </w:rPr>
                    <w:t>A1-18</w:t>
                  </w:r>
                </w:p>
              </w:tc>
              <w:tc>
                <w:tcPr>
                  <w:tcW w:w="850" w:type="dxa"/>
                  <w:vAlign w:val="center"/>
                </w:tcPr>
                <w:p>
                  <w:pPr>
                    <w:widowControl/>
                    <w:spacing w:line="360" w:lineRule="auto"/>
                    <w:rPr>
                      <w:kern w:val="0"/>
                      <w:szCs w:val="21"/>
                    </w:rPr>
                  </w:pPr>
                  <w:r>
                    <w:rPr>
                      <w:rFonts w:hint="eastAsia"/>
                      <w:szCs w:val="21"/>
                    </w:rPr>
                    <w:t>刘公岛-鸡鸣岛农渔业区</w:t>
                  </w:r>
                </w:p>
              </w:tc>
              <w:tc>
                <w:tcPr>
                  <w:tcW w:w="6403" w:type="dxa"/>
                </w:tcPr>
                <w:p>
                  <w:pPr>
                    <w:widowControl/>
                    <w:spacing w:line="360" w:lineRule="auto"/>
                    <w:rPr>
                      <w:szCs w:val="21"/>
                    </w:rPr>
                  </w:pPr>
                  <w:r>
                    <w:rPr>
                      <w:rFonts w:hint="eastAsia"/>
                      <w:szCs w:val="21"/>
                    </w:rPr>
                    <w:t>生态保护重点目标：传统渔业资源、生物资源。</w:t>
                  </w:r>
                </w:p>
                <w:p>
                  <w:pPr>
                    <w:widowControl/>
                    <w:spacing w:line="360" w:lineRule="auto"/>
                    <w:rPr>
                      <w:kern w:val="0"/>
                      <w:szCs w:val="21"/>
                    </w:rPr>
                  </w:pPr>
                  <w:r>
                    <w:rPr>
                      <w:rFonts w:hint="eastAsia"/>
                      <w:szCs w:val="21"/>
                    </w:rPr>
                    <w:t>环境保护要求：加强海域污染防治和监测。渔业设施建设区海水水质不劣于二类（渔港区执行不劣于现状海水水质标准），海洋沉积物质量和海洋生物质量均不劣于二类标准。水产种质资源保护区、捕捞区海水水质、海洋沉积物质量和海洋生物质量均不劣于一类标准。其它海域海水水质不劣于二类标准，海洋沉积物质量和海洋生物质量均不劣于一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8" w:type="dxa"/>
                  <w:vAlign w:val="center"/>
                </w:tcPr>
                <w:p>
                  <w:pPr>
                    <w:widowControl/>
                    <w:spacing w:line="360" w:lineRule="auto"/>
                    <w:rPr>
                      <w:kern w:val="0"/>
                      <w:szCs w:val="21"/>
                    </w:rPr>
                  </w:pPr>
                  <w:r>
                    <w:rPr>
                      <w:rFonts w:hint="eastAsia"/>
                      <w:szCs w:val="21"/>
                    </w:rPr>
                    <w:t>A5-23</w:t>
                  </w:r>
                </w:p>
              </w:tc>
              <w:tc>
                <w:tcPr>
                  <w:tcW w:w="850" w:type="dxa"/>
                  <w:vAlign w:val="center"/>
                </w:tcPr>
                <w:p>
                  <w:pPr>
                    <w:widowControl/>
                    <w:spacing w:line="360" w:lineRule="auto"/>
                    <w:rPr>
                      <w:kern w:val="0"/>
                      <w:szCs w:val="21"/>
                    </w:rPr>
                  </w:pPr>
                  <w:r>
                    <w:rPr>
                      <w:rFonts w:hint="eastAsia"/>
                      <w:szCs w:val="21"/>
                    </w:rPr>
                    <w:t>威海湾旅游休闲娱乐区</w:t>
                  </w:r>
                </w:p>
              </w:tc>
              <w:tc>
                <w:tcPr>
                  <w:tcW w:w="6403" w:type="dxa"/>
                </w:tcPr>
                <w:p>
                  <w:pPr>
                    <w:widowControl/>
                    <w:spacing w:line="360" w:lineRule="auto"/>
                    <w:rPr>
                      <w:szCs w:val="21"/>
                    </w:rPr>
                  </w:pPr>
                  <w:r>
                    <w:rPr>
                      <w:rFonts w:hint="eastAsia"/>
                      <w:szCs w:val="21"/>
                    </w:rPr>
                    <w:t>生态保护重点目标：自然景观、海岸线。</w:t>
                  </w:r>
                </w:p>
                <w:p>
                  <w:pPr>
                    <w:widowControl/>
                    <w:spacing w:line="360" w:lineRule="auto"/>
                    <w:rPr>
                      <w:kern w:val="0"/>
                      <w:szCs w:val="21"/>
                    </w:rPr>
                  </w:pPr>
                  <w:r>
                    <w:rPr>
                      <w:rFonts w:hint="eastAsia"/>
                      <w:szCs w:val="21"/>
                    </w:rPr>
                    <w:t>环境保护要求：加强海洋环境质量监测。河口实行陆源污染物入海总量控制，进行减排防治。妥善处理生活垃圾，避免对毗邻海洋生态敏感区、亚敏感区产生影响。本海域文体休闲娱乐区海水水质不劣于二类标准，海洋沉积物质量和海洋生物质量均不劣于一类标准；风景旅游区海水水质不劣于二类标准，海洋沉积物质量和海洋生物质量均不劣于二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8" w:type="dxa"/>
                  <w:vAlign w:val="center"/>
                </w:tcPr>
                <w:p>
                  <w:pPr>
                    <w:widowControl/>
                    <w:spacing w:line="360" w:lineRule="auto"/>
                    <w:rPr>
                      <w:kern w:val="0"/>
                      <w:szCs w:val="21"/>
                    </w:rPr>
                  </w:pPr>
                  <w:r>
                    <w:rPr>
                      <w:rFonts w:hint="eastAsia"/>
                      <w:szCs w:val="21"/>
                    </w:rPr>
                    <w:t>A2-15</w:t>
                  </w:r>
                </w:p>
              </w:tc>
              <w:tc>
                <w:tcPr>
                  <w:tcW w:w="850" w:type="dxa"/>
                  <w:vAlign w:val="center"/>
                </w:tcPr>
                <w:p>
                  <w:pPr>
                    <w:widowControl/>
                    <w:spacing w:line="360" w:lineRule="auto"/>
                    <w:rPr>
                      <w:kern w:val="0"/>
                      <w:szCs w:val="21"/>
                    </w:rPr>
                  </w:pPr>
                  <w:r>
                    <w:rPr>
                      <w:rFonts w:hint="eastAsia"/>
                      <w:szCs w:val="21"/>
                    </w:rPr>
                    <w:t>威海南港口航运区</w:t>
                  </w:r>
                </w:p>
              </w:tc>
              <w:tc>
                <w:tcPr>
                  <w:tcW w:w="6403" w:type="dxa"/>
                </w:tcPr>
                <w:p>
                  <w:pPr>
                    <w:widowControl/>
                    <w:spacing w:line="360" w:lineRule="auto"/>
                    <w:rPr>
                      <w:szCs w:val="21"/>
                    </w:rPr>
                  </w:pPr>
                  <w:r>
                    <w:rPr>
                      <w:rFonts w:hint="eastAsia"/>
                      <w:szCs w:val="21"/>
                    </w:rPr>
                    <w:t>生态保护重点目标：港口水深地形条件。</w:t>
                  </w:r>
                </w:p>
                <w:p>
                  <w:pPr>
                    <w:widowControl/>
                    <w:spacing w:line="360" w:lineRule="auto"/>
                    <w:rPr>
                      <w:kern w:val="0"/>
                      <w:szCs w:val="21"/>
                    </w:rPr>
                  </w:pPr>
                  <w:r>
                    <w:rPr>
                      <w:rFonts w:hint="eastAsia"/>
                      <w:szCs w:val="21"/>
                    </w:rPr>
                    <w:t>环境保护要求：加强海域污染防治和监测。港口区海域海水水质不劣于四类标准，海洋沉积物质量和海洋生物质量均不劣于三类标准。航道及锚地海域海水水质不劣于三类标准，海洋沉积物质量和海洋生物质量均不劣于二类标准。避免对毗邻海洋敏感区、亚敏感区产生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8" w:type="dxa"/>
                  <w:vAlign w:val="center"/>
                </w:tcPr>
                <w:p>
                  <w:pPr>
                    <w:widowControl/>
                    <w:spacing w:line="360" w:lineRule="auto"/>
                    <w:rPr>
                      <w:kern w:val="0"/>
                      <w:szCs w:val="21"/>
                    </w:rPr>
                  </w:pPr>
                  <w:r>
                    <w:rPr>
                      <w:rFonts w:hint="eastAsia"/>
                      <w:szCs w:val="21"/>
                    </w:rPr>
                    <w:t>A2-13</w:t>
                  </w:r>
                </w:p>
              </w:tc>
              <w:tc>
                <w:tcPr>
                  <w:tcW w:w="850" w:type="dxa"/>
                  <w:vAlign w:val="center"/>
                </w:tcPr>
                <w:p>
                  <w:pPr>
                    <w:widowControl/>
                    <w:spacing w:line="360" w:lineRule="auto"/>
                    <w:rPr>
                      <w:kern w:val="0"/>
                      <w:szCs w:val="21"/>
                    </w:rPr>
                  </w:pPr>
                  <w:r>
                    <w:rPr>
                      <w:rFonts w:hint="eastAsia"/>
                      <w:szCs w:val="21"/>
                    </w:rPr>
                    <w:t>威海港口航运区</w:t>
                  </w:r>
                </w:p>
              </w:tc>
              <w:tc>
                <w:tcPr>
                  <w:tcW w:w="6403" w:type="dxa"/>
                </w:tcPr>
                <w:p>
                  <w:pPr>
                    <w:widowControl/>
                    <w:spacing w:line="360" w:lineRule="auto"/>
                    <w:rPr>
                      <w:szCs w:val="21"/>
                    </w:rPr>
                  </w:pPr>
                  <w:r>
                    <w:rPr>
                      <w:rFonts w:hint="eastAsia"/>
                      <w:szCs w:val="21"/>
                    </w:rPr>
                    <w:t>生态保护重点目标：港口水深地形条件。</w:t>
                  </w:r>
                </w:p>
                <w:p>
                  <w:pPr>
                    <w:widowControl/>
                    <w:spacing w:line="360" w:lineRule="auto"/>
                    <w:rPr>
                      <w:kern w:val="0"/>
                      <w:szCs w:val="21"/>
                    </w:rPr>
                  </w:pPr>
                  <w:r>
                    <w:rPr>
                      <w:rFonts w:hint="eastAsia"/>
                      <w:szCs w:val="21"/>
                    </w:rPr>
                    <w:t>环境保护要求：加强海域污染防治和监测。航道及锚地海域海水水质不劣于三类标准，海洋沉积物质量和海洋生物质量均不劣于二类标准。避免对临近海洋保护区等敏感区产生影响。</w:t>
                  </w:r>
                </w:p>
              </w:tc>
            </w:tr>
          </w:tbl>
          <w:p>
            <w:pPr>
              <w:adjustRightInd w:val="0"/>
              <w:snapToGrid w:val="0"/>
              <w:spacing w:line="360" w:lineRule="auto"/>
              <w:ind w:firstLine="482" w:firstLineChars="200"/>
              <w:rPr>
                <w:b/>
                <w:sz w:val="24"/>
              </w:rPr>
            </w:pPr>
            <w:r>
              <w:rPr>
                <w:rFonts w:hint="eastAsia"/>
                <w:b/>
                <w:sz w:val="24"/>
              </w:rPr>
              <w:t>2.</w:t>
            </w:r>
            <w:r>
              <w:rPr>
                <w:b/>
                <w:sz w:val="24"/>
              </w:rPr>
              <w:t xml:space="preserve"> </w:t>
            </w:r>
            <w:r>
              <w:rPr>
                <w:rFonts w:hint="eastAsia"/>
                <w:b/>
                <w:sz w:val="24"/>
              </w:rPr>
              <w:t>环境空气质量现状</w:t>
            </w:r>
          </w:p>
          <w:p>
            <w:pPr>
              <w:widowControl/>
              <w:spacing w:line="360" w:lineRule="auto"/>
              <w:ind w:firstLine="480" w:firstLineChars="200"/>
              <w:rPr>
                <w:sz w:val="24"/>
              </w:rPr>
            </w:pPr>
            <w:r>
              <w:rPr>
                <w:rFonts w:hint="eastAsia"/>
                <w:sz w:val="24"/>
              </w:rPr>
              <w:t>引用</w:t>
            </w:r>
            <w:r>
              <w:rPr>
                <w:sz w:val="24"/>
              </w:rPr>
              <w:t>2019</w:t>
            </w:r>
            <w:r>
              <w:rPr>
                <w:rFonts w:hint="eastAsia"/>
                <w:sz w:val="24"/>
              </w:rPr>
              <w:t>年威海市环境质量公报数据，全市环境空气质量连续四年达到国家二级标准，稳居全省第一位。</w:t>
            </w:r>
          </w:p>
          <w:p>
            <w:pPr>
              <w:adjustRightInd w:val="0"/>
              <w:snapToGrid w:val="0"/>
              <w:spacing w:line="360" w:lineRule="auto"/>
              <w:ind w:firstLine="480" w:firstLineChars="200"/>
              <w:rPr>
                <w:sz w:val="24"/>
              </w:rPr>
            </w:pPr>
            <w:r>
              <w:rPr>
                <w:rFonts w:hint="eastAsia"/>
                <w:sz w:val="24"/>
              </w:rPr>
              <w:t>环境空气主要污染物二氧化硫和二氧化氮年均值、一氧化碳24小时平均第95百分位数浓度值3项指标分别</w:t>
            </w:r>
            <w:r>
              <w:rPr>
                <w:sz w:val="24"/>
              </w:rPr>
              <w:t>为6μg/m</w:t>
            </w:r>
            <w:r>
              <w:rPr>
                <w:sz w:val="24"/>
                <w:vertAlign w:val="superscript"/>
              </w:rPr>
              <w:t>3</w:t>
            </w:r>
            <w:r>
              <w:rPr>
                <w:sz w:val="24"/>
              </w:rPr>
              <w:t>、20μg/m</w:t>
            </w:r>
            <w:r>
              <w:rPr>
                <w:sz w:val="24"/>
                <w:vertAlign w:val="superscript"/>
              </w:rPr>
              <w:t>3</w:t>
            </w:r>
            <w:r>
              <w:rPr>
                <w:sz w:val="24"/>
              </w:rPr>
              <w:t>、1.1mg/m</w:t>
            </w:r>
            <w:r>
              <w:rPr>
                <w:sz w:val="24"/>
                <w:vertAlign w:val="superscript"/>
              </w:rPr>
              <w:t>3</w:t>
            </w:r>
            <w:r>
              <w:rPr>
                <w:sz w:val="24"/>
              </w:rPr>
              <w:t>，达到国家《环境空气质量标准》（GB3095-2012）一级标准（20μg/m</w:t>
            </w:r>
            <w:r>
              <w:rPr>
                <w:sz w:val="24"/>
                <w:vertAlign w:val="superscript"/>
              </w:rPr>
              <w:t>3</w:t>
            </w:r>
            <w:r>
              <w:rPr>
                <w:sz w:val="24"/>
              </w:rPr>
              <w:t>、40μg/m</w:t>
            </w:r>
            <w:r>
              <w:rPr>
                <w:sz w:val="24"/>
                <w:vertAlign w:val="superscript"/>
              </w:rPr>
              <w:t>3</w:t>
            </w:r>
            <w:r>
              <w:rPr>
                <w:sz w:val="24"/>
              </w:rPr>
              <w:t>、4mg/m</w:t>
            </w:r>
            <w:r>
              <w:rPr>
                <w:sz w:val="24"/>
                <w:vertAlign w:val="superscript"/>
              </w:rPr>
              <w:t>3</w:t>
            </w:r>
            <w:r>
              <w:rPr>
                <w:sz w:val="24"/>
              </w:rPr>
              <w:t>）；可吸入颗粒物(PM</w:t>
            </w:r>
            <w:r>
              <w:rPr>
                <w:sz w:val="24"/>
                <w:vertAlign w:val="subscript"/>
              </w:rPr>
              <w:t>10</w:t>
            </w:r>
            <w:r>
              <w:rPr>
                <w:sz w:val="24"/>
              </w:rPr>
              <w:t>)和细颗粒物(PM</w:t>
            </w:r>
            <w:r>
              <w:rPr>
                <w:sz w:val="24"/>
                <w:vertAlign w:val="subscript"/>
              </w:rPr>
              <w:t>2.5</w:t>
            </w:r>
            <w:r>
              <w:rPr>
                <w:sz w:val="24"/>
              </w:rPr>
              <w:t>)年均值、臭氧日最大8小时滑动平均值的第90百分位数浓度值3项指标分别为56μg/m</w:t>
            </w:r>
            <w:r>
              <w:rPr>
                <w:sz w:val="24"/>
                <w:vertAlign w:val="superscript"/>
              </w:rPr>
              <w:t>3</w:t>
            </w:r>
            <w:r>
              <w:rPr>
                <w:sz w:val="24"/>
              </w:rPr>
              <w:t>、29μg/m</w:t>
            </w:r>
            <w:r>
              <w:rPr>
                <w:sz w:val="24"/>
                <w:vertAlign w:val="superscript"/>
              </w:rPr>
              <w:t>3</w:t>
            </w:r>
            <w:r>
              <w:rPr>
                <w:sz w:val="24"/>
              </w:rPr>
              <w:t>、160μg/m</w:t>
            </w:r>
            <w:r>
              <w:rPr>
                <w:sz w:val="24"/>
                <w:vertAlign w:val="superscript"/>
              </w:rPr>
              <w:t>3</w:t>
            </w:r>
            <w:r>
              <w:rPr>
                <w:sz w:val="24"/>
              </w:rPr>
              <w:t>，达到《环境空气质量标准》二级标准(70μg/m</w:t>
            </w:r>
            <w:r>
              <w:rPr>
                <w:sz w:val="24"/>
                <w:vertAlign w:val="superscript"/>
              </w:rPr>
              <w:t>3</w:t>
            </w:r>
            <w:r>
              <w:rPr>
                <w:sz w:val="24"/>
              </w:rPr>
              <w:t>、35μg/m</w:t>
            </w:r>
            <w:r>
              <w:rPr>
                <w:sz w:val="24"/>
                <w:vertAlign w:val="superscript"/>
              </w:rPr>
              <w:t>3</w:t>
            </w:r>
            <w:r>
              <w:rPr>
                <w:sz w:val="24"/>
              </w:rPr>
              <w:t>、160μg/m</w:t>
            </w:r>
            <w:r>
              <w:rPr>
                <w:sz w:val="24"/>
                <w:vertAlign w:val="superscript"/>
              </w:rPr>
              <w:t>3</w:t>
            </w:r>
            <w:r>
              <w:rPr>
                <w:sz w:val="24"/>
              </w:rPr>
              <w:t>)。</w:t>
            </w:r>
            <w:r>
              <w:rPr>
                <w:kern w:val="0"/>
                <w:sz w:val="24"/>
              </w:rPr>
              <w:t>因此，</w:t>
            </w:r>
            <w:r>
              <w:rPr>
                <w:rFonts w:hint="eastAsia"/>
                <w:kern w:val="0"/>
                <w:sz w:val="24"/>
              </w:rPr>
              <w:t>项目所在区域环境空气质量符合《环境空气质量标准》（</w:t>
            </w:r>
            <w:r>
              <w:rPr>
                <w:kern w:val="0"/>
                <w:sz w:val="24"/>
              </w:rPr>
              <w:t>GB3095-2012</w:t>
            </w:r>
            <w:r>
              <w:rPr>
                <w:rFonts w:hint="eastAsia"/>
                <w:kern w:val="0"/>
                <w:sz w:val="24"/>
              </w:rPr>
              <w:t>）二级标准。</w:t>
            </w:r>
          </w:p>
          <w:p>
            <w:pPr>
              <w:adjustRightInd w:val="0"/>
              <w:snapToGrid w:val="0"/>
              <w:spacing w:line="360" w:lineRule="auto"/>
              <w:ind w:firstLine="482" w:firstLineChars="200"/>
              <w:rPr>
                <w:b/>
                <w:sz w:val="24"/>
              </w:rPr>
            </w:pPr>
            <w:r>
              <w:rPr>
                <w:b/>
                <w:sz w:val="24"/>
              </w:rPr>
              <w:t>3</w:t>
            </w:r>
            <w:r>
              <w:rPr>
                <w:rFonts w:hint="eastAsia"/>
                <w:b/>
                <w:sz w:val="24"/>
              </w:rPr>
              <w:t>.</w:t>
            </w:r>
            <w:r>
              <w:rPr>
                <w:b/>
                <w:sz w:val="24"/>
              </w:rPr>
              <w:t xml:space="preserve"> </w:t>
            </w:r>
            <w:r>
              <w:rPr>
                <w:rFonts w:hint="eastAsia"/>
                <w:b/>
                <w:sz w:val="24"/>
              </w:rPr>
              <w:t>声环境质量现状</w:t>
            </w:r>
          </w:p>
          <w:p>
            <w:pPr>
              <w:adjustRightInd w:val="0"/>
              <w:snapToGrid w:val="0"/>
              <w:spacing w:line="360" w:lineRule="auto"/>
              <w:ind w:firstLine="480" w:firstLineChars="200"/>
              <w:rPr>
                <w:sz w:val="24"/>
              </w:rPr>
            </w:pPr>
            <w:r>
              <w:rPr>
                <w:rFonts w:hint="eastAsia"/>
                <w:sz w:val="24"/>
              </w:rPr>
              <w:t>项目位于华能威海电厂院内，根据电厂提供的2</w:t>
            </w:r>
            <w:r>
              <w:rPr>
                <w:sz w:val="24"/>
              </w:rPr>
              <w:t>020</w:t>
            </w:r>
            <w:r>
              <w:rPr>
                <w:rFonts w:hint="eastAsia"/>
                <w:sz w:val="24"/>
              </w:rPr>
              <w:t>年9月4日厂界噪声例行监测数据（SHEOE-</w:t>
            </w:r>
            <w:r>
              <w:rPr>
                <w:sz w:val="24"/>
              </w:rPr>
              <w:t>004</w:t>
            </w:r>
            <w:r>
              <w:rPr>
                <w:rFonts w:hint="eastAsia"/>
                <w:sz w:val="24"/>
              </w:rPr>
              <w:t>-R</w:t>
            </w:r>
            <w:r>
              <w:rPr>
                <w:sz w:val="24"/>
              </w:rPr>
              <w:t>04</w:t>
            </w:r>
            <w:r>
              <w:rPr>
                <w:rFonts w:hint="eastAsia"/>
                <w:sz w:val="24"/>
              </w:rPr>
              <w:t>），具体点位布设见图</w:t>
            </w:r>
            <w:r>
              <w:rPr>
                <w:sz w:val="24"/>
              </w:rPr>
              <w:t>3</w:t>
            </w:r>
            <w:r>
              <w:rPr>
                <w:rFonts w:hint="eastAsia"/>
                <w:sz w:val="24"/>
              </w:rPr>
              <w:t>，结果见表</w:t>
            </w:r>
            <w:r>
              <w:rPr>
                <w:sz w:val="24"/>
              </w:rPr>
              <w:t>9</w:t>
            </w:r>
            <w:r>
              <w:rPr>
                <w:rFonts w:hint="eastAsia"/>
                <w:sz w:val="24"/>
              </w:rPr>
              <w:t>。</w:t>
            </w:r>
          </w:p>
          <w:p>
            <w:pPr>
              <w:adjustRightInd w:val="0"/>
              <w:snapToGrid w:val="0"/>
              <w:spacing w:line="360" w:lineRule="auto"/>
              <w:ind w:firstLine="480" w:firstLineChars="200"/>
              <w:rPr>
                <w:sz w:val="24"/>
              </w:rPr>
            </w:pPr>
          </w:p>
          <w:p>
            <w:pPr>
              <w:adjustRightInd w:val="0"/>
              <w:snapToGrid w:val="0"/>
              <w:spacing w:line="360" w:lineRule="auto"/>
              <w:ind w:firstLine="480" w:firstLineChars="200"/>
              <w:rPr>
                <w:sz w:val="24"/>
              </w:rPr>
            </w:pPr>
          </w:p>
          <w:p>
            <w:pPr>
              <w:adjustRightInd w:val="0"/>
              <w:snapToGrid w:val="0"/>
              <w:spacing w:line="360" w:lineRule="auto"/>
              <w:ind w:firstLine="480" w:firstLineChars="200"/>
              <w:rPr>
                <w:sz w:val="24"/>
              </w:rPr>
            </w:pPr>
          </w:p>
          <w:p>
            <w:pPr>
              <w:adjustRightInd w:val="0"/>
              <w:snapToGrid w:val="0"/>
              <w:spacing w:line="360" w:lineRule="auto"/>
              <w:ind w:firstLine="482" w:firstLineChars="200"/>
              <w:jc w:val="center"/>
              <w:rPr>
                <w:b/>
                <w:bCs/>
                <w:sz w:val="24"/>
              </w:rPr>
            </w:pPr>
            <w:r>
              <w:rPr>
                <w:b/>
                <w:bCs/>
                <w:sz w:val="24"/>
              </w:rPr>
              <w:drawing>
                <wp:inline distT="0" distB="0" distL="0" distR="0">
                  <wp:extent cx="5263515" cy="217551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263515" cy="2175510"/>
                          </a:xfrm>
                          <a:prstGeom prst="rect">
                            <a:avLst/>
                          </a:prstGeom>
                          <a:noFill/>
                          <a:ln>
                            <a:noFill/>
                          </a:ln>
                        </pic:spPr>
                      </pic:pic>
                    </a:graphicData>
                  </a:graphic>
                </wp:inline>
              </w:drawing>
            </w:r>
          </w:p>
          <w:p>
            <w:pPr>
              <w:adjustRightInd w:val="0"/>
              <w:snapToGrid w:val="0"/>
              <w:spacing w:line="360" w:lineRule="auto"/>
              <w:ind w:firstLine="482" w:firstLineChars="200"/>
              <w:jc w:val="center"/>
              <w:rPr>
                <w:b/>
                <w:bCs/>
                <w:sz w:val="24"/>
              </w:rPr>
            </w:pPr>
            <w:r>
              <w:rPr>
                <w:rFonts w:hint="eastAsia"/>
                <w:b/>
                <w:bCs/>
                <w:sz w:val="24"/>
              </w:rPr>
              <w:t>图</w:t>
            </w:r>
            <w:r>
              <w:rPr>
                <w:b/>
                <w:bCs/>
                <w:sz w:val="24"/>
              </w:rPr>
              <w:t xml:space="preserve">3 </w:t>
            </w:r>
            <w:r>
              <w:rPr>
                <w:rFonts w:hint="eastAsia"/>
                <w:b/>
                <w:bCs/>
                <w:sz w:val="24"/>
              </w:rPr>
              <w:t>厂界噪声现状监测点位示意图</w:t>
            </w:r>
          </w:p>
          <w:p>
            <w:pPr>
              <w:adjustRightInd w:val="0"/>
              <w:snapToGrid w:val="0"/>
              <w:spacing w:line="360" w:lineRule="auto"/>
              <w:ind w:firstLine="482" w:firstLineChars="200"/>
              <w:jc w:val="center"/>
              <w:rPr>
                <w:b/>
                <w:bCs/>
                <w:sz w:val="24"/>
              </w:rPr>
            </w:pPr>
            <w:r>
              <w:rPr>
                <w:rFonts w:hint="eastAsia"/>
                <w:b/>
                <w:bCs/>
                <w:sz w:val="24"/>
              </w:rPr>
              <w:t>表</w:t>
            </w:r>
            <w:r>
              <w:rPr>
                <w:b/>
                <w:bCs/>
                <w:sz w:val="24"/>
              </w:rPr>
              <w:t xml:space="preserve">9 </w:t>
            </w:r>
            <w:r>
              <w:rPr>
                <w:rFonts w:hint="eastAsia"/>
                <w:b/>
                <w:bCs/>
                <w:sz w:val="24"/>
              </w:rPr>
              <w:t>厂界噪声现状监测结果dB（A）</w:t>
            </w:r>
          </w:p>
          <w:tbl>
            <w:tblPr>
              <w:tblStyle w:val="88"/>
              <w:tblW w:w="800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57" w:type="dxa"/>
                <w:left w:w="108" w:type="dxa"/>
                <w:bottom w:w="57" w:type="dxa"/>
                <w:right w:w="108" w:type="dxa"/>
              </w:tblCellMar>
            </w:tblPr>
            <w:tblGrid>
              <w:gridCol w:w="739"/>
              <w:gridCol w:w="1798"/>
              <w:gridCol w:w="1156"/>
              <w:gridCol w:w="899"/>
              <w:gridCol w:w="1156"/>
              <w:gridCol w:w="1073"/>
              <w:gridCol w:w="118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57" w:type="dxa"/>
                  <w:left w:w="108" w:type="dxa"/>
                  <w:bottom w:w="57" w:type="dxa"/>
                  <w:right w:w="108" w:type="dxa"/>
                </w:tblCellMar>
              </w:tblPrEx>
              <w:trPr>
                <w:cantSplit/>
                <w:trHeight w:val="633" w:hRule="exact"/>
                <w:jc w:val="center"/>
              </w:trPr>
              <w:tc>
                <w:tcPr>
                  <w:tcW w:w="739" w:type="dxa"/>
                  <w:vAlign w:val="center"/>
                </w:tcPr>
                <w:p>
                  <w:pPr>
                    <w:jc w:val="center"/>
                    <w:rPr>
                      <w:spacing w:val="-12"/>
                      <w:szCs w:val="21"/>
                    </w:rPr>
                  </w:pPr>
                  <w:r>
                    <w:rPr>
                      <w:spacing w:val="-12"/>
                      <w:szCs w:val="21"/>
                    </w:rPr>
                    <w:t>序号</w:t>
                  </w:r>
                </w:p>
              </w:tc>
              <w:tc>
                <w:tcPr>
                  <w:tcW w:w="1798" w:type="dxa"/>
                  <w:vAlign w:val="center"/>
                </w:tcPr>
                <w:p>
                  <w:pPr>
                    <w:jc w:val="center"/>
                    <w:rPr>
                      <w:spacing w:val="-12"/>
                      <w:szCs w:val="21"/>
                    </w:rPr>
                  </w:pPr>
                  <w:r>
                    <w:rPr>
                      <w:spacing w:val="-12"/>
                      <w:szCs w:val="21"/>
                    </w:rPr>
                    <w:t>监测地点</w:t>
                  </w:r>
                </w:p>
              </w:tc>
              <w:tc>
                <w:tcPr>
                  <w:tcW w:w="1156" w:type="dxa"/>
                  <w:vAlign w:val="center"/>
                </w:tcPr>
                <w:p>
                  <w:pPr>
                    <w:jc w:val="center"/>
                    <w:rPr>
                      <w:spacing w:val="-12"/>
                      <w:szCs w:val="21"/>
                    </w:rPr>
                  </w:pPr>
                  <w:r>
                    <w:rPr>
                      <w:spacing w:val="-12"/>
                      <w:szCs w:val="21"/>
                    </w:rPr>
                    <w:t>监测时间</w:t>
                  </w:r>
                </w:p>
                <w:p>
                  <w:pPr>
                    <w:jc w:val="center"/>
                    <w:rPr>
                      <w:spacing w:val="-12"/>
                      <w:szCs w:val="21"/>
                    </w:rPr>
                  </w:pPr>
                  <w:r>
                    <w:rPr>
                      <w:spacing w:val="-12"/>
                      <w:szCs w:val="21"/>
                    </w:rPr>
                    <w:t>（昼间）</w:t>
                  </w:r>
                </w:p>
              </w:tc>
              <w:tc>
                <w:tcPr>
                  <w:tcW w:w="899" w:type="dxa"/>
                  <w:vAlign w:val="center"/>
                </w:tcPr>
                <w:p>
                  <w:pPr>
                    <w:jc w:val="center"/>
                    <w:rPr>
                      <w:spacing w:val="-12"/>
                      <w:szCs w:val="21"/>
                    </w:rPr>
                  </w:pPr>
                  <w:r>
                    <w:rPr>
                      <w:spacing w:val="-12"/>
                      <w:szCs w:val="21"/>
                    </w:rPr>
                    <w:t>噪声值</w:t>
                  </w:r>
                </w:p>
                <w:p>
                  <w:pPr>
                    <w:jc w:val="center"/>
                    <w:rPr>
                      <w:spacing w:val="-12"/>
                      <w:szCs w:val="21"/>
                    </w:rPr>
                  </w:pPr>
                  <w:r>
                    <w:rPr>
                      <w:spacing w:val="-12"/>
                      <w:szCs w:val="21"/>
                    </w:rPr>
                    <w:t>dB(A)</w:t>
                  </w:r>
                </w:p>
              </w:tc>
              <w:tc>
                <w:tcPr>
                  <w:tcW w:w="1156" w:type="dxa"/>
                  <w:vAlign w:val="center"/>
                </w:tcPr>
                <w:p>
                  <w:pPr>
                    <w:jc w:val="center"/>
                    <w:rPr>
                      <w:spacing w:val="-12"/>
                      <w:szCs w:val="21"/>
                    </w:rPr>
                  </w:pPr>
                  <w:r>
                    <w:rPr>
                      <w:spacing w:val="-12"/>
                      <w:szCs w:val="21"/>
                    </w:rPr>
                    <w:t>监测时间</w:t>
                  </w:r>
                </w:p>
                <w:p>
                  <w:pPr>
                    <w:jc w:val="center"/>
                    <w:rPr>
                      <w:spacing w:val="-12"/>
                      <w:szCs w:val="21"/>
                    </w:rPr>
                  </w:pPr>
                  <w:r>
                    <w:rPr>
                      <w:spacing w:val="-12"/>
                      <w:szCs w:val="21"/>
                    </w:rPr>
                    <w:t>（夜间）</w:t>
                  </w:r>
                </w:p>
              </w:tc>
              <w:tc>
                <w:tcPr>
                  <w:tcW w:w="1073" w:type="dxa"/>
                  <w:vAlign w:val="center"/>
                </w:tcPr>
                <w:p>
                  <w:pPr>
                    <w:jc w:val="center"/>
                    <w:rPr>
                      <w:spacing w:val="-12"/>
                      <w:szCs w:val="21"/>
                    </w:rPr>
                  </w:pPr>
                  <w:r>
                    <w:rPr>
                      <w:spacing w:val="-12"/>
                      <w:szCs w:val="21"/>
                    </w:rPr>
                    <w:t>噪声值</w:t>
                  </w:r>
                </w:p>
                <w:p>
                  <w:pPr>
                    <w:jc w:val="center"/>
                    <w:rPr>
                      <w:spacing w:val="-12"/>
                      <w:szCs w:val="21"/>
                    </w:rPr>
                  </w:pPr>
                  <w:r>
                    <w:rPr>
                      <w:spacing w:val="-12"/>
                      <w:szCs w:val="21"/>
                    </w:rPr>
                    <w:t>dB</w:t>
                  </w:r>
                  <w:r>
                    <w:rPr>
                      <w:rFonts w:hint="eastAsia"/>
                      <w:spacing w:val="-12"/>
                      <w:szCs w:val="21"/>
                    </w:rPr>
                    <w:t>（A）</w:t>
                  </w:r>
                  <w:r>
                    <w:rPr>
                      <w:spacing w:val="-12"/>
                      <w:szCs w:val="21"/>
                    </w:rPr>
                    <w:t>（A）</w:t>
                  </w:r>
                </w:p>
              </w:tc>
              <w:tc>
                <w:tcPr>
                  <w:tcW w:w="1180" w:type="dxa"/>
                  <w:vAlign w:val="center"/>
                </w:tcPr>
                <w:p>
                  <w:pPr>
                    <w:jc w:val="center"/>
                    <w:rPr>
                      <w:spacing w:val="-12"/>
                      <w:szCs w:val="21"/>
                    </w:rPr>
                  </w:pPr>
                  <w:r>
                    <w:rPr>
                      <w:spacing w:val="-12"/>
                      <w:szCs w:val="21"/>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57" w:type="dxa"/>
                  <w:left w:w="108" w:type="dxa"/>
                  <w:bottom w:w="57" w:type="dxa"/>
                  <w:right w:w="108" w:type="dxa"/>
                </w:tblCellMar>
              </w:tblPrEx>
              <w:trPr>
                <w:cantSplit/>
                <w:trHeight w:val="344" w:hRule="exact"/>
                <w:jc w:val="center"/>
              </w:trPr>
              <w:tc>
                <w:tcPr>
                  <w:tcW w:w="739" w:type="dxa"/>
                  <w:vAlign w:val="center"/>
                </w:tcPr>
                <w:p>
                  <w:pPr>
                    <w:jc w:val="center"/>
                    <w:rPr>
                      <w:szCs w:val="21"/>
                    </w:rPr>
                  </w:pPr>
                  <w:r>
                    <w:rPr>
                      <w:szCs w:val="21"/>
                    </w:rPr>
                    <w:t>1</w:t>
                  </w:r>
                </w:p>
              </w:tc>
              <w:tc>
                <w:tcPr>
                  <w:tcW w:w="1798" w:type="dxa"/>
                  <w:vAlign w:val="center"/>
                </w:tcPr>
                <w:p>
                  <w:pPr>
                    <w:jc w:val="center"/>
                    <w:rPr>
                      <w:szCs w:val="21"/>
                    </w:rPr>
                  </w:pPr>
                  <w:r>
                    <w:rPr>
                      <w:szCs w:val="21"/>
                    </w:rPr>
                    <w:t>三期煤场东</w:t>
                  </w:r>
                </w:p>
              </w:tc>
              <w:tc>
                <w:tcPr>
                  <w:tcW w:w="1156" w:type="dxa"/>
                  <w:vAlign w:val="center"/>
                </w:tcPr>
                <w:p>
                  <w:pPr>
                    <w:jc w:val="center"/>
                    <w:rPr>
                      <w:szCs w:val="21"/>
                    </w:rPr>
                  </w:pPr>
                  <w:r>
                    <w:rPr>
                      <w:szCs w:val="21"/>
                    </w:rPr>
                    <w:t>09:30</w:t>
                  </w:r>
                </w:p>
              </w:tc>
              <w:tc>
                <w:tcPr>
                  <w:tcW w:w="899" w:type="dxa"/>
                  <w:vAlign w:val="center"/>
                </w:tcPr>
                <w:p>
                  <w:pPr>
                    <w:jc w:val="center"/>
                    <w:rPr>
                      <w:szCs w:val="21"/>
                    </w:rPr>
                  </w:pPr>
                  <w:r>
                    <w:rPr>
                      <w:szCs w:val="21"/>
                    </w:rPr>
                    <w:t>51.6</w:t>
                  </w:r>
                </w:p>
              </w:tc>
              <w:tc>
                <w:tcPr>
                  <w:tcW w:w="1156" w:type="dxa"/>
                  <w:vAlign w:val="center"/>
                </w:tcPr>
                <w:p>
                  <w:pPr>
                    <w:jc w:val="center"/>
                    <w:rPr>
                      <w:szCs w:val="21"/>
                    </w:rPr>
                  </w:pPr>
                  <w:r>
                    <w:rPr>
                      <w:szCs w:val="21"/>
                    </w:rPr>
                    <w:t>22:20</w:t>
                  </w:r>
                </w:p>
              </w:tc>
              <w:tc>
                <w:tcPr>
                  <w:tcW w:w="1073" w:type="dxa"/>
                  <w:vAlign w:val="center"/>
                </w:tcPr>
                <w:p>
                  <w:pPr>
                    <w:jc w:val="center"/>
                    <w:rPr>
                      <w:szCs w:val="21"/>
                    </w:rPr>
                  </w:pPr>
                  <w:r>
                    <w:rPr>
                      <w:szCs w:val="21"/>
                    </w:rPr>
                    <w:t>47.9</w:t>
                  </w:r>
                </w:p>
              </w:tc>
              <w:tc>
                <w:tcPr>
                  <w:tcW w:w="1180" w:type="dxa"/>
                  <w:vAlign w:val="center"/>
                </w:tcPr>
                <w:p>
                  <w:pPr>
                    <w:jc w:val="center"/>
                    <w:rPr>
                      <w:szCs w:val="21"/>
                    </w:rPr>
                  </w:pPr>
                  <w:r>
                    <w:rPr>
                      <w:szCs w:val="21"/>
                    </w:rPr>
                    <w:t>东厂界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57" w:type="dxa"/>
                  <w:left w:w="108" w:type="dxa"/>
                  <w:bottom w:w="57" w:type="dxa"/>
                  <w:right w:w="108" w:type="dxa"/>
                </w:tblCellMar>
              </w:tblPrEx>
              <w:trPr>
                <w:cantSplit/>
                <w:trHeight w:val="377" w:hRule="exact"/>
                <w:jc w:val="center"/>
              </w:trPr>
              <w:tc>
                <w:tcPr>
                  <w:tcW w:w="739" w:type="dxa"/>
                  <w:vAlign w:val="center"/>
                </w:tcPr>
                <w:p>
                  <w:pPr>
                    <w:jc w:val="center"/>
                    <w:rPr>
                      <w:szCs w:val="21"/>
                    </w:rPr>
                  </w:pPr>
                  <w:r>
                    <w:rPr>
                      <w:szCs w:val="21"/>
                    </w:rPr>
                    <w:t>2</w:t>
                  </w:r>
                </w:p>
              </w:tc>
              <w:tc>
                <w:tcPr>
                  <w:tcW w:w="1798" w:type="dxa"/>
                  <w:vAlign w:val="center"/>
                </w:tcPr>
                <w:p>
                  <w:pPr>
                    <w:jc w:val="center"/>
                    <w:rPr>
                      <w:szCs w:val="21"/>
                    </w:rPr>
                  </w:pPr>
                  <w:r>
                    <w:rPr>
                      <w:szCs w:val="21"/>
                    </w:rPr>
                    <w:t>#6机南围墙外</w:t>
                  </w:r>
                </w:p>
              </w:tc>
              <w:tc>
                <w:tcPr>
                  <w:tcW w:w="1156" w:type="dxa"/>
                  <w:vAlign w:val="center"/>
                </w:tcPr>
                <w:p>
                  <w:pPr>
                    <w:jc w:val="center"/>
                    <w:rPr>
                      <w:szCs w:val="21"/>
                    </w:rPr>
                  </w:pPr>
                  <w:r>
                    <w:rPr>
                      <w:szCs w:val="21"/>
                    </w:rPr>
                    <w:t>09:21</w:t>
                  </w:r>
                </w:p>
              </w:tc>
              <w:tc>
                <w:tcPr>
                  <w:tcW w:w="899" w:type="dxa"/>
                  <w:vAlign w:val="center"/>
                </w:tcPr>
                <w:p>
                  <w:pPr>
                    <w:jc w:val="center"/>
                    <w:rPr>
                      <w:szCs w:val="21"/>
                    </w:rPr>
                  </w:pPr>
                  <w:r>
                    <w:rPr>
                      <w:szCs w:val="21"/>
                    </w:rPr>
                    <w:t>64.9</w:t>
                  </w:r>
                </w:p>
              </w:tc>
              <w:tc>
                <w:tcPr>
                  <w:tcW w:w="1156" w:type="dxa"/>
                  <w:vAlign w:val="center"/>
                </w:tcPr>
                <w:p>
                  <w:pPr>
                    <w:jc w:val="center"/>
                    <w:rPr>
                      <w:szCs w:val="21"/>
                    </w:rPr>
                  </w:pPr>
                  <w:r>
                    <w:rPr>
                      <w:szCs w:val="21"/>
                    </w:rPr>
                    <w:t>22:10</w:t>
                  </w:r>
                </w:p>
              </w:tc>
              <w:tc>
                <w:tcPr>
                  <w:tcW w:w="1073" w:type="dxa"/>
                  <w:vAlign w:val="center"/>
                </w:tcPr>
                <w:p>
                  <w:pPr>
                    <w:jc w:val="center"/>
                    <w:rPr>
                      <w:szCs w:val="21"/>
                    </w:rPr>
                  </w:pPr>
                  <w:r>
                    <w:rPr>
                      <w:szCs w:val="21"/>
                    </w:rPr>
                    <w:t>54.8</w:t>
                  </w:r>
                </w:p>
              </w:tc>
              <w:tc>
                <w:tcPr>
                  <w:tcW w:w="1180" w:type="dxa"/>
                  <w:vAlign w:val="center"/>
                </w:tcPr>
                <w:p>
                  <w:pPr>
                    <w:jc w:val="center"/>
                    <w:rPr>
                      <w:szCs w:val="21"/>
                    </w:rPr>
                  </w:pPr>
                  <w:r>
                    <w:rPr>
                      <w:szCs w:val="21"/>
                    </w:rPr>
                    <w:t>南厂界1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57" w:type="dxa"/>
                  <w:left w:w="108" w:type="dxa"/>
                  <w:bottom w:w="57" w:type="dxa"/>
                  <w:right w:w="108" w:type="dxa"/>
                </w:tblCellMar>
              </w:tblPrEx>
              <w:trPr>
                <w:cantSplit/>
                <w:trHeight w:val="368" w:hRule="exact"/>
                <w:jc w:val="center"/>
              </w:trPr>
              <w:tc>
                <w:tcPr>
                  <w:tcW w:w="739" w:type="dxa"/>
                  <w:vAlign w:val="center"/>
                </w:tcPr>
                <w:p>
                  <w:pPr>
                    <w:jc w:val="center"/>
                    <w:rPr>
                      <w:szCs w:val="21"/>
                    </w:rPr>
                  </w:pPr>
                  <w:r>
                    <w:rPr>
                      <w:szCs w:val="21"/>
                    </w:rPr>
                    <w:t>3</w:t>
                  </w:r>
                </w:p>
              </w:tc>
              <w:tc>
                <w:tcPr>
                  <w:tcW w:w="1798" w:type="dxa"/>
                  <w:vAlign w:val="center"/>
                </w:tcPr>
                <w:p>
                  <w:pPr>
                    <w:jc w:val="center"/>
                    <w:rPr>
                      <w:szCs w:val="21"/>
                    </w:rPr>
                  </w:pPr>
                  <w:r>
                    <w:rPr>
                      <w:szCs w:val="21"/>
                    </w:rPr>
                    <w:t>油库南围墙外</w:t>
                  </w:r>
                </w:p>
              </w:tc>
              <w:tc>
                <w:tcPr>
                  <w:tcW w:w="1156" w:type="dxa"/>
                  <w:vAlign w:val="center"/>
                </w:tcPr>
                <w:p>
                  <w:pPr>
                    <w:jc w:val="center"/>
                    <w:rPr>
                      <w:szCs w:val="21"/>
                    </w:rPr>
                  </w:pPr>
                  <w:r>
                    <w:rPr>
                      <w:szCs w:val="21"/>
                    </w:rPr>
                    <w:t>09:12</w:t>
                  </w:r>
                </w:p>
              </w:tc>
              <w:tc>
                <w:tcPr>
                  <w:tcW w:w="899" w:type="dxa"/>
                  <w:vAlign w:val="center"/>
                </w:tcPr>
                <w:p>
                  <w:pPr>
                    <w:jc w:val="center"/>
                    <w:rPr>
                      <w:szCs w:val="21"/>
                    </w:rPr>
                  </w:pPr>
                  <w:r>
                    <w:rPr>
                      <w:szCs w:val="21"/>
                    </w:rPr>
                    <w:t>52.7</w:t>
                  </w:r>
                </w:p>
              </w:tc>
              <w:tc>
                <w:tcPr>
                  <w:tcW w:w="1156" w:type="dxa"/>
                  <w:vAlign w:val="center"/>
                </w:tcPr>
                <w:p>
                  <w:pPr>
                    <w:jc w:val="center"/>
                    <w:rPr>
                      <w:szCs w:val="21"/>
                    </w:rPr>
                  </w:pPr>
                  <w:r>
                    <w:rPr>
                      <w:szCs w:val="21"/>
                    </w:rPr>
                    <w:t>22:08</w:t>
                  </w:r>
                </w:p>
              </w:tc>
              <w:tc>
                <w:tcPr>
                  <w:tcW w:w="1073" w:type="dxa"/>
                  <w:vAlign w:val="center"/>
                </w:tcPr>
                <w:p>
                  <w:pPr>
                    <w:jc w:val="center"/>
                    <w:rPr>
                      <w:szCs w:val="21"/>
                    </w:rPr>
                  </w:pPr>
                  <w:r>
                    <w:rPr>
                      <w:szCs w:val="21"/>
                    </w:rPr>
                    <w:t>47.6</w:t>
                  </w:r>
                </w:p>
              </w:tc>
              <w:tc>
                <w:tcPr>
                  <w:tcW w:w="1180" w:type="dxa"/>
                  <w:vAlign w:val="center"/>
                </w:tcPr>
                <w:p>
                  <w:pPr>
                    <w:jc w:val="center"/>
                    <w:rPr>
                      <w:szCs w:val="21"/>
                    </w:rPr>
                  </w:pPr>
                  <w:r>
                    <w:rPr>
                      <w:szCs w:val="21"/>
                    </w:rPr>
                    <w:t>南厂界2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57" w:type="dxa"/>
                  <w:left w:w="108" w:type="dxa"/>
                  <w:bottom w:w="57" w:type="dxa"/>
                  <w:right w:w="108" w:type="dxa"/>
                </w:tblCellMar>
              </w:tblPrEx>
              <w:trPr>
                <w:cantSplit/>
                <w:trHeight w:val="361" w:hRule="exact"/>
                <w:jc w:val="center"/>
              </w:trPr>
              <w:tc>
                <w:tcPr>
                  <w:tcW w:w="739" w:type="dxa"/>
                  <w:vAlign w:val="center"/>
                </w:tcPr>
                <w:p>
                  <w:pPr>
                    <w:jc w:val="center"/>
                    <w:rPr>
                      <w:szCs w:val="21"/>
                    </w:rPr>
                  </w:pPr>
                  <w:r>
                    <w:rPr>
                      <w:szCs w:val="21"/>
                    </w:rPr>
                    <w:t>4</w:t>
                  </w:r>
                </w:p>
              </w:tc>
              <w:tc>
                <w:tcPr>
                  <w:tcW w:w="1798" w:type="dxa"/>
                  <w:vAlign w:val="center"/>
                </w:tcPr>
                <w:p>
                  <w:pPr>
                    <w:jc w:val="center"/>
                    <w:rPr>
                      <w:szCs w:val="21"/>
                    </w:rPr>
                  </w:pPr>
                  <w:r>
                    <w:rPr>
                      <w:szCs w:val="21"/>
                    </w:rPr>
                    <w:t>二道门外</w:t>
                  </w:r>
                </w:p>
              </w:tc>
              <w:tc>
                <w:tcPr>
                  <w:tcW w:w="1156" w:type="dxa"/>
                  <w:vAlign w:val="center"/>
                </w:tcPr>
                <w:p>
                  <w:pPr>
                    <w:jc w:val="center"/>
                    <w:rPr>
                      <w:szCs w:val="21"/>
                    </w:rPr>
                  </w:pPr>
                  <w:r>
                    <w:rPr>
                      <w:szCs w:val="21"/>
                    </w:rPr>
                    <w:t>08:52</w:t>
                  </w:r>
                </w:p>
              </w:tc>
              <w:tc>
                <w:tcPr>
                  <w:tcW w:w="899" w:type="dxa"/>
                  <w:vAlign w:val="center"/>
                </w:tcPr>
                <w:p>
                  <w:pPr>
                    <w:jc w:val="center"/>
                    <w:rPr>
                      <w:szCs w:val="21"/>
                    </w:rPr>
                  </w:pPr>
                  <w:r>
                    <w:rPr>
                      <w:szCs w:val="21"/>
                    </w:rPr>
                    <w:t>47.7</w:t>
                  </w:r>
                </w:p>
              </w:tc>
              <w:tc>
                <w:tcPr>
                  <w:tcW w:w="1156" w:type="dxa"/>
                  <w:vAlign w:val="center"/>
                </w:tcPr>
                <w:p>
                  <w:pPr>
                    <w:jc w:val="center"/>
                    <w:rPr>
                      <w:szCs w:val="21"/>
                    </w:rPr>
                  </w:pPr>
                  <w:r>
                    <w:rPr>
                      <w:szCs w:val="21"/>
                    </w:rPr>
                    <w:t>22:00</w:t>
                  </w:r>
                </w:p>
              </w:tc>
              <w:tc>
                <w:tcPr>
                  <w:tcW w:w="1073" w:type="dxa"/>
                  <w:vAlign w:val="center"/>
                </w:tcPr>
                <w:p>
                  <w:pPr>
                    <w:jc w:val="center"/>
                    <w:rPr>
                      <w:szCs w:val="21"/>
                    </w:rPr>
                  </w:pPr>
                  <w:r>
                    <w:rPr>
                      <w:szCs w:val="21"/>
                    </w:rPr>
                    <w:t>45.3</w:t>
                  </w:r>
                </w:p>
              </w:tc>
              <w:tc>
                <w:tcPr>
                  <w:tcW w:w="1180" w:type="dxa"/>
                  <w:vAlign w:val="center"/>
                </w:tcPr>
                <w:p>
                  <w:pPr>
                    <w:jc w:val="center"/>
                    <w:rPr>
                      <w:szCs w:val="21"/>
                    </w:rPr>
                  </w:pPr>
                  <w:r>
                    <w:rPr>
                      <w:szCs w:val="21"/>
                    </w:rPr>
                    <w:t>西南侧1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57" w:type="dxa"/>
                  <w:left w:w="108" w:type="dxa"/>
                  <w:bottom w:w="57" w:type="dxa"/>
                  <w:right w:w="108" w:type="dxa"/>
                </w:tblCellMar>
              </w:tblPrEx>
              <w:trPr>
                <w:cantSplit/>
                <w:trHeight w:val="381" w:hRule="exact"/>
                <w:jc w:val="center"/>
              </w:trPr>
              <w:tc>
                <w:tcPr>
                  <w:tcW w:w="739" w:type="dxa"/>
                  <w:vAlign w:val="center"/>
                </w:tcPr>
                <w:p>
                  <w:pPr>
                    <w:jc w:val="center"/>
                    <w:rPr>
                      <w:szCs w:val="21"/>
                    </w:rPr>
                  </w:pPr>
                  <w:r>
                    <w:rPr>
                      <w:szCs w:val="21"/>
                    </w:rPr>
                    <w:t>5</w:t>
                  </w:r>
                </w:p>
              </w:tc>
              <w:tc>
                <w:tcPr>
                  <w:tcW w:w="1798" w:type="dxa"/>
                  <w:vAlign w:val="center"/>
                </w:tcPr>
                <w:p>
                  <w:pPr>
                    <w:jc w:val="center"/>
                    <w:rPr>
                      <w:szCs w:val="21"/>
                    </w:rPr>
                  </w:pPr>
                  <w:r>
                    <w:rPr>
                      <w:szCs w:val="21"/>
                    </w:rPr>
                    <w:t>幼儿园西墙外</w:t>
                  </w:r>
                </w:p>
              </w:tc>
              <w:tc>
                <w:tcPr>
                  <w:tcW w:w="1156" w:type="dxa"/>
                  <w:vAlign w:val="center"/>
                </w:tcPr>
                <w:p>
                  <w:pPr>
                    <w:jc w:val="center"/>
                    <w:rPr>
                      <w:color w:val="000000"/>
                      <w:szCs w:val="21"/>
                    </w:rPr>
                  </w:pPr>
                  <w:r>
                    <w:rPr>
                      <w:szCs w:val="21"/>
                    </w:rPr>
                    <w:t>08:58</w:t>
                  </w:r>
                </w:p>
              </w:tc>
              <w:tc>
                <w:tcPr>
                  <w:tcW w:w="899" w:type="dxa"/>
                  <w:vAlign w:val="center"/>
                </w:tcPr>
                <w:p>
                  <w:pPr>
                    <w:jc w:val="center"/>
                    <w:rPr>
                      <w:color w:val="000000"/>
                      <w:szCs w:val="21"/>
                    </w:rPr>
                  </w:pPr>
                  <w:r>
                    <w:rPr>
                      <w:color w:val="000000"/>
                      <w:szCs w:val="21"/>
                    </w:rPr>
                    <w:t>45.6</w:t>
                  </w:r>
                </w:p>
              </w:tc>
              <w:tc>
                <w:tcPr>
                  <w:tcW w:w="1156" w:type="dxa"/>
                  <w:vAlign w:val="center"/>
                </w:tcPr>
                <w:p>
                  <w:pPr>
                    <w:jc w:val="center"/>
                    <w:rPr>
                      <w:szCs w:val="21"/>
                    </w:rPr>
                  </w:pPr>
                  <w:r>
                    <w:rPr>
                      <w:szCs w:val="21"/>
                    </w:rPr>
                    <w:t>22:40</w:t>
                  </w:r>
                </w:p>
              </w:tc>
              <w:tc>
                <w:tcPr>
                  <w:tcW w:w="1073" w:type="dxa"/>
                  <w:vAlign w:val="center"/>
                </w:tcPr>
                <w:p>
                  <w:pPr>
                    <w:jc w:val="center"/>
                    <w:rPr>
                      <w:color w:val="000000"/>
                      <w:szCs w:val="21"/>
                    </w:rPr>
                  </w:pPr>
                  <w:r>
                    <w:rPr>
                      <w:color w:val="000000"/>
                      <w:szCs w:val="21"/>
                    </w:rPr>
                    <w:t>39.9</w:t>
                  </w:r>
                </w:p>
              </w:tc>
              <w:tc>
                <w:tcPr>
                  <w:tcW w:w="1180" w:type="dxa"/>
                  <w:vAlign w:val="center"/>
                </w:tcPr>
                <w:p>
                  <w:pPr>
                    <w:jc w:val="center"/>
                    <w:rPr>
                      <w:szCs w:val="21"/>
                    </w:rPr>
                  </w:pPr>
                  <w:r>
                    <w:rPr>
                      <w:szCs w:val="21"/>
                    </w:rPr>
                    <w:t>西南侧2</w:t>
                  </w:r>
                </w:p>
              </w:tc>
            </w:tr>
          </w:tbl>
          <w:p>
            <w:pPr>
              <w:adjustRightInd w:val="0"/>
              <w:snapToGrid w:val="0"/>
              <w:spacing w:line="360" w:lineRule="auto"/>
              <w:ind w:firstLine="480" w:firstLineChars="200"/>
              <w:rPr>
                <w:sz w:val="24"/>
              </w:rPr>
            </w:pPr>
            <w:r>
              <w:rPr>
                <w:rFonts w:hint="eastAsia"/>
                <w:sz w:val="24"/>
              </w:rPr>
              <w:t>本项目位于声环境3类功能区内，由噪声监测结果可知，厂界昼间噪声范围</w:t>
            </w:r>
            <w:r>
              <w:rPr>
                <w:sz w:val="24"/>
              </w:rPr>
              <w:t>45.6</w:t>
            </w:r>
            <w:r>
              <w:rPr>
                <w:rFonts w:hint="eastAsia"/>
                <w:sz w:val="24"/>
              </w:rPr>
              <w:t>~6</w:t>
            </w:r>
            <w:r>
              <w:rPr>
                <w:sz w:val="24"/>
              </w:rPr>
              <w:t>4.9</w:t>
            </w:r>
            <w:r>
              <w:rPr>
                <w:rFonts w:hint="eastAsia"/>
                <w:sz w:val="24"/>
              </w:rPr>
              <w:t>dB（A）、夜间噪声范围3</w:t>
            </w:r>
            <w:r>
              <w:rPr>
                <w:sz w:val="24"/>
              </w:rPr>
              <w:t>9.9~54.8dB</w:t>
            </w:r>
            <w:r>
              <w:rPr>
                <w:rFonts w:hint="eastAsia"/>
                <w:sz w:val="24"/>
              </w:rPr>
              <w:t>（A），满足声功能区3类标准要求。</w:t>
            </w:r>
          </w:p>
          <w:p>
            <w:pPr>
              <w:adjustRightInd w:val="0"/>
              <w:snapToGrid w:val="0"/>
              <w:spacing w:line="360" w:lineRule="auto"/>
              <w:ind w:firstLine="482" w:firstLineChars="200"/>
              <w:rPr>
                <w:b/>
                <w:sz w:val="24"/>
              </w:rPr>
            </w:pPr>
            <w:r>
              <w:rPr>
                <w:b/>
                <w:sz w:val="24"/>
              </w:rPr>
              <w:t>4</w:t>
            </w:r>
            <w:r>
              <w:rPr>
                <w:rFonts w:hint="eastAsia"/>
                <w:b/>
                <w:sz w:val="24"/>
              </w:rPr>
              <w:t>.</w:t>
            </w:r>
            <w:r>
              <w:rPr>
                <w:b/>
                <w:sz w:val="24"/>
              </w:rPr>
              <w:t xml:space="preserve"> </w:t>
            </w:r>
            <w:r>
              <w:rPr>
                <w:rFonts w:hint="eastAsia"/>
                <w:b/>
                <w:sz w:val="24"/>
              </w:rPr>
              <w:t>海洋环境质量现状</w:t>
            </w:r>
          </w:p>
          <w:p>
            <w:pPr>
              <w:pStyle w:val="39"/>
              <w:adjustRightInd w:val="0"/>
              <w:snapToGrid w:val="0"/>
              <w:spacing w:line="360" w:lineRule="auto"/>
              <w:ind w:left="0" w:firstLine="480" w:firstLineChars="200"/>
            </w:pPr>
            <w:r>
              <w:rPr>
                <w:rFonts w:hint="eastAsia"/>
              </w:rPr>
              <w:t>中国海洋大学于2</w:t>
            </w:r>
            <w:r>
              <w:t>020</w:t>
            </w:r>
            <w:r>
              <w:rPr>
                <w:rFonts w:hint="eastAsia"/>
              </w:rPr>
              <w:t>年</w:t>
            </w:r>
            <w:r>
              <w:t>8</w:t>
            </w:r>
            <w:r>
              <w:rPr>
                <w:rFonts w:hint="eastAsia"/>
              </w:rPr>
              <w:t>月对项目周边海域进行了现场调查。本项目收集了威海市海洋与渔业监测减灾中心于</w:t>
            </w:r>
            <w:r>
              <w:t>2017</w:t>
            </w:r>
            <w:r>
              <w:rPr>
                <w:rFonts w:hint="eastAsia"/>
              </w:rPr>
              <w:t>年</w:t>
            </w:r>
            <w:r>
              <w:t>5</w:t>
            </w:r>
            <w:r>
              <w:rPr>
                <w:rFonts w:hint="eastAsia"/>
              </w:rPr>
              <w:t>月在威海湾内进行的现状调查资料。</w:t>
            </w:r>
          </w:p>
          <w:p>
            <w:pPr>
              <w:pStyle w:val="39"/>
              <w:adjustRightInd w:val="0"/>
              <w:snapToGrid w:val="0"/>
              <w:spacing w:line="360" w:lineRule="auto"/>
              <w:ind w:left="0" w:firstLine="482" w:firstLineChars="200"/>
              <w:rPr>
                <w:b/>
              </w:rPr>
            </w:pPr>
            <w:r>
              <w:rPr>
                <w:rFonts w:hint="eastAsia"/>
                <w:b/>
              </w:rPr>
              <w:t>4.1</w:t>
            </w:r>
            <w:r>
              <w:rPr>
                <w:b/>
              </w:rPr>
              <w:t xml:space="preserve">  </w:t>
            </w:r>
            <w:r>
              <w:rPr>
                <w:rFonts w:hint="eastAsia"/>
                <w:b/>
              </w:rPr>
              <w:t>2020年8月海洋环境质量评价</w:t>
            </w:r>
          </w:p>
          <w:p>
            <w:pPr>
              <w:widowControl/>
              <w:spacing w:line="360" w:lineRule="auto"/>
              <w:ind w:firstLine="482" w:firstLineChars="200"/>
              <w:rPr>
                <w:b/>
                <w:sz w:val="24"/>
              </w:rPr>
            </w:pPr>
            <w:r>
              <w:rPr>
                <w:rFonts w:hint="eastAsia"/>
                <w:b/>
                <w:sz w:val="24"/>
              </w:rPr>
              <w:t>4</w:t>
            </w:r>
            <w:r>
              <w:rPr>
                <w:b/>
                <w:sz w:val="24"/>
              </w:rPr>
              <w:t>.</w:t>
            </w:r>
            <w:r>
              <w:rPr>
                <w:rFonts w:hint="eastAsia"/>
                <w:b/>
                <w:sz w:val="24"/>
              </w:rPr>
              <w:t>1.</w:t>
            </w:r>
            <w:r>
              <w:rPr>
                <w:b/>
                <w:sz w:val="24"/>
              </w:rPr>
              <w:t>1 海水水质现状调查与评价</w:t>
            </w:r>
          </w:p>
          <w:p>
            <w:pPr>
              <w:widowControl/>
              <w:spacing w:line="360" w:lineRule="auto"/>
              <w:ind w:firstLine="482" w:firstLineChars="200"/>
              <w:rPr>
                <w:b/>
                <w:sz w:val="24"/>
              </w:rPr>
            </w:pPr>
            <w:r>
              <w:rPr>
                <w:rFonts w:hint="eastAsia"/>
                <w:b/>
                <w:sz w:val="24"/>
              </w:rPr>
              <w:t>4.1</w:t>
            </w:r>
            <w:r>
              <w:rPr>
                <w:b/>
                <w:sz w:val="24"/>
              </w:rPr>
              <w:t>.1.1 调查时间与站位布设</w:t>
            </w:r>
          </w:p>
          <w:p>
            <w:pPr>
              <w:widowControl/>
              <w:spacing w:line="360" w:lineRule="auto"/>
              <w:ind w:firstLine="480" w:firstLineChars="200"/>
            </w:pPr>
            <w:r>
              <w:rPr>
                <w:sz w:val="24"/>
              </w:rPr>
              <w:t>20</w:t>
            </w:r>
            <w:r>
              <w:rPr>
                <w:rFonts w:hint="eastAsia"/>
                <w:sz w:val="24"/>
              </w:rPr>
              <w:t>20</w:t>
            </w:r>
            <w:r>
              <w:rPr>
                <w:sz w:val="24"/>
              </w:rPr>
              <w:t>年</w:t>
            </w:r>
            <w:r>
              <w:rPr>
                <w:rFonts w:hint="eastAsia"/>
                <w:sz w:val="24"/>
              </w:rPr>
              <w:t>08</w:t>
            </w:r>
            <w:r>
              <w:rPr>
                <w:sz w:val="24"/>
              </w:rPr>
              <w:t>月</w:t>
            </w:r>
            <w:r>
              <w:rPr>
                <w:rFonts w:hint="eastAsia"/>
                <w:sz w:val="24"/>
              </w:rPr>
              <w:t>02日</w:t>
            </w:r>
            <w:r>
              <w:rPr>
                <w:sz w:val="24"/>
              </w:rPr>
              <w:t>（</w:t>
            </w:r>
            <w:r>
              <w:rPr>
                <w:rFonts w:hint="eastAsia"/>
                <w:sz w:val="24"/>
              </w:rPr>
              <w:t>夏季</w:t>
            </w:r>
            <w:r>
              <w:rPr>
                <w:sz w:val="24"/>
              </w:rPr>
              <w:t>）对</w:t>
            </w:r>
            <w:r>
              <w:rPr>
                <w:rFonts w:hint="eastAsia"/>
                <w:sz w:val="24"/>
              </w:rPr>
              <w:t>威海市刘公岛附近</w:t>
            </w:r>
            <w:r>
              <w:rPr>
                <w:sz w:val="24"/>
              </w:rPr>
              <w:t>海域进行海水水质现状调查。在项目区域邻近海域共设置水质调查站位20个。调查海域采样点位设置如图</w:t>
            </w:r>
            <w:r>
              <w:rPr>
                <w:rFonts w:hint="eastAsia"/>
                <w:sz w:val="24"/>
              </w:rPr>
              <w:t>4.1</w:t>
            </w:r>
            <w:r>
              <w:rPr>
                <w:sz w:val="24"/>
              </w:rPr>
              <w:t>.1-1和表</w:t>
            </w:r>
            <w:r>
              <w:rPr>
                <w:rFonts w:hint="eastAsia"/>
                <w:sz w:val="24"/>
              </w:rPr>
              <w:t>4</w:t>
            </w:r>
            <w:r>
              <w:rPr>
                <w:sz w:val="24"/>
              </w:rPr>
              <w:t>.</w:t>
            </w:r>
            <w:r>
              <w:rPr>
                <w:rFonts w:hint="eastAsia"/>
                <w:sz w:val="24"/>
              </w:rPr>
              <w:t>1.</w:t>
            </w:r>
            <w:r>
              <w:rPr>
                <w:sz w:val="24"/>
              </w:rPr>
              <w:t>1-1所示。</w:t>
            </w:r>
          </w:p>
          <w:p>
            <w:pPr>
              <w:pStyle w:val="279"/>
              <w:snapToGrid w:val="0"/>
            </w:pPr>
            <w:bookmarkStart w:id="3" w:name="_Toc119215931"/>
            <w:r>
              <w:drawing>
                <wp:inline distT="0" distB="0" distL="0" distR="0">
                  <wp:extent cx="4800600" cy="284353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4804613" cy="2845932"/>
                          </a:xfrm>
                          <a:prstGeom prst="rect">
                            <a:avLst/>
                          </a:prstGeom>
                          <a:noFill/>
                          <a:ln>
                            <a:noFill/>
                          </a:ln>
                        </pic:spPr>
                      </pic:pic>
                    </a:graphicData>
                  </a:graphic>
                </wp:inline>
              </w:drawing>
            </w:r>
          </w:p>
          <w:p>
            <w:pPr>
              <w:pStyle w:val="279"/>
              <w:snapToGrid w:val="0"/>
              <w:ind w:firstLine="480"/>
            </w:pPr>
            <w:r>
              <w:t>图</w:t>
            </w:r>
            <w:r>
              <w:rPr>
                <w:rFonts w:hint="eastAsia"/>
              </w:rPr>
              <w:t>4</w:t>
            </w:r>
            <w:r>
              <w:t>.</w:t>
            </w:r>
            <w:r>
              <w:rPr>
                <w:rFonts w:hint="eastAsia"/>
              </w:rPr>
              <w:t>1.</w:t>
            </w:r>
            <w:r>
              <w:t>1-1 调查点位示意图</w:t>
            </w:r>
          </w:p>
          <w:p>
            <w:pPr>
              <w:pStyle w:val="279"/>
              <w:snapToGrid w:val="0"/>
              <w:ind w:firstLine="480"/>
              <w:rPr>
                <w:szCs w:val="21"/>
              </w:rPr>
            </w:pPr>
            <w:r>
              <w:rPr>
                <w:szCs w:val="21"/>
              </w:rPr>
              <w:t>表</w:t>
            </w:r>
            <w:r>
              <w:rPr>
                <w:rFonts w:hint="eastAsia"/>
                <w:szCs w:val="21"/>
              </w:rPr>
              <w:t>4</w:t>
            </w:r>
            <w:r>
              <w:rPr>
                <w:szCs w:val="21"/>
              </w:rPr>
              <w:t>.</w:t>
            </w:r>
            <w:r>
              <w:rPr>
                <w:rFonts w:hint="eastAsia"/>
                <w:szCs w:val="21"/>
              </w:rPr>
              <w:t>1.</w:t>
            </w:r>
            <w:r>
              <w:rPr>
                <w:szCs w:val="21"/>
              </w:rPr>
              <w:t>1-1 调查点位一览表</w:t>
            </w:r>
          </w:p>
          <w:tbl>
            <w:tblPr>
              <w:tblStyle w:val="88"/>
              <w:tblW w:w="8259" w:type="dxa"/>
              <w:jc w:val="center"/>
              <w:tblInd w:w="0" w:type="dxa"/>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98"/>
              <w:gridCol w:w="1999"/>
              <w:gridCol w:w="1891"/>
              <w:gridCol w:w="3371"/>
            </w:tblGrid>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blHeader/>
                <w:jc w:val="center"/>
              </w:trPr>
              <w:tc>
                <w:tcPr>
                  <w:tcW w:w="998" w:type="dxa"/>
                  <w:shd w:val="clear" w:color="auto" w:fill="auto"/>
                  <w:noWrap/>
                  <w:vAlign w:val="center"/>
                </w:tcPr>
                <w:p>
                  <w:pPr>
                    <w:jc w:val="center"/>
                    <w:rPr>
                      <w:rFonts w:eastAsia="楷体"/>
                      <w:b/>
                      <w:sz w:val="18"/>
                      <w:szCs w:val="18"/>
                    </w:rPr>
                  </w:pPr>
                  <w:r>
                    <w:rPr>
                      <w:rFonts w:eastAsia="楷体"/>
                      <w:b/>
                      <w:sz w:val="18"/>
                      <w:szCs w:val="18"/>
                    </w:rPr>
                    <w:t>站位号</w:t>
                  </w:r>
                </w:p>
              </w:tc>
              <w:tc>
                <w:tcPr>
                  <w:tcW w:w="1999" w:type="dxa"/>
                  <w:shd w:val="clear" w:color="auto" w:fill="auto"/>
                  <w:noWrap/>
                  <w:vAlign w:val="center"/>
                </w:tcPr>
                <w:p>
                  <w:pPr>
                    <w:jc w:val="center"/>
                    <w:rPr>
                      <w:rFonts w:eastAsia="楷体"/>
                      <w:b/>
                      <w:sz w:val="18"/>
                      <w:szCs w:val="18"/>
                    </w:rPr>
                  </w:pPr>
                  <w:r>
                    <w:rPr>
                      <w:rFonts w:hint="eastAsia" w:eastAsia="楷体"/>
                      <w:b/>
                      <w:sz w:val="18"/>
                      <w:szCs w:val="18"/>
                    </w:rPr>
                    <w:t>北纬</w:t>
                  </w:r>
                </w:p>
              </w:tc>
              <w:tc>
                <w:tcPr>
                  <w:tcW w:w="1891" w:type="dxa"/>
                  <w:shd w:val="clear" w:color="auto" w:fill="auto"/>
                  <w:noWrap/>
                  <w:vAlign w:val="center"/>
                </w:tcPr>
                <w:p>
                  <w:pPr>
                    <w:jc w:val="center"/>
                    <w:rPr>
                      <w:rFonts w:eastAsia="楷体"/>
                      <w:b/>
                      <w:sz w:val="18"/>
                      <w:szCs w:val="18"/>
                    </w:rPr>
                  </w:pPr>
                  <w:r>
                    <w:rPr>
                      <w:rFonts w:hint="eastAsia" w:eastAsia="楷体"/>
                      <w:b/>
                      <w:sz w:val="18"/>
                      <w:szCs w:val="18"/>
                    </w:rPr>
                    <w:t>东经</w:t>
                  </w:r>
                </w:p>
              </w:tc>
              <w:tc>
                <w:tcPr>
                  <w:tcW w:w="3371" w:type="dxa"/>
                  <w:shd w:val="clear" w:color="auto" w:fill="auto"/>
                  <w:vAlign w:val="center"/>
                </w:tcPr>
                <w:p>
                  <w:pPr>
                    <w:jc w:val="center"/>
                    <w:rPr>
                      <w:rFonts w:eastAsia="楷体"/>
                      <w:b/>
                      <w:sz w:val="18"/>
                      <w:szCs w:val="18"/>
                    </w:rPr>
                  </w:pPr>
                  <w:r>
                    <w:rPr>
                      <w:rFonts w:eastAsia="楷体"/>
                      <w:b/>
                      <w:sz w:val="18"/>
                      <w:szCs w:val="18"/>
                    </w:rPr>
                    <w:t>调查内容</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w:t>
                  </w:r>
                </w:p>
              </w:tc>
              <w:tc>
                <w:tcPr>
                  <w:tcW w:w="1999" w:type="dxa"/>
                  <w:shd w:val="clear" w:color="auto" w:fill="auto"/>
                  <w:noWrap/>
                  <w:vAlign w:val="center"/>
                </w:tcPr>
                <w:p>
                  <w:pPr>
                    <w:jc w:val="center"/>
                    <w:rPr>
                      <w:rFonts w:eastAsia="楷体"/>
                      <w:sz w:val="18"/>
                      <w:szCs w:val="18"/>
                    </w:rPr>
                  </w:pPr>
                  <w:r>
                    <w:rPr>
                      <w:rFonts w:eastAsia="楷体"/>
                      <w:sz w:val="18"/>
                      <w:szCs w:val="18"/>
                    </w:rPr>
                    <w:t>37°26'3.47"</w:t>
                  </w:r>
                </w:p>
              </w:tc>
              <w:tc>
                <w:tcPr>
                  <w:tcW w:w="1891" w:type="dxa"/>
                  <w:shd w:val="clear" w:color="auto" w:fill="auto"/>
                  <w:noWrap/>
                  <w:vAlign w:val="center"/>
                </w:tcPr>
                <w:p>
                  <w:pPr>
                    <w:jc w:val="center"/>
                    <w:rPr>
                      <w:rFonts w:eastAsia="楷体"/>
                      <w:sz w:val="18"/>
                      <w:szCs w:val="18"/>
                    </w:rPr>
                  </w:pPr>
                  <w:r>
                    <w:rPr>
                      <w:rFonts w:eastAsia="楷体"/>
                      <w:sz w:val="18"/>
                      <w:szCs w:val="18"/>
                    </w:rPr>
                    <w:t>122°10'22.88"</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r>
                    <w:rPr>
                      <w:rFonts w:ascii="楷体" w:hAnsi="楷体" w:eastAsia="楷体" w:cs="宋体"/>
                      <w:sz w:val="18"/>
                      <w:szCs w:val="18"/>
                    </w:rPr>
                    <w:t>、沉积物、生态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2</w:t>
                  </w:r>
                </w:p>
              </w:tc>
              <w:tc>
                <w:tcPr>
                  <w:tcW w:w="1999" w:type="dxa"/>
                  <w:shd w:val="clear" w:color="auto" w:fill="auto"/>
                  <w:noWrap/>
                  <w:vAlign w:val="center"/>
                </w:tcPr>
                <w:p>
                  <w:pPr>
                    <w:jc w:val="center"/>
                    <w:rPr>
                      <w:rFonts w:eastAsia="楷体"/>
                      <w:sz w:val="18"/>
                      <w:szCs w:val="18"/>
                    </w:rPr>
                  </w:pPr>
                  <w:r>
                    <w:rPr>
                      <w:rFonts w:eastAsia="楷体"/>
                      <w:sz w:val="18"/>
                      <w:szCs w:val="18"/>
                    </w:rPr>
                    <w:t>37°26'34.75"</w:t>
                  </w:r>
                </w:p>
              </w:tc>
              <w:tc>
                <w:tcPr>
                  <w:tcW w:w="1891" w:type="dxa"/>
                  <w:shd w:val="clear" w:color="auto" w:fill="auto"/>
                  <w:noWrap/>
                  <w:vAlign w:val="center"/>
                </w:tcPr>
                <w:p>
                  <w:pPr>
                    <w:jc w:val="center"/>
                    <w:rPr>
                      <w:rFonts w:eastAsia="楷体"/>
                      <w:sz w:val="18"/>
                      <w:szCs w:val="18"/>
                    </w:rPr>
                  </w:pPr>
                  <w:r>
                    <w:rPr>
                      <w:rFonts w:eastAsia="楷体"/>
                      <w:sz w:val="18"/>
                      <w:szCs w:val="18"/>
                    </w:rPr>
                    <w:t>122° 9'56.86"</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3</w:t>
                  </w:r>
                </w:p>
              </w:tc>
              <w:tc>
                <w:tcPr>
                  <w:tcW w:w="1999" w:type="dxa"/>
                  <w:shd w:val="clear" w:color="auto" w:fill="auto"/>
                  <w:noWrap/>
                  <w:vAlign w:val="center"/>
                </w:tcPr>
                <w:p>
                  <w:pPr>
                    <w:jc w:val="center"/>
                    <w:rPr>
                      <w:rFonts w:eastAsia="楷体"/>
                      <w:sz w:val="18"/>
                      <w:szCs w:val="18"/>
                    </w:rPr>
                  </w:pPr>
                  <w:r>
                    <w:rPr>
                      <w:rFonts w:eastAsia="楷体"/>
                      <w:sz w:val="18"/>
                      <w:szCs w:val="18"/>
                    </w:rPr>
                    <w:t>37°27'20.43"</w:t>
                  </w:r>
                </w:p>
              </w:tc>
              <w:tc>
                <w:tcPr>
                  <w:tcW w:w="1891" w:type="dxa"/>
                  <w:shd w:val="clear" w:color="auto" w:fill="auto"/>
                  <w:noWrap/>
                  <w:vAlign w:val="center"/>
                </w:tcPr>
                <w:p>
                  <w:pPr>
                    <w:jc w:val="center"/>
                    <w:rPr>
                      <w:rFonts w:eastAsia="楷体"/>
                      <w:sz w:val="18"/>
                      <w:szCs w:val="18"/>
                    </w:rPr>
                  </w:pPr>
                  <w:r>
                    <w:rPr>
                      <w:rFonts w:eastAsia="楷体"/>
                      <w:sz w:val="18"/>
                      <w:szCs w:val="18"/>
                    </w:rPr>
                    <w:t>122° 9'23.84"</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4</w:t>
                  </w:r>
                </w:p>
              </w:tc>
              <w:tc>
                <w:tcPr>
                  <w:tcW w:w="1999" w:type="dxa"/>
                  <w:shd w:val="clear" w:color="auto" w:fill="auto"/>
                  <w:noWrap/>
                  <w:vAlign w:val="center"/>
                </w:tcPr>
                <w:p>
                  <w:pPr>
                    <w:jc w:val="center"/>
                    <w:rPr>
                      <w:rFonts w:eastAsia="楷体"/>
                      <w:sz w:val="18"/>
                      <w:szCs w:val="18"/>
                    </w:rPr>
                  </w:pPr>
                  <w:r>
                    <w:rPr>
                      <w:rFonts w:eastAsia="楷体"/>
                      <w:sz w:val="18"/>
                      <w:szCs w:val="18"/>
                    </w:rPr>
                    <w:t>37°28'32.66"</w:t>
                  </w:r>
                </w:p>
              </w:tc>
              <w:tc>
                <w:tcPr>
                  <w:tcW w:w="1891" w:type="dxa"/>
                  <w:shd w:val="clear" w:color="auto" w:fill="auto"/>
                  <w:noWrap/>
                  <w:vAlign w:val="center"/>
                </w:tcPr>
                <w:p>
                  <w:pPr>
                    <w:jc w:val="center"/>
                    <w:rPr>
                      <w:rFonts w:eastAsia="楷体"/>
                      <w:sz w:val="18"/>
                      <w:szCs w:val="18"/>
                    </w:rPr>
                  </w:pPr>
                  <w:r>
                    <w:rPr>
                      <w:rFonts w:eastAsia="楷体"/>
                      <w:sz w:val="18"/>
                      <w:szCs w:val="18"/>
                    </w:rPr>
                    <w:t>122° 8'32.29"</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水质、沉积物、生态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5</w:t>
                  </w:r>
                </w:p>
              </w:tc>
              <w:tc>
                <w:tcPr>
                  <w:tcW w:w="1999" w:type="dxa"/>
                  <w:shd w:val="clear" w:color="auto" w:fill="auto"/>
                  <w:noWrap/>
                  <w:vAlign w:val="center"/>
                </w:tcPr>
                <w:p>
                  <w:pPr>
                    <w:jc w:val="center"/>
                    <w:rPr>
                      <w:rFonts w:eastAsia="楷体"/>
                      <w:sz w:val="18"/>
                      <w:szCs w:val="18"/>
                    </w:rPr>
                  </w:pPr>
                  <w:r>
                    <w:rPr>
                      <w:rFonts w:eastAsia="楷体"/>
                      <w:sz w:val="18"/>
                      <w:szCs w:val="18"/>
                    </w:rPr>
                    <w:t>37°26'55.07"</w:t>
                  </w:r>
                </w:p>
              </w:tc>
              <w:tc>
                <w:tcPr>
                  <w:tcW w:w="1891" w:type="dxa"/>
                  <w:shd w:val="clear" w:color="auto" w:fill="auto"/>
                  <w:noWrap/>
                  <w:vAlign w:val="center"/>
                </w:tcPr>
                <w:p>
                  <w:pPr>
                    <w:jc w:val="center"/>
                    <w:rPr>
                      <w:rFonts w:eastAsia="楷体"/>
                      <w:sz w:val="18"/>
                      <w:szCs w:val="18"/>
                    </w:rPr>
                  </w:pPr>
                  <w:r>
                    <w:rPr>
                      <w:rFonts w:eastAsia="楷体"/>
                      <w:sz w:val="18"/>
                      <w:szCs w:val="18"/>
                    </w:rPr>
                    <w:t>122°11'7.51"</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6</w:t>
                  </w:r>
                </w:p>
              </w:tc>
              <w:tc>
                <w:tcPr>
                  <w:tcW w:w="1999" w:type="dxa"/>
                  <w:shd w:val="clear" w:color="auto" w:fill="auto"/>
                  <w:noWrap/>
                  <w:vAlign w:val="center"/>
                </w:tcPr>
                <w:p>
                  <w:pPr>
                    <w:jc w:val="center"/>
                    <w:rPr>
                      <w:rFonts w:eastAsia="楷体"/>
                      <w:sz w:val="18"/>
                      <w:szCs w:val="18"/>
                    </w:rPr>
                  </w:pPr>
                  <w:r>
                    <w:rPr>
                      <w:rFonts w:eastAsia="楷体"/>
                      <w:sz w:val="18"/>
                      <w:szCs w:val="18"/>
                    </w:rPr>
                    <w:t>37°27'30.05"</w:t>
                  </w:r>
                </w:p>
              </w:tc>
              <w:tc>
                <w:tcPr>
                  <w:tcW w:w="1891" w:type="dxa"/>
                  <w:shd w:val="clear" w:color="auto" w:fill="auto"/>
                  <w:noWrap/>
                  <w:vAlign w:val="center"/>
                </w:tcPr>
                <w:p>
                  <w:pPr>
                    <w:jc w:val="center"/>
                    <w:rPr>
                      <w:rFonts w:eastAsia="楷体"/>
                      <w:sz w:val="18"/>
                      <w:szCs w:val="18"/>
                    </w:rPr>
                  </w:pPr>
                  <w:r>
                    <w:rPr>
                      <w:rFonts w:eastAsia="楷体"/>
                      <w:sz w:val="18"/>
                      <w:szCs w:val="18"/>
                    </w:rPr>
                    <w:t>122°10'40.54"</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7</w:t>
                  </w:r>
                </w:p>
              </w:tc>
              <w:tc>
                <w:tcPr>
                  <w:tcW w:w="1999" w:type="dxa"/>
                  <w:shd w:val="clear" w:color="auto" w:fill="auto"/>
                  <w:noWrap/>
                  <w:vAlign w:val="center"/>
                </w:tcPr>
                <w:p>
                  <w:pPr>
                    <w:jc w:val="center"/>
                    <w:rPr>
                      <w:rFonts w:eastAsia="楷体"/>
                      <w:sz w:val="18"/>
                      <w:szCs w:val="18"/>
                    </w:rPr>
                  </w:pPr>
                  <w:r>
                    <w:rPr>
                      <w:rFonts w:eastAsia="楷体"/>
                      <w:sz w:val="18"/>
                      <w:szCs w:val="18"/>
                    </w:rPr>
                    <w:t>37°28'9.40"</w:t>
                  </w:r>
                </w:p>
              </w:tc>
              <w:tc>
                <w:tcPr>
                  <w:tcW w:w="1891" w:type="dxa"/>
                  <w:shd w:val="clear" w:color="auto" w:fill="auto"/>
                  <w:noWrap/>
                  <w:vAlign w:val="center"/>
                </w:tcPr>
                <w:p>
                  <w:pPr>
                    <w:jc w:val="center"/>
                    <w:rPr>
                      <w:rFonts w:eastAsia="楷体"/>
                      <w:sz w:val="18"/>
                      <w:szCs w:val="18"/>
                    </w:rPr>
                  </w:pPr>
                  <w:r>
                    <w:rPr>
                      <w:rFonts w:eastAsia="楷体"/>
                      <w:sz w:val="18"/>
                      <w:szCs w:val="18"/>
                    </w:rPr>
                    <w:t>122°10'9.51"</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r>
                    <w:rPr>
                      <w:rFonts w:ascii="楷体" w:hAnsi="楷体" w:eastAsia="楷体" w:cs="宋体"/>
                      <w:sz w:val="18"/>
                      <w:szCs w:val="18"/>
                    </w:rPr>
                    <w:t>、沉积物、生态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8</w:t>
                  </w:r>
                </w:p>
              </w:tc>
              <w:tc>
                <w:tcPr>
                  <w:tcW w:w="1999" w:type="dxa"/>
                  <w:shd w:val="clear" w:color="auto" w:fill="auto"/>
                  <w:noWrap/>
                  <w:vAlign w:val="center"/>
                </w:tcPr>
                <w:p>
                  <w:pPr>
                    <w:jc w:val="center"/>
                    <w:rPr>
                      <w:rFonts w:eastAsia="楷体"/>
                      <w:sz w:val="18"/>
                      <w:szCs w:val="18"/>
                    </w:rPr>
                  </w:pPr>
                  <w:r>
                    <w:rPr>
                      <w:rFonts w:eastAsia="楷体"/>
                      <w:sz w:val="18"/>
                      <w:szCs w:val="18"/>
                    </w:rPr>
                    <w:t>37°29'5.51"</w:t>
                  </w:r>
                </w:p>
              </w:tc>
              <w:tc>
                <w:tcPr>
                  <w:tcW w:w="1891" w:type="dxa"/>
                  <w:shd w:val="clear" w:color="auto" w:fill="auto"/>
                  <w:noWrap/>
                  <w:vAlign w:val="center"/>
                </w:tcPr>
                <w:p>
                  <w:pPr>
                    <w:jc w:val="center"/>
                    <w:rPr>
                      <w:rFonts w:eastAsia="楷体"/>
                      <w:sz w:val="18"/>
                      <w:szCs w:val="18"/>
                    </w:rPr>
                  </w:pPr>
                  <w:r>
                    <w:rPr>
                      <w:rFonts w:eastAsia="楷体"/>
                      <w:sz w:val="18"/>
                      <w:szCs w:val="18"/>
                    </w:rPr>
                    <w:t>122° 9'31.41"</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9</w:t>
                  </w:r>
                </w:p>
              </w:tc>
              <w:tc>
                <w:tcPr>
                  <w:tcW w:w="1999" w:type="dxa"/>
                  <w:shd w:val="clear" w:color="auto" w:fill="auto"/>
                  <w:noWrap/>
                  <w:vAlign w:val="center"/>
                </w:tcPr>
                <w:p>
                  <w:pPr>
                    <w:jc w:val="center"/>
                    <w:rPr>
                      <w:rFonts w:eastAsia="楷体"/>
                      <w:sz w:val="18"/>
                      <w:szCs w:val="18"/>
                    </w:rPr>
                  </w:pPr>
                  <w:r>
                    <w:rPr>
                      <w:rFonts w:eastAsia="楷体"/>
                      <w:sz w:val="18"/>
                      <w:szCs w:val="18"/>
                    </w:rPr>
                    <w:t>37°27'30.51"</w:t>
                  </w:r>
                </w:p>
              </w:tc>
              <w:tc>
                <w:tcPr>
                  <w:tcW w:w="1891" w:type="dxa"/>
                  <w:shd w:val="clear" w:color="auto" w:fill="auto"/>
                  <w:noWrap/>
                  <w:vAlign w:val="center"/>
                </w:tcPr>
                <w:p>
                  <w:pPr>
                    <w:jc w:val="center"/>
                    <w:rPr>
                      <w:rFonts w:eastAsia="楷体"/>
                      <w:sz w:val="18"/>
                      <w:szCs w:val="18"/>
                    </w:rPr>
                  </w:pPr>
                  <w:r>
                    <w:rPr>
                      <w:rFonts w:eastAsia="楷体"/>
                      <w:sz w:val="18"/>
                      <w:szCs w:val="18"/>
                    </w:rPr>
                    <w:t>122°12'7.66"</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水质、沉积物、生态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10</w:t>
                  </w:r>
                </w:p>
              </w:tc>
              <w:tc>
                <w:tcPr>
                  <w:tcW w:w="1999" w:type="dxa"/>
                  <w:shd w:val="clear" w:color="auto" w:fill="auto"/>
                  <w:noWrap/>
                  <w:vAlign w:val="center"/>
                </w:tcPr>
                <w:p>
                  <w:pPr>
                    <w:jc w:val="center"/>
                    <w:rPr>
                      <w:rFonts w:eastAsia="楷体"/>
                      <w:sz w:val="18"/>
                      <w:szCs w:val="18"/>
                    </w:rPr>
                  </w:pPr>
                  <w:r>
                    <w:rPr>
                      <w:rFonts w:eastAsia="楷体"/>
                      <w:sz w:val="18"/>
                      <w:szCs w:val="18"/>
                    </w:rPr>
                    <w:t>37°28'0.94"</w:t>
                  </w:r>
                </w:p>
              </w:tc>
              <w:tc>
                <w:tcPr>
                  <w:tcW w:w="1891" w:type="dxa"/>
                  <w:shd w:val="clear" w:color="auto" w:fill="auto"/>
                  <w:noWrap/>
                  <w:vAlign w:val="center"/>
                </w:tcPr>
                <w:p>
                  <w:pPr>
                    <w:jc w:val="center"/>
                    <w:rPr>
                      <w:rFonts w:eastAsia="楷体"/>
                      <w:sz w:val="18"/>
                      <w:szCs w:val="18"/>
                    </w:rPr>
                  </w:pPr>
                  <w:r>
                    <w:rPr>
                      <w:rFonts w:eastAsia="楷体"/>
                      <w:sz w:val="18"/>
                      <w:szCs w:val="18"/>
                    </w:rPr>
                    <w:t>122°11'43.90"</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11</w:t>
                  </w:r>
                </w:p>
              </w:tc>
              <w:tc>
                <w:tcPr>
                  <w:tcW w:w="1999" w:type="dxa"/>
                  <w:shd w:val="clear" w:color="auto" w:fill="auto"/>
                  <w:noWrap/>
                  <w:vAlign w:val="center"/>
                </w:tcPr>
                <w:p>
                  <w:pPr>
                    <w:jc w:val="center"/>
                    <w:rPr>
                      <w:rFonts w:eastAsia="楷体"/>
                      <w:sz w:val="18"/>
                      <w:szCs w:val="18"/>
                    </w:rPr>
                  </w:pPr>
                  <w:r>
                    <w:rPr>
                      <w:rFonts w:eastAsia="楷体"/>
                      <w:sz w:val="18"/>
                      <w:szCs w:val="18"/>
                    </w:rPr>
                    <w:t>37°28'37.41"</w:t>
                  </w:r>
                </w:p>
              </w:tc>
              <w:tc>
                <w:tcPr>
                  <w:tcW w:w="1891" w:type="dxa"/>
                  <w:shd w:val="clear" w:color="auto" w:fill="auto"/>
                  <w:noWrap/>
                  <w:vAlign w:val="center"/>
                </w:tcPr>
                <w:p>
                  <w:pPr>
                    <w:jc w:val="center"/>
                    <w:rPr>
                      <w:rFonts w:eastAsia="楷体"/>
                      <w:sz w:val="18"/>
                      <w:szCs w:val="18"/>
                    </w:rPr>
                  </w:pPr>
                  <w:r>
                    <w:rPr>
                      <w:rFonts w:eastAsia="楷体"/>
                      <w:sz w:val="18"/>
                      <w:szCs w:val="18"/>
                    </w:rPr>
                    <w:t>122°11'17.80"</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12</w:t>
                  </w:r>
                </w:p>
              </w:tc>
              <w:tc>
                <w:tcPr>
                  <w:tcW w:w="1999" w:type="dxa"/>
                  <w:shd w:val="clear" w:color="auto" w:fill="auto"/>
                  <w:noWrap/>
                  <w:vAlign w:val="center"/>
                </w:tcPr>
                <w:p>
                  <w:pPr>
                    <w:jc w:val="center"/>
                    <w:rPr>
                      <w:rFonts w:eastAsia="楷体"/>
                      <w:sz w:val="18"/>
                      <w:szCs w:val="18"/>
                    </w:rPr>
                  </w:pPr>
                  <w:r>
                    <w:rPr>
                      <w:rFonts w:eastAsia="楷体"/>
                      <w:sz w:val="18"/>
                      <w:szCs w:val="18"/>
                    </w:rPr>
                    <w:t>37°29'32.90"</w:t>
                  </w:r>
                </w:p>
              </w:tc>
              <w:tc>
                <w:tcPr>
                  <w:tcW w:w="1891" w:type="dxa"/>
                  <w:shd w:val="clear" w:color="auto" w:fill="auto"/>
                  <w:noWrap/>
                  <w:vAlign w:val="center"/>
                </w:tcPr>
                <w:p>
                  <w:pPr>
                    <w:jc w:val="center"/>
                    <w:rPr>
                      <w:rFonts w:eastAsia="楷体"/>
                      <w:sz w:val="18"/>
                      <w:szCs w:val="18"/>
                    </w:rPr>
                  </w:pPr>
                  <w:r>
                    <w:rPr>
                      <w:rFonts w:eastAsia="楷体"/>
                      <w:sz w:val="18"/>
                      <w:szCs w:val="18"/>
                    </w:rPr>
                    <w:t>122°10'39.43"</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水质、沉积物、生态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13</w:t>
                  </w:r>
                </w:p>
              </w:tc>
              <w:tc>
                <w:tcPr>
                  <w:tcW w:w="1999" w:type="dxa"/>
                  <w:shd w:val="clear" w:color="auto" w:fill="auto"/>
                  <w:noWrap/>
                  <w:vAlign w:val="center"/>
                </w:tcPr>
                <w:p>
                  <w:pPr>
                    <w:jc w:val="center"/>
                    <w:rPr>
                      <w:rFonts w:eastAsia="楷体"/>
                      <w:sz w:val="18"/>
                      <w:szCs w:val="18"/>
                    </w:rPr>
                  </w:pPr>
                  <w:r>
                    <w:rPr>
                      <w:rFonts w:eastAsia="楷体"/>
                      <w:sz w:val="18"/>
                      <w:szCs w:val="18"/>
                    </w:rPr>
                    <w:t>37°27'46.92"</w:t>
                  </w:r>
                </w:p>
              </w:tc>
              <w:tc>
                <w:tcPr>
                  <w:tcW w:w="1891" w:type="dxa"/>
                  <w:shd w:val="clear" w:color="auto" w:fill="auto"/>
                  <w:noWrap/>
                  <w:vAlign w:val="center"/>
                </w:tcPr>
                <w:p>
                  <w:pPr>
                    <w:jc w:val="center"/>
                    <w:rPr>
                      <w:rFonts w:eastAsia="楷体"/>
                      <w:sz w:val="18"/>
                      <w:szCs w:val="18"/>
                    </w:rPr>
                  </w:pPr>
                  <w:r>
                    <w:rPr>
                      <w:rFonts w:eastAsia="楷体"/>
                      <w:sz w:val="18"/>
                      <w:szCs w:val="18"/>
                    </w:rPr>
                    <w:t>122°13'25.10"</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14</w:t>
                  </w:r>
                </w:p>
              </w:tc>
              <w:tc>
                <w:tcPr>
                  <w:tcW w:w="1999" w:type="dxa"/>
                  <w:shd w:val="clear" w:color="auto" w:fill="auto"/>
                  <w:noWrap/>
                  <w:vAlign w:val="center"/>
                </w:tcPr>
                <w:p>
                  <w:pPr>
                    <w:jc w:val="center"/>
                    <w:rPr>
                      <w:rFonts w:eastAsia="楷体"/>
                      <w:sz w:val="18"/>
                      <w:szCs w:val="18"/>
                    </w:rPr>
                  </w:pPr>
                  <w:r>
                    <w:rPr>
                      <w:rFonts w:eastAsia="楷体"/>
                      <w:sz w:val="18"/>
                      <w:szCs w:val="18"/>
                    </w:rPr>
                    <w:t>37°28'25.66"</w:t>
                  </w:r>
                </w:p>
              </w:tc>
              <w:tc>
                <w:tcPr>
                  <w:tcW w:w="1891" w:type="dxa"/>
                  <w:shd w:val="clear" w:color="auto" w:fill="auto"/>
                  <w:noWrap/>
                  <w:vAlign w:val="center"/>
                </w:tcPr>
                <w:p>
                  <w:pPr>
                    <w:jc w:val="center"/>
                    <w:rPr>
                      <w:rFonts w:eastAsia="楷体"/>
                      <w:sz w:val="18"/>
                      <w:szCs w:val="18"/>
                    </w:rPr>
                  </w:pPr>
                  <w:r>
                    <w:rPr>
                      <w:rFonts w:eastAsia="楷体"/>
                      <w:sz w:val="18"/>
                      <w:szCs w:val="18"/>
                    </w:rPr>
                    <w:t>122°13'9.26"</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15</w:t>
                  </w:r>
                </w:p>
              </w:tc>
              <w:tc>
                <w:tcPr>
                  <w:tcW w:w="1999" w:type="dxa"/>
                  <w:shd w:val="clear" w:color="auto" w:fill="auto"/>
                  <w:noWrap/>
                  <w:vAlign w:val="center"/>
                </w:tcPr>
                <w:p>
                  <w:pPr>
                    <w:jc w:val="center"/>
                    <w:rPr>
                      <w:rFonts w:eastAsia="楷体"/>
                      <w:sz w:val="18"/>
                      <w:szCs w:val="18"/>
                    </w:rPr>
                  </w:pPr>
                  <w:r>
                    <w:rPr>
                      <w:rFonts w:eastAsia="楷体"/>
                      <w:sz w:val="18"/>
                      <w:szCs w:val="18"/>
                    </w:rPr>
                    <w:t>37°29'18.98"</w:t>
                  </w:r>
                </w:p>
              </w:tc>
              <w:tc>
                <w:tcPr>
                  <w:tcW w:w="1891" w:type="dxa"/>
                  <w:shd w:val="clear" w:color="auto" w:fill="auto"/>
                  <w:noWrap/>
                  <w:vAlign w:val="center"/>
                </w:tcPr>
                <w:p>
                  <w:pPr>
                    <w:jc w:val="center"/>
                    <w:rPr>
                      <w:rFonts w:eastAsia="楷体"/>
                      <w:sz w:val="18"/>
                      <w:szCs w:val="18"/>
                    </w:rPr>
                  </w:pPr>
                  <w:r>
                    <w:rPr>
                      <w:rFonts w:eastAsia="楷体"/>
                      <w:sz w:val="18"/>
                      <w:szCs w:val="18"/>
                    </w:rPr>
                    <w:t>122°12'45.18"</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水质、沉积物、生态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16</w:t>
                  </w:r>
                </w:p>
              </w:tc>
              <w:tc>
                <w:tcPr>
                  <w:tcW w:w="1999" w:type="dxa"/>
                  <w:shd w:val="clear" w:color="auto" w:fill="auto"/>
                  <w:noWrap/>
                  <w:vAlign w:val="center"/>
                </w:tcPr>
                <w:p>
                  <w:pPr>
                    <w:jc w:val="center"/>
                    <w:rPr>
                      <w:rFonts w:eastAsia="楷体"/>
                      <w:sz w:val="18"/>
                      <w:szCs w:val="18"/>
                    </w:rPr>
                  </w:pPr>
                  <w:r>
                    <w:rPr>
                      <w:rFonts w:eastAsia="楷体"/>
                      <w:sz w:val="18"/>
                      <w:szCs w:val="18"/>
                    </w:rPr>
                    <w:t>37°30'17.60"</w:t>
                  </w:r>
                </w:p>
              </w:tc>
              <w:tc>
                <w:tcPr>
                  <w:tcW w:w="1891" w:type="dxa"/>
                  <w:shd w:val="clear" w:color="auto" w:fill="auto"/>
                  <w:noWrap/>
                  <w:vAlign w:val="center"/>
                </w:tcPr>
                <w:p>
                  <w:pPr>
                    <w:jc w:val="center"/>
                    <w:rPr>
                      <w:rFonts w:eastAsia="楷体"/>
                      <w:sz w:val="18"/>
                      <w:szCs w:val="18"/>
                    </w:rPr>
                  </w:pPr>
                  <w:r>
                    <w:rPr>
                      <w:rFonts w:eastAsia="楷体"/>
                      <w:sz w:val="18"/>
                      <w:szCs w:val="18"/>
                    </w:rPr>
                    <w:t>122°12'17.56"</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水质、沉积物、生态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17</w:t>
                  </w:r>
                </w:p>
              </w:tc>
              <w:tc>
                <w:tcPr>
                  <w:tcW w:w="1999" w:type="dxa"/>
                  <w:shd w:val="clear" w:color="auto" w:fill="auto"/>
                  <w:noWrap/>
                  <w:vAlign w:val="center"/>
                </w:tcPr>
                <w:p>
                  <w:pPr>
                    <w:jc w:val="center"/>
                    <w:rPr>
                      <w:rFonts w:eastAsia="楷体"/>
                      <w:sz w:val="18"/>
                      <w:szCs w:val="18"/>
                    </w:rPr>
                  </w:pPr>
                  <w:r>
                    <w:rPr>
                      <w:rFonts w:eastAsia="楷体"/>
                      <w:sz w:val="18"/>
                      <w:szCs w:val="18"/>
                    </w:rPr>
                    <w:t>37°27'50.76"</w:t>
                  </w:r>
                </w:p>
              </w:tc>
              <w:tc>
                <w:tcPr>
                  <w:tcW w:w="1891" w:type="dxa"/>
                  <w:shd w:val="clear" w:color="auto" w:fill="auto"/>
                  <w:noWrap/>
                  <w:vAlign w:val="center"/>
                </w:tcPr>
                <w:p>
                  <w:pPr>
                    <w:jc w:val="center"/>
                    <w:rPr>
                      <w:rFonts w:eastAsia="楷体"/>
                      <w:sz w:val="18"/>
                      <w:szCs w:val="18"/>
                    </w:rPr>
                  </w:pPr>
                  <w:r>
                    <w:rPr>
                      <w:rFonts w:eastAsia="楷体"/>
                      <w:sz w:val="18"/>
                      <w:szCs w:val="18"/>
                    </w:rPr>
                    <w:t>122°16'1.09"</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水质、沉积物、生态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18</w:t>
                  </w:r>
                </w:p>
              </w:tc>
              <w:tc>
                <w:tcPr>
                  <w:tcW w:w="1999" w:type="dxa"/>
                  <w:shd w:val="clear" w:color="auto" w:fill="auto"/>
                  <w:noWrap/>
                  <w:vAlign w:val="center"/>
                </w:tcPr>
                <w:p>
                  <w:pPr>
                    <w:jc w:val="center"/>
                    <w:rPr>
                      <w:rFonts w:eastAsia="楷体"/>
                      <w:sz w:val="18"/>
                      <w:szCs w:val="18"/>
                    </w:rPr>
                  </w:pPr>
                  <w:r>
                    <w:rPr>
                      <w:rFonts w:eastAsia="楷体"/>
                      <w:sz w:val="18"/>
                      <w:szCs w:val="18"/>
                    </w:rPr>
                    <w:t>37°29'2.12"</w:t>
                  </w:r>
                </w:p>
              </w:tc>
              <w:tc>
                <w:tcPr>
                  <w:tcW w:w="1891" w:type="dxa"/>
                  <w:shd w:val="clear" w:color="auto" w:fill="auto"/>
                  <w:noWrap/>
                  <w:vAlign w:val="center"/>
                </w:tcPr>
                <w:p>
                  <w:pPr>
                    <w:jc w:val="center"/>
                    <w:rPr>
                      <w:rFonts w:eastAsia="楷体"/>
                      <w:sz w:val="18"/>
                      <w:szCs w:val="18"/>
                    </w:rPr>
                  </w:pPr>
                  <w:r>
                    <w:rPr>
                      <w:rFonts w:eastAsia="楷体"/>
                      <w:sz w:val="18"/>
                      <w:szCs w:val="18"/>
                    </w:rPr>
                    <w:t>122°15'26.98"</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19</w:t>
                  </w:r>
                </w:p>
              </w:tc>
              <w:tc>
                <w:tcPr>
                  <w:tcW w:w="1999" w:type="dxa"/>
                  <w:shd w:val="clear" w:color="auto" w:fill="auto"/>
                  <w:noWrap/>
                  <w:vAlign w:val="center"/>
                </w:tcPr>
                <w:p>
                  <w:pPr>
                    <w:jc w:val="center"/>
                    <w:rPr>
                      <w:rFonts w:eastAsia="楷体"/>
                      <w:sz w:val="18"/>
                      <w:szCs w:val="18"/>
                    </w:rPr>
                  </w:pPr>
                  <w:r>
                    <w:rPr>
                      <w:rFonts w:eastAsia="楷体"/>
                      <w:sz w:val="18"/>
                      <w:szCs w:val="18"/>
                    </w:rPr>
                    <w:t>37°30'3.20"</w:t>
                  </w:r>
                </w:p>
              </w:tc>
              <w:tc>
                <w:tcPr>
                  <w:tcW w:w="1891" w:type="dxa"/>
                  <w:shd w:val="clear" w:color="auto" w:fill="auto"/>
                  <w:noWrap/>
                  <w:vAlign w:val="center"/>
                </w:tcPr>
                <w:p>
                  <w:pPr>
                    <w:jc w:val="center"/>
                    <w:rPr>
                      <w:rFonts w:eastAsia="楷体"/>
                      <w:sz w:val="18"/>
                      <w:szCs w:val="18"/>
                    </w:rPr>
                  </w:pPr>
                  <w:r>
                    <w:rPr>
                      <w:rFonts w:eastAsia="楷体"/>
                      <w:sz w:val="18"/>
                      <w:szCs w:val="18"/>
                    </w:rPr>
                    <w:t>122°14'52.67"</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水质、沉积物、生态</w:t>
                  </w:r>
                </w:p>
              </w:tc>
            </w:tr>
            <w:tr>
              <w:tblPrEx>
                <w:tblBorders>
                  <w:top w:val="single" w:color="auto" w:sz="12" w:space="0"/>
                  <w:left w:val="single" w:color="auto" w:sz="12" w:space="0"/>
                  <w:bottom w:val="single" w:color="auto" w:sz="4"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98" w:type="dxa"/>
                  <w:shd w:val="clear" w:color="auto" w:fill="auto"/>
                  <w:noWrap/>
                  <w:vAlign w:val="center"/>
                </w:tcPr>
                <w:p>
                  <w:pPr>
                    <w:jc w:val="center"/>
                    <w:rPr>
                      <w:rFonts w:eastAsia="楷体"/>
                      <w:sz w:val="18"/>
                      <w:szCs w:val="18"/>
                    </w:rPr>
                  </w:pPr>
                  <w:r>
                    <w:rPr>
                      <w:rFonts w:hint="eastAsia" w:eastAsia="楷体"/>
                      <w:sz w:val="18"/>
                      <w:szCs w:val="18"/>
                    </w:rPr>
                    <w:t>20</w:t>
                  </w:r>
                </w:p>
              </w:tc>
              <w:tc>
                <w:tcPr>
                  <w:tcW w:w="1999" w:type="dxa"/>
                  <w:shd w:val="clear" w:color="auto" w:fill="auto"/>
                  <w:noWrap/>
                  <w:vAlign w:val="center"/>
                </w:tcPr>
                <w:p>
                  <w:pPr>
                    <w:jc w:val="center"/>
                    <w:rPr>
                      <w:rFonts w:eastAsia="楷体"/>
                      <w:sz w:val="18"/>
                      <w:szCs w:val="18"/>
                    </w:rPr>
                  </w:pPr>
                  <w:r>
                    <w:rPr>
                      <w:rFonts w:eastAsia="楷体"/>
                      <w:sz w:val="18"/>
                      <w:szCs w:val="18"/>
                    </w:rPr>
                    <w:t>3</w:t>
                  </w:r>
                  <w:r>
                    <w:rPr>
                      <w:rFonts w:hint="eastAsia" w:eastAsia="楷体"/>
                      <w:sz w:val="18"/>
                      <w:szCs w:val="18"/>
                    </w:rPr>
                    <w:t>7</w:t>
                  </w:r>
                  <w:r>
                    <w:rPr>
                      <w:rFonts w:eastAsia="楷体"/>
                      <w:sz w:val="18"/>
                      <w:szCs w:val="18"/>
                    </w:rPr>
                    <w:t>°</w:t>
                  </w:r>
                  <w:r>
                    <w:rPr>
                      <w:rFonts w:hint="eastAsia" w:eastAsia="楷体"/>
                      <w:sz w:val="18"/>
                      <w:szCs w:val="18"/>
                    </w:rPr>
                    <w:t>3</w:t>
                  </w:r>
                  <w:r>
                    <w:rPr>
                      <w:rFonts w:eastAsia="楷体"/>
                      <w:sz w:val="18"/>
                      <w:szCs w:val="18"/>
                    </w:rPr>
                    <w:t>1'32.20"</w:t>
                  </w:r>
                </w:p>
              </w:tc>
              <w:tc>
                <w:tcPr>
                  <w:tcW w:w="1891" w:type="dxa"/>
                  <w:shd w:val="clear" w:color="auto" w:fill="auto"/>
                  <w:noWrap/>
                  <w:vAlign w:val="center"/>
                </w:tcPr>
                <w:p>
                  <w:pPr>
                    <w:jc w:val="center"/>
                    <w:rPr>
                      <w:rFonts w:eastAsia="楷体"/>
                      <w:sz w:val="18"/>
                      <w:szCs w:val="18"/>
                    </w:rPr>
                  </w:pPr>
                  <w:r>
                    <w:rPr>
                      <w:rFonts w:eastAsia="楷体"/>
                      <w:sz w:val="18"/>
                      <w:szCs w:val="18"/>
                    </w:rPr>
                    <w:t>12</w:t>
                  </w:r>
                  <w:r>
                    <w:rPr>
                      <w:rFonts w:hint="eastAsia" w:eastAsia="楷体"/>
                      <w:sz w:val="18"/>
                      <w:szCs w:val="18"/>
                    </w:rPr>
                    <w:t>2</w:t>
                  </w:r>
                  <w:r>
                    <w:rPr>
                      <w:rFonts w:eastAsia="楷体"/>
                      <w:sz w:val="18"/>
                      <w:szCs w:val="18"/>
                    </w:rPr>
                    <w:t>°</w:t>
                  </w:r>
                  <w:r>
                    <w:rPr>
                      <w:rFonts w:hint="eastAsia" w:eastAsia="楷体"/>
                      <w:sz w:val="18"/>
                      <w:szCs w:val="18"/>
                    </w:rPr>
                    <w:t>13</w:t>
                  </w:r>
                  <w:r>
                    <w:rPr>
                      <w:rFonts w:eastAsia="楷体"/>
                      <w:sz w:val="18"/>
                      <w:szCs w:val="18"/>
                    </w:rPr>
                    <w:t>'59.86"</w:t>
                  </w:r>
                </w:p>
              </w:tc>
              <w:tc>
                <w:tcPr>
                  <w:tcW w:w="3371" w:type="dxa"/>
                  <w:shd w:val="clear" w:color="auto" w:fill="auto"/>
                  <w:vAlign w:val="bottom"/>
                </w:tcPr>
                <w:p>
                  <w:pPr>
                    <w:widowControl/>
                    <w:ind w:firstLine="360"/>
                    <w:jc w:val="center"/>
                    <w:rPr>
                      <w:rFonts w:ascii="楷体" w:hAnsi="楷体" w:eastAsia="楷体" w:cs="宋体"/>
                      <w:sz w:val="18"/>
                      <w:szCs w:val="18"/>
                    </w:rPr>
                  </w:pPr>
                  <w:r>
                    <w:rPr>
                      <w:rFonts w:hint="eastAsia" w:ascii="楷体" w:hAnsi="楷体" w:eastAsia="楷体" w:cs="宋体"/>
                      <w:sz w:val="18"/>
                      <w:szCs w:val="18"/>
                    </w:rPr>
                    <w:t>水质、沉积物、生态</w:t>
                  </w:r>
                </w:p>
              </w:tc>
            </w:tr>
          </w:tbl>
          <w:p>
            <w:pPr>
              <w:widowControl/>
              <w:spacing w:line="360" w:lineRule="auto"/>
              <w:ind w:firstLine="482" w:firstLineChars="200"/>
              <w:rPr>
                <w:b/>
                <w:sz w:val="24"/>
              </w:rPr>
            </w:pPr>
            <w:r>
              <w:rPr>
                <w:rFonts w:hint="eastAsia"/>
                <w:b/>
                <w:sz w:val="24"/>
              </w:rPr>
              <w:t>4.1</w:t>
            </w:r>
            <w:r>
              <w:rPr>
                <w:b/>
                <w:sz w:val="24"/>
              </w:rPr>
              <w:t>.1.2 调查项目与分析方法</w:t>
            </w:r>
          </w:p>
          <w:p>
            <w:pPr>
              <w:widowControl/>
              <w:spacing w:line="360" w:lineRule="auto"/>
              <w:ind w:firstLine="480" w:firstLineChars="200"/>
              <w:rPr>
                <w:sz w:val="24"/>
              </w:rPr>
            </w:pPr>
            <w:r>
              <w:rPr>
                <w:sz w:val="24"/>
              </w:rPr>
              <w:t>（1）调查项目</w:t>
            </w:r>
            <w:bookmarkEnd w:id="3"/>
          </w:p>
          <w:p>
            <w:pPr>
              <w:widowControl/>
              <w:spacing w:line="360" w:lineRule="auto"/>
              <w:ind w:firstLine="480" w:firstLineChars="200"/>
              <w:rPr>
                <w:sz w:val="24"/>
              </w:rPr>
            </w:pPr>
            <w:r>
              <w:rPr>
                <w:sz w:val="24"/>
              </w:rPr>
              <w:t>水文要素：温度和盐度；水质要素：pH、DO、无机氮(硝酸氮、亚硝酸氮、氨氮)、活性磷酸盐、COD</w:t>
            </w:r>
            <w:r>
              <w:rPr>
                <w:sz w:val="24"/>
                <w:vertAlign w:val="subscript"/>
              </w:rPr>
              <w:t>Mn</w:t>
            </w:r>
            <w:r>
              <w:rPr>
                <w:sz w:val="24"/>
              </w:rPr>
              <w:t>、石油类、悬浮物、硫化物、挥发酚和重金属(铅、镉、铜、锌、砷、铬和总汞)共18项指标。</w:t>
            </w:r>
          </w:p>
          <w:p>
            <w:pPr>
              <w:widowControl/>
              <w:spacing w:line="360" w:lineRule="auto"/>
              <w:ind w:firstLine="480" w:firstLineChars="200"/>
              <w:rPr>
                <w:sz w:val="24"/>
              </w:rPr>
            </w:pPr>
            <w:r>
              <w:rPr>
                <w:sz w:val="24"/>
              </w:rPr>
              <w:t>（2）分析方法</w:t>
            </w:r>
          </w:p>
          <w:p>
            <w:pPr>
              <w:widowControl/>
              <w:spacing w:line="360" w:lineRule="auto"/>
              <w:ind w:firstLine="480" w:firstLineChars="200"/>
            </w:pPr>
            <w:r>
              <w:rPr>
                <w:sz w:val="24"/>
              </w:rPr>
              <w:t>调查项目的采样和分析方法参照《海洋监测规范》(GB 17378-2007)、《海洋调查规范》(GB/T 12763-2007)和《近岸海域环境监测规范》(HJ 442-2008)的有关技术要求进行。海水水质具体分析项目及分析方法详见表</w:t>
            </w:r>
            <w:r>
              <w:rPr>
                <w:rFonts w:hint="eastAsia"/>
                <w:sz w:val="24"/>
              </w:rPr>
              <w:t>4</w:t>
            </w:r>
            <w:r>
              <w:rPr>
                <w:sz w:val="24"/>
              </w:rPr>
              <w:t>.</w:t>
            </w:r>
            <w:r>
              <w:rPr>
                <w:rFonts w:hint="eastAsia"/>
                <w:sz w:val="24"/>
              </w:rPr>
              <w:t>1.1</w:t>
            </w:r>
            <w:r>
              <w:rPr>
                <w:sz w:val="24"/>
              </w:rPr>
              <w:t>-2。</w:t>
            </w:r>
          </w:p>
          <w:p>
            <w:pPr>
              <w:pStyle w:val="279"/>
              <w:snapToGrid w:val="0"/>
              <w:ind w:firstLine="480"/>
              <w:rPr>
                <w:szCs w:val="21"/>
              </w:rPr>
            </w:pPr>
            <w:bookmarkStart w:id="4" w:name="_Ref533078472"/>
            <w:r>
              <w:rPr>
                <w:szCs w:val="21"/>
              </w:rPr>
              <w:t>表</w:t>
            </w:r>
            <w:r>
              <w:rPr>
                <w:rFonts w:hint="eastAsia"/>
                <w:szCs w:val="21"/>
              </w:rPr>
              <w:t>4</w:t>
            </w:r>
            <w:r>
              <w:rPr>
                <w:szCs w:val="21"/>
              </w:rPr>
              <w:t>.</w:t>
            </w:r>
            <w:bookmarkEnd w:id="4"/>
            <w:r>
              <w:rPr>
                <w:rFonts w:hint="eastAsia"/>
                <w:szCs w:val="21"/>
              </w:rPr>
              <w:t>1.</w:t>
            </w:r>
            <w:r>
              <w:rPr>
                <w:szCs w:val="21"/>
              </w:rPr>
              <w:t>1-2 海水水质监测分析方法及检出限</w:t>
            </w:r>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95"/>
              <w:gridCol w:w="4300"/>
              <w:gridCol w:w="196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PrEx>
              <w:trPr>
                <w:trHeight w:val="283" w:hRule="exact"/>
                <w:jc w:val="center"/>
              </w:trPr>
              <w:tc>
                <w:tcPr>
                  <w:tcW w:w="1995" w:type="dxa"/>
                  <w:vAlign w:val="center"/>
                </w:tcPr>
                <w:p>
                  <w:pPr>
                    <w:jc w:val="center"/>
                    <w:rPr>
                      <w:rFonts w:eastAsiaTheme="minorEastAsia"/>
                      <w:b/>
                      <w:szCs w:val="21"/>
                    </w:rPr>
                  </w:pPr>
                  <w:r>
                    <w:rPr>
                      <w:rFonts w:eastAsiaTheme="minorEastAsia"/>
                      <w:b/>
                      <w:szCs w:val="21"/>
                    </w:rPr>
                    <w:t>项目</w:t>
                  </w:r>
                </w:p>
              </w:tc>
              <w:tc>
                <w:tcPr>
                  <w:tcW w:w="4300" w:type="dxa"/>
                  <w:vAlign w:val="center"/>
                </w:tcPr>
                <w:p>
                  <w:pPr>
                    <w:jc w:val="center"/>
                    <w:rPr>
                      <w:rFonts w:eastAsiaTheme="minorEastAsia"/>
                      <w:b/>
                      <w:szCs w:val="21"/>
                    </w:rPr>
                  </w:pPr>
                  <w:r>
                    <w:rPr>
                      <w:rFonts w:eastAsiaTheme="minorEastAsia"/>
                      <w:b/>
                      <w:szCs w:val="21"/>
                    </w:rPr>
                    <w:t>分析方法</w:t>
                  </w:r>
                </w:p>
              </w:tc>
              <w:tc>
                <w:tcPr>
                  <w:tcW w:w="1964" w:type="dxa"/>
                  <w:vAlign w:val="center"/>
                </w:tcPr>
                <w:p>
                  <w:pPr>
                    <w:jc w:val="center"/>
                    <w:rPr>
                      <w:rFonts w:eastAsiaTheme="minorEastAsia"/>
                      <w:b/>
                      <w:szCs w:val="21"/>
                    </w:rPr>
                  </w:pPr>
                  <w:r>
                    <w:rPr>
                      <w:rFonts w:eastAsiaTheme="minorEastAsia"/>
                      <w:b/>
                      <w:szCs w:val="21"/>
                    </w:rPr>
                    <w:t>检出限，mg/L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温度</w:t>
                  </w:r>
                </w:p>
              </w:tc>
              <w:tc>
                <w:tcPr>
                  <w:tcW w:w="4300" w:type="dxa"/>
                  <w:vAlign w:val="center"/>
                </w:tcPr>
                <w:p>
                  <w:pPr>
                    <w:jc w:val="center"/>
                    <w:rPr>
                      <w:rFonts w:eastAsiaTheme="minorEastAsia"/>
                      <w:szCs w:val="21"/>
                    </w:rPr>
                  </w:pPr>
                  <w:r>
                    <w:rPr>
                      <w:rFonts w:eastAsiaTheme="minorEastAsia"/>
                      <w:szCs w:val="21"/>
                    </w:rPr>
                    <w:t>水质参数仪</w:t>
                  </w:r>
                </w:p>
              </w:tc>
              <w:tc>
                <w:tcPr>
                  <w:tcW w:w="1964" w:type="dxa"/>
                  <w:vAlign w:val="center"/>
                </w:tcPr>
                <w:p>
                  <w:pPr>
                    <w:jc w:val="center"/>
                    <w:rPr>
                      <w:rFonts w:eastAsiaTheme="minorEastAsia"/>
                      <w:szCs w:val="21"/>
                    </w:rPr>
                  </w:pPr>
                  <w:r>
                    <w:rPr>
                      <w:rFonts w:eastAsiaTheme="minorEastAsia"/>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盐度</w:t>
                  </w:r>
                </w:p>
              </w:tc>
              <w:tc>
                <w:tcPr>
                  <w:tcW w:w="4300" w:type="dxa"/>
                </w:tcPr>
                <w:p>
                  <w:pPr>
                    <w:jc w:val="center"/>
                    <w:rPr>
                      <w:rFonts w:eastAsiaTheme="minorEastAsia"/>
                      <w:szCs w:val="21"/>
                    </w:rPr>
                  </w:pPr>
                  <w:r>
                    <w:rPr>
                      <w:rFonts w:eastAsiaTheme="minorEastAsia"/>
                      <w:szCs w:val="21"/>
                    </w:rPr>
                    <w:t>水质参数仪</w:t>
                  </w:r>
                </w:p>
              </w:tc>
              <w:tc>
                <w:tcPr>
                  <w:tcW w:w="1964" w:type="dxa"/>
                  <w:vAlign w:val="center"/>
                </w:tcPr>
                <w:p>
                  <w:pPr>
                    <w:jc w:val="center"/>
                    <w:rPr>
                      <w:rFonts w:eastAsiaTheme="minorEastAsia"/>
                      <w:szCs w:val="21"/>
                    </w:rPr>
                  </w:pPr>
                  <w:r>
                    <w:rPr>
                      <w:rFonts w:eastAsiaTheme="minorEastAsia"/>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pH</w:t>
                  </w:r>
                </w:p>
              </w:tc>
              <w:tc>
                <w:tcPr>
                  <w:tcW w:w="4300" w:type="dxa"/>
                </w:tcPr>
                <w:p>
                  <w:pPr>
                    <w:jc w:val="center"/>
                    <w:rPr>
                      <w:rFonts w:eastAsiaTheme="minorEastAsia"/>
                      <w:szCs w:val="21"/>
                    </w:rPr>
                  </w:pPr>
                  <w:r>
                    <w:rPr>
                      <w:rFonts w:eastAsiaTheme="minorEastAsia"/>
                      <w:szCs w:val="21"/>
                    </w:rPr>
                    <w:t>水质参数仪</w:t>
                  </w:r>
                </w:p>
              </w:tc>
              <w:tc>
                <w:tcPr>
                  <w:tcW w:w="1964" w:type="dxa"/>
                  <w:vAlign w:val="center"/>
                </w:tcPr>
                <w:p>
                  <w:pPr>
                    <w:jc w:val="center"/>
                    <w:rPr>
                      <w:rFonts w:eastAsiaTheme="minorEastAsia"/>
                      <w:szCs w:val="21"/>
                    </w:rPr>
                  </w:pPr>
                  <w:r>
                    <w:rPr>
                      <w:rFonts w:eastAsiaTheme="minorEastAsia"/>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DO</w:t>
                  </w:r>
                </w:p>
              </w:tc>
              <w:tc>
                <w:tcPr>
                  <w:tcW w:w="4300" w:type="dxa"/>
                  <w:vAlign w:val="center"/>
                </w:tcPr>
                <w:p>
                  <w:pPr>
                    <w:jc w:val="center"/>
                    <w:rPr>
                      <w:rFonts w:eastAsiaTheme="minorEastAsia"/>
                      <w:szCs w:val="21"/>
                    </w:rPr>
                  </w:pPr>
                  <w:r>
                    <w:rPr>
                      <w:rFonts w:eastAsiaTheme="minorEastAsia"/>
                      <w:szCs w:val="21"/>
                    </w:rPr>
                    <w:t>碘量法</w:t>
                  </w:r>
                </w:p>
              </w:tc>
              <w:tc>
                <w:tcPr>
                  <w:tcW w:w="1964" w:type="dxa"/>
                  <w:vAlign w:val="center"/>
                </w:tcPr>
                <w:p>
                  <w:pPr>
                    <w:pStyle w:val="938"/>
                    <w:jc w:val="center"/>
                    <w:rPr>
                      <w:rFonts w:ascii="Times New Roman" w:hAnsi="Times New Roman" w:eastAsiaTheme="minorEastAsia"/>
                      <w:szCs w:val="21"/>
                    </w:rPr>
                  </w:pPr>
                  <w:r>
                    <w:rPr>
                      <w:rFonts w:ascii="Times New Roman" w:hAnsi="Times New Roman" w:eastAsiaTheme="minorEastAsia"/>
                      <w:szCs w:val="21"/>
                    </w:rPr>
                    <w:t>0.042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COD</w:t>
                  </w:r>
                </w:p>
              </w:tc>
              <w:tc>
                <w:tcPr>
                  <w:tcW w:w="4300" w:type="dxa"/>
                  <w:vAlign w:val="center"/>
                </w:tcPr>
                <w:p>
                  <w:pPr>
                    <w:jc w:val="center"/>
                    <w:rPr>
                      <w:rFonts w:eastAsiaTheme="minorEastAsia"/>
                      <w:szCs w:val="21"/>
                    </w:rPr>
                  </w:pPr>
                  <w:r>
                    <w:rPr>
                      <w:rFonts w:eastAsiaTheme="minorEastAsia"/>
                      <w:szCs w:val="21"/>
                    </w:rPr>
                    <w:t>碱性高锰酸钾法</w:t>
                  </w:r>
                </w:p>
              </w:tc>
              <w:tc>
                <w:tcPr>
                  <w:tcW w:w="1964" w:type="dxa"/>
                  <w:vAlign w:val="center"/>
                </w:tcPr>
                <w:p>
                  <w:pPr>
                    <w:pStyle w:val="938"/>
                    <w:jc w:val="center"/>
                    <w:rPr>
                      <w:rFonts w:ascii="Times New Roman" w:hAnsi="Times New Roman" w:eastAsiaTheme="minorEastAsia"/>
                      <w:szCs w:val="21"/>
                    </w:rPr>
                  </w:pPr>
                  <w:r>
                    <w:rPr>
                      <w:rFonts w:ascii="Times New Roman" w:hAnsi="Times New Roman" w:eastAsiaTheme="minorEastAsia"/>
                      <w:szCs w:val="21"/>
                    </w:rPr>
                    <w:t>0.15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硝酸盐</w:t>
                  </w:r>
                </w:p>
              </w:tc>
              <w:tc>
                <w:tcPr>
                  <w:tcW w:w="4300" w:type="dxa"/>
                  <w:vAlign w:val="center"/>
                </w:tcPr>
                <w:p>
                  <w:pPr>
                    <w:jc w:val="center"/>
                    <w:rPr>
                      <w:rFonts w:eastAsiaTheme="minorEastAsia"/>
                      <w:szCs w:val="21"/>
                    </w:rPr>
                  </w:pPr>
                  <w:r>
                    <w:rPr>
                      <w:rFonts w:eastAsiaTheme="minorEastAsia"/>
                      <w:szCs w:val="21"/>
                    </w:rPr>
                    <w:t>镉铜还原法</w:t>
                  </w:r>
                </w:p>
              </w:tc>
              <w:tc>
                <w:tcPr>
                  <w:tcW w:w="1964" w:type="dxa"/>
                  <w:vAlign w:val="center"/>
                </w:tcPr>
                <w:p>
                  <w:pPr>
                    <w:pStyle w:val="938"/>
                    <w:jc w:val="center"/>
                    <w:rPr>
                      <w:rFonts w:ascii="Times New Roman" w:hAnsi="Times New Roman" w:eastAsiaTheme="minorEastAsia"/>
                      <w:szCs w:val="21"/>
                    </w:rPr>
                  </w:pPr>
                  <w:r>
                    <w:rPr>
                      <w:rFonts w:ascii="Times New Roman" w:hAnsi="Times New Roman" w:eastAsiaTheme="minorEastAsia"/>
                      <w:szCs w:val="21"/>
                    </w:rPr>
                    <w:t>0.7×10</w:t>
                  </w:r>
                  <w:r>
                    <w:rPr>
                      <w:rFonts w:ascii="Times New Roman" w:hAnsi="Times New Roman"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亚硝酸盐</w:t>
                  </w:r>
                </w:p>
              </w:tc>
              <w:tc>
                <w:tcPr>
                  <w:tcW w:w="4300" w:type="dxa"/>
                  <w:vAlign w:val="center"/>
                </w:tcPr>
                <w:p>
                  <w:pPr>
                    <w:jc w:val="center"/>
                    <w:rPr>
                      <w:rFonts w:eastAsiaTheme="minorEastAsia"/>
                      <w:szCs w:val="21"/>
                    </w:rPr>
                  </w:pPr>
                  <w:r>
                    <w:rPr>
                      <w:rFonts w:eastAsiaTheme="minorEastAsia"/>
                      <w:szCs w:val="21"/>
                    </w:rPr>
                    <w:t>萘乙二胺分光光度法</w:t>
                  </w:r>
                </w:p>
              </w:tc>
              <w:tc>
                <w:tcPr>
                  <w:tcW w:w="1964" w:type="dxa"/>
                  <w:vAlign w:val="center"/>
                </w:tcPr>
                <w:p>
                  <w:pPr>
                    <w:pStyle w:val="938"/>
                    <w:jc w:val="center"/>
                    <w:rPr>
                      <w:rFonts w:ascii="Times New Roman" w:hAnsi="Times New Roman" w:eastAsiaTheme="minorEastAsia"/>
                      <w:szCs w:val="21"/>
                    </w:rPr>
                  </w:pPr>
                  <w:r>
                    <w:rPr>
                      <w:rFonts w:ascii="Times New Roman" w:hAnsi="Times New Roman" w:eastAsiaTheme="minorEastAsia"/>
                      <w:szCs w:val="21"/>
                    </w:rPr>
                    <w:t>0.28×10</w:t>
                  </w:r>
                  <w:r>
                    <w:rPr>
                      <w:rFonts w:ascii="Times New Roman" w:hAnsi="Times New Roman"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氨氮</w:t>
                  </w:r>
                </w:p>
              </w:tc>
              <w:tc>
                <w:tcPr>
                  <w:tcW w:w="4300" w:type="dxa"/>
                  <w:vAlign w:val="center"/>
                </w:tcPr>
                <w:p>
                  <w:pPr>
                    <w:jc w:val="center"/>
                    <w:rPr>
                      <w:rFonts w:eastAsiaTheme="minorEastAsia"/>
                      <w:szCs w:val="21"/>
                    </w:rPr>
                  </w:pPr>
                  <w:r>
                    <w:rPr>
                      <w:rFonts w:eastAsiaTheme="minorEastAsia"/>
                      <w:szCs w:val="21"/>
                    </w:rPr>
                    <w:t>次溴酸盐氧化法</w:t>
                  </w:r>
                </w:p>
              </w:tc>
              <w:tc>
                <w:tcPr>
                  <w:tcW w:w="1964" w:type="dxa"/>
                  <w:vAlign w:val="center"/>
                </w:tcPr>
                <w:p>
                  <w:pPr>
                    <w:pStyle w:val="938"/>
                    <w:jc w:val="center"/>
                    <w:rPr>
                      <w:rFonts w:ascii="Times New Roman" w:hAnsi="Times New Roman" w:eastAsiaTheme="minorEastAsia"/>
                      <w:szCs w:val="21"/>
                    </w:rPr>
                  </w:pPr>
                  <w:r>
                    <w:rPr>
                      <w:rFonts w:ascii="Times New Roman" w:hAnsi="Times New Roman" w:eastAsiaTheme="minorEastAsia"/>
                      <w:szCs w:val="21"/>
                    </w:rPr>
                    <w:t>0.7×10</w:t>
                  </w:r>
                  <w:r>
                    <w:rPr>
                      <w:rFonts w:ascii="Times New Roman" w:hAnsi="Times New Roman"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磷酸盐</w:t>
                  </w:r>
                </w:p>
              </w:tc>
              <w:tc>
                <w:tcPr>
                  <w:tcW w:w="4300" w:type="dxa"/>
                  <w:vAlign w:val="center"/>
                </w:tcPr>
                <w:p>
                  <w:pPr>
                    <w:jc w:val="center"/>
                    <w:rPr>
                      <w:rFonts w:eastAsiaTheme="minorEastAsia"/>
                      <w:szCs w:val="21"/>
                    </w:rPr>
                  </w:pPr>
                  <w:r>
                    <w:rPr>
                      <w:rFonts w:eastAsiaTheme="minorEastAsia"/>
                      <w:szCs w:val="21"/>
                    </w:rPr>
                    <w:t>磷钼蓝分光光度法</w:t>
                  </w:r>
                </w:p>
              </w:tc>
              <w:tc>
                <w:tcPr>
                  <w:tcW w:w="1964" w:type="dxa"/>
                  <w:vAlign w:val="center"/>
                </w:tcPr>
                <w:p>
                  <w:pPr>
                    <w:pStyle w:val="938"/>
                    <w:jc w:val="center"/>
                    <w:rPr>
                      <w:rFonts w:ascii="Times New Roman" w:hAnsi="Times New Roman" w:eastAsiaTheme="minorEastAsia"/>
                      <w:szCs w:val="21"/>
                    </w:rPr>
                  </w:pPr>
                  <w:r>
                    <w:rPr>
                      <w:rFonts w:ascii="Times New Roman" w:hAnsi="Times New Roman" w:eastAsiaTheme="minorEastAsia"/>
                      <w:szCs w:val="21"/>
                    </w:rPr>
                    <w:t>1.4×10</w:t>
                  </w:r>
                  <w:r>
                    <w:rPr>
                      <w:rFonts w:ascii="Times New Roman" w:hAnsi="Times New Roman"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悬浮物</w:t>
                  </w:r>
                </w:p>
              </w:tc>
              <w:tc>
                <w:tcPr>
                  <w:tcW w:w="4300" w:type="dxa"/>
                  <w:vAlign w:val="center"/>
                </w:tcPr>
                <w:p>
                  <w:pPr>
                    <w:jc w:val="center"/>
                    <w:rPr>
                      <w:rFonts w:eastAsiaTheme="minorEastAsia"/>
                      <w:szCs w:val="21"/>
                    </w:rPr>
                  </w:pPr>
                  <w:r>
                    <w:rPr>
                      <w:rFonts w:eastAsiaTheme="minorEastAsia"/>
                      <w:szCs w:val="21"/>
                    </w:rPr>
                    <w:t>重量法</w:t>
                  </w:r>
                </w:p>
              </w:tc>
              <w:tc>
                <w:tcPr>
                  <w:tcW w:w="1964" w:type="dxa"/>
                  <w:vAlign w:val="center"/>
                </w:tcPr>
                <w:p>
                  <w:pPr>
                    <w:jc w:val="center"/>
                    <w:rPr>
                      <w:rFonts w:eastAsiaTheme="minorEastAsia"/>
                      <w:szCs w:val="21"/>
                    </w:rPr>
                  </w:pPr>
                  <w:r>
                    <w:rPr>
                      <w:rFonts w:eastAsiaTheme="minorEastAsia"/>
                      <w:szCs w:val="21"/>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石油类</w:t>
                  </w:r>
                </w:p>
              </w:tc>
              <w:tc>
                <w:tcPr>
                  <w:tcW w:w="4300" w:type="dxa"/>
                  <w:vAlign w:val="center"/>
                </w:tcPr>
                <w:p>
                  <w:pPr>
                    <w:jc w:val="center"/>
                    <w:rPr>
                      <w:rFonts w:eastAsiaTheme="minorEastAsia"/>
                      <w:szCs w:val="21"/>
                    </w:rPr>
                  </w:pPr>
                  <w:r>
                    <w:rPr>
                      <w:rFonts w:eastAsiaTheme="minorEastAsia"/>
                      <w:szCs w:val="21"/>
                    </w:rPr>
                    <w:t>紫外分光光度法</w:t>
                  </w:r>
                </w:p>
              </w:tc>
              <w:tc>
                <w:tcPr>
                  <w:tcW w:w="1964" w:type="dxa"/>
                  <w:vAlign w:val="center"/>
                </w:tcPr>
                <w:p>
                  <w:pPr>
                    <w:jc w:val="center"/>
                    <w:rPr>
                      <w:rFonts w:eastAsiaTheme="minorEastAsia"/>
                      <w:szCs w:val="21"/>
                    </w:rPr>
                  </w:pPr>
                  <w:r>
                    <w:rPr>
                      <w:rFonts w:eastAsiaTheme="minorEastAsia"/>
                      <w:szCs w:val="21"/>
                    </w:rPr>
                    <w:t>9.2×10</w:t>
                  </w:r>
                  <w:r>
                    <w:rPr>
                      <w:rFonts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硫化物</w:t>
                  </w:r>
                </w:p>
              </w:tc>
              <w:tc>
                <w:tcPr>
                  <w:tcW w:w="4300" w:type="dxa"/>
                  <w:vAlign w:val="center"/>
                </w:tcPr>
                <w:p>
                  <w:pPr>
                    <w:jc w:val="center"/>
                    <w:rPr>
                      <w:rFonts w:eastAsiaTheme="minorEastAsia"/>
                      <w:szCs w:val="21"/>
                    </w:rPr>
                  </w:pPr>
                  <w:r>
                    <w:rPr>
                      <w:rFonts w:eastAsiaTheme="minorEastAsia"/>
                      <w:szCs w:val="21"/>
                    </w:rPr>
                    <w:t>亚甲基蓝分光光度法</w:t>
                  </w:r>
                </w:p>
              </w:tc>
              <w:tc>
                <w:tcPr>
                  <w:tcW w:w="1964" w:type="dxa"/>
                  <w:vAlign w:val="center"/>
                </w:tcPr>
                <w:p>
                  <w:pPr>
                    <w:jc w:val="center"/>
                    <w:rPr>
                      <w:rFonts w:eastAsiaTheme="minorEastAsia"/>
                      <w:szCs w:val="21"/>
                    </w:rPr>
                  </w:pPr>
                  <w:r>
                    <w:rPr>
                      <w:rFonts w:eastAsiaTheme="minorEastAsia"/>
                      <w:szCs w:val="21"/>
                    </w:rPr>
                    <w:t>1.7×10</w:t>
                  </w:r>
                  <w:r>
                    <w:rPr>
                      <w:rFonts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挥发酚</w:t>
                  </w:r>
                </w:p>
              </w:tc>
              <w:tc>
                <w:tcPr>
                  <w:tcW w:w="4300" w:type="dxa"/>
                  <w:vAlign w:val="center"/>
                </w:tcPr>
                <w:p>
                  <w:pPr>
                    <w:jc w:val="center"/>
                    <w:rPr>
                      <w:rFonts w:eastAsiaTheme="minorEastAsia"/>
                      <w:szCs w:val="21"/>
                    </w:rPr>
                  </w:pPr>
                  <w:r>
                    <w:rPr>
                      <w:rFonts w:eastAsiaTheme="minorEastAsia"/>
                      <w:szCs w:val="21"/>
                    </w:rPr>
                    <w:t>4-氨基替比林分光光度法</w:t>
                  </w:r>
                </w:p>
              </w:tc>
              <w:tc>
                <w:tcPr>
                  <w:tcW w:w="1964" w:type="dxa"/>
                  <w:vAlign w:val="center"/>
                </w:tcPr>
                <w:p>
                  <w:pPr>
                    <w:jc w:val="center"/>
                    <w:rPr>
                      <w:rFonts w:eastAsiaTheme="minorEastAsia"/>
                      <w:szCs w:val="21"/>
                    </w:rPr>
                  </w:pPr>
                  <w:r>
                    <w:rPr>
                      <w:rFonts w:eastAsiaTheme="minorEastAsia"/>
                      <w:szCs w:val="21"/>
                    </w:rPr>
                    <w:t>1.1×10</w:t>
                  </w:r>
                  <w:r>
                    <w:rPr>
                      <w:rFonts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铜</w:t>
                  </w:r>
                </w:p>
              </w:tc>
              <w:tc>
                <w:tcPr>
                  <w:tcW w:w="4300" w:type="dxa"/>
                  <w:vAlign w:val="center"/>
                </w:tcPr>
                <w:p>
                  <w:pPr>
                    <w:jc w:val="center"/>
                    <w:rPr>
                      <w:rFonts w:eastAsiaTheme="minorEastAsia"/>
                      <w:szCs w:val="21"/>
                    </w:rPr>
                  </w:pPr>
                  <w:r>
                    <w:rPr>
                      <w:rFonts w:eastAsiaTheme="minorEastAsia"/>
                      <w:szCs w:val="21"/>
                    </w:rPr>
                    <w:t>无火焰原子吸收分光光度法</w:t>
                  </w:r>
                </w:p>
              </w:tc>
              <w:tc>
                <w:tcPr>
                  <w:tcW w:w="1964" w:type="dxa"/>
                  <w:vAlign w:val="center"/>
                </w:tcPr>
                <w:p>
                  <w:pPr>
                    <w:pStyle w:val="938"/>
                    <w:jc w:val="center"/>
                    <w:rPr>
                      <w:rFonts w:ascii="Times New Roman" w:hAnsi="Times New Roman" w:eastAsiaTheme="minorEastAsia"/>
                      <w:szCs w:val="21"/>
                    </w:rPr>
                  </w:pPr>
                  <w:r>
                    <w:rPr>
                      <w:rFonts w:ascii="Times New Roman" w:hAnsi="Times New Roman" w:eastAsiaTheme="minorEastAsia"/>
                      <w:szCs w:val="21"/>
                    </w:rPr>
                    <w:t>9.2×10</w:t>
                  </w:r>
                  <w:r>
                    <w:rPr>
                      <w:rFonts w:ascii="Times New Roman" w:hAnsi="Times New Roman"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铅</w:t>
                  </w:r>
                </w:p>
              </w:tc>
              <w:tc>
                <w:tcPr>
                  <w:tcW w:w="4300" w:type="dxa"/>
                  <w:vAlign w:val="center"/>
                </w:tcPr>
                <w:p>
                  <w:pPr>
                    <w:jc w:val="center"/>
                    <w:rPr>
                      <w:rFonts w:eastAsiaTheme="minorEastAsia"/>
                      <w:szCs w:val="21"/>
                    </w:rPr>
                  </w:pPr>
                  <w:r>
                    <w:rPr>
                      <w:rFonts w:eastAsiaTheme="minorEastAsia"/>
                      <w:szCs w:val="21"/>
                    </w:rPr>
                    <w:t>无火焰原子吸收分光光度法</w:t>
                  </w:r>
                </w:p>
              </w:tc>
              <w:tc>
                <w:tcPr>
                  <w:tcW w:w="1964" w:type="dxa"/>
                  <w:vAlign w:val="center"/>
                </w:tcPr>
                <w:p>
                  <w:pPr>
                    <w:pStyle w:val="938"/>
                    <w:jc w:val="center"/>
                    <w:rPr>
                      <w:rFonts w:ascii="Times New Roman" w:hAnsi="Times New Roman" w:eastAsiaTheme="minorEastAsia"/>
                      <w:szCs w:val="21"/>
                    </w:rPr>
                  </w:pPr>
                  <w:r>
                    <w:rPr>
                      <w:rFonts w:ascii="Times New Roman" w:hAnsi="Times New Roman" w:eastAsiaTheme="minorEastAsia"/>
                      <w:szCs w:val="21"/>
                    </w:rPr>
                    <w:t>3.7×10</w:t>
                  </w:r>
                  <w:r>
                    <w:rPr>
                      <w:rFonts w:ascii="Times New Roman" w:hAnsi="Times New Roman"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锌</w:t>
                  </w:r>
                </w:p>
              </w:tc>
              <w:tc>
                <w:tcPr>
                  <w:tcW w:w="4300" w:type="dxa"/>
                  <w:vAlign w:val="center"/>
                </w:tcPr>
                <w:p>
                  <w:pPr>
                    <w:jc w:val="center"/>
                    <w:rPr>
                      <w:rFonts w:eastAsiaTheme="minorEastAsia"/>
                      <w:szCs w:val="21"/>
                    </w:rPr>
                  </w:pPr>
                  <w:r>
                    <w:rPr>
                      <w:rFonts w:eastAsiaTheme="minorEastAsia"/>
                      <w:szCs w:val="21"/>
                    </w:rPr>
                    <w:t>火焰原子吸收分光光度法</w:t>
                  </w:r>
                </w:p>
              </w:tc>
              <w:tc>
                <w:tcPr>
                  <w:tcW w:w="1964" w:type="dxa"/>
                  <w:vAlign w:val="center"/>
                </w:tcPr>
                <w:p>
                  <w:pPr>
                    <w:jc w:val="center"/>
                    <w:rPr>
                      <w:rFonts w:eastAsiaTheme="minorEastAsia"/>
                      <w:szCs w:val="21"/>
                    </w:rPr>
                  </w:pPr>
                  <w:r>
                    <w:rPr>
                      <w:rFonts w:eastAsiaTheme="minorEastAsia"/>
                      <w:szCs w:val="21"/>
                    </w:rPr>
                    <w:t>6.4×10</w:t>
                  </w:r>
                  <w:r>
                    <w:rPr>
                      <w:rFonts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镉</w:t>
                  </w:r>
                </w:p>
              </w:tc>
              <w:tc>
                <w:tcPr>
                  <w:tcW w:w="4300" w:type="dxa"/>
                  <w:vAlign w:val="center"/>
                </w:tcPr>
                <w:p>
                  <w:pPr>
                    <w:jc w:val="center"/>
                    <w:rPr>
                      <w:rFonts w:eastAsiaTheme="minorEastAsia"/>
                      <w:szCs w:val="21"/>
                    </w:rPr>
                  </w:pPr>
                  <w:r>
                    <w:rPr>
                      <w:rFonts w:eastAsiaTheme="minorEastAsia"/>
                      <w:szCs w:val="21"/>
                    </w:rPr>
                    <w:t>无火焰原子吸收分光光度法</w:t>
                  </w:r>
                </w:p>
              </w:tc>
              <w:tc>
                <w:tcPr>
                  <w:tcW w:w="1964" w:type="dxa"/>
                  <w:vAlign w:val="center"/>
                </w:tcPr>
                <w:p>
                  <w:pPr>
                    <w:jc w:val="center"/>
                    <w:rPr>
                      <w:rFonts w:eastAsiaTheme="minorEastAsia"/>
                      <w:szCs w:val="21"/>
                    </w:rPr>
                  </w:pPr>
                  <w:r>
                    <w:rPr>
                      <w:rFonts w:eastAsiaTheme="minorEastAsia"/>
                      <w:szCs w:val="21"/>
                    </w:rPr>
                    <w:t>0.4×10</w:t>
                  </w:r>
                  <w:r>
                    <w:rPr>
                      <w:rFonts w:eastAsiaTheme="minorEastAsia"/>
                      <w:szCs w:val="21"/>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汞</w:t>
                  </w:r>
                </w:p>
              </w:tc>
              <w:tc>
                <w:tcPr>
                  <w:tcW w:w="4300" w:type="dxa"/>
                  <w:vAlign w:val="center"/>
                </w:tcPr>
                <w:p>
                  <w:pPr>
                    <w:jc w:val="center"/>
                    <w:rPr>
                      <w:rFonts w:eastAsiaTheme="minorEastAsia"/>
                      <w:szCs w:val="21"/>
                    </w:rPr>
                  </w:pPr>
                  <w:r>
                    <w:rPr>
                      <w:rFonts w:eastAsiaTheme="minorEastAsia"/>
                      <w:szCs w:val="21"/>
                    </w:rPr>
                    <w:t>原子吸收分光光度法</w:t>
                  </w:r>
                </w:p>
              </w:tc>
              <w:tc>
                <w:tcPr>
                  <w:tcW w:w="1964" w:type="dxa"/>
                  <w:vAlign w:val="center"/>
                </w:tcPr>
                <w:p>
                  <w:pPr>
                    <w:jc w:val="center"/>
                    <w:rPr>
                      <w:rFonts w:eastAsiaTheme="minorEastAsia"/>
                      <w:szCs w:val="21"/>
                    </w:rPr>
                  </w:pPr>
                  <w:r>
                    <w:rPr>
                      <w:rFonts w:eastAsiaTheme="minorEastAsia"/>
                      <w:szCs w:val="21"/>
                    </w:rPr>
                    <w:t>2×10</w:t>
                  </w:r>
                  <w:r>
                    <w:rPr>
                      <w:rFonts w:eastAsiaTheme="minorEastAsia"/>
                      <w:szCs w:val="21"/>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总铬</w:t>
                  </w:r>
                </w:p>
              </w:tc>
              <w:tc>
                <w:tcPr>
                  <w:tcW w:w="4300" w:type="dxa"/>
                  <w:vAlign w:val="center"/>
                </w:tcPr>
                <w:p>
                  <w:pPr>
                    <w:jc w:val="center"/>
                    <w:rPr>
                      <w:rFonts w:eastAsiaTheme="minorEastAsia"/>
                      <w:szCs w:val="21"/>
                    </w:rPr>
                  </w:pPr>
                  <w:r>
                    <w:rPr>
                      <w:rFonts w:eastAsiaTheme="minorEastAsia"/>
                      <w:szCs w:val="21"/>
                    </w:rPr>
                    <w:t>无火焰原子吸收分光光度法</w:t>
                  </w:r>
                </w:p>
              </w:tc>
              <w:tc>
                <w:tcPr>
                  <w:tcW w:w="1964" w:type="dxa"/>
                  <w:vAlign w:val="center"/>
                </w:tcPr>
                <w:p>
                  <w:pPr>
                    <w:jc w:val="center"/>
                    <w:rPr>
                      <w:rFonts w:eastAsiaTheme="minorEastAsia"/>
                      <w:szCs w:val="21"/>
                    </w:rPr>
                  </w:pPr>
                  <w:r>
                    <w:rPr>
                      <w:rFonts w:eastAsiaTheme="minorEastAsia"/>
                      <w:szCs w:val="21"/>
                    </w:rPr>
                    <w:t>2×10</w:t>
                  </w:r>
                  <w:r>
                    <w:rPr>
                      <w:rFonts w:eastAsiaTheme="minorEastAsia"/>
                      <w:szCs w:val="21"/>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995" w:type="dxa"/>
                  <w:vAlign w:val="center"/>
                </w:tcPr>
                <w:p>
                  <w:pPr>
                    <w:jc w:val="center"/>
                    <w:rPr>
                      <w:rFonts w:eastAsiaTheme="minorEastAsia"/>
                      <w:szCs w:val="21"/>
                    </w:rPr>
                  </w:pPr>
                  <w:r>
                    <w:rPr>
                      <w:rFonts w:eastAsiaTheme="minorEastAsia"/>
                      <w:szCs w:val="21"/>
                    </w:rPr>
                    <w:t>砷</w:t>
                  </w:r>
                </w:p>
              </w:tc>
              <w:tc>
                <w:tcPr>
                  <w:tcW w:w="4300" w:type="dxa"/>
                  <w:vAlign w:val="center"/>
                </w:tcPr>
                <w:p>
                  <w:pPr>
                    <w:jc w:val="center"/>
                    <w:rPr>
                      <w:rFonts w:eastAsiaTheme="minorEastAsia"/>
                      <w:szCs w:val="21"/>
                    </w:rPr>
                  </w:pPr>
                  <w:r>
                    <w:rPr>
                      <w:rFonts w:eastAsiaTheme="minorEastAsia"/>
                      <w:szCs w:val="21"/>
                    </w:rPr>
                    <w:t>氢化物-原子吸收分光光度法</w:t>
                  </w:r>
                </w:p>
              </w:tc>
              <w:tc>
                <w:tcPr>
                  <w:tcW w:w="1964" w:type="dxa"/>
                  <w:vAlign w:val="center"/>
                </w:tcPr>
                <w:p>
                  <w:pPr>
                    <w:jc w:val="center"/>
                    <w:rPr>
                      <w:rFonts w:eastAsiaTheme="minorEastAsia"/>
                      <w:szCs w:val="21"/>
                    </w:rPr>
                  </w:pPr>
                  <w:r>
                    <w:rPr>
                      <w:rFonts w:eastAsiaTheme="minorEastAsia"/>
                      <w:szCs w:val="21"/>
                    </w:rPr>
                    <w:t>1.2×10</w:t>
                  </w:r>
                  <w:r>
                    <w:rPr>
                      <w:rFonts w:eastAsiaTheme="minorEastAsia"/>
                      <w:szCs w:val="21"/>
                      <w:vertAlign w:val="superscript"/>
                    </w:rPr>
                    <w:t>-3</w:t>
                  </w:r>
                </w:p>
              </w:tc>
            </w:tr>
          </w:tbl>
          <w:p>
            <w:pPr>
              <w:widowControl/>
              <w:spacing w:line="360" w:lineRule="auto"/>
              <w:ind w:firstLine="482" w:firstLineChars="200"/>
              <w:rPr>
                <w:b/>
                <w:sz w:val="24"/>
              </w:rPr>
            </w:pPr>
            <w:r>
              <w:rPr>
                <w:rFonts w:hint="eastAsia"/>
                <w:b/>
                <w:sz w:val="24"/>
              </w:rPr>
              <w:t>4.1</w:t>
            </w:r>
            <w:r>
              <w:rPr>
                <w:b/>
                <w:sz w:val="24"/>
              </w:rPr>
              <w:t>.1.3 评价标准与评价方法</w:t>
            </w:r>
          </w:p>
          <w:p>
            <w:pPr>
              <w:widowControl/>
              <w:spacing w:line="360" w:lineRule="auto"/>
              <w:ind w:firstLine="480" w:firstLineChars="200"/>
              <w:rPr>
                <w:sz w:val="24"/>
              </w:rPr>
            </w:pPr>
            <w:r>
              <w:rPr>
                <w:sz w:val="24"/>
              </w:rPr>
              <w:t>（1）评价标准</w:t>
            </w:r>
          </w:p>
          <w:p>
            <w:pPr>
              <w:widowControl/>
              <w:spacing w:line="360" w:lineRule="auto"/>
              <w:ind w:firstLine="480" w:firstLineChars="200"/>
              <w:rPr>
                <w:sz w:val="24"/>
              </w:rPr>
            </w:pPr>
            <w:r>
              <w:rPr>
                <w:sz w:val="24"/>
              </w:rPr>
              <w:t>调查点位中，站位</w:t>
            </w:r>
            <w:r>
              <w:rPr>
                <w:rFonts w:hint="eastAsia"/>
                <w:sz w:val="24"/>
              </w:rPr>
              <w:t>6、7、8、10、11、15、18和19</w:t>
            </w:r>
            <w:r>
              <w:rPr>
                <w:sz w:val="24"/>
              </w:rPr>
              <w:t>位于海洋功能区划中的</w:t>
            </w:r>
            <w:r>
              <w:rPr>
                <w:rFonts w:hint="eastAsia"/>
                <w:sz w:val="24"/>
              </w:rPr>
              <w:t>农渔业区</w:t>
            </w:r>
            <w:r>
              <w:rPr>
                <w:sz w:val="24"/>
              </w:rPr>
              <w:t>，海水水质执行《海水水质标准》（GB3097-1997）中的第</w:t>
            </w:r>
            <w:r>
              <w:rPr>
                <w:rFonts w:hint="eastAsia"/>
                <w:sz w:val="24"/>
              </w:rPr>
              <w:t>一</w:t>
            </w:r>
            <w:r>
              <w:rPr>
                <w:sz w:val="24"/>
              </w:rPr>
              <w:t>类标准；站位</w:t>
            </w:r>
            <w:r>
              <w:rPr>
                <w:rFonts w:hint="eastAsia"/>
                <w:sz w:val="24"/>
              </w:rPr>
              <w:t>1、2、3、4</w:t>
            </w:r>
            <w:r>
              <w:rPr>
                <w:sz w:val="24"/>
              </w:rPr>
              <w:t>位于</w:t>
            </w:r>
            <w:r>
              <w:rPr>
                <w:rFonts w:hint="eastAsia"/>
                <w:sz w:val="24"/>
              </w:rPr>
              <w:t>旅游休闲娱乐区</w:t>
            </w:r>
            <w:r>
              <w:rPr>
                <w:sz w:val="24"/>
              </w:rPr>
              <w:t>，海水水质执行《海水水质标准》（GB3097-1997）中第</w:t>
            </w:r>
            <w:r>
              <w:rPr>
                <w:rFonts w:hint="eastAsia"/>
                <w:sz w:val="24"/>
              </w:rPr>
              <w:t>二</w:t>
            </w:r>
            <w:r>
              <w:rPr>
                <w:sz w:val="24"/>
              </w:rPr>
              <w:t>类标准；站位</w:t>
            </w:r>
            <w:r>
              <w:rPr>
                <w:rFonts w:hint="eastAsia"/>
                <w:sz w:val="24"/>
              </w:rPr>
              <w:t>5、9、12、13、14、17、20</w:t>
            </w:r>
            <w:r>
              <w:rPr>
                <w:sz w:val="24"/>
              </w:rPr>
              <w:t>位于</w:t>
            </w:r>
            <w:r>
              <w:rPr>
                <w:rFonts w:hint="eastAsia"/>
                <w:sz w:val="24"/>
              </w:rPr>
              <w:t>港口航运区</w:t>
            </w:r>
            <w:r>
              <w:rPr>
                <w:sz w:val="24"/>
              </w:rPr>
              <w:t>，海水水质执行《海水水质标准》（GB3097-1997）中的第</w:t>
            </w:r>
            <w:r>
              <w:rPr>
                <w:rFonts w:hint="eastAsia"/>
                <w:sz w:val="24"/>
              </w:rPr>
              <w:t>三</w:t>
            </w:r>
            <w:r>
              <w:rPr>
                <w:sz w:val="24"/>
              </w:rPr>
              <w:t>类标准</w:t>
            </w:r>
            <w:r>
              <w:rPr>
                <w:rFonts w:hint="eastAsia"/>
                <w:sz w:val="24"/>
              </w:rPr>
              <w:t>；</w:t>
            </w:r>
            <w:r>
              <w:rPr>
                <w:sz w:val="24"/>
              </w:rPr>
              <w:t>站位</w:t>
            </w:r>
            <w:r>
              <w:rPr>
                <w:rFonts w:hint="eastAsia"/>
                <w:sz w:val="24"/>
              </w:rPr>
              <w:t xml:space="preserve"> 16</w:t>
            </w:r>
            <w:r>
              <w:rPr>
                <w:sz w:val="24"/>
              </w:rPr>
              <w:t>位于</w:t>
            </w:r>
            <w:r>
              <w:rPr>
                <w:rFonts w:hint="eastAsia"/>
                <w:sz w:val="24"/>
              </w:rPr>
              <w:t>海洋保护区</w:t>
            </w:r>
            <w:r>
              <w:rPr>
                <w:sz w:val="24"/>
              </w:rPr>
              <w:t>，海水水质执行《海水水质标准》（GB3097-1997）中的第</w:t>
            </w:r>
            <w:r>
              <w:rPr>
                <w:rFonts w:hint="eastAsia"/>
                <w:sz w:val="24"/>
              </w:rPr>
              <w:t>二</w:t>
            </w:r>
            <w:r>
              <w:rPr>
                <w:sz w:val="24"/>
              </w:rPr>
              <w:t>类标准。</w:t>
            </w:r>
          </w:p>
          <w:p>
            <w:pPr>
              <w:widowControl/>
              <w:spacing w:line="360" w:lineRule="auto"/>
              <w:ind w:firstLine="480" w:firstLineChars="200"/>
              <w:rPr>
                <w:sz w:val="24"/>
              </w:rPr>
            </w:pPr>
            <w:r>
              <w:rPr>
                <w:sz w:val="24"/>
              </w:rPr>
              <w:t>（2）评价方法</w:t>
            </w:r>
          </w:p>
          <w:p>
            <w:pPr>
              <w:widowControl/>
              <w:spacing w:line="360" w:lineRule="auto"/>
              <w:ind w:firstLine="480" w:firstLineChars="200"/>
              <w:rPr>
                <w:sz w:val="24"/>
              </w:rPr>
            </w:pPr>
            <w:r>
              <w:rPr>
                <w:sz w:val="24"/>
              </w:rPr>
              <w:t>评价因子包括pH、DO、COD、石油类、重金属（铅、铜、锌、镉等）、无机氮、活性磷酸盐等。</w:t>
            </w:r>
          </w:p>
          <w:p>
            <w:pPr>
              <w:widowControl/>
              <w:spacing w:line="360" w:lineRule="auto"/>
              <w:ind w:firstLine="480" w:firstLineChars="200"/>
              <w:rPr>
                <w:sz w:val="24"/>
              </w:rPr>
            </w:pPr>
            <w:r>
              <w:rPr>
                <w:sz w:val="24"/>
              </w:rPr>
              <w:object>
                <v:shape id="_x0000_i1026" o:spt="75" type="#_x0000_t75" style="height:24pt;width:72pt;" o:ole="t" filled="f" o:preferrelative="t" stroked="f" coordsize="21600,21600">
                  <v:path/>
                  <v:fill on="f" focussize="0,0"/>
                  <v:stroke on="f" joinstyle="miter"/>
                  <v:imagedata r:id="rId24" o:title=""/>
                  <o:lock v:ext="edit" aspectratio="t"/>
                  <w10:wrap type="none"/>
                  <w10:anchorlock/>
                </v:shape>
                <o:OLEObject Type="Embed" ProgID="Equation.3" ShapeID="_x0000_i1026" DrawAspect="Content" ObjectID="_1468075726" r:id="rId23">
                  <o:LockedField>false</o:LockedField>
                </o:OLEObject>
              </w:object>
            </w:r>
          </w:p>
          <w:p>
            <w:pPr>
              <w:widowControl/>
              <w:spacing w:line="360" w:lineRule="auto"/>
              <w:ind w:firstLine="480" w:firstLineChars="200"/>
              <w:rPr>
                <w:sz w:val="24"/>
              </w:rPr>
            </w:pPr>
            <w:r>
              <w:rPr>
                <w:sz w:val="24"/>
              </w:rPr>
              <w:t>式中： Si,j—第</w:t>
            </w:r>
            <w:r>
              <w:rPr>
                <w:sz w:val="24"/>
              </w:rPr>
              <w:object>
                <v:shape id="_x0000_i1027" o:spt="75" type="#_x0000_t75" style="height:12pt;width:12pt;" o:ole="t" filled="f" o:preferrelative="t" stroked="f" coordsize="21600,21600">
                  <v:path/>
                  <v:fill on="f" focussize="0,0"/>
                  <v:stroke on="f" joinstyle="miter"/>
                  <v:imagedata r:id="rId26" o:title=""/>
                  <o:lock v:ext="edit" aspectratio="t"/>
                  <w10:wrap type="none"/>
                  <w10:anchorlock/>
                </v:shape>
                <o:OLEObject Type="Embed" ProgID="Equation.3" ShapeID="_x0000_i1027" DrawAspect="Content" ObjectID="_1468075727" r:id="rId25">
                  <o:LockedField>false</o:LockedField>
                </o:OLEObject>
              </w:object>
            </w:r>
            <w:r>
              <w:rPr>
                <w:sz w:val="24"/>
              </w:rPr>
              <w:t>种污染物在</w:t>
            </w:r>
            <w:r>
              <w:rPr>
                <w:sz w:val="24"/>
              </w:rPr>
              <w:object>
                <v:shape id="_x0000_i1028" o:spt="75" type="#_x0000_t75" style="height:12pt;width:12pt;" o:ole="t" filled="f" o:preferrelative="t" stroked="f" coordsize="21600,21600">
                  <v:path/>
                  <v:fill on="f" focussize="0,0"/>
                  <v:stroke on="f" joinstyle="miter"/>
                  <v:imagedata r:id="rId28" o:title=""/>
                  <o:lock v:ext="edit" aspectratio="t"/>
                  <w10:wrap type="none"/>
                  <w10:anchorlock/>
                </v:shape>
                <o:OLEObject Type="Embed" ProgID="Equation.3" ShapeID="_x0000_i1028" DrawAspect="Content" ObjectID="_1468075728" r:id="rId27">
                  <o:LockedField>false</o:LockedField>
                </o:OLEObject>
              </w:object>
            </w:r>
            <w:r>
              <w:rPr>
                <w:sz w:val="24"/>
              </w:rPr>
              <w:t>点的标准指数（pH除外）；</w:t>
            </w:r>
          </w:p>
          <w:p>
            <w:pPr>
              <w:widowControl/>
              <w:spacing w:line="360" w:lineRule="auto"/>
              <w:ind w:firstLine="480" w:firstLineChars="200"/>
              <w:rPr>
                <w:sz w:val="24"/>
              </w:rPr>
            </w:pPr>
            <w:r>
              <w:rPr>
                <w:sz w:val="24"/>
              </w:rPr>
              <w:t>Ci,j—第</w:t>
            </w:r>
            <w:r>
              <w:rPr>
                <w:sz w:val="24"/>
              </w:rPr>
              <w:object>
                <v:shape id="_x0000_i1029" o:spt="75" type="#_x0000_t75" style="height:12pt;width:12pt;" o:ole="t" filled="f" o:preferrelative="t" stroked="f" coordsize="21600,21600">
                  <v:path/>
                  <v:fill on="f" focussize="0,0"/>
                  <v:stroke on="f" joinstyle="miter"/>
                  <v:imagedata r:id="rId30" o:title=""/>
                  <o:lock v:ext="edit" aspectratio="t"/>
                  <w10:wrap type="none"/>
                  <w10:anchorlock/>
                </v:shape>
                <o:OLEObject Type="Embed" ProgID="Equation.3" ShapeID="_x0000_i1029" DrawAspect="Content" ObjectID="_1468075729" r:id="rId29">
                  <o:LockedField>false</o:LockedField>
                </o:OLEObject>
              </w:object>
            </w:r>
            <w:r>
              <w:rPr>
                <w:sz w:val="24"/>
              </w:rPr>
              <w:t>种污染物在</w:t>
            </w:r>
            <w:r>
              <w:rPr>
                <w:sz w:val="24"/>
              </w:rPr>
              <w:object>
                <v:shape id="_x0000_i1030" o:spt="75" type="#_x0000_t75" style="height:12pt;width:12pt;" o:ole="t" filled="f" o:preferrelative="t" stroked="f" coordsize="21600,21600">
                  <v:path/>
                  <v:fill on="f" focussize="0,0"/>
                  <v:stroke on="f" joinstyle="miter"/>
                  <v:imagedata r:id="rId32" o:title=""/>
                  <o:lock v:ext="edit" aspectratio="t"/>
                  <w10:wrap type="none"/>
                  <w10:anchorlock/>
                </v:shape>
                <o:OLEObject Type="Embed" ProgID="Equation.3" ShapeID="_x0000_i1030" DrawAspect="Content" ObjectID="_1468075730" r:id="rId31">
                  <o:LockedField>false</o:LockedField>
                </o:OLEObject>
              </w:object>
            </w:r>
            <w:r>
              <w:rPr>
                <w:sz w:val="24"/>
              </w:rPr>
              <w:t>点的实测浓度；</w:t>
            </w:r>
          </w:p>
          <w:p>
            <w:pPr>
              <w:widowControl/>
              <w:spacing w:line="360" w:lineRule="auto"/>
              <w:ind w:firstLine="480" w:firstLineChars="200"/>
              <w:rPr>
                <w:sz w:val="24"/>
              </w:rPr>
            </w:pPr>
            <w:r>
              <w:rPr>
                <w:sz w:val="24"/>
              </w:rPr>
              <w:t>Cs,j—第</w:t>
            </w:r>
            <w:r>
              <w:rPr>
                <w:sz w:val="24"/>
              </w:rPr>
              <w:object>
                <v:shape id="_x0000_i1031" o:spt="75" type="#_x0000_t75" style="height:12pt;width:12pt;" o:ole="t" filled="f" o:preferrelative="t" stroked="f" coordsize="21600,21600">
                  <v:path/>
                  <v:fill on="f" focussize="0,0"/>
                  <v:stroke on="f" joinstyle="miter"/>
                  <v:imagedata r:id="rId26" o:title=""/>
                  <o:lock v:ext="edit" aspectratio="t"/>
                  <w10:wrap type="none"/>
                  <w10:anchorlock/>
                </v:shape>
                <o:OLEObject Type="Embed" ProgID="Equation.3" ShapeID="_x0000_i1031" DrawAspect="Content" ObjectID="_1468075731" r:id="rId33">
                  <o:LockedField>false</o:LockedField>
                </o:OLEObject>
              </w:object>
            </w:r>
            <w:r>
              <w:rPr>
                <w:sz w:val="24"/>
              </w:rPr>
              <w:t>种污染物的标准值，mg/L。</w:t>
            </w:r>
          </w:p>
          <w:p>
            <w:pPr>
              <w:widowControl/>
              <w:spacing w:line="360" w:lineRule="auto"/>
              <w:ind w:firstLine="480" w:firstLineChars="200"/>
              <w:rPr>
                <w:sz w:val="24"/>
              </w:rPr>
            </w:pPr>
            <w:r>
              <w:rPr>
                <w:sz w:val="24"/>
              </w:rPr>
              <w:t>DO</w:t>
            </w:r>
            <w:r>
              <w:rPr>
                <w:rFonts w:hint="eastAsia"/>
                <w:sz w:val="24"/>
              </w:rPr>
              <w:t>评价因子</w:t>
            </w:r>
            <w:r>
              <w:rPr>
                <w:sz w:val="24"/>
              </w:rPr>
              <w:t>计算式为：</w:t>
            </w:r>
          </w:p>
          <w:p>
            <w:pPr>
              <w:widowControl/>
              <w:spacing w:line="360" w:lineRule="auto"/>
              <w:ind w:firstLine="480" w:firstLineChars="200"/>
              <w:rPr>
                <w:sz w:val="24"/>
              </w:rPr>
            </w:pPr>
            <w:r>
              <w:rPr>
                <w:sz w:val="24"/>
              </w:rPr>
              <w:object>
                <v:shape id="_x0000_i1032" o:spt="75" type="#_x0000_t75" style="height:18pt;width:168pt;" o:ole="t" fillcolor="#FFFFFF" filled="f" o:preferrelative="t" stroked="f" coordsize="21600,21600">
                  <v:path/>
                  <v:fill on="f" focussize="0,0"/>
                  <v:stroke on="f" joinstyle="miter"/>
                  <v:imagedata r:id="rId35" o:title=""/>
                  <o:lock v:ext="edit" aspectratio="t"/>
                  <w10:wrap type="none"/>
                  <w10:anchorlock/>
                </v:shape>
                <o:OLEObject Type="Embed" ProgID="Equation.3" ShapeID="_x0000_i1032" DrawAspect="Content" ObjectID="_1468075732" r:id="rId34">
                  <o:LockedField>false</o:LockedField>
                </o:OLEObject>
              </w:object>
            </w:r>
          </w:p>
          <w:p>
            <w:pPr>
              <w:widowControl/>
              <w:spacing w:line="360" w:lineRule="auto"/>
              <w:ind w:firstLine="480" w:firstLineChars="200"/>
              <w:rPr>
                <w:sz w:val="24"/>
              </w:rPr>
            </w:pPr>
            <w:r>
              <w:rPr>
                <w:sz w:val="24"/>
              </w:rPr>
              <w:object>
                <v:shape id="_x0000_i1033" o:spt="75" type="#_x0000_t75" style="height:18pt;width:24pt;" o:ole="t" filled="f" o:preferrelative="t" stroked="f" coordsize="21600,21600">
                  <v:path/>
                  <v:fill on="f" focussize="0,0"/>
                  <v:stroke on="f" joinstyle="miter"/>
                  <v:imagedata r:id="rId37" o:title=""/>
                  <o:lock v:ext="edit" aspectratio="t"/>
                  <w10:wrap type="none"/>
                  <w10:anchorlock/>
                </v:shape>
                <o:OLEObject Type="Embed" ProgID="Equation.3" ShapeID="_x0000_i1033" DrawAspect="Content" ObjectID="_1468075733" r:id="rId36">
                  <o:LockedField>false</o:LockedField>
                </o:OLEObject>
              </w:object>
            </w:r>
            <w:r>
              <w:rPr>
                <w:sz w:val="24"/>
              </w:rPr>
              <w:t>≥</w:t>
            </w:r>
            <w:r>
              <w:rPr>
                <w:sz w:val="24"/>
              </w:rPr>
              <w:object>
                <v:shape id="_x0000_i1034" o:spt="75" type="#_x0000_t75" style="height:18pt;width:30pt;" o:ole="t" filled="f" o:preferrelative="t" stroked="f" coordsize="21600,21600">
                  <v:path/>
                  <v:fill on="f" focussize="0,0"/>
                  <v:stroke on="f" joinstyle="miter"/>
                  <v:imagedata r:id="rId39" o:title=""/>
                  <o:lock v:ext="edit" aspectratio="t"/>
                  <w10:wrap type="none"/>
                  <w10:anchorlock/>
                </v:shape>
                <o:OLEObject Type="Embed" ProgID="Equation.3" ShapeID="_x0000_i1034" DrawAspect="Content" ObjectID="_1468075734" r:id="rId38">
                  <o:LockedField>false</o:LockedField>
                </o:OLEObject>
              </w:object>
            </w:r>
          </w:p>
          <w:p>
            <w:pPr>
              <w:widowControl/>
              <w:spacing w:line="360" w:lineRule="auto"/>
              <w:ind w:firstLine="480" w:firstLineChars="200"/>
              <w:rPr>
                <w:sz w:val="24"/>
              </w:rPr>
            </w:pPr>
            <w:r>
              <w:rPr>
                <w:sz w:val="24"/>
              </w:rPr>
              <w:object>
                <v:shape id="_x0000_i1035" o:spt="75" type="#_x0000_t75" style="height:18pt;width:126pt;" o:ole="t" fillcolor="#FFFFFF" filled="f" o:preferrelative="t" stroked="f" coordsize="21600,21600">
                  <v:path/>
                  <v:fill on="f" focussize="0,0"/>
                  <v:stroke on="f" joinstyle="miter"/>
                  <v:imagedata r:id="rId41" o:title=""/>
                  <o:lock v:ext="edit" aspectratio="t"/>
                  <w10:wrap type="none"/>
                  <w10:anchorlock/>
                </v:shape>
                <o:OLEObject Type="Embed" ProgID="Equation.3" ShapeID="_x0000_i1035" DrawAspect="Content" ObjectID="_1468075735" r:id="rId40">
                  <o:LockedField>false</o:LockedField>
                </o:OLEObject>
              </w:object>
            </w:r>
          </w:p>
          <w:p>
            <w:pPr>
              <w:widowControl/>
              <w:spacing w:line="360" w:lineRule="auto"/>
              <w:ind w:firstLine="480" w:firstLineChars="200"/>
              <w:rPr>
                <w:sz w:val="24"/>
              </w:rPr>
            </w:pPr>
            <w:r>
              <w:rPr>
                <w:sz w:val="24"/>
              </w:rPr>
              <w:object>
                <v:shape id="_x0000_i1036" o:spt="75" type="#_x0000_t75" style="height:12pt;width:18pt;" o:ole="t" filled="f" o:preferrelative="t" stroked="f" coordsize="21600,21600">
                  <v:path/>
                  <v:fill on="f" focussize="0,0"/>
                  <v:stroke on="f" joinstyle="miter"/>
                  <v:imagedata r:id="rId43" o:title=""/>
                  <o:lock v:ext="edit" aspectratio="t"/>
                  <w10:wrap type="none"/>
                  <w10:anchorlock/>
                </v:shape>
                <o:OLEObject Type="Embed" ProgID="Equation.3" ShapeID="_x0000_i1036" DrawAspect="Content" ObjectID="_1468075736" r:id="rId42">
                  <o:LockedField>false</o:LockedField>
                </o:OLEObject>
              </w:object>
            </w:r>
            <w:r>
              <w:rPr>
                <w:sz w:val="24"/>
              </w:rPr>
              <w:t>＜</w:t>
            </w:r>
            <w:r>
              <w:rPr>
                <w:sz w:val="24"/>
              </w:rPr>
              <w:object>
                <v:shape id="_x0000_i1037" o:spt="75" type="#_x0000_t75" style="height:18pt;width:24pt;" o:ole="t" filled="f" o:preferrelative="t" stroked="f" coordsize="21600,21600">
                  <v:path/>
                  <v:fill on="f" focussize="0,0"/>
                  <v:stroke on="f" joinstyle="miter"/>
                  <v:imagedata r:id="rId45" o:title=""/>
                  <o:lock v:ext="edit" aspectratio="t"/>
                  <w10:wrap type="none"/>
                  <w10:anchorlock/>
                </v:shape>
                <o:OLEObject Type="Embed" ProgID="Equation.3" ShapeID="_x0000_i1037" DrawAspect="Content" ObjectID="_1468075737" r:id="rId44">
                  <o:LockedField>false</o:LockedField>
                </o:OLEObject>
              </w:object>
            </w:r>
          </w:p>
          <w:p>
            <w:pPr>
              <w:widowControl/>
              <w:spacing w:line="360" w:lineRule="auto"/>
              <w:ind w:firstLine="480" w:firstLineChars="200"/>
              <w:rPr>
                <w:sz w:val="24"/>
              </w:rPr>
            </w:pPr>
            <w:r>
              <w:rPr>
                <w:sz w:val="24"/>
              </w:rPr>
              <w:t>DOf= 468/(31.6+t)</w:t>
            </w:r>
          </w:p>
          <w:p>
            <w:pPr>
              <w:widowControl/>
              <w:spacing w:line="360" w:lineRule="auto"/>
              <w:ind w:firstLine="480" w:firstLineChars="200"/>
              <w:rPr>
                <w:sz w:val="24"/>
              </w:rPr>
            </w:pPr>
            <w:r>
              <w:rPr>
                <w:sz w:val="24"/>
              </w:rPr>
              <w:t>式中：Ii（DO）—溶解氧标准指数；</w:t>
            </w:r>
          </w:p>
          <w:p>
            <w:pPr>
              <w:widowControl/>
              <w:spacing w:line="360" w:lineRule="auto"/>
              <w:ind w:firstLine="480" w:firstLineChars="200"/>
              <w:rPr>
                <w:sz w:val="24"/>
              </w:rPr>
            </w:pPr>
            <w:r>
              <w:rPr>
                <w:sz w:val="24"/>
              </w:rPr>
              <w:t>DOf—现场水温及氯度条件下，水样中氧的饱和浓度，mg/L；</w:t>
            </w:r>
          </w:p>
          <w:p>
            <w:pPr>
              <w:widowControl/>
              <w:spacing w:line="360" w:lineRule="auto"/>
              <w:ind w:firstLine="480" w:firstLineChars="200"/>
              <w:rPr>
                <w:sz w:val="24"/>
              </w:rPr>
            </w:pPr>
            <w:r>
              <w:rPr>
                <w:sz w:val="24"/>
              </w:rPr>
              <w:t>DOs—溶解氧标准值；</w:t>
            </w:r>
          </w:p>
          <w:p>
            <w:pPr>
              <w:widowControl/>
              <w:spacing w:line="360" w:lineRule="auto"/>
              <w:ind w:firstLine="480" w:firstLineChars="200"/>
              <w:rPr>
                <w:sz w:val="24"/>
              </w:rPr>
            </w:pPr>
            <w:r>
              <w:rPr>
                <w:sz w:val="24"/>
              </w:rPr>
              <w:t>t—现场温度。</w:t>
            </w:r>
          </w:p>
          <w:p>
            <w:pPr>
              <w:widowControl/>
              <w:spacing w:line="360" w:lineRule="auto"/>
              <w:ind w:firstLine="480" w:firstLineChars="200"/>
              <w:rPr>
                <w:sz w:val="24"/>
              </w:rPr>
            </w:pPr>
            <w:r>
              <w:rPr>
                <w:sz w:val="24"/>
              </w:rPr>
              <w:t>pH</w:t>
            </w:r>
            <w:r>
              <w:rPr>
                <w:rFonts w:hint="eastAsia"/>
                <w:sz w:val="24"/>
              </w:rPr>
              <w:t>评价因子</w:t>
            </w:r>
            <w:r>
              <w:rPr>
                <w:sz w:val="24"/>
              </w:rPr>
              <w:t>计算式为：</w:t>
            </w:r>
          </w:p>
          <w:p>
            <w:pPr>
              <w:widowControl/>
              <w:spacing w:line="360" w:lineRule="auto"/>
              <w:ind w:firstLine="480" w:firstLineChars="200"/>
              <w:rPr>
                <w:sz w:val="24"/>
              </w:rPr>
            </w:pPr>
            <w:r>
              <w:rPr>
                <w:sz w:val="24"/>
              </w:rPr>
              <w:drawing>
                <wp:inline distT="0" distB="0" distL="0" distR="0">
                  <wp:extent cx="2449195" cy="892810"/>
                  <wp:effectExtent l="0" t="0" r="8255" b="254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2449195" cy="892810"/>
                          </a:xfrm>
                          <a:prstGeom prst="rect">
                            <a:avLst/>
                          </a:prstGeom>
                          <a:noFill/>
                          <a:ln>
                            <a:noFill/>
                          </a:ln>
                        </pic:spPr>
                      </pic:pic>
                    </a:graphicData>
                  </a:graphic>
                </wp:inline>
              </w:drawing>
            </w:r>
          </w:p>
          <w:p>
            <w:pPr>
              <w:widowControl/>
              <w:spacing w:line="360" w:lineRule="auto"/>
              <w:ind w:firstLine="480" w:firstLineChars="200"/>
              <w:rPr>
                <w:sz w:val="24"/>
              </w:rPr>
            </w:pPr>
            <w:r>
              <w:rPr>
                <w:sz w:val="24"/>
              </w:rPr>
              <w:t>式中：SpH，j——pH的标准指数；</w:t>
            </w:r>
          </w:p>
          <w:p>
            <w:pPr>
              <w:widowControl/>
              <w:spacing w:line="360" w:lineRule="auto"/>
              <w:ind w:firstLine="480" w:firstLineChars="200"/>
              <w:rPr>
                <w:sz w:val="24"/>
              </w:rPr>
            </w:pPr>
            <w:r>
              <w:rPr>
                <w:sz w:val="24"/>
              </w:rPr>
              <w:t xml:space="preserve">      pHsu——pH评价标准上限值；</w:t>
            </w:r>
          </w:p>
          <w:p>
            <w:pPr>
              <w:widowControl/>
              <w:spacing w:line="360" w:lineRule="auto"/>
              <w:ind w:firstLine="480" w:firstLineChars="200"/>
              <w:rPr>
                <w:sz w:val="24"/>
              </w:rPr>
            </w:pPr>
            <w:r>
              <w:rPr>
                <w:sz w:val="24"/>
              </w:rPr>
              <w:t>pHsd——pH评价标准下限值；</w:t>
            </w:r>
          </w:p>
          <w:p>
            <w:pPr>
              <w:widowControl/>
              <w:spacing w:line="360" w:lineRule="auto"/>
              <w:ind w:firstLine="480" w:firstLineChars="200"/>
              <w:rPr>
                <w:sz w:val="24"/>
              </w:rPr>
            </w:pPr>
            <w:r>
              <w:rPr>
                <w:sz w:val="24"/>
              </w:rPr>
              <w:t xml:space="preserve">      Phj——pH的实测值。</w:t>
            </w:r>
          </w:p>
          <w:p>
            <w:pPr>
              <w:widowControl/>
              <w:spacing w:line="360" w:lineRule="auto"/>
              <w:ind w:firstLine="480" w:firstLineChars="200"/>
            </w:pPr>
            <w:r>
              <w:rPr>
                <w:sz w:val="24"/>
              </w:rPr>
              <w:t>水质参数的标准指数＞1，表明该水质参数超过了规定的水质标准。</w:t>
            </w:r>
          </w:p>
          <w:p>
            <w:pPr>
              <w:widowControl/>
              <w:spacing w:line="360" w:lineRule="auto"/>
              <w:ind w:firstLine="482" w:firstLineChars="200"/>
              <w:rPr>
                <w:b/>
                <w:sz w:val="24"/>
              </w:rPr>
            </w:pPr>
            <w:r>
              <w:rPr>
                <w:rFonts w:hint="eastAsia"/>
                <w:b/>
                <w:sz w:val="24"/>
              </w:rPr>
              <w:t>4.1</w:t>
            </w:r>
            <w:r>
              <w:rPr>
                <w:b/>
                <w:sz w:val="24"/>
              </w:rPr>
              <w:t>.1.4 水质监测结果与评价</w:t>
            </w:r>
          </w:p>
          <w:p>
            <w:pPr>
              <w:widowControl/>
              <w:spacing w:line="360" w:lineRule="auto"/>
              <w:ind w:firstLine="480" w:firstLineChars="200"/>
              <w:rPr>
                <w:sz w:val="24"/>
              </w:rPr>
            </w:pPr>
            <w:r>
              <w:rPr>
                <w:sz w:val="24"/>
              </w:rPr>
              <w:t>20</w:t>
            </w:r>
            <w:r>
              <w:rPr>
                <w:rFonts w:hint="eastAsia"/>
                <w:sz w:val="24"/>
              </w:rPr>
              <w:t>20</w:t>
            </w:r>
            <w:r>
              <w:rPr>
                <w:sz w:val="24"/>
              </w:rPr>
              <w:t>年</w:t>
            </w:r>
            <w:r>
              <w:rPr>
                <w:rFonts w:hint="eastAsia"/>
                <w:sz w:val="24"/>
              </w:rPr>
              <w:t>08</w:t>
            </w:r>
            <w:r>
              <w:rPr>
                <w:sz w:val="24"/>
              </w:rPr>
              <w:t>月评价海域水质调查结果见表</w:t>
            </w:r>
            <w:r>
              <w:rPr>
                <w:rFonts w:hint="eastAsia"/>
                <w:sz w:val="24"/>
              </w:rPr>
              <w:t>4</w:t>
            </w:r>
            <w:r>
              <w:rPr>
                <w:sz w:val="24"/>
              </w:rPr>
              <w:t>.</w:t>
            </w:r>
            <w:r>
              <w:rPr>
                <w:rFonts w:hint="eastAsia"/>
                <w:sz w:val="24"/>
              </w:rPr>
              <w:t>1.</w:t>
            </w:r>
            <w:r>
              <w:rPr>
                <w:sz w:val="24"/>
              </w:rPr>
              <w:t>1-3(a)、</w:t>
            </w:r>
            <w:r>
              <w:rPr>
                <w:rFonts w:hint="eastAsia"/>
                <w:sz w:val="24"/>
              </w:rPr>
              <w:t>4</w:t>
            </w:r>
            <w:r>
              <w:rPr>
                <w:sz w:val="24"/>
              </w:rPr>
              <w:t>.</w:t>
            </w:r>
            <w:r>
              <w:rPr>
                <w:rFonts w:hint="eastAsia"/>
                <w:sz w:val="24"/>
              </w:rPr>
              <w:t>1.</w:t>
            </w:r>
            <w:r>
              <w:rPr>
                <w:sz w:val="24"/>
              </w:rPr>
              <w:t>1-3(b)、</w:t>
            </w:r>
            <w:r>
              <w:rPr>
                <w:rFonts w:hint="eastAsia"/>
                <w:sz w:val="24"/>
              </w:rPr>
              <w:t>4</w:t>
            </w:r>
            <w:r>
              <w:rPr>
                <w:sz w:val="24"/>
              </w:rPr>
              <w:t>.</w:t>
            </w:r>
            <w:r>
              <w:rPr>
                <w:rFonts w:hint="eastAsia"/>
                <w:sz w:val="24"/>
              </w:rPr>
              <w:t>1.</w:t>
            </w:r>
            <w:r>
              <w:rPr>
                <w:sz w:val="24"/>
              </w:rPr>
              <w:t>1-3(c)</w:t>
            </w:r>
            <w:r>
              <w:rPr>
                <w:rFonts w:hint="eastAsia"/>
                <w:sz w:val="24"/>
              </w:rPr>
              <w:t>；</w:t>
            </w:r>
            <w:r>
              <w:rPr>
                <w:sz w:val="24"/>
              </w:rPr>
              <w:t>各评价因子标准指数见表</w:t>
            </w:r>
            <w:r>
              <w:rPr>
                <w:rFonts w:hint="eastAsia"/>
                <w:sz w:val="24"/>
              </w:rPr>
              <w:t>4</w:t>
            </w:r>
            <w:r>
              <w:rPr>
                <w:sz w:val="24"/>
              </w:rPr>
              <w:t>.</w:t>
            </w:r>
            <w:r>
              <w:rPr>
                <w:rFonts w:hint="eastAsia"/>
                <w:sz w:val="24"/>
              </w:rPr>
              <w:t>1.</w:t>
            </w:r>
            <w:r>
              <w:rPr>
                <w:sz w:val="24"/>
              </w:rPr>
              <w:t>1-4(a)、</w:t>
            </w:r>
            <w:r>
              <w:rPr>
                <w:rFonts w:hint="eastAsia"/>
                <w:sz w:val="24"/>
              </w:rPr>
              <w:t>4</w:t>
            </w:r>
            <w:r>
              <w:rPr>
                <w:sz w:val="24"/>
              </w:rPr>
              <w:t>.</w:t>
            </w:r>
            <w:r>
              <w:rPr>
                <w:rFonts w:hint="eastAsia"/>
                <w:sz w:val="24"/>
              </w:rPr>
              <w:t>1.</w:t>
            </w:r>
            <w:r>
              <w:rPr>
                <w:sz w:val="24"/>
              </w:rPr>
              <w:t>1-4(b)。</w:t>
            </w:r>
            <w:r>
              <w:rPr>
                <w:rFonts w:hint="eastAsia"/>
                <w:sz w:val="24"/>
              </w:rPr>
              <w:t>调查海域</w:t>
            </w:r>
            <w:r>
              <w:rPr>
                <w:sz w:val="24"/>
              </w:rPr>
              <w:t>海水温度介于</w:t>
            </w:r>
            <w:r>
              <w:rPr>
                <w:rFonts w:hint="eastAsia"/>
                <w:sz w:val="24"/>
              </w:rPr>
              <w:t>21.1~23.5</w:t>
            </w:r>
            <w:r>
              <w:rPr>
                <w:sz w:val="24"/>
              </w:rPr>
              <w:t>℃之间，平均</w:t>
            </w:r>
            <w:r>
              <w:rPr>
                <w:rFonts w:hint="eastAsia"/>
                <w:sz w:val="24"/>
              </w:rPr>
              <w:t>22.7</w:t>
            </w:r>
            <w:r>
              <w:rPr>
                <w:sz w:val="24"/>
              </w:rPr>
              <w:t>℃；盐度介于</w:t>
            </w:r>
            <w:r>
              <w:rPr>
                <w:rFonts w:hint="eastAsia"/>
                <w:sz w:val="24"/>
              </w:rPr>
              <w:t>31.31~32.12</w:t>
            </w:r>
            <w:r>
              <w:rPr>
                <w:sz w:val="24"/>
              </w:rPr>
              <w:t>之间，平均31.</w:t>
            </w:r>
            <w:r>
              <w:rPr>
                <w:rFonts w:hint="eastAsia"/>
                <w:sz w:val="24"/>
              </w:rPr>
              <w:t>79</w:t>
            </w:r>
            <w:r>
              <w:rPr>
                <w:sz w:val="24"/>
              </w:rPr>
              <w:t>；表层海水pH介于7.</w:t>
            </w:r>
            <w:r>
              <w:rPr>
                <w:rFonts w:hint="eastAsia"/>
                <w:sz w:val="24"/>
              </w:rPr>
              <w:t>79~</w:t>
            </w:r>
            <w:r>
              <w:rPr>
                <w:sz w:val="24"/>
              </w:rPr>
              <w:t>8.0</w:t>
            </w:r>
            <w:r>
              <w:rPr>
                <w:rFonts w:hint="eastAsia"/>
                <w:sz w:val="24"/>
              </w:rPr>
              <w:t>5</w:t>
            </w:r>
            <w:r>
              <w:rPr>
                <w:sz w:val="24"/>
              </w:rPr>
              <w:t>之间，平均</w:t>
            </w:r>
            <w:r>
              <w:rPr>
                <w:rFonts w:hint="eastAsia"/>
                <w:sz w:val="24"/>
              </w:rPr>
              <w:t>7</w:t>
            </w:r>
            <w:r>
              <w:rPr>
                <w:sz w:val="24"/>
              </w:rPr>
              <w:t>.94。</w:t>
            </w:r>
          </w:p>
          <w:p>
            <w:pPr>
              <w:widowControl/>
              <w:spacing w:line="360" w:lineRule="auto"/>
              <w:ind w:firstLine="480" w:firstLineChars="200"/>
              <w:rPr>
                <w:sz w:val="24"/>
              </w:rPr>
            </w:pPr>
            <w:r>
              <w:rPr>
                <w:sz w:val="24"/>
              </w:rPr>
              <w:t>调查结果</w:t>
            </w:r>
            <w:r>
              <w:rPr>
                <w:rFonts w:hint="eastAsia"/>
                <w:sz w:val="24"/>
              </w:rPr>
              <w:t>中</w:t>
            </w:r>
            <w:r>
              <w:rPr>
                <w:sz w:val="24"/>
              </w:rPr>
              <w:t>所有海水样品的硫化物含量均低于检测限，挥发酚低于检测限的海水样品占比90%。</w:t>
            </w:r>
            <w:r>
              <w:rPr>
                <w:rFonts w:hint="eastAsia"/>
                <w:sz w:val="24"/>
              </w:rPr>
              <w:t>由于硫化物与挥发酚检出率均不足1/</w:t>
            </w:r>
            <w:r>
              <w:rPr>
                <w:sz w:val="24"/>
              </w:rPr>
              <w:t>2</w:t>
            </w:r>
            <w:r>
              <w:rPr>
                <w:rFonts w:hint="eastAsia"/>
                <w:sz w:val="24"/>
              </w:rPr>
              <w:t>，因此未检出部分分别按照其检测限的1/</w:t>
            </w:r>
            <w:r>
              <w:rPr>
                <w:sz w:val="24"/>
              </w:rPr>
              <w:t>4</w:t>
            </w:r>
            <w:r>
              <w:rPr>
                <w:rFonts w:hint="eastAsia"/>
                <w:sz w:val="24"/>
              </w:rPr>
              <w:t>进行评价，活性磷酸盐检出率超过1/</w:t>
            </w:r>
            <w:r>
              <w:rPr>
                <w:sz w:val="24"/>
              </w:rPr>
              <w:t>2</w:t>
            </w:r>
            <w:r>
              <w:rPr>
                <w:rFonts w:hint="eastAsia"/>
                <w:sz w:val="24"/>
              </w:rPr>
              <w:t>，因此未检出部分按照其检测限的1/</w:t>
            </w:r>
            <w:r>
              <w:rPr>
                <w:sz w:val="24"/>
              </w:rPr>
              <w:t>2</w:t>
            </w:r>
            <w:r>
              <w:rPr>
                <w:rFonts w:hint="eastAsia"/>
                <w:sz w:val="24"/>
              </w:rPr>
              <w:t>进行评价。</w:t>
            </w:r>
          </w:p>
          <w:p>
            <w:pPr>
              <w:widowControl/>
              <w:spacing w:line="360" w:lineRule="auto"/>
              <w:ind w:firstLine="480" w:firstLineChars="200"/>
              <w:rPr>
                <w:sz w:val="24"/>
              </w:rPr>
            </w:pPr>
            <w:r>
              <w:rPr>
                <w:rFonts w:hint="eastAsia"/>
                <w:sz w:val="24"/>
              </w:rPr>
              <w:t>调查</w:t>
            </w:r>
            <w:r>
              <w:rPr>
                <w:sz w:val="24"/>
              </w:rPr>
              <w:t>表明：pH、DO、COD、无机氮、磷酸盐、石油类、硫化物、挥发酚以及重金属（铜、铅、镉、砷、锌、</w:t>
            </w:r>
            <w:r>
              <w:rPr>
                <w:rFonts w:hint="eastAsia"/>
                <w:sz w:val="24"/>
              </w:rPr>
              <w:t>铬及</w:t>
            </w:r>
            <w:r>
              <w:rPr>
                <w:sz w:val="24"/>
              </w:rPr>
              <w:t>总汞）标准指数均小于1，符合《海水水质标准》（GB3097-1997）要求</w:t>
            </w:r>
            <w:r>
              <w:rPr>
                <w:rFonts w:hint="eastAsia"/>
                <w:sz w:val="24"/>
              </w:rPr>
              <w:t>，</w:t>
            </w:r>
            <w:r>
              <w:rPr>
                <w:sz w:val="24"/>
              </w:rPr>
              <w:t>满足海域使用功能要求，评价海域的水质质量状况良好。</w:t>
            </w:r>
            <w:bookmarkStart w:id="5" w:name="OLE_LINK2"/>
          </w:p>
          <w:p>
            <w:pPr>
              <w:pStyle w:val="279"/>
              <w:snapToGrid w:val="0"/>
              <w:ind w:firstLine="480"/>
              <w:rPr>
                <w:szCs w:val="21"/>
              </w:rPr>
            </w:pPr>
            <w:r>
              <w:rPr>
                <w:szCs w:val="21"/>
              </w:rPr>
              <w:t>表</w:t>
            </w:r>
            <w:r>
              <w:rPr>
                <w:rFonts w:hint="eastAsia"/>
                <w:szCs w:val="21"/>
              </w:rPr>
              <w:t>4</w:t>
            </w:r>
            <w:r>
              <w:rPr>
                <w:szCs w:val="21"/>
              </w:rPr>
              <w:t>.</w:t>
            </w:r>
            <w:r>
              <w:rPr>
                <w:rFonts w:hint="eastAsia"/>
                <w:szCs w:val="21"/>
              </w:rPr>
              <w:t>1.</w:t>
            </w:r>
            <w:r>
              <w:rPr>
                <w:szCs w:val="21"/>
              </w:rPr>
              <w:t>1-3 (a) 水质监测结果</w:t>
            </w:r>
            <w:bookmarkEnd w:id="5"/>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15"/>
              <w:gridCol w:w="816"/>
              <w:gridCol w:w="910"/>
              <w:gridCol w:w="816"/>
              <w:gridCol w:w="816"/>
              <w:gridCol w:w="818"/>
              <w:gridCol w:w="818"/>
              <w:gridCol w:w="818"/>
              <w:gridCol w:w="818"/>
              <w:gridCol w:w="81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blHeader/>
                <w:jc w:val="center"/>
              </w:trPr>
              <w:tc>
                <w:tcPr>
                  <w:tcW w:w="815" w:type="dxa"/>
                  <w:shd w:val="clear" w:color="auto" w:fill="auto"/>
                  <w:noWrap/>
                  <w:vAlign w:val="center"/>
                </w:tcPr>
                <w:p>
                  <w:pPr>
                    <w:jc w:val="center"/>
                    <w:rPr>
                      <w:b/>
                      <w:sz w:val="18"/>
                      <w:szCs w:val="18"/>
                    </w:rPr>
                  </w:pPr>
                  <w:r>
                    <w:rPr>
                      <w:b/>
                      <w:sz w:val="18"/>
                      <w:szCs w:val="18"/>
                    </w:rPr>
                    <w:t>站位</w:t>
                  </w:r>
                </w:p>
              </w:tc>
              <w:tc>
                <w:tcPr>
                  <w:tcW w:w="816" w:type="dxa"/>
                  <w:shd w:val="clear" w:color="auto" w:fill="auto"/>
                  <w:noWrap/>
                  <w:vAlign w:val="center"/>
                </w:tcPr>
                <w:p>
                  <w:pPr>
                    <w:jc w:val="center"/>
                    <w:rPr>
                      <w:b/>
                      <w:sz w:val="18"/>
                      <w:szCs w:val="18"/>
                    </w:rPr>
                  </w:pPr>
                  <w:r>
                    <w:rPr>
                      <w:b/>
                      <w:sz w:val="18"/>
                      <w:szCs w:val="18"/>
                    </w:rPr>
                    <w:t>水深</w:t>
                  </w:r>
                </w:p>
                <w:p>
                  <w:pPr>
                    <w:jc w:val="center"/>
                    <w:rPr>
                      <w:b/>
                      <w:sz w:val="18"/>
                      <w:szCs w:val="18"/>
                    </w:rPr>
                  </w:pPr>
                  <w:r>
                    <w:rPr>
                      <w:b/>
                      <w:sz w:val="18"/>
                      <w:szCs w:val="18"/>
                    </w:rPr>
                    <w:t>(m)</w:t>
                  </w:r>
                </w:p>
              </w:tc>
              <w:tc>
                <w:tcPr>
                  <w:tcW w:w="910" w:type="dxa"/>
                  <w:shd w:val="clear" w:color="auto" w:fill="auto"/>
                  <w:noWrap/>
                  <w:vAlign w:val="center"/>
                </w:tcPr>
                <w:p>
                  <w:pPr>
                    <w:jc w:val="center"/>
                    <w:rPr>
                      <w:b/>
                      <w:sz w:val="18"/>
                      <w:szCs w:val="18"/>
                    </w:rPr>
                  </w:pPr>
                  <w:r>
                    <w:rPr>
                      <w:b/>
                      <w:sz w:val="18"/>
                      <w:szCs w:val="18"/>
                    </w:rPr>
                    <w:t>采样层次</w:t>
                  </w:r>
                </w:p>
              </w:tc>
              <w:tc>
                <w:tcPr>
                  <w:tcW w:w="816" w:type="dxa"/>
                  <w:shd w:val="clear" w:color="auto" w:fill="auto"/>
                  <w:noWrap/>
                  <w:vAlign w:val="center"/>
                </w:tcPr>
                <w:p>
                  <w:pPr>
                    <w:jc w:val="center"/>
                    <w:rPr>
                      <w:b/>
                      <w:sz w:val="18"/>
                      <w:szCs w:val="18"/>
                    </w:rPr>
                  </w:pPr>
                  <w:r>
                    <w:rPr>
                      <w:b/>
                      <w:sz w:val="18"/>
                      <w:szCs w:val="18"/>
                    </w:rPr>
                    <w:t>温度</w:t>
                  </w:r>
                </w:p>
                <w:p>
                  <w:pPr>
                    <w:jc w:val="center"/>
                    <w:rPr>
                      <w:b/>
                      <w:sz w:val="18"/>
                      <w:szCs w:val="18"/>
                    </w:rPr>
                  </w:pPr>
                  <w:r>
                    <w:rPr>
                      <w:b/>
                      <w:sz w:val="18"/>
                      <w:szCs w:val="18"/>
                    </w:rPr>
                    <w:t>(℃)</w:t>
                  </w:r>
                </w:p>
              </w:tc>
              <w:tc>
                <w:tcPr>
                  <w:tcW w:w="816" w:type="dxa"/>
                  <w:shd w:val="clear" w:color="auto" w:fill="auto"/>
                  <w:noWrap/>
                  <w:vAlign w:val="center"/>
                </w:tcPr>
                <w:p>
                  <w:pPr>
                    <w:jc w:val="center"/>
                    <w:rPr>
                      <w:b/>
                      <w:sz w:val="18"/>
                      <w:szCs w:val="18"/>
                    </w:rPr>
                  </w:pPr>
                  <w:r>
                    <w:rPr>
                      <w:b/>
                      <w:sz w:val="18"/>
                      <w:szCs w:val="18"/>
                    </w:rPr>
                    <w:t>pH</w:t>
                  </w:r>
                </w:p>
              </w:tc>
              <w:tc>
                <w:tcPr>
                  <w:tcW w:w="818" w:type="dxa"/>
                  <w:shd w:val="clear" w:color="auto" w:fill="auto"/>
                  <w:noWrap/>
                  <w:vAlign w:val="center"/>
                </w:tcPr>
                <w:p>
                  <w:pPr>
                    <w:jc w:val="center"/>
                    <w:rPr>
                      <w:b/>
                      <w:sz w:val="18"/>
                      <w:szCs w:val="18"/>
                    </w:rPr>
                  </w:pPr>
                  <w:r>
                    <w:rPr>
                      <w:b/>
                      <w:sz w:val="18"/>
                      <w:szCs w:val="18"/>
                    </w:rPr>
                    <w:t>盐度</w:t>
                  </w:r>
                </w:p>
              </w:tc>
              <w:tc>
                <w:tcPr>
                  <w:tcW w:w="818" w:type="dxa"/>
                  <w:shd w:val="clear" w:color="auto" w:fill="auto"/>
                  <w:noWrap/>
                  <w:vAlign w:val="center"/>
                </w:tcPr>
                <w:p>
                  <w:pPr>
                    <w:jc w:val="center"/>
                    <w:rPr>
                      <w:b/>
                      <w:sz w:val="18"/>
                      <w:szCs w:val="18"/>
                    </w:rPr>
                  </w:pPr>
                  <w:r>
                    <w:rPr>
                      <w:rFonts w:hint="eastAsia"/>
                      <w:b/>
                      <w:sz w:val="18"/>
                      <w:szCs w:val="18"/>
                    </w:rPr>
                    <w:t>悬浮物</w:t>
                  </w:r>
                </w:p>
                <w:p>
                  <w:pPr>
                    <w:jc w:val="center"/>
                    <w:rPr>
                      <w:b/>
                      <w:sz w:val="18"/>
                      <w:szCs w:val="18"/>
                    </w:rPr>
                  </w:pPr>
                  <w:r>
                    <w:rPr>
                      <w:b/>
                      <w:sz w:val="18"/>
                      <w:szCs w:val="18"/>
                    </w:rPr>
                    <w:t>(mg/L)</w:t>
                  </w:r>
                </w:p>
              </w:tc>
              <w:tc>
                <w:tcPr>
                  <w:tcW w:w="818" w:type="dxa"/>
                  <w:shd w:val="clear" w:color="auto" w:fill="auto"/>
                  <w:noWrap/>
                  <w:vAlign w:val="center"/>
                </w:tcPr>
                <w:p>
                  <w:pPr>
                    <w:jc w:val="center"/>
                    <w:rPr>
                      <w:b/>
                      <w:sz w:val="18"/>
                      <w:szCs w:val="18"/>
                    </w:rPr>
                  </w:pPr>
                  <w:r>
                    <w:rPr>
                      <w:b/>
                      <w:sz w:val="18"/>
                      <w:szCs w:val="18"/>
                    </w:rPr>
                    <w:t>DO</w:t>
                  </w:r>
                </w:p>
                <w:p>
                  <w:pPr>
                    <w:jc w:val="center"/>
                    <w:rPr>
                      <w:b/>
                      <w:sz w:val="18"/>
                      <w:szCs w:val="18"/>
                    </w:rPr>
                  </w:pPr>
                  <w:r>
                    <w:rPr>
                      <w:b/>
                      <w:sz w:val="18"/>
                      <w:szCs w:val="18"/>
                    </w:rPr>
                    <w:t>(mg/L)</w:t>
                  </w:r>
                </w:p>
              </w:tc>
              <w:tc>
                <w:tcPr>
                  <w:tcW w:w="818" w:type="dxa"/>
                  <w:shd w:val="clear" w:color="auto" w:fill="auto"/>
                  <w:noWrap/>
                  <w:vAlign w:val="center"/>
                </w:tcPr>
                <w:p>
                  <w:pPr>
                    <w:jc w:val="center"/>
                    <w:rPr>
                      <w:b/>
                      <w:sz w:val="18"/>
                      <w:szCs w:val="18"/>
                    </w:rPr>
                  </w:pPr>
                  <w:r>
                    <w:rPr>
                      <w:b/>
                      <w:sz w:val="18"/>
                      <w:szCs w:val="18"/>
                    </w:rPr>
                    <w:t>COD</w:t>
                  </w:r>
                </w:p>
                <w:p>
                  <w:pPr>
                    <w:jc w:val="center"/>
                    <w:rPr>
                      <w:b/>
                      <w:sz w:val="18"/>
                      <w:szCs w:val="18"/>
                    </w:rPr>
                  </w:pPr>
                  <w:r>
                    <w:rPr>
                      <w:b/>
                      <w:sz w:val="18"/>
                      <w:szCs w:val="18"/>
                    </w:rPr>
                    <w:t>(mg/L)</w:t>
                  </w:r>
                </w:p>
              </w:tc>
              <w:tc>
                <w:tcPr>
                  <w:tcW w:w="814" w:type="dxa"/>
                  <w:shd w:val="clear" w:color="auto" w:fill="auto"/>
                  <w:noWrap/>
                  <w:vAlign w:val="center"/>
                </w:tcPr>
                <w:p>
                  <w:pPr>
                    <w:jc w:val="center"/>
                    <w:rPr>
                      <w:b/>
                      <w:sz w:val="18"/>
                      <w:szCs w:val="18"/>
                    </w:rPr>
                  </w:pPr>
                  <w:r>
                    <w:rPr>
                      <w:b/>
                      <w:sz w:val="18"/>
                      <w:szCs w:val="18"/>
                    </w:rPr>
                    <w:t>石油类</w:t>
                  </w:r>
                </w:p>
                <w:p>
                  <w:pPr>
                    <w:jc w:val="center"/>
                    <w:rPr>
                      <w:b/>
                      <w:sz w:val="18"/>
                      <w:szCs w:val="18"/>
                    </w:rPr>
                  </w:pPr>
                  <w:r>
                    <w:rPr>
                      <w:b/>
                      <w:sz w:val="18"/>
                      <w:szCs w:val="18"/>
                    </w:rPr>
                    <w:t>(mg/L)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w:t>
                  </w:r>
                </w:p>
              </w:tc>
              <w:tc>
                <w:tcPr>
                  <w:tcW w:w="816" w:type="dxa"/>
                  <w:shd w:val="clear" w:color="auto" w:fill="auto"/>
                  <w:noWrap/>
                  <w:vAlign w:val="bottom"/>
                </w:tcPr>
                <w:p>
                  <w:pPr>
                    <w:jc w:val="center"/>
                    <w:rPr>
                      <w:rFonts w:eastAsia="楷体"/>
                      <w:sz w:val="18"/>
                      <w:szCs w:val="18"/>
                    </w:rPr>
                  </w:pPr>
                  <w:r>
                    <w:rPr>
                      <w:rFonts w:eastAsia="楷体"/>
                      <w:sz w:val="18"/>
                      <w:szCs w:val="18"/>
                    </w:rPr>
                    <w:t>3</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22.6</w:t>
                  </w:r>
                </w:p>
              </w:tc>
              <w:tc>
                <w:tcPr>
                  <w:tcW w:w="816" w:type="dxa"/>
                  <w:shd w:val="clear" w:color="auto" w:fill="auto"/>
                  <w:noWrap/>
                  <w:vAlign w:val="center"/>
                </w:tcPr>
                <w:p>
                  <w:pPr>
                    <w:jc w:val="center"/>
                    <w:rPr>
                      <w:rFonts w:eastAsia="等线"/>
                      <w:sz w:val="18"/>
                      <w:szCs w:val="18"/>
                    </w:rPr>
                  </w:pPr>
                  <w:r>
                    <w:rPr>
                      <w:rFonts w:eastAsia="等线"/>
                      <w:sz w:val="18"/>
                      <w:szCs w:val="18"/>
                    </w:rPr>
                    <w:t>7.93</w:t>
                  </w:r>
                </w:p>
              </w:tc>
              <w:tc>
                <w:tcPr>
                  <w:tcW w:w="818" w:type="dxa"/>
                  <w:shd w:val="clear" w:color="auto" w:fill="auto"/>
                  <w:noWrap/>
                  <w:vAlign w:val="center"/>
                </w:tcPr>
                <w:p>
                  <w:pPr>
                    <w:jc w:val="center"/>
                    <w:rPr>
                      <w:rFonts w:eastAsia="等线"/>
                      <w:sz w:val="18"/>
                      <w:szCs w:val="18"/>
                    </w:rPr>
                  </w:pPr>
                  <w:r>
                    <w:rPr>
                      <w:rFonts w:eastAsia="等线"/>
                      <w:sz w:val="18"/>
                      <w:szCs w:val="18"/>
                    </w:rPr>
                    <w:t>31.41</w:t>
                  </w:r>
                </w:p>
              </w:tc>
              <w:tc>
                <w:tcPr>
                  <w:tcW w:w="818" w:type="dxa"/>
                  <w:shd w:val="clear" w:color="auto" w:fill="auto"/>
                  <w:noWrap/>
                  <w:vAlign w:val="center"/>
                </w:tcPr>
                <w:p>
                  <w:pPr>
                    <w:jc w:val="center"/>
                    <w:rPr>
                      <w:rFonts w:eastAsia="等线"/>
                      <w:sz w:val="18"/>
                      <w:szCs w:val="18"/>
                      <w:highlight w:val="yellow"/>
                    </w:rPr>
                  </w:pPr>
                  <w:r>
                    <w:rPr>
                      <w:rFonts w:eastAsia="等线"/>
                      <w:sz w:val="18"/>
                      <w:szCs w:val="18"/>
                    </w:rPr>
                    <w:t>7.86</w:t>
                  </w:r>
                </w:p>
              </w:tc>
              <w:tc>
                <w:tcPr>
                  <w:tcW w:w="818" w:type="dxa"/>
                  <w:shd w:val="clear" w:color="auto" w:fill="auto"/>
                  <w:noWrap/>
                  <w:vAlign w:val="center"/>
                </w:tcPr>
                <w:p>
                  <w:pPr>
                    <w:jc w:val="center"/>
                    <w:rPr>
                      <w:rFonts w:eastAsia="等线"/>
                      <w:sz w:val="18"/>
                      <w:szCs w:val="18"/>
                    </w:rPr>
                  </w:pPr>
                  <w:r>
                    <w:rPr>
                      <w:sz w:val="18"/>
                      <w:szCs w:val="18"/>
                    </w:rPr>
                    <w:t>8.11</w:t>
                  </w:r>
                </w:p>
              </w:tc>
              <w:tc>
                <w:tcPr>
                  <w:tcW w:w="818" w:type="dxa"/>
                  <w:shd w:val="clear" w:color="auto" w:fill="auto"/>
                  <w:noWrap/>
                  <w:vAlign w:val="center"/>
                </w:tcPr>
                <w:p>
                  <w:pPr>
                    <w:jc w:val="center"/>
                    <w:rPr>
                      <w:rFonts w:eastAsia="等线"/>
                      <w:sz w:val="18"/>
                      <w:szCs w:val="18"/>
                    </w:rPr>
                  </w:pPr>
                  <w:r>
                    <w:rPr>
                      <w:rFonts w:eastAsia="等线"/>
                      <w:sz w:val="18"/>
                      <w:szCs w:val="18"/>
                    </w:rPr>
                    <w:t>0.28</w:t>
                  </w:r>
                </w:p>
              </w:tc>
              <w:tc>
                <w:tcPr>
                  <w:tcW w:w="814" w:type="dxa"/>
                  <w:shd w:val="clear" w:color="auto" w:fill="auto"/>
                  <w:noWrap/>
                  <w:vAlign w:val="center"/>
                </w:tcPr>
                <w:p>
                  <w:pPr>
                    <w:jc w:val="center"/>
                    <w:rPr>
                      <w:rFonts w:eastAsia="等线"/>
                      <w:sz w:val="18"/>
                      <w:szCs w:val="18"/>
                    </w:rPr>
                  </w:pPr>
                  <w:r>
                    <w:rPr>
                      <w:rFonts w:eastAsia="等线"/>
                      <w:sz w:val="18"/>
                      <w:szCs w:val="18"/>
                    </w:rPr>
                    <w:t>0.0107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2</w:t>
                  </w:r>
                </w:p>
              </w:tc>
              <w:tc>
                <w:tcPr>
                  <w:tcW w:w="816" w:type="dxa"/>
                  <w:shd w:val="clear" w:color="auto" w:fill="auto"/>
                  <w:noWrap/>
                  <w:vAlign w:val="bottom"/>
                </w:tcPr>
                <w:p>
                  <w:pPr>
                    <w:jc w:val="center"/>
                    <w:rPr>
                      <w:rFonts w:eastAsia="楷体"/>
                      <w:sz w:val="18"/>
                      <w:szCs w:val="18"/>
                    </w:rPr>
                  </w:pPr>
                  <w:r>
                    <w:rPr>
                      <w:rFonts w:eastAsia="楷体"/>
                      <w:sz w:val="18"/>
                      <w:szCs w:val="18"/>
                    </w:rPr>
                    <w:t>3</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23.1</w:t>
                  </w:r>
                </w:p>
              </w:tc>
              <w:tc>
                <w:tcPr>
                  <w:tcW w:w="816" w:type="dxa"/>
                  <w:shd w:val="clear" w:color="auto" w:fill="auto"/>
                  <w:noWrap/>
                  <w:vAlign w:val="center"/>
                </w:tcPr>
                <w:p>
                  <w:pPr>
                    <w:jc w:val="center"/>
                    <w:rPr>
                      <w:rFonts w:eastAsia="等线"/>
                      <w:sz w:val="18"/>
                      <w:szCs w:val="18"/>
                    </w:rPr>
                  </w:pPr>
                  <w:r>
                    <w:rPr>
                      <w:rFonts w:eastAsia="等线"/>
                      <w:sz w:val="18"/>
                      <w:szCs w:val="18"/>
                    </w:rPr>
                    <w:t>8.02</w:t>
                  </w:r>
                </w:p>
              </w:tc>
              <w:tc>
                <w:tcPr>
                  <w:tcW w:w="818" w:type="dxa"/>
                  <w:shd w:val="clear" w:color="auto" w:fill="auto"/>
                  <w:noWrap/>
                  <w:vAlign w:val="center"/>
                </w:tcPr>
                <w:p>
                  <w:pPr>
                    <w:jc w:val="center"/>
                    <w:rPr>
                      <w:rFonts w:eastAsia="等线"/>
                      <w:sz w:val="18"/>
                      <w:szCs w:val="18"/>
                    </w:rPr>
                  </w:pPr>
                  <w:r>
                    <w:rPr>
                      <w:rFonts w:eastAsia="等线"/>
                      <w:sz w:val="18"/>
                      <w:szCs w:val="18"/>
                    </w:rPr>
                    <w:t>31.31</w:t>
                  </w:r>
                </w:p>
              </w:tc>
              <w:tc>
                <w:tcPr>
                  <w:tcW w:w="818" w:type="dxa"/>
                  <w:shd w:val="clear" w:color="auto" w:fill="auto"/>
                  <w:noWrap/>
                  <w:vAlign w:val="center"/>
                </w:tcPr>
                <w:p>
                  <w:pPr>
                    <w:jc w:val="center"/>
                    <w:rPr>
                      <w:rFonts w:eastAsia="等线"/>
                      <w:sz w:val="18"/>
                      <w:szCs w:val="18"/>
                    </w:rPr>
                  </w:pPr>
                  <w:r>
                    <w:rPr>
                      <w:rFonts w:eastAsia="等线"/>
                      <w:sz w:val="18"/>
                      <w:szCs w:val="18"/>
                    </w:rPr>
                    <w:t>7.81</w:t>
                  </w:r>
                </w:p>
              </w:tc>
              <w:tc>
                <w:tcPr>
                  <w:tcW w:w="818" w:type="dxa"/>
                  <w:shd w:val="clear" w:color="auto" w:fill="auto"/>
                  <w:noWrap/>
                  <w:vAlign w:val="center"/>
                </w:tcPr>
                <w:p>
                  <w:pPr>
                    <w:jc w:val="center"/>
                    <w:rPr>
                      <w:rFonts w:eastAsia="等线"/>
                      <w:sz w:val="18"/>
                      <w:szCs w:val="18"/>
                    </w:rPr>
                  </w:pPr>
                  <w:r>
                    <w:rPr>
                      <w:sz w:val="18"/>
                      <w:szCs w:val="18"/>
                    </w:rPr>
                    <w:t>7.97</w:t>
                  </w:r>
                </w:p>
              </w:tc>
              <w:tc>
                <w:tcPr>
                  <w:tcW w:w="818" w:type="dxa"/>
                  <w:shd w:val="clear" w:color="auto" w:fill="auto"/>
                  <w:noWrap/>
                  <w:vAlign w:val="center"/>
                </w:tcPr>
                <w:p>
                  <w:pPr>
                    <w:jc w:val="center"/>
                    <w:rPr>
                      <w:rFonts w:eastAsia="等线"/>
                      <w:sz w:val="18"/>
                      <w:szCs w:val="18"/>
                    </w:rPr>
                  </w:pPr>
                  <w:r>
                    <w:rPr>
                      <w:rFonts w:eastAsia="等线"/>
                      <w:sz w:val="18"/>
                      <w:szCs w:val="18"/>
                    </w:rPr>
                    <w:t>0.31</w:t>
                  </w:r>
                </w:p>
              </w:tc>
              <w:tc>
                <w:tcPr>
                  <w:tcW w:w="814" w:type="dxa"/>
                  <w:shd w:val="clear" w:color="auto" w:fill="auto"/>
                  <w:noWrap/>
                  <w:vAlign w:val="center"/>
                </w:tcPr>
                <w:p>
                  <w:pPr>
                    <w:jc w:val="center"/>
                    <w:rPr>
                      <w:rFonts w:eastAsia="等线"/>
                      <w:sz w:val="18"/>
                      <w:szCs w:val="18"/>
                    </w:rPr>
                  </w:pPr>
                  <w:r>
                    <w:rPr>
                      <w:rFonts w:eastAsia="等线"/>
                      <w:sz w:val="18"/>
                      <w:szCs w:val="18"/>
                    </w:rPr>
                    <w:t>0.0067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3</w:t>
                  </w:r>
                </w:p>
              </w:tc>
              <w:tc>
                <w:tcPr>
                  <w:tcW w:w="816" w:type="dxa"/>
                  <w:shd w:val="clear" w:color="auto" w:fill="auto"/>
                  <w:noWrap/>
                  <w:vAlign w:val="bottom"/>
                </w:tcPr>
                <w:p>
                  <w:pPr>
                    <w:jc w:val="center"/>
                    <w:rPr>
                      <w:rFonts w:eastAsia="楷体"/>
                      <w:sz w:val="18"/>
                      <w:szCs w:val="18"/>
                    </w:rPr>
                  </w:pPr>
                  <w:r>
                    <w:rPr>
                      <w:rFonts w:eastAsia="楷体"/>
                      <w:sz w:val="18"/>
                      <w:szCs w:val="18"/>
                    </w:rPr>
                    <w:t>5</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23.4</w:t>
                  </w:r>
                </w:p>
              </w:tc>
              <w:tc>
                <w:tcPr>
                  <w:tcW w:w="816" w:type="dxa"/>
                  <w:shd w:val="clear" w:color="auto" w:fill="auto"/>
                  <w:noWrap/>
                  <w:vAlign w:val="center"/>
                </w:tcPr>
                <w:p>
                  <w:pPr>
                    <w:jc w:val="center"/>
                    <w:rPr>
                      <w:rFonts w:eastAsia="等线"/>
                      <w:sz w:val="18"/>
                      <w:szCs w:val="18"/>
                    </w:rPr>
                  </w:pPr>
                  <w:r>
                    <w:rPr>
                      <w:rFonts w:eastAsia="等线"/>
                      <w:sz w:val="18"/>
                      <w:szCs w:val="18"/>
                    </w:rPr>
                    <w:t>7.98</w:t>
                  </w:r>
                </w:p>
              </w:tc>
              <w:tc>
                <w:tcPr>
                  <w:tcW w:w="818" w:type="dxa"/>
                  <w:shd w:val="clear" w:color="auto" w:fill="auto"/>
                  <w:noWrap/>
                  <w:vAlign w:val="center"/>
                </w:tcPr>
                <w:p>
                  <w:pPr>
                    <w:jc w:val="center"/>
                    <w:rPr>
                      <w:rFonts w:eastAsia="等线"/>
                      <w:sz w:val="18"/>
                      <w:szCs w:val="18"/>
                    </w:rPr>
                  </w:pPr>
                  <w:r>
                    <w:rPr>
                      <w:rFonts w:eastAsia="等线"/>
                      <w:sz w:val="18"/>
                      <w:szCs w:val="18"/>
                    </w:rPr>
                    <w:t>31.71</w:t>
                  </w:r>
                </w:p>
              </w:tc>
              <w:tc>
                <w:tcPr>
                  <w:tcW w:w="818" w:type="dxa"/>
                  <w:shd w:val="clear" w:color="auto" w:fill="auto"/>
                  <w:noWrap/>
                  <w:vAlign w:val="center"/>
                </w:tcPr>
                <w:p>
                  <w:pPr>
                    <w:jc w:val="center"/>
                    <w:rPr>
                      <w:rFonts w:eastAsia="等线"/>
                      <w:sz w:val="18"/>
                      <w:szCs w:val="18"/>
                    </w:rPr>
                  </w:pPr>
                  <w:r>
                    <w:rPr>
                      <w:rFonts w:eastAsia="等线"/>
                      <w:sz w:val="18"/>
                      <w:szCs w:val="18"/>
                    </w:rPr>
                    <w:t>8.64</w:t>
                  </w:r>
                </w:p>
              </w:tc>
              <w:tc>
                <w:tcPr>
                  <w:tcW w:w="818" w:type="dxa"/>
                  <w:shd w:val="clear" w:color="auto" w:fill="auto"/>
                  <w:noWrap/>
                  <w:vAlign w:val="center"/>
                </w:tcPr>
                <w:p>
                  <w:pPr>
                    <w:jc w:val="center"/>
                    <w:rPr>
                      <w:rFonts w:eastAsia="等线"/>
                      <w:sz w:val="18"/>
                      <w:szCs w:val="18"/>
                    </w:rPr>
                  </w:pPr>
                  <w:r>
                    <w:rPr>
                      <w:sz w:val="18"/>
                      <w:szCs w:val="18"/>
                    </w:rPr>
                    <w:t>8.12</w:t>
                  </w:r>
                </w:p>
              </w:tc>
              <w:tc>
                <w:tcPr>
                  <w:tcW w:w="818" w:type="dxa"/>
                  <w:shd w:val="clear" w:color="auto" w:fill="auto"/>
                  <w:noWrap/>
                  <w:vAlign w:val="center"/>
                </w:tcPr>
                <w:p>
                  <w:pPr>
                    <w:jc w:val="center"/>
                    <w:rPr>
                      <w:rFonts w:eastAsia="等线"/>
                      <w:sz w:val="18"/>
                      <w:szCs w:val="18"/>
                    </w:rPr>
                  </w:pPr>
                  <w:r>
                    <w:rPr>
                      <w:rFonts w:eastAsia="等线"/>
                      <w:sz w:val="18"/>
                      <w:szCs w:val="18"/>
                    </w:rPr>
                    <w:t>0.41</w:t>
                  </w:r>
                </w:p>
              </w:tc>
              <w:tc>
                <w:tcPr>
                  <w:tcW w:w="814" w:type="dxa"/>
                  <w:shd w:val="clear" w:color="auto" w:fill="auto"/>
                  <w:noWrap/>
                  <w:vAlign w:val="center"/>
                </w:tcPr>
                <w:p>
                  <w:pPr>
                    <w:jc w:val="center"/>
                    <w:rPr>
                      <w:rFonts w:eastAsia="等线"/>
                      <w:sz w:val="18"/>
                      <w:szCs w:val="18"/>
                    </w:rPr>
                  </w:pPr>
                  <w:r>
                    <w:rPr>
                      <w:rFonts w:eastAsia="等线"/>
                      <w:sz w:val="18"/>
                      <w:szCs w:val="18"/>
                    </w:rPr>
                    <w:t>0.0072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4</w:t>
                  </w:r>
                </w:p>
              </w:tc>
              <w:tc>
                <w:tcPr>
                  <w:tcW w:w="816" w:type="dxa"/>
                  <w:shd w:val="clear" w:color="auto" w:fill="auto"/>
                  <w:noWrap/>
                  <w:vAlign w:val="bottom"/>
                </w:tcPr>
                <w:p>
                  <w:pPr>
                    <w:jc w:val="center"/>
                    <w:rPr>
                      <w:rFonts w:eastAsia="楷体"/>
                      <w:sz w:val="18"/>
                      <w:szCs w:val="18"/>
                    </w:rPr>
                  </w:pPr>
                  <w:r>
                    <w:rPr>
                      <w:rFonts w:eastAsia="楷体"/>
                      <w:sz w:val="18"/>
                      <w:szCs w:val="18"/>
                    </w:rPr>
                    <w:t>5</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23.3</w:t>
                  </w:r>
                </w:p>
              </w:tc>
              <w:tc>
                <w:tcPr>
                  <w:tcW w:w="816" w:type="dxa"/>
                  <w:shd w:val="clear" w:color="auto" w:fill="auto"/>
                  <w:noWrap/>
                  <w:vAlign w:val="center"/>
                </w:tcPr>
                <w:p>
                  <w:pPr>
                    <w:jc w:val="center"/>
                    <w:rPr>
                      <w:rFonts w:eastAsia="等线"/>
                      <w:sz w:val="18"/>
                      <w:szCs w:val="18"/>
                    </w:rPr>
                  </w:pPr>
                  <w:r>
                    <w:rPr>
                      <w:rFonts w:eastAsia="等线"/>
                      <w:sz w:val="18"/>
                      <w:szCs w:val="18"/>
                    </w:rPr>
                    <w:t>7.89</w:t>
                  </w:r>
                </w:p>
              </w:tc>
              <w:tc>
                <w:tcPr>
                  <w:tcW w:w="818" w:type="dxa"/>
                  <w:shd w:val="clear" w:color="auto" w:fill="auto"/>
                  <w:noWrap/>
                  <w:vAlign w:val="center"/>
                </w:tcPr>
                <w:p>
                  <w:pPr>
                    <w:jc w:val="center"/>
                    <w:rPr>
                      <w:rFonts w:eastAsia="等线"/>
                      <w:sz w:val="18"/>
                      <w:szCs w:val="18"/>
                    </w:rPr>
                  </w:pPr>
                  <w:r>
                    <w:rPr>
                      <w:rFonts w:eastAsia="等线"/>
                      <w:sz w:val="18"/>
                      <w:szCs w:val="18"/>
                    </w:rPr>
                    <w:t>31.36</w:t>
                  </w:r>
                </w:p>
              </w:tc>
              <w:tc>
                <w:tcPr>
                  <w:tcW w:w="818" w:type="dxa"/>
                  <w:shd w:val="clear" w:color="auto" w:fill="auto"/>
                  <w:noWrap/>
                  <w:vAlign w:val="center"/>
                </w:tcPr>
                <w:p>
                  <w:pPr>
                    <w:jc w:val="center"/>
                    <w:rPr>
                      <w:rFonts w:eastAsia="等线"/>
                      <w:sz w:val="18"/>
                      <w:szCs w:val="18"/>
                    </w:rPr>
                  </w:pPr>
                  <w:r>
                    <w:rPr>
                      <w:rFonts w:eastAsia="等线"/>
                      <w:sz w:val="18"/>
                      <w:szCs w:val="18"/>
                    </w:rPr>
                    <w:t>9.15</w:t>
                  </w:r>
                </w:p>
              </w:tc>
              <w:tc>
                <w:tcPr>
                  <w:tcW w:w="818" w:type="dxa"/>
                  <w:shd w:val="clear" w:color="auto" w:fill="auto"/>
                  <w:noWrap/>
                  <w:vAlign w:val="center"/>
                </w:tcPr>
                <w:p>
                  <w:pPr>
                    <w:jc w:val="center"/>
                    <w:rPr>
                      <w:rFonts w:eastAsia="等线"/>
                      <w:sz w:val="18"/>
                      <w:szCs w:val="18"/>
                    </w:rPr>
                  </w:pPr>
                  <w:r>
                    <w:rPr>
                      <w:sz w:val="18"/>
                      <w:szCs w:val="18"/>
                    </w:rPr>
                    <w:t>7.68</w:t>
                  </w:r>
                </w:p>
              </w:tc>
              <w:tc>
                <w:tcPr>
                  <w:tcW w:w="818" w:type="dxa"/>
                  <w:shd w:val="clear" w:color="auto" w:fill="auto"/>
                  <w:noWrap/>
                  <w:vAlign w:val="center"/>
                </w:tcPr>
                <w:p>
                  <w:pPr>
                    <w:jc w:val="center"/>
                    <w:rPr>
                      <w:rFonts w:eastAsia="等线"/>
                      <w:sz w:val="18"/>
                      <w:szCs w:val="18"/>
                    </w:rPr>
                  </w:pPr>
                  <w:r>
                    <w:rPr>
                      <w:rFonts w:eastAsia="等线"/>
                      <w:sz w:val="18"/>
                      <w:szCs w:val="18"/>
                    </w:rPr>
                    <w:t>0.53</w:t>
                  </w:r>
                </w:p>
              </w:tc>
              <w:tc>
                <w:tcPr>
                  <w:tcW w:w="814" w:type="dxa"/>
                  <w:shd w:val="clear" w:color="auto" w:fill="auto"/>
                  <w:noWrap/>
                  <w:vAlign w:val="center"/>
                </w:tcPr>
                <w:p>
                  <w:pPr>
                    <w:jc w:val="center"/>
                    <w:rPr>
                      <w:rFonts w:eastAsia="等线"/>
                      <w:sz w:val="18"/>
                      <w:szCs w:val="18"/>
                    </w:rPr>
                  </w:pPr>
                  <w:r>
                    <w:rPr>
                      <w:rFonts w:eastAsia="等线"/>
                      <w:sz w:val="18"/>
                      <w:szCs w:val="18"/>
                    </w:rPr>
                    <w:t>0.0069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5</w:t>
                  </w:r>
                </w:p>
              </w:tc>
              <w:tc>
                <w:tcPr>
                  <w:tcW w:w="816" w:type="dxa"/>
                  <w:shd w:val="clear" w:color="auto" w:fill="auto"/>
                  <w:noWrap/>
                  <w:vAlign w:val="bottom"/>
                </w:tcPr>
                <w:p>
                  <w:pPr>
                    <w:jc w:val="center"/>
                    <w:rPr>
                      <w:rFonts w:eastAsia="楷体"/>
                      <w:sz w:val="18"/>
                      <w:szCs w:val="18"/>
                    </w:rPr>
                  </w:pPr>
                  <w:r>
                    <w:rPr>
                      <w:rFonts w:eastAsia="楷体"/>
                      <w:sz w:val="18"/>
                      <w:szCs w:val="18"/>
                    </w:rPr>
                    <w:t>4</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22.7</w:t>
                  </w:r>
                </w:p>
              </w:tc>
              <w:tc>
                <w:tcPr>
                  <w:tcW w:w="816" w:type="dxa"/>
                  <w:shd w:val="clear" w:color="auto" w:fill="auto"/>
                  <w:noWrap/>
                  <w:vAlign w:val="center"/>
                </w:tcPr>
                <w:p>
                  <w:pPr>
                    <w:jc w:val="center"/>
                    <w:rPr>
                      <w:rFonts w:eastAsia="等线"/>
                      <w:sz w:val="18"/>
                      <w:szCs w:val="18"/>
                    </w:rPr>
                  </w:pPr>
                  <w:r>
                    <w:rPr>
                      <w:rFonts w:eastAsia="等线"/>
                      <w:sz w:val="18"/>
                      <w:szCs w:val="18"/>
                    </w:rPr>
                    <w:t>7.96</w:t>
                  </w:r>
                </w:p>
              </w:tc>
              <w:tc>
                <w:tcPr>
                  <w:tcW w:w="818" w:type="dxa"/>
                  <w:shd w:val="clear" w:color="auto" w:fill="auto"/>
                  <w:noWrap/>
                  <w:vAlign w:val="center"/>
                </w:tcPr>
                <w:p>
                  <w:pPr>
                    <w:jc w:val="center"/>
                    <w:rPr>
                      <w:rFonts w:eastAsia="等线"/>
                      <w:sz w:val="18"/>
                      <w:szCs w:val="18"/>
                    </w:rPr>
                  </w:pPr>
                  <w:r>
                    <w:rPr>
                      <w:rFonts w:eastAsia="等线"/>
                      <w:sz w:val="18"/>
                      <w:szCs w:val="18"/>
                    </w:rPr>
                    <w:t>31.43</w:t>
                  </w:r>
                </w:p>
              </w:tc>
              <w:tc>
                <w:tcPr>
                  <w:tcW w:w="818" w:type="dxa"/>
                  <w:shd w:val="clear" w:color="auto" w:fill="auto"/>
                  <w:noWrap/>
                  <w:vAlign w:val="center"/>
                </w:tcPr>
                <w:p>
                  <w:pPr>
                    <w:jc w:val="center"/>
                    <w:rPr>
                      <w:rFonts w:eastAsia="等线"/>
                      <w:sz w:val="18"/>
                      <w:szCs w:val="18"/>
                    </w:rPr>
                  </w:pPr>
                  <w:r>
                    <w:rPr>
                      <w:rFonts w:eastAsia="等线"/>
                      <w:sz w:val="18"/>
                      <w:szCs w:val="18"/>
                    </w:rPr>
                    <w:t>6.14</w:t>
                  </w:r>
                </w:p>
              </w:tc>
              <w:tc>
                <w:tcPr>
                  <w:tcW w:w="818" w:type="dxa"/>
                  <w:shd w:val="clear" w:color="auto" w:fill="auto"/>
                  <w:noWrap/>
                  <w:vAlign w:val="center"/>
                </w:tcPr>
                <w:p>
                  <w:pPr>
                    <w:jc w:val="center"/>
                    <w:rPr>
                      <w:rFonts w:eastAsia="等线"/>
                      <w:sz w:val="18"/>
                      <w:szCs w:val="18"/>
                    </w:rPr>
                  </w:pPr>
                  <w:r>
                    <w:rPr>
                      <w:sz w:val="18"/>
                      <w:szCs w:val="18"/>
                    </w:rPr>
                    <w:t>7.83</w:t>
                  </w:r>
                </w:p>
              </w:tc>
              <w:tc>
                <w:tcPr>
                  <w:tcW w:w="818" w:type="dxa"/>
                  <w:shd w:val="clear" w:color="auto" w:fill="auto"/>
                  <w:noWrap/>
                  <w:vAlign w:val="center"/>
                </w:tcPr>
                <w:p>
                  <w:pPr>
                    <w:jc w:val="center"/>
                    <w:rPr>
                      <w:rFonts w:eastAsia="等线"/>
                      <w:sz w:val="18"/>
                      <w:szCs w:val="18"/>
                    </w:rPr>
                  </w:pPr>
                  <w:r>
                    <w:rPr>
                      <w:rFonts w:eastAsia="等线"/>
                      <w:sz w:val="18"/>
                      <w:szCs w:val="18"/>
                    </w:rPr>
                    <w:t>0.37</w:t>
                  </w:r>
                </w:p>
              </w:tc>
              <w:tc>
                <w:tcPr>
                  <w:tcW w:w="814" w:type="dxa"/>
                  <w:shd w:val="clear" w:color="auto" w:fill="auto"/>
                  <w:noWrap/>
                  <w:vAlign w:val="center"/>
                </w:tcPr>
                <w:p>
                  <w:pPr>
                    <w:jc w:val="center"/>
                    <w:rPr>
                      <w:rFonts w:eastAsia="等线"/>
                      <w:sz w:val="18"/>
                      <w:szCs w:val="18"/>
                    </w:rPr>
                  </w:pPr>
                  <w:r>
                    <w:rPr>
                      <w:rFonts w:eastAsia="等线"/>
                      <w:sz w:val="18"/>
                      <w:szCs w:val="18"/>
                    </w:rPr>
                    <w:t>0.0052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6</w:t>
                  </w:r>
                </w:p>
              </w:tc>
              <w:tc>
                <w:tcPr>
                  <w:tcW w:w="816" w:type="dxa"/>
                  <w:shd w:val="clear" w:color="auto" w:fill="auto"/>
                  <w:noWrap/>
                  <w:vAlign w:val="bottom"/>
                </w:tcPr>
                <w:p>
                  <w:pPr>
                    <w:jc w:val="center"/>
                    <w:rPr>
                      <w:rFonts w:eastAsia="楷体"/>
                      <w:sz w:val="18"/>
                      <w:szCs w:val="18"/>
                    </w:rPr>
                  </w:pPr>
                  <w:r>
                    <w:rPr>
                      <w:rFonts w:eastAsia="楷体"/>
                      <w:sz w:val="18"/>
                      <w:szCs w:val="18"/>
                    </w:rPr>
                    <w:t>8</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22.6</w:t>
                  </w:r>
                </w:p>
              </w:tc>
              <w:tc>
                <w:tcPr>
                  <w:tcW w:w="816" w:type="dxa"/>
                  <w:shd w:val="clear" w:color="auto" w:fill="auto"/>
                  <w:noWrap/>
                  <w:vAlign w:val="center"/>
                </w:tcPr>
                <w:p>
                  <w:pPr>
                    <w:jc w:val="center"/>
                    <w:rPr>
                      <w:rFonts w:eastAsia="等线"/>
                      <w:sz w:val="18"/>
                      <w:szCs w:val="18"/>
                    </w:rPr>
                  </w:pPr>
                  <w:r>
                    <w:rPr>
                      <w:rFonts w:eastAsia="等线"/>
                      <w:sz w:val="18"/>
                      <w:szCs w:val="18"/>
                    </w:rPr>
                    <w:t>7.98</w:t>
                  </w:r>
                </w:p>
              </w:tc>
              <w:tc>
                <w:tcPr>
                  <w:tcW w:w="818" w:type="dxa"/>
                  <w:shd w:val="clear" w:color="auto" w:fill="auto"/>
                  <w:noWrap/>
                  <w:vAlign w:val="center"/>
                </w:tcPr>
                <w:p>
                  <w:pPr>
                    <w:jc w:val="center"/>
                    <w:rPr>
                      <w:rFonts w:eastAsia="等线"/>
                      <w:sz w:val="18"/>
                      <w:szCs w:val="18"/>
                    </w:rPr>
                  </w:pPr>
                  <w:r>
                    <w:rPr>
                      <w:rFonts w:eastAsia="等线"/>
                      <w:sz w:val="18"/>
                      <w:szCs w:val="18"/>
                    </w:rPr>
                    <w:t>31.84</w:t>
                  </w:r>
                </w:p>
              </w:tc>
              <w:tc>
                <w:tcPr>
                  <w:tcW w:w="818" w:type="dxa"/>
                  <w:shd w:val="clear" w:color="auto" w:fill="auto"/>
                  <w:noWrap/>
                  <w:vAlign w:val="center"/>
                </w:tcPr>
                <w:p>
                  <w:pPr>
                    <w:jc w:val="center"/>
                    <w:rPr>
                      <w:rFonts w:eastAsia="等线"/>
                      <w:sz w:val="18"/>
                      <w:szCs w:val="18"/>
                    </w:rPr>
                  </w:pPr>
                  <w:r>
                    <w:rPr>
                      <w:rFonts w:eastAsia="等线"/>
                      <w:sz w:val="18"/>
                      <w:szCs w:val="18"/>
                    </w:rPr>
                    <w:t>5.46</w:t>
                  </w:r>
                </w:p>
              </w:tc>
              <w:tc>
                <w:tcPr>
                  <w:tcW w:w="818" w:type="dxa"/>
                  <w:shd w:val="clear" w:color="auto" w:fill="auto"/>
                  <w:noWrap/>
                  <w:vAlign w:val="center"/>
                </w:tcPr>
                <w:p>
                  <w:pPr>
                    <w:jc w:val="center"/>
                    <w:rPr>
                      <w:rFonts w:eastAsia="等线"/>
                      <w:sz w:val="18"/>
                      <w:szCs w:val="18"/>
                    </w:rPr>
                  </w:pPr>
                  <w:r>
                    <w:rPr>
                      <w:sz w:val="18"/>
                      <w:szCs w:val="18"/>
                    </w:rPr>
                    <w:t>7.94</w:t>
                  </w:r>
                </w:p>
              </w:tc>
              <w:tc>
                <w:tcPr>
                  <w:tcW w:w="818" w:type="dxa"/>
                  <w:shd w:val="clear" w:color="auto" w:fill="auto"/>
                  <w:noWrap/>
                  <w:vAlign w:val="center"/>
                </w:tcPr>
                <w:p>
                  <w:pPr>
                    <w:jc w:val="center"/>
                    <w:rPr>
                      <w:rFonts w:eastAsia="等线"/>
                      <w:sz w:val="18"/>
                      <w:szCs w:val="18"/>
                    </w:rPr>
                  </w:pPr>
                  <w:r>
                    <w:rPr>
                      <w:rFonts w:eastAsia="等线"/>
                      <w:sz w:val="18"/>
                      <w:szCs w:val="18"/>
                    </w:rPr>
                    <w:t>0.42</w:t>
                  </w:r>
                </w:p>
              </w:tc>
              <w:tc>
                <w:tcPr>
                  <w:tcW w:w="814" w:type="dxa"/>
                  <w:shd w:val="clear" w:color="auto" w:fill="auto"/>
                  <w:noWrap/>
                  <w:vAlign w:val="center"/>
                </w:tcPr>
                <w:p>
                  <w:pPr>
                    <w:jc w:val="center"/>
                    <w:rPr>
                      <w:rFonts w:eastAsia="等线"/>
                      <w:sz w:val="18"/>
                      <w:szCs w:val="18"/>
                    </w:rPr>
                  </w:pPr>
                  <w:r>
                    <w:rPr>
                      <w:rFonts w:eastAsia="等线"/>
                      <w:sz w:val="18"/>
                      <w:szCs w:val="18"/>
                    </w:rPr>
                    <w:t>0.0031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7</w:t>
                  </w:r>
                </w:p>
              </w:tc>
              <w:tc>
                <w:tcPr>
                  <w:tcW w:w="816" w:type="dxa"/>
                  <w:shd w:val="clear" w:color="auto" w:fill="auto"/>
                  <w:noWrap/>
                  <w:vAlign w:val="bottom"/>
                </w:tcPr>
                <w:p>
                  <w:pPr>
                    <w:jc w:val="center"/>
                    <w:rPr>
                      <w:rFonts w:eastAsia="楷体"/>
                      <w:sz w:val="18"/>
                      <w:szCs w:val="18"/>
                    </w:rPr>
                  </w:pPr>
                  <w:r>
                    <w:rPr>
                      <w:rFonts w:eastAsia="楷体"/>
                      <w:sz w:val="18"/>
                      <w:szCs w:val="18"/>
                    </w:rPr>
                    <w:t>6</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23.1</w:t>
                  </w:r>
                </w:p>
              </w:tc>
              <w:tc>
                <w:tcPr>
                  <w:tcW w:w="816" w:type="dxa"/>
                  <w:shd w:val="clear" w:color="auto" w:fill="auto"/>
                  <w:noWrap/>
                  <w:vAlign w:val="center"/>
                </w:tcPr>
                <w:p>
                  <w:pPr>
                    <w:jc w:val="center"/>
                    <w:rPr>
                      <w:rFonts w:eastAsia="等线"/>
                      <w:sz w:val="18"/>
                      <w:szCs w:val="18"/>
                    </w:rPr>
                  </w:pPr>
                  <w:r>
                    <w:rPr>
                      <w:rFonts w:eastAsia="等线"/>
                      <w:sz w:val="18"/>
                      <w:szCs w:val="18"/>
                    </w:rPr>
                    <w:t>7.86</w:t>
                  </w:r>
                </w:p>
              </w:tc>
              <w:tc>
                <w:tcPr>
                  <w:tcW w:w="818" w:type="dxa"/>
                  <w:shd w:val="clear" w:color="auto" w:fill="auto"/>
                  <w:noWrap/>
                  <w:vAlign w:val="center"/>
                </w:tcPr>
                <w:p>
                  <w:pPr>
                    <w:jc w:val="center"/>
                    <w:rPr>
                      <w:rFonts w:eastAsia="等线"/>
                      <w:sz w:val="18"/>
                      <w:szCs w:val="18"/>
                    </w:rPr>
                  </w:pPr>
                  <w:r>
                    <w:rPr>
                      <w:rFonts w:eastAsia="等线"/>
                      <w:sz w:val="18"/>
                      <w:szCs w:val="18"/>
                    </w:rPr>
                    <w:t>32.05</w:t>
                  </w:r>
                </w:p>
              </w:tc>
              <w:tc>
                <w:tcPr>
                  <w:tcW w:w="818" w:type="dxa"/>
                  <w:shd w:val="clear" w:color="auto" w:fill="auto"/>
                  <w:noWrap/>
                  <w:vAlign w:val="center"/>
                </w:tcPr>
                <w:p>
                  <w:pPr>
                    <w:jc w:val="center"/>
                    <w:rPr>
                      <w:rFonts w:eastAsia="等线"/>
                      <w:sz w:val="18"/>
                      <w:szCs w:val="18"/>
                    </w:rPr>
                  </w:pPr>
                  <w:r>
                    <w:rPr>
                      <w:rFonts w:eastAsia="等线"/>
                      <w:sz w:val="18"/>
                      <w:szCs w:val="18"/>
                    </w:rPr>
                    <w:t>6.25</w:t>
                  </w:r>
                </w:p>
              </w:tc>
              <w:tc>
                <w:tcPr>
                  <w:tcW w:w="818" w:type="dxa"/>
                  <w:shd w:val="clear" w:color="auto" w:fill="auto"/>
                  <w:noWrap/>
                  <w:vAlign w:val="center"/>
                </w:tcPr>
                <w:p>
                  <w:pPr>
                    <w:jc w:val="center"/>
                    <w:rPr>
                      <w:rFonts w:eastAsia="等线"/>
                      <w:sz w:val="18"/>
                      <w:szCs w:val="18"/>
                    </w:rPr>
                  </w:pPr>
                  <w:r>
                    <w:rPr>
                      <w:sz w:val="18"/>
                      <w:szCs w:val="18"/>
                    </w:rPr>
                    <w:t>8.13</w:t>
                  </w:r>
                </w:p>
              </w:tc>
              <w:tc>
                <w:tcPr>
                  <w:tcW w:w="818" w:type="dxa"/>
                  <w:shd w:val="clear" w:color="auto" w:fill="auto"/>
                  <w:noWrap/>
                  <w:vAlign w:val="center"/>
                </w:tcPr>
                <w:p>
                  <w:pPr>
                    <w:jc w:val="center"/>
                    <w:rPr>
                      <w:rFonts w:eastAsia="等线"/>
                      <w:sz w:val="18"/>
                      <w:szCs w:val="18"/>
                    </w:rPr>
                  </w:pPr>
                  <w:r>
                    <w:rPr>
                      <w:rFonts w:eastAsia="等线"/>
                      <w:sz w:val="18"/>
                      <w:szCs w:val="18"/>
                    </w:rPr>
                    <w:t>0.32</w:t>
                  </w:r>
                </w:p>
              </w:tc>
              <w:tc>
                <w:tcPr>
                  <w:tcW w:w="814" w:type="dxa"/>
                  <w:shd w:val="clear" w:color="auto" w:fill="auto"/>
                  <w:noWrap/>
                  <w:vAlign w:val="center"/>
                </w:tcPr>
                <w:p>
                  <w:pPr>
                    <w:jc w:val="center"/>
                    <w:rPr>
                      <w:rFonts w:eastAsia="等线"/>
                      <w:sz w:val="18"/>
                      <w:szCs w:val="18"/>
                    </w:rPr>
                  </w:pPr>
                  <w:r>
                    <w:rPr>
                      <w:rFonts w:eastAsia="等线"/>
                      <w:sz w:val="18"/>
                      <w:szCs w:val="18"/>
                    </w:rPr>
                    <w:t>0.0062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8</w:t>
                  </w:r>
                </w:p>
              </w:tc>
              <w:tc>
                <w:tcPr>
                  <w:tcW w:w="816" w:type="dxa"/>
                  <w:shd w:val="clear" w:color="auto" w:fill="auto"/>
                  <w:noWrap/>
                  <w:vAlign w:val="bottom"/>
                </w:tcPr>
                <w:p>
                  <w:pPr>
                    <w:jc w:val="center"/>
                    <w:rPr>
                      <w:rFonts w:eastAsia="楷体"/>
                      <w:sz w:val="18"/>
                      <w:szCs w:val="18"/>
                    </w:rPr>
                  </w:pPr>
                  <w:r>
                    <w:rPr>
                      <w:rFonts w:eastAsia="楷体"/>
                      <w:sz w:val="18"/>
                      <w:szCs w:val="18"/>
                    </w:rPr>
                    <w:t>5</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23.3</w:t>
                  </w:r>
                </w:p>
              </w:tc>
              <w:tc>
                <w:tcPr>
                  <w:tcW w:w="816" w:type="dxa"/>
                  <w:shd w:val="clear" w:color="auto" w:fill="auto"/>
                  <w:noWrap/>
                  <w:vAlign w:val="center"/>
                </w:tcPr>
                <w:p>
                  <w:pPr>
                    <w:jc w:val="center"/>
                    <w:rPr>
                      <w:rFonts w:eastAsia="等线"/>
                      <w:sz w:val="18"/>
                      <w:szCs w:val="18"/>
                    </w:rPr>
                  </w:pPr>
                  <w:r>
                    <w:rPr>
                      <w:rFonts w:eastAsia="等线"/>
                      <w:sz w:val="18"/>
                      <w:szCs w:val="18"/>
                    </w:rPr>
                    <w:t>7.79</w:t>
                  </w:r>
                </w:p>
              </w:tc>
              <w:tc>
                <w:tcPr>
                  <w:tcW w:w="818" w:type="dxa"/>
                  <w:shd w:val="clear" w:color="auto" w:fill="auto"/>
                  <w:noWrap/>
                  <w:vAlign w:val="center"/>
                </w:tcPr>
                <w:p>
                  <w:pPr>
                    <w:jc w:val="center"/>
                    <w:rPr>
                      <w:rFonts w:eastAsia="等线"/>
                      <w:sz w:val="18"/>
                      <w:szCs w:val="18"/>
                    </w:rPr>
                  </w:pPr>
                  <w:r>
                    <w:rPr>
                      <w:rFonts w:eastAsia="等线"/>
                      <w:sz w:val="18"/>
                      <w:szCs w:val="18"/>
                    </w:rPr>
                    <w:t>32.12</w:t>
                  </w:r>
                </w:p>
              </w:tc>
              <w:tc>
                <w:tcPr>
                  <w:tcW w:w="818" w:type="dxa"/>
                  <w:shd w:val="clear" w:color="auto" w:fill="auto"/>
                  <w:noWrap/>
                  <w:vAlign w:val="center"/>
                </w:tcPr>
                <w:p>
                  <w:pPr>
                    <w:jc w:val="center"/>
                    <w:rPr>
                      <w:rFonts w:eastAsia="等线"/>
                      <w:sz w:val="18"/>
                      <w:szCs w:val="18"/>
                    </w:rPr>
                  </w:pPr>
                  <w:r>
                    <w:rPr>
                      <w:rFonts w:eastAsia="等线"/>
                      <w:sz w:val="18"/>
                      <w:szCs w:val="18"/>
                    </w:rPr>
                    <w:t>7.59</w:t>
                  </w:r>
                </w:p>
              </w:tc>
              <w:tc>
                <w:tcPr>
                  <w:tcW w:w="818" w:type="dxa"/>
                  <w:shd w:val="clear" w:color="auto" w:fill="auto"/>
                  <w:noWrap/>
                  <w:vAlign w:val="center"/>
                </w:tcPr>
                <w:p>
                  <w:pPr>
                    <w:jc w:val="center"/>
                    <w:rPr>
                      <w:rFonts w:eastAsia="等线"/>
                      <w:sz w:val="18"/>
                      <w:szCs w:val="18"/>
                    </w:rPr>
                  </w:pPr>
                  <w:r>
                    <w:rPr>
                      <w:sz w:val="18"/>
                      <w:szCs w:val="18"/>
                    </w:rPr>
                    <w:t>8.21</w:t>
                  </w:r>
                </w:p>
              </w:tc>
              <w:tc>
                <w:tcPr>
                  <w:tcW w:w="818" w:type="dxa"/>
                  <w:shd w:val="clear" w:color="auto" w:fill="auto"/>
                  <w:noWrap/>
                  <w:vAlign w:val="center"/>
                </w:tcPr>
                <w:p>
                  <w:pPr>
                    <w:jc w:val="center"/>
                    <w:rPr>
                      <w:rFonts w:eastAsia="等线"/>
                      <w:sz w:val="18"/>
                      <w:szCs w:val="18"/>
                    </w:rPr>
                  </w:pPr>
                  <w:r>
                    <w:rPr>
                      <w:rFonts w:eastAsia="等线"/>
                      <w:sz w:val="18"/>
                      <w:szCs w:val="18"/>
                    </w:rPr>
                    <w:t>0.31</w:t>
                  </w:r>
                </w:p>
              </w:tc>
              <w:tc>
                <w:tcPr>
                  <w:tcW w:w="814" w:type="dxa"/>
                  <w:shd w:val="clear" w:color="auto" w:fill="auto"/>
                  <w:noWrap/>
                  <w:vAlign w:val="center"/>
                </w:tcPr>
                <w:p>
                  <w:pPr>
                    <w:jc w:val="center"/>
                    <w:rPr>
                      <w:rFonts w:eastAsia="等线"/>
                      <w:sz w:val="18"/>
                      <w:szCs w:val="18"/>
                    </w:rPr>
                  </w:pPr>
                  <w:r>
                    <w:rPr>
                      <w:rFonts w:eastAsia="等线"/>
                      <w:sz w:val="18"/>
                      <w:szCs w:val="18"/>
                    </w:rPr>
                    <w:t>0.0052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9</w:t>
                  </w:r>
                </w:p>
              </w:tc>
              <w:tc>
                <w:tcPr>
                  <w:tcW w:w="816" w:type="dxa"/>
                  <w:shd w:val="clear" w:color="auto" w:fill="auto"/>
                  <w:noWrap/>
                  <w:vAlign w:val="bottom"/>
                </w:tcPr>
                <w:p>
                  <w:pPr>
                    <w:jc w:val="center"/>
                    <w:rPr>
                      <w:rFonts w:eastAsia="楷体"/>
                      <w:sz w:val="18"/>
                      <w:szCs w:val="18"/>
                    </w:rPr>
                  </w:pPr>
                  <w:r>
                    <w:rPr>
                      <w:rFonts w:eastAsia="楷体"/>
                      <w:sz w:val="18"/>
                      <w:szCs w:val="18"/>
                    </w:rPr>
                    <w:t>9</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23.5</w:t>
                  </w:r>
                </w:p>
              </w:tc>
              <w:tc>
                <w:tcPr>
                  <w:tcW w:w="816" w:type="dxa"/>
                  <w:shd w:val="clear" w:color="auto" w:fill="auto"/>
                  <w:noWrap/>
                  <w:vAlign w:val="center"/>
                </w:tcPr>
                <w:p>
                  <w:pPr>
                    <w:jc w:val="center"/>
                    <w:rPr>
                      <w:rFonts w:eastAsia="等线"/>
                      <w:sz w:val="18"/>
                      <w:szCs w:val="18"/>
                    </w:rPr>
                  </w:pPr>
                  <w:r>
                    <w:rPr>
                      <w:rFonts w:eastAsia="等线"/>
                      <w:sz w:val="18"/>
                      <w:szCs w:val="18"/>
                    </w:rPr>
                    <w:t>8.02</w:t>
                  </w:r>
                </w:p>
              </w:tc>
              <w:tc>
                <w:tcPr>
                  <w:tcW w:w="818" w:type="dxa"/>
                  <w:shd w:val="clear" w:color="auto" w:fill="auto"/>
                  <w:noWrap/>
                  <w:vAlign w:val="center"/>
                </w:tcPr>
                <w:p>
                  <w:pPr>
                    <w:jc w:val="center"/>
                    <w:rPr>
                      <w:rFonts w:eastAsia="等线"/>
                      <w:sz w:val="18"/>
                      <w:szCs w:val="18"/>
                    </w:rPr>
                  </w:pPr>
                  <w:r>
                    <w:rPr>
                      <w:rFonts w:eastAsia="等线"/>
                      <w:sz w:val="18"/>
                      <w:szCs w:val="18"/>
                    </w:rPr>
                    <w:t>31.87</w:t>
                  </w:r>
                </w:p>
              </w:tc>
              <w:tc>
                <w:tcPr>
                  <w:tcW w:w="818" w:type="dxa"/>
                  <w:shd w:val="clear" w:color="auto" w:fill="auto"/>
                  <w:noWrap/>
                  <w:vAlign w:val="center"/>
                </w:tcPr>
                <w:p>
                  <w:pPr>
                    <w:jc w:val="center"/>
                    <w:rPr>
                      <w:rFonts w:eastAsia="等线"/>
                      <w:sz w:val="18"/>
                      <w:szCs w:val="18"/>
                    </w:rPr>
                  </w:pPr>
                  <w:r>
                    <w:rPr>
                      <w:rFonts w:eastAsia="等线"/>
                      <w:sz w:val="18"/>
                      <w:szCs w:val="18"/>
                    </w:rPr>
                    <w:t>4.81</w:t>
                  </w:r>
                </w:p>
              </w:tc>
              <w:tc>
                <w:tcPr>
                  <w:tcW w:w="818" w:type="dxa"/>
                  <w:shd w:val="clear" w:color="auto" w:fill="auto"/>
                  <w:noWrap/>
                  <w:vAlign w:val="center"/>
                </w:tcPr>
                <w:p>
                  <w:pPr>
                    <w:jc w:val="center"/>
                    <w:rPr>
                      <w:rFonts w:eastAsia="等线"/>
                      <w:sz w:val="18"/>
                      <w:szCs w:val="18"/>
                    </w:rPr>
                  </w:pPr>
                  <w:r>
                    <w:rPr>
                      <w:sz w:val="18"/>
                      <w:szCs w:val="18"/>
                    </w:rPr>
                    <w:t>8.06</w:t>
                  </w:r>
                </w:p>
              </w:tc>
              <w:tc>
                <w:tcPr>
                  <w:tcW w:w="818" w:type="dxa"/>
                  <w:shd w:val="clear" w:color="auto" w:fill="auto"/>
                  <w:noWrap/>
                  <w:vAlign w:val="center"/>
                </w:tcPr>
                <w:p>
                  <w:pPr>
                    <w:jc w:val="center"/>
                    <w:rPr>
                      <w:rFonts w:eastAsia="等线"/>
                      <w:sz w:val="18"/>
                      <w:szCs w:val="18"/>
                    </w:rPr>
                  </w:pPr>
                  <w:r>
                    <w:rPr>
                      <w:rFonts w:eastAsia="等线"/>
                      <w:sz w:val="18"/>
                      <w:szCs w:val="18"/>
                    </w:rPr>
                    <w:t>0.41</w:t>
                  </w:r>
                </w:p>
              </w:tc>
              <w:tc>
                <w:tcPr>
                  <w:tcW w:w="814" w:type="dxa"/>
                  <w:shd w:val="clear" w:color="auto" w:fill="auto"/>
                  <w:noWrap/>
                  <w:vAlign w:val="center"/>
                </w:tcPr>
                <w:p>
                  <w:pPr>
                    <w:jc w:val="center"/>
                    <w:rPr>
                      <w:rFonts w:eastAsia="等线"/>
                      <w:sz w:val="18"/>
                      <w:szCs w:val="18"/>
                    </w:rPr>
                  </w:pPr>
                  <w:r>
                    <w:rPr>
                      <w:rFonts w:eastAsia="等线"/>
                      <w:sz w:val="18"/>
                      <w:szCs w:val="18"/>
                    </w:rPr>
                    <w:t>0.0103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10</w:t>
                  </w:r>
                </w:p>
              </w:tc>
              <w:tc>
                <w:tcPr>
                  <w:tcW w:w="816" w:type="dxa"/>
                  <w:shd w:val="clear" w:color="auto" w:fill="auto"/>
                  <w:noWrap/>
                  <w:vAlign w:val="bottom"/>
                </w:tcPr>
                <w:p>
                  <w:pPr>
                    <w:jc w:val="center"/>
                    <w:rPr>
                      <w:rFonts w:eastAsia="楷体"/>
                      <w:sz w:val="18"/>
                      <w:szCs w:val="18"/>
                    </w:rPr>
                  </w:pPr>
                  <w:r>
                    <w:rPr>
                      <w:rFonts w:eastAsia="楷体"/>
                      <w:sz w:val="18"/>
                      <w:szCs w:val="18"/>
                    </w:rPr>
                    <w:t>7</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23.1</w:t>
                  </w:r>
                </w:p>
              </w:tc>
              <w:tc>
                <w:tcPr>
                  <w:tcW w:w="816" w:type="dxa"/>
                  <w:shd w:val="clear" w:color="auto" w:fill="auto"/>
                  <w:noWrap/>
                  <w:vAlign w:val="center"/>
                </w:tcPr>
                <w:p>
                  <w:pPr>
                    <w:jc w:val="center"/>
                    <w:rPr>
                      <w:rFonts w:eastAsia="等线"/>
                      <w:sz w:val="18"/>
                      <w:szCs w:val="18"/>
                    </w:rPr>
                  </w:pPr>
                  <w:r>
                    <w:rPr>
                      <w:rFonts w:eastAsia="等线"/>
                      <w:sz w:val="18"/>
                      <w:szCs w:val="18"/>
                    </w:rPr>
                    <w:t>8.03</w:t>
                  </w:r>
                </w:p>
              </w:tc>
              <w:tc>
                <w:tcPr>
                  <w:tcW w:w="818" w:type="dxa"/>
                  <w:shd w:val="clear" w:color="auto" w:fill="auto"/>
                  <w:noWrap/>
                  <w:vAlign w:val="center"/>
                </w:tcPr>
                <w:p>
                  <w:pPr>
                    <w:jc w:val="center"/>
                    <w:rPr>
                      <w:rFonts w:eastAsia="等线"/>
                      <w:sz w:val="18"/>
                      <w:szCs w:val="18"/>
                    </w:rPr>
                  </w:pPr>
                  <w:r>
                    <w:rPr>
                      <w:rFonts w:eastAsia="等线"/>
                      <w:sz w:val="18"/>
                      <w:szCs w:val="18"/>
                    </w:rPr>
                    <w:t>31.93</w:t>
                  </w:r>
                </w:p>
              </w:tc>
              <w:tc>
                <w:tcPr>
                  <w:tcW w:w="818" w:type="dxa"/>
                  <w:shd w:val="clear" w:color="auto" w:fill="auto"/>
                  <w:noWrap/>
                  <w:vAlign w:val="center"/>
                </w:tcPr>
                <w:p>
                  <w:pPr>
                    <w:jc w:val="center"/>
                    <w:rPr>
                      <w:rFonts w:eastAsia="等线"/>
                      <w:sz w:val="18"/>
                      <w:szCs w:val="18"/>
                    </w:rPr>
                  </w:pPr>
                  <w:r>
                    <w:rPr>
                      <w:rFonts w:eastAsia="等线"/>
                      <w:sz w:val="18"/>
                      <w:szCs w:val="18"/>
                    </w:rPr>
                    <w:t>6.57</w:t>
                  </w:r>
                </w:p>
              </w:tc>
              <w:tc>
                <w:tcPr>
                  <w:tcW w:w="818" w:type="dxa"/>
                  <w:shd w:val="clear" w:color="auto" w:fill="auto"/>
                  <w:noWrap/>
                  <w:vAlign w:val="center"/>
                </w:tcPr>
                <w:p>
                  <w:pPr>
                    <w:jc w:val="center"/>
                    <w:rPr>
                      <w:rFonts w:eastAsia="等线"/>
                      <w:sz w:val="18"/>
                      <w:szCs w:val="18"/>
                    </w:rPr>
                  </w:pPr>
                  <w:r>
                    <w:rPr>
                      <w:sz w:val="18"/>
                      <w:szCs w:val="18"/>
                    </w:rPr>
                    <w:t>7.68</w:t>
                  </w:r>
                </w:p>
              </w:tc>
              <w:tc>
                <w:tcPr>
                  <w:tcW w:w="818" w:type="dxa"/>
                  <w:shd w:val="clear" w:color="auto" w:fill="auto"/>
                  <w:noWrap/>
                  <w:vAlign w:val="center"/>
                </w:tcPr>
                <w:p>
                  <w:pPr>
                    <w:jc w:val="center"/>
                    <w:rPr>
                      <w:rFonts w:eastAsia="等线"/>
                      <w:sz w:val="18"/>
                      <w:szCs w:val="18"/>
                    </w:rPr>
                  </w:pPr>
                  <w:r>
                    <w:rPr>
                      <w:rFonts w:eastAsia="等线"/>
                      <w:sz w:val="18"/>
                      <w:szCs w:val="18"/>
                    </w:rPr>
                    <w:t>0.39</w:t>
                  </w:r>
                </w:p>
              </w:tc>
              <w:tc>
                <w:tcPr>
                  <w:tcW w:w="814" w:type="dxa"/>
                  <w:shd w:val="clear" w:color="auto" w:fill="auto"/>
                  <w:noWrap/>
                  <w:vAlign w:val="center"/>
                </w:tcPr>
                <w:p>
                  <w:pPr>
                    <w:jc w:val="center"/>
                    <w:rPr>
                      <w:rFonts w:eastAsia="等线"/>
                      <w:sz w:val="18"/>
                      <w:szCs w:val="18"/>
                    </w:rPr>
                  </w:pPr>
                  <w:r>
                    <w:rPr>
                      <w:rFonts w:eastAsia="等线"/>
                      <w:sz w:val="18"/>
                      <w:szCs w:val="18"/>
                    </w:rPr>
                    <w:t>0.0056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11</w:t>
                  </w:r>
                </w:p>
              </w:tc>
              <w:tc>
                <w:tcPr>
                  <w:tcW w:w="816" w:type="dxa"/>
                  <w:shd w:val="clear" w:color="auto" w:fill="auto"/>
                  <w:noWrap/>
                  <w:vAlign w:val="bottom"/>
                </w:tcPr>
                <w:p>
                  <w:pPr>
                    <w:jc w:val="center"/>
                    <w:rPr>
                      <w:rFonts w:eastAsia="楷体"/>
                      <w:sz w:val="18"/>
                      <w:szCs w:val="18"/>
                    </w:rPr>
                  </w:pPr>
                  <w:r>
                    <w:rPr>
                      <w:rFonts w:eastAsia="楷体"/>
                      <w:sz w:val="18"/>
                      <w:szCs w:val="18"/>
                    </w:rPr>
                    <w:t>7</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23.4</w:t>
                  </w:r>
                </w:p>
              </w:tc>
              <w:tc>
                <w:tcPr>
                  <w:tcW w:w="816" w:type="dxa"/>
                  <w:shd w:val="clear" w:color="auto" w:fill="auto"/>
                  <w:noWrap/>
                  <w:vAlign w:val="center"/>
                </w:tcPr>
                <w:p>
                  <w:pPr>
                    <w:jc w:val="center"/>
                    <w:rPr>
                      <w:rFonts w:eastAsia="等线"/>
                      <w:sz w:val="18"/>
                      <w:szCs w:val="18"/>
                    </w:rPr>
                  </w:pPr>
                  <w:r>
                    <w:rPr>
                      <w:rFonts w:eastAsia="等线"/>
                      <w:sz w:val="18"/>
                      <w:szCs w:val="18"/>
                    </w:rPr>
                    <w:t>7.89</w:t>
                  </w:r>
                </w:p>
              </w:tc>
              <w:tc>
                <w:tcPr>
                  <w:tcW w:w="818" w:type="dxa"/>
                  <w:shd w:val="clear" w:color="auto" w:fill="auto"/>
                  <w:noWrap/>
                  <w:vAlign w:val="center"/>
                </w:tcPr>
                <w:p>
                  <w:pPr>
                    <w:jc w:val="center"/>
                    <w:rPr>
                      <w:rFonts w:eastAsia="等线"/>
                      <w:sz w:val="18"/>
                      <w:szCs w:val="18"/>
                    </w:rPr>
                  </w:pPr>
                  <w:r>
                    <w:rPr>
                      <w:rFonts w:eastAsia="等线"/>
                      <w:sz w:val="18"/>
                      <w:szCs w:val="18"/>
                    </w:rPr>
                    <w:t>31.69</w:t>
                  </w:r>
                </w:p>
              </w:tc>
              <w:tc>
                <w:tcPr>
                  <w:tcW w:w="818" w:type="dxa"/>
                  <w:shd w:val="clear" w:color="auto" w:fill="auto"/>
                  <w:noWrap/>
                  <w:vAlign w:val="center"/>
                </w:tcPr>
                <w:p>
                  <w:pPr>
                    <w:jc w:val="center"/>
                    <w:rPr>
                      <w:rFonts w:eastAsia="等线"/>
                      <w:sz w:val="18"/>
                      <w:szCs w:val="18"/>
                    </w:rPr>
                  </w:pPr>
                  <w:r>
                    <w:rPr>
                      <w:rFonts w:eastAsia="等线"/>
                      <w:sz w:val="18"/>
                      <w:szCs w:val="18"/>
                    </w:rPr>
                    <w:t>8.72</w:t>
                  </w:r>
                </w:p>
              </w:tc>
              <w:tc>
                <w:tcPr>
                  <w:tcW w:w="818" w:type="dxa"/>
                  <w:shd w:val="clear" w:color="auto" w:fill="auto"/>
                  <w:noWrap/>
                  <w:vAlign w:val="center"/>
                </w:tcPr>
                <w:p>
                  <w:pPr>
                    <w:jc w:val="center"/>
                    <w:rPr>
                      <w:rFonts w:eastAsia="等线"/>
                      <w:sz w:val="18"/>
                      <w:szCs w:val="18"/>
                    </w:rPr>
                  </w:pPr>
                  <w:r>
                    <w:rPr>
                      <w:sz w:val="18"/>
                      <w:szCs w:val="18"/>
                    </w:rPr>
                    <w:t>8.15</w:t>
                  </w:r>
                </w:p>
              </w:tc>
              <w:tc>
                <w:tcPr>
                  <w:tcW w:w="818" w:type="dxa"/>
                  <w:shd w:val="clear" w:color="auto" w:fill="auto"/>
                  <w:noWrap/>
                  <w:vAlign w:val="center"/>
                </w:tcPr>
                <w:p>
                  <w:pPr>
                    <w:jc w:val="center"/>
                    <w:rPr>
                      <w:rFonts w:eastAsia="等线"/>
                      <w:sz w:val="18"/>
                      <w:szCs w:val="18"/>
                    </w:rPr>
                  </w:pPr>
                  <w:r>
                    <w:rPr>
                      <w:rFonts w:eastAsia="等线"/>
                      <w:sz w:val="18"/>
                      <w:szCs w:val="18"/>
                    </w:rPr>
                    <w:t>0.29</w:t>
                  </w:r>
                </w:p>
              </w:tc>
              <w:tc>
                <w:tcPr>
                  <w:tcW w:w="814" w:type="dxa"/>
                  <w:shd w:val="clear" w:color="auto" w:fill="auto"/>
                  <w:noWrap/>
                  <w:vAlign w:val="center"/>
                </w:tcPr>
                <w:p>
                  <w:pPr>
                    <w:jc w:val="center"/>
                    <w:rPr>
                      <w:rFonts w:eastAsia="等线"/>
                      <w:sz w:val="18"/>
                      <w:szCs w:val="18"/>
                    </w:rPr>
                  </w:pPr>
                  <w:r>
                    <w:rPr>
                      <w:rFonts w:eastAsia="等线"/>
                      <w:sz w:val="18"/>
                      <w:szCs w:val="18"/>
                    </w:rPr>
                    <w:t>0.0048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12</w:t>
                  </w:r>
                </w:p>
              </w:tc>
              <w:tc>
                <w:tcPr>
                  <w:tcW w:w="816" w:type="dxa"/>
                  <w:shd w:val="clear" w:color="auto" w:fill="auto"/>
                  <w:noWrap/>
                  <w:vAlign w:val="bottom"/>
                </w:tcPr>
                <w:p>
                  <w:pPr>
                    <w:jc w:val="center"/>
                    <w:rPr>
                      <w:rFonts w:eastAsia="楷体"/>
                      <w:sz w:val="18"/>
                      <w:szCs w:val="18"/>
                    </w:rPr>
                  </w:pPr>
                  <w:r>
                    <w:rPr>
                      <w:rFonts w:eastAsia="楷体"/>
                      <w:sz w:val="18"/>
                      <w:szCs w:val="18"/>
                    </w:rPr>
                    <w:t>5</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23.5</w:t>
                  </w:r>
                </w:p>
              </w:tc>
              <w:tc>
                <w:tcPr>
                  <w:tcW w:w="816" w:type="dxa"/>
                  <w:shd w:val="clear" w:color="auto" w:fill="auto"/>
                  <w:noWrap/>
                  <w:vAlign w:val="center"/>
                </w:tcPr>
                <w:p>
                  <w:pPr>
                    <w:jc w:val="center"/>
                    <w:rPr>
                      <w:rFonts w:eastAsia="等线"/>
                      <w:sz w:val="18"/>
                      <w:szCs w:val="18"/>
                    </w:rPr>
                  </w:pPr>
                  <w:r>
                    <w:rPr>
                      <w:rFonts w:eastAsia="等线"/>
                      <w:sz w:val="18"/>
                      <w:szCs w:val="18"/>
                    </w:rPr>
                    <w:t>8.02</w:t>
                  </w:r>
                </w:p>
              </w:tc>
              <w:tc>
                <w:tcPr>
                  <w:tcW w:w="818" w:type="dxa"/>
                  <w:shd w:val="clear" w:color="auto" w:fill="auto"/>
                  <w:noWrap/>
                  <w:vAlign w:val="center"/>
                </w:tcPr>
                <w:p>
                  <w:pPr>
                    <w:jc w:val="center"/>
                    <w:rPr>
                      <w:rFonts w:eastAsia="等线"/>
                      <w:sz w:val="18"/>
                      <w:szCs w:val="18"/>
                    </w:rPr>
                  </w:pPr>
                  <w:r>
                    <w:rPr>
                      <w:rFonts w:eastAsia="等线"/>
                      <w:sz w:val="18"/>
                      <w:szCs w:val="18"/>
                    </w:rPr>
                    <w:t>31.87</w:t>
                  </w:r>
                </w:p>
              </w:tc>
              <w:tc>
                <w:tcPr>
                  <w:tcW w:w="818" w:type="dxa"/>
                  <w:shd w:val="clear" w:color="auto" w:fill="auto"/>
                  <w:noWrap/>
                  <w:vAlign w:val="center"/>
                </w:tcPr>
                <w:p>
                  <w:pPr>
                    <w:jc w:val="center"/>
                    <w:rPr>
                      <w:rFonts w:eastAsia="等线"/>
                      <w:sz w:val="18"/>
                      <w:szCs w:val="18"/>
                    </w:rPr>
                  </w:pPr>
                  <w:r>
                    <w:rPr>
                      <w:rFonts w:eastAsia="等线"/>
                      <w:sz w:val="18"/>
                      <w:szCs w:val="18"/>
                    </w:rPr>
                    <w:t>7.11</w:t>
                  </w:r>
                </w:p>
              </w:tc>
              <w:tc>
                <w:tcPr>
                  <w:tcW w:w="818" w:type="dxa"/>
                  <w:shd w:val="clear" w:color="auto" w:fill="auto"/>
                  <w:noWrap/>
                  <w:vAlign w:val="center"/>
                </w:tcPr>
                <w:p>
                  <w:pPr>
                    <w:jc w:val="center"/>
                    <w:rPr>
                      <w:rFonts w:eastAsia="等线"/>
                      <w:sz w:val="18"/>
                      <w:szCs w:val="18"/>
                    </w:rPr>
                  </w:pPr>
                  <w:r>
                    <w:rPr>
                      <w:sz w:val="18"/>
                      <w:szCs w:val="18"/>
                    </w:rPr>
                    <w:t>7.85</w:t>
                  </w:r>
                </w:p>
              </w:tc>
              <w:tc>
                <w:tcPr>
                  <w:tcW w:w="818" w:type="dxa"/>
                  <w:shd w:val="clear" w:color="auto" w:fill="auto"/>
                  <w:noWrap/>
                  <w:vAlign w:val="center"/>
                </w:tcPr>
                <w:p>
                  <w:pPr>
                    <w:jc w:val="center"/>
                    <w:rPr>
                      <w:rFonts w:eastAsia="等线"/>
                      <w:sz w:val="18"/>
                      <w:szCs w:val="18"/>
                    </w:rPr>
                  </w:pPr>
                  <w:r>
                    <w:rPr>
                      <w:rFonts w:eastAsia="等线"/>
                      <w:sz w:val="18"/>
                      <w:szCs w:val="18"/>
                    </w:rPr>
                    <w:t>0.47</w:t>
                  </w:r>
                </w:p>
              </w:tc>
              <w:tc>
                <w:tcPr>
                  <w:tcW w:w="814" w:type="dxa"/>
                  <w:shd w:val="clear" w:color="auto" w:fill="auto"/>
                  <w:noWrap/>
                  <w:vAlign w:val="center"/>
                </w:tcPr>
                <w:p>
                  <w:pPr>
                    <w:jc w:val="center"/>
                    <w:rPr>
                      <w:rFonts w:eastAsia="等线"/>
                      <w:sz w:val="18"/>
                      <w:szCs w:val="18"/>
                    </w:rPr>
                  </w:pPr>
                  <w:r>
                    <w:rPr>
                      <w:rFonts w:eastAsia="等线"/>
                      <w:sz w:val="18"/>
                      <w:szCs w:val="18"/>
                    </w:rPr>
                    <w:t>0.0047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13</w:t>
                  </w:r>
                </w:p>
              </w:tc>
              <w:tc>
                <w:tcPr>
                  <w:tcW w:w="816" w:type="dxa"/>
                  <w:shd w:val="clear" w:color="auto" w:fill="auto"/>
                  <w:noWrap/>
                  <w:vAlign w:val="bottom"/>
                </w:tcPr>
                <w:p>
                  <w:pPr>
                    <w:jc w:val="center"/>
                    <w:rPr>
                      <w:rFonts w:eastAsia="楷体"/>
                      <w:sz w:val="18"/>
                      <w:szCs w:val="18"/>
                    </w:rPr>
                  </w:pPr>
                  <w:r>
                    <w:rPr>
                      <w:rFonts w:eastAsia="楷体"/>
                      <w:sz w:val="18"/>
                      <w:szCs w:val="18"/>
                    </w:rPr>
                    <w:t>13</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23.1</w:t>
                  </w:r>
                </w:p>
              </w:tc>
              <w:tc>
                <w:tcPr>
                  <w:tcW w:w="816" w:type="dxa"/>
                  <w:shd w:val="clear" w:color="auto" w:fill="auto"/>
                  <w:noWrap/>
                  <w:vAlign w:val="center"/>
                </w:tcPr>
                <w:p>
                  <w:pPr>
                    <w:jc w:val="center"/>
                    <w:rPr>
                      <w:rFonts w:eastAsia="等线"/>
                      <w:sz w:val="18"/>
                      <w:szCs w:val="18"/>
                    </w:rPr>
                  </w:pPr>
                  <w:r>
                    <w:rPr>
                      <w:rFonts w:eastAsia="等线"/>
                      <w:sz w:val="18"/>
                      <w:szCs w:val="18"/>
                    </w:rPr>
                    <w:t>8.02</w:t>
                  </w:r>
                </w:p>
              </w:tc>
              <w:tc>
                <w:tcPr>
                  <w:tcW w:w="818" w:type="dxa"/>
                  <w:shd w:val="clear" w:color="auto" w:fill="auto"/>
                  <w:noWrap/>
                  <w:vAlign w:val="center"/>
                </w:tcPr>
                <w:p>
                  <w:pPr>
                    <w:jc w:val="center"/>
                    <w:rPr>
                      <w:rFonts w:eastAsia="等线"/>
                      <w:sz w:val="18"/>
                      <w:szCs w:val="18"/>
                    </w:rPr>
                  </w:pPr>
                  <w:r>
                    <w:rPr>
                      <w:rFonts w:eastAsia="等线"/>
                      <w:sz w:val="18"/>
                      <w:szCs w:val="18"/>
                    </w:rPr>
                    <w:t>31.78</w:t>
                  </w:r>
                </w:p>
              </w:tc>
              <w:tc>
                <w:tcPr>
                  <w:tcW w:w="818" w:type="dxa"/>
                  <w:shd w:val="clear" w:color="auto" w:fill="auto"/>
                  <w:noWrap/>
                  <w:vAlign w:val="center"/>
                </w:tcPr>
                <w:p>
                  <w:pPr>
                    <w:jc w:val="center"/>
                    <w:rPr>
                      <w:rFonts w:eastAsia="等线"/>
                      <w:sz w:val="18"/>
                      <w:szCs w:val="18"/>
                    </w:rPr>
                  </w:pPr>
                  <w:r>
                    <w:rPr>
                      <w:rFonts w:eastAsia="等线"/>
                      <w:sz w:val="18"/>
                      <w:szCs w:val="18"/>
                    </w:rPr>
                    <w:t>8.76</w:t>
                  </w:r>
                </w:p>
              </w:tc>
              <w:tc>
                <w:tcPr>
                  <w:tcW w:w="818" w:type="dxa"/>
                  <w:shd w:val="clear" w:color="auto" w:fill="auto"/>
                  <w:noWrap/>
                  <w:vAlign w:val="center"/>
                </w:tcPr>
                <w:p>
                  <w:pPr>
                    <w:jc w:val="center"/>
                    <w:rPr>
                      <w:rFonts w:eastAsia="等线"/>
                      <w:sz w:val="18"/>
                      <w:szCs w:val="18"/>
                    </w:rPr>
                  </w:pPr>
                  <w:r>
                    <w:rPr>
                      <w:sz w:val="18"/>
                      <w:szCs w:val="18"/>
                    </w:rPr>
                    <w:t>7.79</w:t>
                  </w:r>
                </w:p>
              </w:tc>
              <w:tc>
                <w:tcPr>
                  <w:tcW w:w="818" w:type="dxa"/>
                  <w:shd w:val="clear" w:color="auto" w:fill="auto"/>
                  <w:noWrap/>
                  <w:vAlign w:val="center"/>
                </w:tcPr>
                <w:p>
                  <w:pPr>
                    <w:jc w:val="center"/>
                    <w:rPr>
                      <w:rFonts w:eastAsia="等线"/>
                      <w:sz w:val="18"/>
                      <w:szCs w:val="18"/>
                    </w:rPr>
                  </w:pPr>
                  <w:r>
                    <w:rPr>
                      <w:rFonts w:eastAsia="等线"/>
                      <w:sz w:val="18"/>
                      <w:szCs w:val="18"/>
                    </w:rPr>
                    <w:t>0.52</w:t>
                  </w:r>
                </w:p>
              </w:tc>
              <w:tc>
                <w:tcPr>
                  <w:tcW w:w="814" w:type="dxa"/>
                  <w:shd w:val="clear" w:color="auto" w:fill="auto"/>
                  <w:noWrap/>
                  <w:vAlign w:val="center"/>
                </w:tcPr>
                <w:p>
                  <w:pPr>
                    <w:jc w:val="center"/>
                    <w:rPr>
                      <w:rFonts w:eastAsia="等线"/>
                      <w:sz w:val="18"/>
                      <w:szCs w:val="18"/>
                    </w:rPr>
                  </w:pPr>
                  <w:r>
                    <w:rPr>
                      <w:rFonts w:eastAsia="等线"/>
                      <w:sz w:val="18"/>
                      <w:szCs w:val="18"/>
                    </w:rPr>
                    <w:t>0.0072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13</w:t>
                  </w:r>
                </w:p>
              </w:tc>
              <w:tc>
                <w:tcPr>
                  <w:tcW w:w="816" w:type="dxa"/>
                  <w:shd w:val="clear" w:color="auto" w:fill="auto"/>
                  <w:noWrap/>
                  <w:vAlign w:val="bottom"/>
                </w:tcPr>
                <w:p>
                  <w:pPr>
                    <w:jc w:val="center"/>
                    <w:rPr>
                      <w:rFonts w:eastAsia="楷体"/>
                      <w:sz w:val="18"/>
                      <w:szCs w:val="18"/>
                    </w:rPr>
                  </w:pPr>
                  <w:r>
                    <w:rPr>
                      <w:rFonts w:eastAsia="楷体"/>
                      <w:sz w:val="18"/>
                      <w:szCs w:val="18"/>
                    </w:rPr>
                    <w:t>13</w:t>
                  </w:r>
                </w:p>
              </w:tc>
              <w:tc>
                <w:tcPr>
                  <w:tcW w:w="910" w:type="dxa"/>
                  <w:shd w:val="clear" w:color="auto" w:fill="auto"/>
                  <w:noWrap/>
                  <w:vAlign w:val="bottom"/>
                </w:tcPr>
                <w:p>
                  <w:pPr>
                    <w:jc w:val="center"/>
                    <w:rPr>
                      <w:rFonts w:eastAsia="楷体"/>
                      <w:sz w:val="18"/>
                      <w:szCs w:val="18"/>
                    </w:rPr>
                  </w:pPr>
                  <w:r>
                    <w:rPr>
                      <w:rFonts w:eastAsia="楷体"/>
                      <w:sz w:val="18"/>
                      <w:szCs w:val="18"/>
                    </w:rPr>
                    <w:t>底层</w:t>
                  </w:r>
                </w:p>
              </w:tc>
              <w:tc>
                <w:tcPr>
                  <w:tcW w:w="816" w:type="dxa"/>
                  <w:shd w:val="clear" w:color="auto" w:fill="auto"/>
                  <w:noWrap/>
                  <w:vAlign w:val="center"/>
                </w:tcPr>
                <w:p>
                  <w:pPr>
                    <w:jc w:val="center"/>
                    <w:rPr>
                      <w:sz w:val="18"/>
                      <w:szCs w:val="18"/>
                    </w:rPr>
                  </w:pPr>
                  <w:r>
                    <w:rPr>
                      <w:rFonts w:eastAsia="等线"/>
                      <w:sz w:val="18"/>
                      <w:szCs w:val="18"/>
                    </w:rPr>
                    <w:t>21.6</w:t>
                  </w:r>
                </w:p>
              </w:tc>
              <w:tc>
                <w:tcPr>
                  <w:tcW w:w="816" w:type="dxa"/>
                  <w:shd w:val="clear" w:color="auto" w:fill="auto"/>
                  <w:noWrap/>
                  <w:vAlign w:val="center"/>
                </w:tcPr>
                <w:p>
                  <w:pPr>
                    <w:jc w:val="center"/>
                    <w:rPr>
                      <w:rFonts w:eastAsia="等线"/>
                      <w:sz w:val="18"/>
                      <w:szCs w:val="18"/>
                    </w:rPr>
                  </w:pPr>
                  <w:r>
                    <w:rPr>
                      <w:rFonts w:eastAsia="等线"/>
                      <w:sz w:val="18"/>
                      <w:szCs w:val="18"/>
                    </w:rPr>
                    <w:t>7.93</w:t>
                  </w:r>
                </w:p>
              </w:tc>
              <w:tc>
                <w:tcPr>
                  <w:tcW w:w="818" w:type="dxa"/>
                  <w:shd w:val="clear" w:color="auto" w:fill="auto"/>
                  <w:noWrap/>
                  <w:vAlign w:val="center"/>
                </w:tcPr>
                <w:p>
                  <w:pPr>
                    <w:jc w:val="center"/>
                    <w:rPr>
                      <w:rFonts w:eastAsia="等线"/>
                      <w:sz w:val="18"/>
                      <w:szCs w:val="18"/>
                    </w:rPr>
                  </w:pPr>
                  <w:r>
                    <w:rPr>
                      <w:rFonts w:eastAsia="等线"/>
                      <w:sz w:val="18"/>
                      <w:szCs w:val="18"/>
                    </w:rPr>
                    <w:t>31.87</w:t>
                  </w:r>
                </w:p>
              </w:tc>
              <w:tc>
                <w:tcPr>
                  <w:tcW w:w="818" w:type="dxa"/>
                  <w:shd w:val="clear" w:color="auto" w:fill="auto"/>
                  <w:noWrap/>
                  <w:vAlign w:val="center"/>
                </w:tcPr>
                <w:p>
                  <w:pPr>
                    <w:jc w:val="center"/>
                    <w:rPr>
                      <w:rFonts w:eastAsia="等线"/>
                      <w:sz w:val="18"/>
                      <w:szCs w:val="18"/>
                    </w:rPr>
                  </w:pPr>
                  <w:r>
                    <w:rPr>
                      <w:rFonts w:eastAsia="等线"/>
                      <w:sz w:val="18"/>
                      <w:szCs w:val="18"/>
                    </w:rPr>
                    <w:t>6.58</w:t>
                  </w:r>
                </w:p>
              </w:tc>
              <w:tc>
                <w:tcPr>
                  <w:tcW w:w="818" w:type="dxa"/>
                  <w:shd w:val="clear" w:color="auto" w:fill="auto"/>
                  <w:noWrap/>
                  <w:vAlign w:val="center"/>
                </w:tcPr>
                <w:p>
                  <w:pPr>
                    <w:jc w:val="center"/>
                    <w:rPr>
                      <w:rFonts w:eastAsia="等线"/>
                      <w:sz w:val="18"/>
                      <w:szCs w:val="18"/>
                    </w:rPr>
                  </w:pPr>
                  <w:r>
                    <w:rPr>
                      <w:sz w:val="18"/>
                      <w:szCs w:val="18"/>
                    </w:rPr>
                    <w:t>8.04</w:t>
                  </w:r>
                </w:p>
              </w:tc>
              <w:tc>
                <w:tcPr>
                  <w:tcW w:w="818" w:type="dxa"/>
                  <w:shd w:val="clear" w:color="auto" w:fill="auto"/>
                  <w:noWrap/>
                  <w:vAlign w:val="center"/>
                </w:tcPr>
                <w:p>
                  <w:pPr>
                    <w:jc w:val="center"/>
                    <w:rPr>
                      <w:rFonts w:eastAsia="等线"/>
                      <w:sz w:val="18"/>
                      <w:szCs w:val="18"/>
                    </w:rPr>
                  </w:pPr>
                  <w:r>
                    <w:rPr>
                      <w:rFonts w:eastAsia="等线"/>
                      <w:sz w:val="18"/>
                      <w:szCs w:val="18"/>
                    </w:rPr>
                    <w:t>0.52</w:t>
                  </w:r>
                </w:p>
              </w:tc>
              <w:tc>
                <w:tcPr>
                  <w:tcW w:w="814" w:type="dxa"/>
                  <w:shd w:val="clear" w:color="auto" w:fill="auto"/>
                  <w:noWrap/>
                  <w:vAlign w:val="center"/>
                </w:tcPr>
                <w:p>
                  <w:pPr>
                    <w:jc w:val="center"/>
                    <w:rPr>
                      <w:rFonts w:eastAsia="等线"/>
                      <w:sz w:val="18"/>
                      <w:szCs w:val="18"/>
                    </w:rPr>
                  </w:pPr>
                  <w:r>
                    <w:rPr>
                      <w:rFonts w:eastAsia="等线"/>
                      <w:sz w:val="18"/>
                      <w:szCs w:val="18"/>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14</w:t>
                  </w:r>
                </w:p>
              </w:tc>
              <w:tc>
                <w:tcPr>
                  <w:tcW w:w="816" w:type="dxa"/>
                  <w:shd w:val="clear" w:color="auto" w:fill="auto"/>
                  <w:noWrap/>
                  <w:vAlign w:val="bottom"/>
                </w:tcPr>
                <w:p>
                  <w:pPr>
                    <w:jc w:val="center"/>
                    <w:rPr>
                      <w:rFonts w:eastAsia="楷体"/>
                      <w:sz w:val="18"/>
                      <w:szCs w:val="18"/>
                    </w:rPr>
                  </w:pPr>
                  <w:r>
                    <w:rPr>
                      <w:rFonts w:eastAsia="楷体"/>
                      <w:sz w:val="18"/>
                      <w:szCs w:val="18"/>
                    </w:rPr>
                    <w:t>16</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22.8</w:t>
                  </w:r>
                </w:p>
              </w:tc>
              <w:tc>
                <w:tcPr>
                  <w:tcW w:w="816" w:type="dxa"/>
                  <w:shd w:val="clear" w:color="auto" w:fill="auto"/>
                  <w:noWrap/>
                  <w:vAlign w:val="center"/>
                </w:tcPr>
                <w:p>
                  <w:pPr>
                    <w:jc w:val="center"/>
                    <w:rPr>
                      <w:rFonts w:eastAsia="等线"/>
                      <w:sz w:val="18"/>
                      <w:szCs w:val="18"/>
                    </w:rPr>
                  </w:pPr>
                  <w:r>
                    <w:rPr>
                      <w:rFonts w:eastAsia="等线"/>
                      <w:sz w:val="18"/>
                      <w:szCs w:val="18"/>
                    </w:rPr>
                    <w:t>7.83</w:t>
                  </w:r>
                </w:p>
              </w:tc>
              <w:tc>
                <w:tcPr>
                  <w:tcW w:w="818" w:type="dxa"/>
                  <w:shd w:val="clear" w:color="auto" w:fill="auto"/>
                  <w:noWrap/>
                  <w:vAlign w:val="center"/>
                </w:tcPr>
                <w:p>
                  <w:pPr>
                    <w:jc w:val="center"/>
                    <w:rPr>
                      <w:rFonts w:eastAsia="等线"/>
                      <w:sz w:val="18"/>
                      <w:szCs w:val="18"/>
                    </w:rPr>
                  </w:pPr>
                  <w:r>
                    <w:rPr>
                      <w:rFonts w:eastAsia="等线"/>
                      <w:sz w:val="18"/>
                      <w:szCs w:val="18"/>
                    </w:rPr>
                    <w:t>31.81</w:t>
                  </w:r>
                </w:p>
              </w:tc>
              <w:tc>
                <w:tcPr>
                  <w:tcW w:w="818" w:type="dxa"/>
                  <w:shd w:val="clear" w:color="auto" w:fill="auto"/>
                  <w:noWrap/>
                  <w:vAlign w:val="center"/>
                </w:tcPr>
                <w:p>
                  <w:pPr>
                    <w:jc w:val="center"/>
                    <w:rPr>
                      <w:rFonts w:eastAsia="等线"/>
                      <w:sz w:val="18"/>
                      <w:szCs w:val="18"/>
                    </w:rPr>
                  </w:pPr>
                  <w:r>
                    <w:rPr>
                      <w:rFonts w:eastAsia="等线"/>
                      <w:sz w:val="18"/>
                      <w:szCs w:val="18"/>
                    </w:rPr>
                    <w:t>8.32</w:t>
                  </w:r>
                </w:p>
              </w:tc>
              <w:tc>
                <w:tcPr>
                  <w:tcW w:w="818" w:type="dxa"/>
                  <w:shd w:val="clear" w:color="auto" w:fill="auto"/>
                  <w:noWrap/>
                  <w:vAlign w:val="center"/>
                </w:tcPr>
                <w:p>
                  <w:pPr>
                    <w:jc w:val="center"/>
                    <w:rPr>
                      <w:rFonts w:eastAsia="等线"/>
                      <w:sz w:val="18"/>
                      <w:szCs w:val="18"/>
                    </w:rPr>
                  </w:pPr>
                  <w:r>
                    <w:rPr>
                      <w:sz w:val="18"/>
                      <w:szCs w:val="18"/>
                    </w:rPr>
                    <w:t>7.81</w:t>
                  </w:r>
                </w:p>
              </w:tc>
              <w:tc>
                <w:tcPr>
                  <w:tcW w:w="818" w:type="dxa"/>
                  <w:shd w:val="clear" w:color="auto" w:fill="auto"/>
                  <w:noWrap/>
                  <w:vAlign w:val="center"/>
                </w:tcPr>
                <w:p>
                  <w:pPr>
                    <w:jc w:val="center"/>
                    <w:rPr>
                      <w:rFonts w:eastAsia="等线"/>
                      <w:sz w:val="18"/>
                      <w:szCs w:val="18"/>
                    </w:rPr>
                  </w:pPr>
                  <w:r>
                    <w:rPr>
                      <w:rFonts w:eastAsia="等线"/>
                      <w:sz w:val="18"/>
                      <w:szCs w:val="18"/>
                    </w:rPr>
                    <w:t>0.37</w:t>
                  </w:r>
                </w:p>
              </w:tc>
              <w:tc>
                <w:tcPr>
                  <w:tcW w:w="814" w:type="dxa"/>
                  <w:shd w:val="clear" w:color="auto" w:fill="auto"/>
                  <w:noWrap/>
                  <w:vAlign w:val="center"/>
                </w:tcPr>
                <w:p>
                  <w:pPr>
                    <w:jc w:val="center"/>
                    <w:rPr>
                      <w:rFonts w:eastAsia="等线"/>
                      <w:sz w:val="18"/>
                      <w:szCs w:val="18"/>
                    </w:rPr>
                  </w:pPr>
                  <w:r>
                    <w:rPr>
                      <w:rFonts w:eastAsia="等线"/>
                      <w:sz w:val="18"/>
                      <w:szCs w:val="18"/>
                    </w:rPr>
                    <w:t>0.0059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14</w:t>
                  </w:r>
                </w:p>
              </w:tc>
              <w:tc>
                <w:tcPr>
                  <w:tcW w:w="816" w:type="dxa"/>
                  <w:shd w:val="clear" w:color="auto" w:fill="auto"/>
                  <w:noWrap/>
                  <w:vAlign w:val="bottom"/>
                </w:tcPr>
                <w:p>
                  <w:pPr>
                    <w:jc w:val="center"/>
                    <w:rPr>
                      <w:rFonts w:eastAsia="楷体"/>
                      <w:sz w:val="18"/>
                      <w:szCs w:val="18"/>
                    </w:rPr>
                  </w:pPr>
                  <w:r>
                    <w:rPr>
                      <w:rFonts w:eastAsia="楷体"/>
                      <w:sz w:val="18"/>
                      <w:szCs w:val="18"/>
                    </w:rPr>
                    <w:t>16</w:t>
                  </w:r>
                </w:p>
              </w:tc>
              <w:tc>
                <w:tcPr>
                  <w:tcW w:w="910" w:type="dxa"/>
                  <w:shd w:val="clear" w:color="auto" w:fill="auto"/>
                  <w:noWrap/>
                  <w:vAlign w:val="bottom"/>
                </w:tcPr>
                <w:p>
                  <w:pPr>
                    <w:jc w:val="center"/>
                    <w:rPr>
                      <w:rFonts w:eastAsia="楷体"/>
                      <w:sz w:val="18"/>
                      <w:szCs w:val="18"/>
                    </w:rPr>
                  </w:pPr>
                  <w:r>
                    <w:rPr>
                      <w:rFonts w:eastAsia="楷体"/>
                      <w:sz w:val="18"/>
                      <w:szCs w:val="18"/>
                    </w:rPr>
                    <w:t>底层</w:t>
                  </w:r>
                </w:p>
              </w:tc>
              <w:tc>
                <w:tcPr>
                  <w:tcW w:w="816" w:type="dxa"/>
                  <w:shd w:val="clear" w:color="auto" w:fill="auto"/>
                  <w:noWrap/>
                  <w:vAlign w:val="center"/>
                </w:tcPr>
                <w:p>
                  <w:pPr>
                    <w:jc w:val="center"/>
                    <w:rPr>
                      <w:sz w:val="18"/>
                      <w:szCs w:val="18"/>
                    </w:rPr>
                  </w:pPr>
                  <w:r>
                    <w:rPr>
                      <w:rFonts w:eastAsia="等线"/>
                      <w:sz w:val="18"/>
                      <w:szCs w:val="18"/>
                    </w:rPr>
                    <w:t>22.1</w:t>
                  </w:r>
                </w:p>
              </w:tc>
              <w:tc>
                <w:tcPr>
                  <w:tcW w:w="816" w:type="dxa"/>
                  <w:shd w:val="clear" w:color="auto" w:fill="auto"/>
                  <w:noWrap/>
                  <w:vAlign w:val="center"/>
                </w:tcPr>
                <w:p>
                  <w:pPr>
                    <w:jc w:val="center"/>
                    <w:rPr>
                      <w:rFonts w:eastAsia="等线"/>
                      <w:sz w:val="18"/>
                      <w:szCs w:val="18"/>
                    </w:rPr>
                  </w:pPr>
                  <w:r>
                    <w:rPr>
                      <w:rFonts w:eastAsia="等线"/>
                      <w:sz w:val="18"/>
                      <w:szCs w:val="18"/>
                    </w:rPr>
                    <w:t>7.95</w:t>
                  </w:r>
                </w:p>
              </w:tc>
              <w:tc>
                <w:tcPr>
                  <w:tcW w:w="818" w:type="dxa"/>
                  <w:shd w:val="clear" w:color="auto" w:fill="auto"/>
                  <w:noWrap/>
                  <w:vAlign w:val="center"/>
                </w:tcPr>
                <w:p>
                  <w:pPr>
                    <w:jc w:val="center"/>
                    <w:rPr>
                      <w:rFonts w:eastAsia="等线"/>
                      <w:sz w:val="18"/>
                      <w:szCs w:val="18"/>
                    </w:rPr>
                  </w:pPr>
                  <w:r>
                    <w:rPr>
                      <w:rFonts w:eastAsia="等线"/>
                      <w:sz w:val="18"/>
                      <w:szCs w:val="18"/>
                    </w:rPr>
                    <w:t>32.04</w:t>
                  </w:r>
                </w:p>
              </w:tc>
              <w:tc>
                <w:tcPr>
                  <w:tcW w:w="818" w:type="dxa"/>
                  <w:shd w:val="clear" w:color="auto" w:fill="auto"/>
                  <w:noWrap/>
                  <w:vAlign w:val="center"/>
                </w:tcPr>
                <w:p>
                  <w:pPr>
                    <w:jc w:val="center"/>
                    <w:rPr>
                      <w:rFonts w:eastAsia="等线"/>
                      <w:sz w:val="18"/>
                      <w:szCs w:val="18"/>
                    </w:rPr>
                  </w:pPr>
                  <w:r>
                    <w:rPr>
                      <w:rFonts w:eastAsia="等线"/>
                      <w:sz w:val="18"/>
                      <w:szCs w:val="18"/>
                    </w:rPr>
                    <w:t>3.98</w:t>
                  </w:r>
                </w:p>
              </w:tc>
              <w:tc>
                <w:tcPr>
                  <w:tcW w:w="818" w:type="dxa"/>
                  <w:shd w:val="clear" w:color="auto" w:fill="auto"/>
                  <w:noWrap/>
                  <w:vAlign w:val="center"/>
                </w:tcPr>
                <w:p>
                  <w:pPr>
                    <w:jc w:val="center"/>
                    <w:rPr>
                      <w:rFonts w:eastAsia="等线"/>
                      <w:sz w:val="18"/>
                      <w:szCs w:val="18"/>
                    </w:rPr>
                  </w:pPr>
                  <w:r>
                    <w:rPr>
                      <w:sz w:val="18"/>
                      <w:szCs w:val="18"/>
                    </w:rPr>
                    <w:t>8.12</w:t>
                  </w:r>
                </w:p>
              </w:tc>
              <w:tc>
                <w:tcPr>
                  <w:tcW w:w="818" w:type="dxa"/>
                  <w:shd w:val="clear" w:color="auto" w:fill="auto"/>
                  <w:noWrap/>
                  <w:vAlign w:val="center"/>
                </w:tcPr>
                <w:p>
                  <w:pPr>
                    <w:jc w:val="center"/>
                    <w:rPr>
                      <w:rFonts w:eastAsia="等线"/>
                      <w:sz w:val="18"/>
                      <w:szCs w:val="18"/>
                    </w:rPr>
                  </w:pPr>
                  <w:r>
                    <w:rPr>
                      <w:rFonts w:eastAsia="等线"/>
                      <w:sz w:val="18"/>
                      <w:szCs w:val="18"/>
                    </w:rPr>
                    <w:t>0.31</w:t>
                  </w:r>
                </w:p>
              </w:tc>
              <w:tc>
                <w:tcPr>
                  <w:tcW w:w="814" w:type="dxa"/>
                  <w:shd w:val="clear" w:color="auto" w:fill="auto"/>
                  <w:noWrap/>
                  <w:vAlign w:val="center"/>
                </w:tcPr>
                <w:p>
                  <w:pPr>
                    <w:jc w:val="center"/>
                    <w:rPr>
                      <w:rFonts w:eastAsia="等线"/>
                      <w:sz w:val="18"/>
                      <w:szCs w:val="18"/>
                    </w:rPr>
                  </w:pPr>
                  <w:r>
                    <w:rPr>
                      <w:rFonts w:eastAsia="等线"/>
                      <w:sz w:val="18"/>
                      <w:szCs w:val="18"/>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15</w:t>
                  </w:r>
                </w:p>
              </w:tc>
              <w:tc>
                <w:tcPr>
                  <w:tcW w:w="816" w:type="dxa"/>
                  <w:shd w:val="clear" w:color="auto" w:fill="auto"/>
                  <w:noWrap/>
                  <w:vAlign w:val="bottom"/>
                </w:tcPr>
                <w:p>
                  <w:pPr>
                    <w:jc w:val="center"/>
                    <w:rPr>
                      <w:rFonts w:eastAsia="楷体"/>
                      <w:sz w:val="18"/>
                      <w:szCs w:val="18"/>
                    </w:rPr>
                  </w:pPr>
                  <w:r>
                    <w:rPr>
                      <w:rFonts w:eastAsia="楷体"/>
                      <w:sz w:val="18"/>
                      <w:szCs w:val="18"/>
                    </w:rPr>
                    <w:t>7</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23.1</w:t>
                  </w:r>
                </w:p>
              </w:tc>
              <w:tc>
                <w:tcPr>
                  <w:tcW w:w="816" w:type="dxa"/>
                  <w:shd w:val="clear" w:color="auto" w:fill="auto"/>
                  <w:noWrap/>
                  <w:vAlign w:val="center"/>
                </w:tcPr>
                <w:p>
                  <w:pPr>
                    <w:jc w:val="center"/>
                    <w:rPr>
                      <w:rFonts w:eastAsia="等线"/>
                      <w:sz w:val="18"/>
                      <w:szCs w:val="18"/>
                    </w:rPr>
                  </w:pPr>
                  <w:r>
                    <w:rPr>
                      <w:rFonts w:eastAsia="等线"/>
                      <w:sz w:val="18"/>
                      <w:szCs w:val="18"/>
                    </w:rPr>
                    <w:t>7.89</w:t>
                  </w:r>
                </w:p>
              </w:tc>
              <w:tc>
                <w:tcPr>
                  <w:tcW w:w="818" w:type="dxa"/>
                  <w:shd w:val="clear" w:color="auto" w:fill="auto"/>
                  <w:noWrap/>
                  <w:vAlign w:val="center"/>
                </w:tcPr>
                <w:p>
                  <w:pPr>
                    <w:jc w:val="center"/>
                    <w:rPr>
                      <w:rFonts w:eastAsia="等线"/>
                      <w:sz w:val="18"/>
                      <w:szCs w:val="18"/>
                    </w:rPr>
                  </w:pPr>
                  <w:r>
                    <w:rPr>
                      <w:rFonts w:eastAsia="等线"/>
                      <w:sz w:val="18"/>
                      <w:szCs w:val="18"/>
                    </w:rPr>
                    <w:t>32.06</w:t>
                  </w:r>
                </w:p>
              </w:tc>
              <w:tc>
                <w:tcPr>
                  <w:tcW w:w="818" w:type="dxa"/>
                  <w:shd w:val="clear" w:color="auto" w:fill="auto"/>
                  <w:noWrap/>
                  <w:vAlign w:val="center"/>
                </w:tcPr>
                <w:p>
                  <w:pPr>
                    <w:jc w:val="center"/>
                    <w:rPr>
                      <w:rFonts w:eastAsia="等线"/>
                      <w:sz w:val="18"/>
                      <w:szCs w:val="18"/>
                    </w:rPr>
                  </w:pPr>
                  <w:r>
                    <w:rPr>
                      <w:rFonts w:eastAsia="等线"/>
                      <w:sz w:val="18"/>
                      <w:szCs w:val="18"/>
                    </w:rPr>
                    <w:t>6.54</w:t>
                  </w:r>
                </w:p>
              </w:tc>
              <w:tc>
                <w:tcPr>
                  <w:tcW w:w="818" w:type="dxa"/>
                  <w:shd w:val="clear" w:color="auto" w:fill="auto"/>
                  <w:noWrap/>
                  <w:vAlign w:val="center"/>
                </w:tcPr>
                <w:p>
                  <w:pPr>
                    <w:jc w:val="center"/>
                    <w:rPr>
                      <w:rFonts w:eastAsia="等线"/>
                      <w:sz w:val="18"/>
                      <w:szCs w:val="18"/>
                    </w:rPr>
                  </w:pPr>
                  <w:r>
                    <w:rPr>
                      <w:sz w:val="18"/>
                      <w:szCs w:val="18"/>
                    </w:rPr>
                    <w:t>7.86</w:t>
                  </w:r>
                </w:p>
              </w:tc>
              <w:tc>
                <w:tcPr>
                  <w:tcW w:w="818" w:type="dxa"/>
                  <w:shd w:val="clear" w:color="auto" w:fill="auto"/>
                  <w:noWrap/>
                  <w:vAlign w:val="center"/>
                </w:tcPr>
                <w:p>
                  <w:pPr>
                    <w:jc w:val="center"/>
                    <w:rPr>
                      <w:rFonts w:eastAsia="等线"/>
                      <w:sz w:val="18"/>
                      <w:szCs w:val="18"/>
                    </w:rPr>
                  </w:pPr>
                  <w:r>
                    <w:rPr>
                      <w:rFonts w:eastAsia="等线"/>
                      <w:sz w:val="18"/>
                      <w:szCs w:val="18"/>
                    </w:rPr>
                    <w:t>0.51</w:t>
                  </w:r>
                </w:p>
              </w:tc>
              <w:tc>
                <w:tcPr>
                  <w:tcW w:w="814" w:type="dxa"/>
                  <w:shd w:val="clear" w:color="auto" w:fill="auto"/>
                  <w:noWrap/>
                  <w:vAlign w:val="center"/>
                </w:tcPr>
                <w:p>
                  <w:pPr>
                    <w:jc w:val="center"/>
                    <w:rPr>
                      <w:rFonts w:eastAsia="等线"/>
                      <w:sz w:val="18"/>
                      <w:szCs w:val="18"/>
                    </w:rPr>
                  </w:pPr>
                  <w:r>
                    <w:rPr>
                      <w:rFonts w:eastAsia="等线"/>
                      <w:sz w:val="18"/>
                      <w:szCs w:val="18"/>
                    </w:rPr>
                    <w:t>0.0058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16</w:t>
                  </w:r>
                </w:p>
              </w:tc>
              <w:tc>
                <w:tcPr>
                  <w:tcW w:w="816" w:type="dxa"/>
                  <w:shd w:val="clear" w:color="auto" w:fill="auto"/>
                  <w:noWrap/>
                  <w:vAlign w:val="bottom"/>
                </w:tcPr>
                <w:p>
                  <w:pPr>
                    <w:jc w:val="center"/>
                    <w:rPr>
                      <w:rFonts w:eastAsia="楷体"/>
                      <w:sz w:val="18"/>
                      <w:szCs w:val="18"/>
                    </w:rPr>
                  </w:pPr>
                  <w:r>
                    <w:rPr>
                      <w:rFonts w:eastAsia="楷体"/>
                      <w:sz w:val="18"/>
                      <w:szCs w:val="18"/>
                    </w:rPr>
                    <w:t>9</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23.4</w:t>
                  </w:r>
                </w:p>
              </w:tc>
              <w:tc>
                <w:tcPr>
                  <w:tcW w:w="816" w:type="dxa"/>
                  <w:shd w:val="clear" w:color="auto" w:fill="auto"/>
                  <w:noWrap/>
                  <w:vAlign w:val="center"/>
                </w:tcPr>
                <w:p>
                  <w:pPr>
                    <w:jc w:val="center"/>
                    <w:rPr>
                      <w:rFonts w:eastAsia="等线"/>
                      <w:sz w:val="18"/>
                      <w:szCs w:val="18"/>
                    </w:rPr>
                  </w:pPr>
                  <w:r>
                    <w:rPr>
                      <w:rFonts w:eastAsia="等线"/>
                      <w:sz w:val="18"/>
                      <w:szCs w:val="18"/>
                    </w:rPr>
                    <w:t>8.01</w:t>
                  </w:r>
                </w:p>
              </w:tc>
              <w:tc>
                <w:tcPr>
                  <w:tcW w:w="818" w:type="dxa"/>
                  <w:shd w:val="clear" w:color="auto" w:fill="auto"/>
                  <w:noWrap/>
                  <w:vAlign w:val="center"/>
                </w:tcPr>
                <w:p>
                  <w:pPr>
                    <w:jc w:val="center"/>
                    <w:rPr>
                      <w:rFonts w:eastAsia="等线"/>
                      <w:sz w:val="18"/>
                      <w:szCs w:val="18"/>
                    </w:rPr>
                  </w:pPr>
                  <w:r>
                    <w:rPr>
                      <w:rFonts w:eastAsia="等线"/>
                      <w:sz w:val="18"/>
                      <w:szCs w:val="18"/>
                    </w:rPr>
                    <w:t>31.78</w:t>
                  </w:r>
                </w:p>
              </w:tc>
              <w:tc>
                <w:tcPr>
                  <w:tcW w:w="818" w:type="dxa"/>
                  <w:shd w:val="clear" w:color="auto" w:fill="auto"/>
                  <w:noWrap/>
                  <w:vAlign w:val="center"/>
                </w:tcPr>
                <w:p>
                  <w:pPr>
                    <w:jc w:val="center"/>
                    <w:rPr>
                      <w:rFonts w:eastAsia="等线"/>
                      <w:sz w:val="18"/>
                      <w:szCs w:val="18"/>
                    </w:rPr>
                  </w:pPr>
                  <w:r>
                    <w:rPr>
                      <w:rFonts w:eastAsia="等线"/>
                      <w:sz w:val="18"/>
                      <w:szCs w:val="18"/>
                    </w:rPr>
                    <w:t>5.87</w:t>
                  </w:r>
                </w:p>
              </w:tc>
              <w:tc>
                <w:tcPr>
                  <w:tcW w:w="818" w:type="dxa"/>
                  <w:shd w:val="clear" w:color="auto" w:fill="auto"/>
                  <w:noWrap/>
                  <w:vAlign w:val="center"/>
                </w:tcPr>
                <w:p>
                  <w:pPr>
                    <w:jc w:val="center"/>
                    <w:rPr>
                      <w:rFonts w:eastAsia="等线"/>
                      <w:sz w:val="18"/>
                      <w:szCs w:val="18"/>
                    </w:rPr>
                  </w:pPr>
                  <w:r>
                    <w:rPr>
                      <w:sz w:val="18"/>
                      <w:szCs w:val="18"/>
                    </w:rPr>
                    <w:t>8.03</w:t>
                  </w:r>
                </w:p>
              </w:tc>
              <w:tc>
                <w:tcPr>
                  <w:tcW w:w="818" w:type="dxa"/>
                  <w:shd w:val="clear" w:color="auto" w:fill="auto"/>
                  <w:noWrap/>
                  <w:vAlign w:val="center"/>
                </w:tcPr>
                <w:p>
                  <w:pPr>
                    <w:jc w:val="center"/>
                    <w:rPr>
                      <w:rFonts w:eastAsia="等线"/>
                      <w:sz w:val="18"/>
                      <w:szCs w:val="18"/>
                    </w:rPr>
                  </w:pPr>
                  <w:r>
                    <w:rPr>
                      <w:rFonts w:eastAsia="等线"/>
                      <w:sz w:val="18"/>
                      <w:szCs w:val="18"/>
                    </w:rPr>
                    <w:t>0.47</w:t>
                  </w:r>
                </w:p>
              </w:tc>
              <w:tc>
                <w:tcPr>
                  <w:tcW w:w="814" w:type="dxa"/>
                  <w:shd w:val="clear" w:color="auto" w:fill="auto"/>
                  <w:noWrap/>
                  <w:vAlign w:val="center"/>
                </w:tcPr>
                <w:p>
                  <w:pPr>
                    <w:jc w:val="center"/>
                    <w:rPr>
                      <w:rFonts w:eastAsia="等线"/>
                      <w:sz w:val="18"/>
                      <w:szCs w:val="18"/>
                    </w:rPr>
                  </w:pPr>
                  <w:r>
                    <w:rPr>
                      <w:rFonts w:eastAsia="等线"/>
                      <w:sz w:val="18"/>
                      <w:szCs w:val="18"/>
                    </w:rPr>
                    <w:t>0.0071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17</w:t>
                  </w:r>
                </w:p>
              </w:tc>
              <w:tc>
                <w:tcPr>
                  <w:tcW w:w="816" w:type="dxa"/>
                  <w:shd w:val="clear" w:color="auto" w:fill="auto"/>
                  <w:noWrap/>
                  <w:vAlign w:val="bottom"/>
                </w:tcPr>
                <w:p>
                  <w:pPr>
                    <w:jc w:val="center"/>
                    <w:rPr>
                      <w:rFonts w:eastAsia="楷体"/>
                      <w:sz w:val="18"/>
                      <w:szCs w:val="18"/>
                    </w:rPr>
                  </w:pPr>
                  <w:r>
                    <w:rPr>
                      <w:rFonts w:eastAsia="楷体"/>
                      <w:sz w:val="18"/>
                      <w:szCs w:val="18"/>
                    </w:rPr>
                    <w:t>19</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22.1</w:t>
                  </w:r>
                </w:p>
              </w:tc>
              <w:tc>
                <w:tcPr>
                  <w:tcW w:w="816" w:type="dxa"/>
                  <w:shd w:val="clear" w:color="auto" w:fill="auto"/>
                  <w:noWrap/>
                  <w:vAlign w:val="center"/>
                </w:tcPr>
                <w:p>
                  <w:pPr>
                    <w:jc w:val="center"/>
                    <w:rPr>
                      <w:rFonts w:eastAsia="等线"/>
                      <w:sz w:val="18"/>
                      <w:szCs w:val="18"/>
                    </w:rPr>
                  </w:pPr>
                  <w:r>
                    <w:rPr>
                      <w:rFonts w:eastAsia="等线"/>
                      <w:sz w:val="18"/>
                      <w:szCs w:val="18"/>
                    </w:rPr>
                    <w:t>8.02</w:t>
                  </w:r>
                </w:p>
              </w:tc>
              <w:tc>
                <w:tcPr>
                  <w:tcW w:w="818" w:type="dxa"/>
                  <w:shd w:val="clear" w:color="auto" w:fill="auto"/>
                  <w:noWrap/>
                  <w:vAlign w:val="center"/>
                </w:tcPr>
                <w:p>
                  <w:pPr>
                    <w:jc w:val="center"/>
                    <w:rPr>
                      <w:rFonts w:eastAsia="等线"/>
                      <w:sz w:val="18"/>
                      <w:szCs w:val="18"/>
                    </w:rPr>
                  </w:pPr>
                  <w:r>
                    <w:rPr>
                      <w:rFonts w:eastAsia="等线"/>
                      <w:sz w:val="18"/>
                      <w:szCs w:val="18"/>
                    </w:rPr>
                    <w:t>31.76</w:t>
                  </w:r>
                </w:p>
              </w:tc>
              <w:tc>
                <w:tcPr>
                  <w:tcW w:w="818" w:type="dxa"/>
                  <w:shd w:val="clear" w:color="auto" w:fill="auto"/>
                  <w:noWrap/>
                  <w:vAlign w:val="center"/>
                </w:tcPr>
                <w:p>
                  <w:pPr>
                    <w:jc w:val="center"/>
                    <w:rPr>
                      <w:rFonts w:eastAsia="等线"/>
                      <w:sz w:val="18"/>
                      <w:szCs w:val="18"/>
                    </w:rPr>
                  </w:pPr>
                  <w:r>
                    <w:rPr>
                      <w:rFonts w:eastAsia="等线"/>
                      <w:sz w:val="18"/>
                      <w:szCs w:val="18"/>
                    </w:rPr>
                    <w:t>5.69</w:t>
                  </w:r>
                </w:p>
              </w:tc>
              <w:tc>
                <w:tcPr>
                  <w:tcW w:w="818" w:type="dxa"/>
                  <w:shd w:val="clear" w:color="auto" w:fill="auto"/>
                  <w:noWrap/>
                  <w:vAlign w:val="center"/>
                </w:tcPr>
                <w:p>
                  <w:pPr>
                    <w:jc w:val="center"/>
                    <w:rPr>
                      <w:rFonts w:eastAsia="等线"/>
                      <w:sz w:val="18"/>
                      <w:szCs w:val="18"/>
                    </w:rPr>
                  </w:pPr>
                  <w:r>
                    <w:rPr>
                      <w:sz w:val="18"/>
                      <w:szCs w:val="18"/>
                    </w:rPr>
                    <w:t>8.11</w:t>
                  </w:r>
                </w:p>
              </w:tc>
              <w:tc>
                <w:tcPr>
                  <w:tcW w:w="818" w:type="dxa"/>
                  <w:shd w:val="clear" w:color="auto" w:fill="auto"/>
                  <w:noWrap/>
                  <w:vAlign w:val="center"/>
                </w:tcPr>
                <w:p>
                  <w:pPr>
                    <w:jc w:val="center"/>
                    <w:rPr>
                      <w:rFonts w:eastAsia="等线"/>
                      <w:sz w:val="18"/>
                      <w:szCs w:val="18"/>
                    </w:rPr>
                  </w:pPr>
                  <w:r>
                    <w:rPr>
                      <w:rFonts w:eastAsia="等线"/>
                      <w:sz w:val="18"/>
                      <w:szCs w:val="18"/>
                    </w:rPr>
                    <w:t>0.33</w:t>
                  </w:r>
                </w:p>
              </w:tc>
              <w:tc>
                <w:tcPr>
                  <w:tcW w:w="814" w:type="dxa"/>
                  <w:shd w:val="clear" w:color="auto" w:fill="auto"/>
                  <w:noWrap/>
                  <w:vAlign w:val="center"/>
                </w:tcPr>
                <w:p>
                  <w:pPr>
                    <w:jc w:val="center"/>
                    <w:rPr>
                      <w:rFonts w:eastAsia="等线"/>
                      <w:sz w:val="18"/>
                      <w:szCs w:val="18"/>
                    </w:rPr>
                  </w:pPr>
                  <w:r>
                    <w:rPr>
                      <w:rFonts w:eastAsia="等线"/>
                      <w:sz w:val="18"/>
                      <w:szCs w:val="18"/>
                    </w:rPr>
                    <w:t>0.0054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17</w:t>
                  </w:r>
                </w:p>
              </w:tc>
              <w:tc>
                <w:tcPr>
                  <w:tcW w:w="816" w:type="dxa"/>
                  <w:shd w:val="clear" w:color="auto" w:fill="auto"/>
                  <w:noWrap/>
                  <w:vAlign w:val="bottom"/>
                </w:tcPr>
                <w:p>
                  <w:pPr>
                    <w:jc w:val="center"/>
                    <w:rPr>
                      <w:rFonts w:eastAsia="楷体"/>
                      <w:sz w:val="18"/>
                      <w:szCs w:val="18"/>
                    </w:rPr>
                  </w:pPr>
                  <w:r>
                    <w:rPr>
                      <w:rFonts w:eastAsia="楷体"/>
                      <w:sz w:val="18"/>
                      <w:szCs w:val="18"/>
                    </w:rPr>
                    <w:t>19</w:t>
                  </w:r>
                </w:p>
              </w:tc>
              <w:tc>
                <w:tcPr>
                  <w:tcW w:w="910" w:type="dxa"/>
                  <w:shd w:val="clear" w:color="auto" w:fill="auto"/>
                  <w:noWrap/>
                  <w:vAlign w:val="bottom"/>
                </w:tcPr>
                <w:p>
                  <w:pPr>
                    <w:jc w:val="center"/>
                    <w:rPr>
                      <w:rFonts w:eastAsia="楷体"/>
                      <w:sz w:val="18"/>
                      <w:szCs w:val="18"/>
                    </w:rPr>
                  </w:pPr>
                  <w:r>
                    <w:rPr>
                      <w:rFonts w:eastAsia="楷体"/>
                      <w:sz w:val="18"/>
                      <w:szCs w:val="18"/>
                    </w:rPr>
                    <w:t>底层</w:t>
                  </w:r>
                </w:p>
              </w:tc>
              <w:tc>
                <w:tcPr>
                  <w:tcW w:w="816" w:type="dxa"/>
                  <w:shd w:val="clear" w:color="auto" w:fill="auto"/>
                  <w:noWrap/>
                  <w:vAlign w:val="center"/>
                </w:tcPr>
                <w:p>
                  <w:pPr>
                    <w:jc w:val="center"/>
                    <w:rPr>
                      <w:sz w:val="18"/>
                      <w:szCs w:val="18"/>
                    </w:rPr>
                  </w:pPr>
                  <w:r>
                    <w:rPr>
                      <w:rFonts w:eastAsia="等线"/>
                      <w:sz w:val="18"/>
                      <w:szCs w:val="18"/>
                    </w:rPr>
                    <w:t>21.4</w:t>
                  </w:r>
                </w:p>
              </w:tc>
              <w:tc>
                <w:tcPr>
                  <w:tcW w:w="816" w:type="dxa"/>
                  <w:shd w:val="clear" w:color="auto" w:fill="auto"/>
                  <w:noWrap/>
                  <w:vAlign w:val="center"/>
                </w:tcPr>
                <w:p>
                  <w:pPr>
                    <w:jc w:val="center"/>
                    <w:rPr>
                      <w:rFonts w:eastAsia="等线"/>
                      <w:sz w:val="18"/>
                      <w:szCs w:val="18"/>
                    </w:rPr>
                  </w:pPr>
                  <w:r>
                    <w:rPr>
                      <w:rFonts w:eastAsia="等线"/>
                      <w:sz w:val="18"/>
                      <w:szCs w:val="18"/>
                    </w:rPr>
                    <w:t>7.89</w:t>
                  </w:r>
                </w:p>
              </w:tc>
              <w:tc>
                <w:tcPr>
                  <w:tcW w:w="818" w:type="dxa"/>
                  <w:shd w:val="clear" w:color="auto" w:fill="auto"/>
                  <w:noWrap/>
                  <w:vAlign w:val="center"/>
                </w:tcPr>
                <w:p>
                  <w:pPr>
                    <w:jc w:val="center"/>
                    <w:rPr>
                      <w:rFonts w:eastAsia="等线"/>
                      <w:sz w:val="18"/>
                      <w:szCs w:val="18"/>
                    </w:rPr>
                  </w:pPr>
                  <w:r>
                    <w:rPr>
                      <w:rFonts w:eastAsia="等线"/>
                      <w:sz w:val="18"/>
                      <w:szCs w:val="18"/>
                    </w:rPr>
                    <w:t>31.82</w:t>
                  </w:r>
                </w:p>
              </w:tc>
              <w:tc>
                <w:tcPr>
                  <w:tcW w:w="818" w:type="dxa"/>
                  <w:shd w:val="clear" w:color="auto" w:fill="auto"/>
                  <w:noWrap/>
                  <w:vAlign w:val="center"/>
                </w:tcPr>
                <w:p>
                  <w:pPr>
                    <w:jc w:val="center"/>
                    <w:rPr>
                      <w:rFonts w:eastAsia="等线"/>
                      <w:sz w:val="18"/>
                      <w:szCs w:val="18"/>
                    </w:rPr>
                  </w:pPr>
                  <w:r>
                    <w:rPr>
                      <w:rFonts w:eastAsia="等线"/>
                      <w:sz w:val="18"/>
                      <w:szCs w:val="18"/>
                    </w:rPr>
                    <w:t>6.17</w:t>
                  </w:r>
                </w:p>
              </w:tc>
              <w:tc>
                <w:tcPr>
                  <w:tcW w:w="818" w:type="dxa"/>
                  <w:shd w:val="clear" w:color="auto" w:fill="auto"/>
                  <w:noWrap/>
                  <w:vAlign w:val="center"/>
                </w:tcPr>
                <w:p>
                  <w:pPr>
                    <w:jc w:val="center"/>
                    <w:rPr>
                      <w:rFonts w:eastAsia="等线"/>
                      <w:sz w:val="18"/>
                      <w:szCs w:val="18"/>
                    </w:rPr>
                  </w:pPr>
                  <w:r>
                    <w:rPr>
                      <w:sz w:val="18"/>
                      <w:szCs w:val="18"/>
                    </w:rPr>
                    <w:t>7.93</w:t>
                  </w:r>
                </w:p>
              </w:tc>
              <w:tc>
                <w:tcPr>
                  <w:tcW w:w="818" w:type="dxa"/>
                  <w:shd w:val="clear" w:color="auto" w:fill="auto"/>
                  <w:noWrap/>
                  <w:vAlign w:val="center"/>
                </w:tcPr>
                <w:p>
                  <w:pPr>
                    <w:jc w:val="center"/>
                    <w:rPr>
                      <w:rFonts w:eastAsia="等线"/>
                      <w:sz w:val="18"/>
                      <w:szCs w:val="18"/>
                    </w:rPr>
                  </w:pPr>
                  <w:r>
                    <w:rPr>
                      <w:rFonts w:eastAsia="等线"/>
                      <w:sz w:val="18"/>
                      <w:szCs w:val="18"/>
                    </w:rPr>
                    <w:t>0.47</w:t>
                  </w:r>
                </w:p>
              </w:tc>
              <w:tc>
                <w:tcPr>
                  <w:tcW w:w="814" w:type="dxa"/>
                  <w:shd w:val="clear" w:color="auto" w:fill="auto"/>
                  <w:noWrap/>
                  <w:vAlign w:val="bottom"/>
                </w:tcPr>
                <w:p>
                  <w:pPr>
                    <w:jc w:val="center"/>
                    <w:rPr>
                      <w:rFonts w:eastAsia="等线"/>
                      <w:sz w:val="18"/>
                      <w:szCs w:val="18"/>
                    </w:rPr>
                  </w:pPr>
                  <w:r>
                    <w:rPr>
                      <w:rFonts w:hint="eastAsia" w:ascii="等线" w:hAnsi="等线" w:eastAsia="等线"/>
                      <w:sz w:val="22"/>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18</w:t>
                  </w:r>
                </w:p>
              </w:tc>
              <w:tc>
                <w:tcPr>
                  <w:tcW w:w="816" w:type="dxa"/>
                  <w:shd w:val="clear" w:color="auto" w:fill="auto"/>
                  <w:noWrap/>
                  <w:vAlign w:val="bottom"/>
                </w:tcPr>
                <w:p>
                  <w:pPr>
                    <w:jc w:val="center"/>
                    <w:rPr>
                      <w:rFonts w:eastAsia="楷体"/>
                      <w:sz w:val="18"/>
                      <w:szCs w:val="18"/>
                    </w:rPr>
                  </w:pPr>
                  <w:r>
                    <w:rPr>
                      <w:rFonts w:eastAsia="楷体"/>
                      <w:sz w:val="18"/>
                      <w:szCs w:val="18"/>
                    </w:rPr>
                    <w:t>18</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22.6</w:t>
                  </w:r>
                </w:p>
              </w:tc>
              <w:tc>
                <w:tcPr>
                  <w:tcW w:w="816" w:type="dxa"/>
                  <w:shd w:val="clear" w:color="auto" w:fill="auto"/>
                  <w:noWrap/>
                  <w:vAlign w:val="center"/>
                </w:tcPr>
                <w:p>
                  <w:pPr>
                    <w:jc w:val="center"/>
                    <w:rPr>
                      <w:rFonts w:eastAsia="等线"/>
                      <w:sz w:val="18"/>
                      <w:szCs w:val="18"/>
                    </w:rPr>
                  </w:pPr>
                  <w:r>
                    <w:rPr>
                      <w:rFonts w:eastAsia="等线"/>
                      <w:sz w:val="18"/>
                      <w:szCs w:val="18"/>
                    </w:rPr>
                    <w:t>7.86</w:t>
                  </w:r>
                </w:p>
              </w:tc>
              <w:tc>
                <w:tcPr>
                  <w:tcW w:w="818" w:type="dxa"/>
                  <w:shd w:val="clear" w:color="auto" w:fill="auto"/>
                  <w:noWrap/>
                  <w:vAlign w:val="center"/>
                </w:tcPr>
                <w:p>
                  <w:pPr>
                    <w:jc w:val="center"/>
                    <w:rPr>
                      <w:rFonts w:eastAsia="等线"/>
                      <w:sz w:val="18"/>
                      <w:szCs w:val="18"/>
                    </w:rPr>
                  </w:pPr>
                  <w:r>
                    <w:rPr>
                      <w:rFonts w:eastAsia="等线"/>
                      <w:sz w:val="18"/>
                      <w:szCs w:val="18"/>
                    </w:rPr>
                    <w:t>31.74</w:t>
                  </w:r>
                </w:p>
              </w:tc>
              <w:tc>
                <w:tcPr>
                  <w:tcW w:w="818" w:type="dxa"/>
                  <w:shd w:val="clear" w:color="auto" w:fill="auto"/>
                  <w:noWrap/>
                  <w:vAlign w:val="center"/>
                </w:tcPr>
                <w:p>
                  <w:pPr>
                    <w:jc w:val="center"/>
                    <w:rPr>
                      <w:rFonts w:eastAsia="等线"/>
                      <w:sz w:val="18"/>
                      <w:szCs w:val="18"/>
                    </w:rPr>
                  </w:pPr>
                  <w:r>
                    <w:rPr>
                      <w:rFonts w:eastAsia="等线"/>
                      <w:sz w:val="18"/>
                      <w:szCs w:val="18"/>
                    </w:rPr>
                    <w:t>6.27</w:t>
                  </w:r>
                </w:p>
              </w:tc>
              <w:tc>
                <w:tcPr>
                  <w:tcW w:w="818" w:type="dxa"/>
                  <w:shd w:val="clear" w:color="auto" w:fill="auto"/>
                  <w:noWrap/>
                  <w:vAlign w:val="center"/>
                </w:tcPr>
                <w:p>
                  <w:pPr>
                    <w:jc w:val="center"/>
                    <w:rPr>
                      <w:rFonts w:eastAsia="等线"/>
                      <w:sz w:val="18"/>
                      <w:szCs w:val="18"/>
                    </w:rPr>
                  </w:pPr>
                  <w:r>
                    <w:rPr>
                      <w:sz w:val="18"/>
                      <w:szCs w:val="18"/>
                    </w:rPr>
                    <w:t>7.89</w:t>
                  </w:r>
                </w:p>
              </w:tc>
              <w:tc>
                <w:tcPr>
                  <w:tcW w:w="818" w:type="dxa"/>
                  <w:shd w:val="clear" w:color="auto" w:fill="auto"/>
                  <w:noWrap/>
                  <w:vAlign w:val="center"/>
                </w:tcPr>
                <w:p>
                  <w:pPr>
                    <w:jc w:val="center"/>
                    <w:rPr>
                      <w:rFonts w:eastAsia="等线"/>
                      <w:sz w:val="18"/>
                      <w:szCs w:val="18"/>
                    </w:rPr>
                  </w:pPr>
                  <w:r>
                    <w:rPr>
                      <w:rFonts w:eastAsia="等线"/>
                      <w:sz w:val="18"/>
                      <w:szCs w:val="18"/>
                    </w:rPr>
                    <w:t>0.37</w:t>
                  </w:r>
                </w:p>
              </w:tc>
              <w:tc>
                <w:tcPr>
                  <w:tcW w:w="814" w:type="dxa"/>
                  <w:shd w:val="clear" w:color="auto" w:fill="auto"/>
                  <w:noWrap/>
                  <w:vAlign w:val="center"/>
                </w:tcPr>
                <w:p>
                  <w:pPr>
                    <w:jc w:val="center"/>
                    <w:rPr>
                      <w:rFonts w:eastAsia="等线"/>
                      <w:sz w:val="18"/>
                      <w:szCs w:val="18"/>
                    </w:rPr>
                  </w:pPr>
                  <w:r>
                    <w:rPr>
                      <w:rFonts w:eastAsia="等线"/>
                      <w:sz w:val="18"/>
                      <w:szCs w:val="18"/>
                    </w:rPr>
                    <w:t>0.0039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18</w:t>
                  </w:r>
                </w:p>
              </w:tc>
              <w:tc>
                <w:tcPr>
                  <w:tcW w:w="816" w:type="dxa"/>
                  <w:shd w:val="clear" w:color="auto" w:fill="auto"/>
                  <w:noWrap/>
                  <w:vAlign w:val="bottom"/>
                </w:tcPr>
                <w:p>
                  <w:pPr>
                    <w:jc w:val="center"/>
                    <w:rPr>
                      <w:rFonts w:eastAsia="楷体"/>
                      <w:sz w:val="18"/>
                      <w:szCs w:val="18"/>
                    </w:rPr>
                  </w:pPr>
                  <w:r>
                    <w:rPr>
                      <w:rFonts w:eastAsia="楷体"/>
                      <w:sz w:val="18"/>
                      <w:szCs w:val="18"/>
                    </w:rPr>
                    <w:t>18</w:t>
                  </w:r>
                </w:p>
              </w:tc>
              <w:tc>
                <w:tcPr>
                  <w:tcW w:w="910" w:type="dxa"/>
                  <w:shd w:val="clear" w:color="auto" w:fill="auto"/>
                  <w:noWrap/>
                  <w:vAlign w:val="bottom"/>
                </w:tcPr>
                <w:p>
                  <w:pPr>
                    <w:jc w:val="center"/>
                    <w:rPr>
                      <w:rFonts w:eastAsia="楷体"/>
                      <w:sz w:val="18"/>
                      <w:szCs w:val="18"/>
                    </w:rPr>
                  </w:pPr>
                  <w:r>
                    <w:rPr>
                      <w:rFonts w:eastAsia="楷体"/>
                      <w:sz w:val="18"/>
                      <w:szCs w:val="18"/>
                    </w:rPr>
                    <w:t>底层</w:t>
                  </w:r>
                </w:p>
              </w:tc>
              <w:tc>
                <w:tcPr>
                  <w:tcW w:w="816" w:type="dxa"/>
                  <w:shd w:val="clear" w:color="auto" w:fill="auto"/>
                  <w:noWrap/>
                  <w:vAlign w:val="center"/>
                </w:tcPr>
                <w:p>
                  <w:pPr>
                    <w:jc w:val="center"/>
                    <w:rPr>
                      <w:sz w:val="18"/>
                      <w:szCs w:val="18"/>
                    </w:rPr>
                  </w:pPr>
                  <w:r>
                    <w:rPr>
                      <w:rFonts w:eastAsia="等线"/>
                      <w:sz w:val="18"/>
                      <w:szCs w:val="18"/>
                    </w:rPr>
                    <w:t>21.4</w:t>
                  </w:r>
                </w:p>
              </w:tc>
              <w:tc>
                <w:tcPr>
                  <w:tcW w:w="816" w:type="dxa"/>
                  <w:shd w:val="clear" w:color="auto" w:fill="auto"/>
                  <w:noWrap/>
                  <w:vAlign w:val="center"/>
                </w:tcPr>
                <w:p>
                  <w:pPr>
                    <w:jc w:val="center"/>
                    <w:rPr>
                      <w:rFonts w:eastAsia="等线"/>
                      <w:sz w:val="18"/>
                      <w:szCs w:val="18"/>
                    </w:rPr>
                  </w:pPr>
                  <w:r>
                    <w:rPr>
                      <w:rFonts w:eastAsia="等线"/>
                      <w:sz w:val="18"/>
                      <w:szCs w:val="18"/>
                    </w:rPr>
                    <w:t>7.93</w:t>
                  </w:r>
                </w:p>
              </w:tc>
              <w:tc>
                <w:tcPr>
                  <w:tcW w:w="818" w:type="dxa"/>
                  <w:shd w:val="clear" w:color="auto" w:fill="auto"/>
                  <w:noWrap/>
                  <w:vAlign w:val="center"/>
                </w:tcPr>
                <w:p>
                  <w:pPr>
                    <w:jc w:val="center"/>
                    <w:rPr>
                      <w:rFonts w:eastAsia="等线"/>
                      <w:sz w:val="18"/>
                      <w:szCs w:val="18"/>
                    </w:rPr>
                  </w:pPr>
                  <w:r>
                    <w:rPr>
                      <w:rFonts w:eastAsia="等线"/>
                      <w:sz w:val="18"/>
                      <w:szCs w:val="18"/>
                    </w:rPr>
                    <w:t>31.71</w:t>
                  </w:r>
                </w:p>
              </w:tc>
              <w:tc>
                <w:tcPr>
                  <w:tcW w:w="818" w:type="dxa"/>
                  <w:shd w:val="clear" w:color="auto" w:fill="auto"/>
                  <w:noWrap/>
                  <w:vAlign w:val="center"/>
                </w:tcPr>
                <w:p>
                  <w:pPr>
                    <w:jc w:val="center"/>
                    <w:rPr>
                      <w:rFonts w:eastAsia="等线"/>
                      <w:sz w:val="18"/>
                      <w:szCs w:val="18"/>
                    </w:rPr>
                  </w:pPr>
                  <w:r>
                    <w:rPr>
                      <w:rFonts w:eastAsia="等线"/>
                      <w:sz w:val="18"/>
                      <w:szCs w:val="18"/>
                    </w:rPr>
                    <w:t>5.63</w:t>
                  </w:r>
                </w:p>
              </w:tc>
              <w:tc>
                <w:tcPr>
                  <w:tcW w:w="818" w:type="dxa"/>
                  <w:shd w:val="clear" w:color="auto" w:fill="auto"/>
                  <w:noWrap/>
                  <w:vAlign w:val="center"/>
                </w:tcPr>
                <w:p>
                  <w:pPr>
                    <w:jc w:val="center"/>
                    <w:rPr>
                      <w:rFonts w:eastAsia="等线"/>
                      <w:sz w:val="18"/>
                      <w:szCs w:val="18"/>
                    </w:rPr>
                  </w:pPr>
                  <w:r>
                    <w:rPr>
                      <w:sz w:val="18"/>
                      <w:szCs w:val="18"/>
                    </w:rPr>
                    <w:t>8.21</w:t>
                  </w:r>
                </w:p>
              </w:tc>
              <w:tc>
                <w:tcPr>
                  <w:tcW w:w="818" w:type="dxa"/>
                  <w:shd w:val="clear" w:color="auto" w:fill="auto"/>
                  <w:noWrap/>
                  <w:vAlign w:val="center"/>
                </w:tcPr>
                <w:p>
                  <w:pPr>
                    <w:jc w:val="center"/>
                    <w:rPr>
                      <w:rFonts w:eastAsia="等线"/>
                      <w:sz w:val="18"/>
                      <w:szCs w:val="18"/>
                    </w:rPr>
                  </w:pPr>
                  <w:r>
                    <w:rPr>
                      <w:rFonts w:eastAsia="等线"/>
                      <w:sz w:val="18"/>
                      <w:szCs w:val="18"/>
                    </w:rPr>
                    <w:t>0.42</w:t>
                  </w:r>
                </w:p>
              </w:tc>
              <w:tc>
                <w:tcPr>
                  <w:tcW w:w="814" w:type="dxa"/>
                  <w:shd w:val="clear" w:color="auto" w:fill="auto"/>
                  <w:noWrap/>
                  <w:vAlign w:val="bottom"/>
                </w:tcPr>
                <w:p>
                  <w:pPr>
                    <w:jc w:val="center"/>
                    <w:rPr>
                      <w:rFonts w:eastAsia="等线"/>
                      <w:sz w:val="18"/>
                      <w:szCs w:val="18"/>
                    </w:rPr>
                  </w:pPr>
                  <w:r>
                    <w:rPr>
                      <w:rFonts w:hint="eastAsia" w:ascii="等线" w:hAnsi="等线" w:eastAsia="等线"/>
                      <w:sz w:val="22"/>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19</w:t>
                  </w:r>
                </w:p>
              </w:tc>
              <w:tc>
                <w:tcPr>
                  <w:tcW w:w="816" w:type="dxa"/>
                  <w:shd w:val="clear" w:color="auto" w:fill="auto"/>
                  <w:noWrap/>
                  <w:vAlign w:val="bottom"/>
                </w:tcPr>
                <w:p>
                  <w:pPr>
                    <w:jc w:val="center"/>
                    <w:rPr>
                      <w:rFonts w:eastAsia="楷体"/>
                      <w:sz w:val="18"/>
                      <w:szCs w:val="18"/>
                    </w:rPr>
                  </w:pPr>
                  <w:r>
                    <w:rPr>
                      <w:rFonts w:eastAsia="楷体"/>
                      <w:sz w:val="18"/>
                      <w:szCs w:val="18"/>
                    </w:rPr>
                    <w:t>19</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22.7</w:t>
                  </w:r>
                </w:p>
              </w:tc>
              <w:tc>
                <w:tcPr>
                  <w:tcW w:w="816" w:type="dxa"/>
                  <w:shd w:val="clear" w:color="auto" w:fill="auto"/>
                  <w:noWrap/>
                  <w:vAlign w:val="center"/>
                </w:tcPr>
                <w:p>
                  <w:pPr>
                    <w:jc w:val="center"/>
                    <w:rPr>
                      <w:rFonts w:eastAsia="等线"/>
                      <w:sz w:val="18"/>
                      <w:szCs w:val="18"/>
                    </w:rPr>
                  </w:pPr>
                  <w:r>
                    <w:rPr>
                      <w:rFonts w:eastAsia="等线"/>
                      <w:sz w:val="18"/>
                      <w:szCs w:val="18"/>
                    </w:rPr>
                    <w:t>7.94</w:t>
                  </w:r>
                </w:p>
              </w:tc>
              <w:tc>
                <w:tcPr>
                  <w:tcW w:w="818" w:type="dxa"/>
                  <w:shd w:val="clear" w:color="auto" w:fill="auto"/>
                  <w:noWrap/>
                  <w:vAlign w:val="center"/>
                </w:tcPr>
                <w:p>
                  <w:pPr>
                    <w:jc w:val="center"/>
                    <w:rPr>
                      <w:rFonts w:eastAsia="等线"/>
                      <w:sz w:val="18"/>
                      <w:szCs w:val="18"/>
                    </w:rPr>
                  </w:pPr>
                  <w:r>
                    <w:rPr>
                      <w:rFonts w:eastAsia="等线"/>
                      <w:sz w:val="18"/>
                      <w:szCs w:val="18"/>
                    </w:rPr>
                    <w:t>31.85</w:t>
                  </w:r>
                </w:p>
              </w:tc>
              <w:tc>
                <w:tcPr>
                  <w:tcW w:w="818" w:type="dxa"/>
                  <w:shd w:val="clear" w:color="auto" w:fill="auto"/>
                  <w:noWrap/>
                  <w:vAlign w:val="center"/>
                </w:tcPr>
                <w:p>
                  <w:pPr>
                    <w:jc w:val="center"/>
                    <w:rPr>
                      <w:rFonts w:eastAsia="等线"/>
                      <w:sz w:val="18"/>
                      <w:szCs w:val="18"/>
                    </w:rPr>
                  </w:pPr>
                  <w:r>
                    <w:rPr>
                      <w:rFonts w:eastAsia="等线"/>
                      <w:sz w:val="18"/>
                      <w:szCs w:val="18"/>
                    </w:rPr>
                    <w:t>7.12</w:t>
                  </w:r>
                </w:p>
              </w:tc>
              <w:tc>
                <w:tcPr>
                  <w:tcW w:w="818" w:type="dxa"/>
                  <w:shd w:val="clear" w:color="auto" w:fill="auto"/>
                  <w:noWrap/>
                  <w:vAlign w:val="center"/>
                </w:tcPr>
                <w:p>
                  <w:pPr>
                    <w:jc w:val="center"/>
                    <w:rPr>
                      <w:rFonts w:eastAsia="等线"/>
                      <w:sz w:val="18"/>
                      <w:szCs w:val="18"/>
                    </w:rPr>
                  </w:pPr>
                  <w:r>
                    <w:rPr>
                      <w:sz w:val="18"/>
                      <w:szCs w:val="18"/>
                    </w:rPr>
                    <w:t>7.69</w:t>
                  </w:r>
                </w:p>
              </w:tc>
              <w:tc>
                <w:tcPr>
                  <w:tcW w:w="818" w:type="dxa"/>
                  <w:shd w:val="clear" w:color="auto" w:fill="auto"/>
                  <w:noWrap/>
                  <w:vAlign w:val="center"/>
                </w:tcPr>
                <w:p>
                  <w:pPr>
                    <w:jc w:val="center"/>
                    <w:rPr>
                      <w:rFonts w:eastAsia="等线"/>
                      <w:sz w:val="18"/>
                      <w:szCs w:val="18"/>
                    </w:rPr>
                  </w:pPr>
                  <w:r>
                    <w:rPr>
                      <w:rFonts w:eastAsia="等线"/>
                      <w:sz w:val="18"/>
                      <w:szCs w:val="18"/>
                    </w:rPr>
                    <w:t>0.37</w:t>
                  </w:r>
                </w:p>
              </w:tc>
              <w:tc>
                <w:tcPr>
                  <w:tcW w:w="814" w:type="dxa"/>
                  <w:shd w:val="clear" w:color="auto" w:fill="auto"/>
                  <w:noWrap/>
                  <w:vAlign w:val="center"/>
                </w:tcPr>
                <w:p>
                  <w:pPr>
                    <w:jc w:val="center"/>
                    <w:rPr>
                      <w:rFonts w:eastAsia="等线"/>
                      <w:sz w:val="18"/>
                      <w:szCs w:val="18"/>
                    </w:rPr>
                  </w:pPr>
                  <w:r>
                    <w:rPr>
                      <w:rFonts w:eastAsia="等线"/>
                      <w:sz w:val="18"/>
                      <w:szCs w:val="18"/>
                    </w:rPr>
                    <w:t>0.0093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19</w:t>
                  </w:r>
                </w:p>
              </w:tc>
              <w:tc>
                <w:tcPr>
                  <w:tcW w:w="816" w:type="dxa"/>
                  <w:shd w:val="clear" w:color="auto" w:fill="auto"/>
                  <w:noWrap/>
                  <w:vAlign w:val="bottom"/>
                </w:tcPr>
                <w:p>
                  <w:pPr>
                    <w:jc w:val="center"/>
                    <w:rPr>
                      <w:rFonts w:eastAsia="楷体"/>
                      <w:sz w:val="18"/>
                      <w:szCs w:val="18"/>
                    </w:rPr>
                  </w:pPr>
                  <w:r>
                    <w:rPr>
                      <w:rFonts w:eastAsia="楷体"/>
                      <w:sz w:val="18"/>
                      <w:szCs w:val="18"/>
                    </w:rPr>
                    <w:t>19</w:t>
                  </w:r>
                </w:p>
              </w:tc>
              <w:tc>
                <w:tcPr>
                  <w:tcW w:w="910" w:type="dxa"/>
                  <w:shd w:val="clear" w:color="auto" w:fill="auto"/>
                  <w:noWrap/>
                  <w:vAlign w:val="bottom"/>
                </w:tcPr>
                <w:p>
                  <w:pPr>
                    <w:jc w:val="center"/>
                    <w:rPr>
                      <w:rFonts w:eastAsia="楷体"/>
                      <w:sz w:val="18"/>
                      <w:szCs w:val="18"/>
                    </w:rPr>
                  </w:pPr>
                  <w:r>
                    <w:rPr>
                      <w:rFonts w:eastAsia="楷体"/>
                      <w:sz w:val="18"/>
                      <w:szCs w:val="18"/>
                    </w:rPr>
                    <w:t>底层</w:t>
                  </w:r>
                </w:p>
              </w:tc>
              <w:tc>
                <w:tcPr>
                  <w:tcW w:w="816" w:type="dxa"/>
                  <w:shd w:val="clear" w:color="auto" w:fill="auto"/>
                  <w:noWrap/>
                  <w:vAlign w:val="center"/>
                </w:tcPr>
                <w:p>
                  <w:pPr>
                    <w:jc w:val="center"/>
                    <w:rPr>
                      <w:sz w:val="18"/>
                      <w:szCs w:val="18"/>
                    </w:rPr>
                  </w:pPr>
                  <w:r>
                    <w:rPr>
                      <w:rFonts w:eastAsia="等线"/>
                      <w:sz w:val="18"/>
                      <w:szCs w:val="18"/>
                    </w:rPr>
                    <w:t>21.1</w:t>
                  </w:r>
                </w:p>
              </w:tc>
              <w:tc>
                <w:tcPr>
                  <w:tcW w:w="816" w:type="dxa"/>
                  <w:shd w:val="clear" w:color="auto" w:fill="auto"/>
                  <w:noWrap/>
                  <w:vAlign w:val="center"/>
                </w:tcPr>
                <w:p>
                  <w:pPr>
                    <w:jc w:val="center"/>
                    <w:rPr>
                      <w:rFonts w:eastAsia="等线"/>
                      <w:sz w:val="18"/>
                      <w:szCs w:val="18"/>
                    </w:rPr>
                  </w:pPr>
                  <w:r>
                    <w:rPr>
                      <w:rFonts w:eastAsia="等线"/>
                      <w:sz w:val="18"/>
                      <w:szCs w:val="18"/>
                    </w:rPr>
                    <w:t>8.05</w:t>
                  </w:r>
                </w:p>
              </w:tc>
              <w:tc>
                <w:tcPr>
                  <w:tcW w:w="818" w:type="dxa"/>
                  <w:shd w:val="clear" w:color="auto" w:fill="auto"/>
                  <w:noWrap/>
                  <w:vAlign w:val="center"/>
                </w:tcPr>
                <w:p>
                  <w:pPr>
                    <w:jc w:val="center"/>
                    <w:rPr>
                      <w:rFonts w:eastAsia="等线"/>
                      <w:sz w:val="18"/>
                      <w:szCs w:val="18"/>
                    </w:rPr>
                  </w:pPr>
                  <w:r>
                    <w:rPr>
                      <w:rFonts w:eastAsia="等线"/>
                      <w:sz w:val="18"/>
                      <w:szCs w:val="18"/>
                    </w:rPr>
                    <w:t>31.89</w:t>
                  </w:r>
                </w:p>
              </w:tc>
              <w:tc>
                <w:tcPr>
                  <w:tcW w:w="818" w:type="dxa"/>
                  <w:shd w:val="clear" w:color="auto" w:fill="auto"/>
                  <w:noWrap/>
                  <w:vAlign w:val="center"/>
                </w:tcPr>
                <w:p>
                  <w:pPr>
                    <w:jc w:val="center"/>
                    <w:rPr>
                      <w:rFonts w:eastAsia="等线"/>
                      <w:sz w:val="18"/>
                      <w:szCs w:val="18"/>
                    </w:rPr>
                  </w:pPr>
                  <w:r>
                    <w:rPr>
                      <w:rFonts w:eastAsia="等线"/>
                      <w:sz w:val="18"/>
                      <w:szCs w:val="18"/>
                    </w:rPr>
                    <w:t>5.36</w:t>
                  </w:r>
                </w:p>
              </w:tc>
              <w:tc>
                <w:tcPr>
                  <w:tcW w:w="818" w:type="dxa"/>
                  <w:shd w:val="clear" w:color="auto" w:fill="auto"/>
                  <w:noWrap/>
                  <w:vAlign w:val="center"/>
                </w:tcPr>
                <w:p>
                  <w:pPr>
                    <w:jc w:val="center"/>
                    <w:rPr>
                      <w:rFonts w:eastAsia="等线"/>
                      <w:sz w:val="18"/>
                      <w:szCs w:val="18"/>
                    </w:rPr>
                  </w:pPr>
                  <w:r>
                    <w:rPr>
                      <w:sz w:val="18"/>
                      <w:szCs w:val="18"/>
                    </w:rPr>
                    <w:t>8.21</w:t>
                  </w:r>
                </w:p>
              </w:tc>
              <w:tc>
                <w:tcPr>
                  <w:tcW w:w="818" w:type="dxa"/>
                  <w:shd w:val="clear" w:color="auto" w:fill="auto"/>
                  <w:noWrap/>
                  <w:vAlign w:val="center"/>
                </w:tcPr>
                <w:p>
                  <w:pPr>
                    <w:jc w:val="center"/>
                    <w:rPr>
                      <w:rFonts w:eastAsia="等线"/>
                      <w:sz w:val="18"/>
                      <w:szCs w:val="18"/>
                    </w:rPr>
                  </w:pPr>
                  <w:r>
                    <w:rPr>
                      <w:rFonts w:eastAsia="等线"/>
                      <w:sz w:val="18"/>
                      <w:szCs w:val="18"/>
                    </w:rPr>
                    <w:t>0.61</w:t>
                  </w:r>
                </w:p>
              </w:tc>
              <w:tc>
                <w:tcPr>
                  <w:tcW w:w="814" w:type="dxa"/>
                  <w:shd w:val="clear" w:color="auto" w:fill="auto"/>
                  <w:noWrap/>
                  <w:vAlign w:val="bottom"/>
                </w:tcPr>
                <w:p>
                  <w:pPr>
                    <w:jc w:val="center"/>
                    <w:rPr>
                      <w:rFonts w:eastAsia="等线"/>
                      <w:sz w:val="18"/>
                      <w:szCs w:val="18"/>
                    </w:rPr>
                  </w:pPr>
                  <w:r>
                    <w:rPr>
                      <w:rFonts w:hint="eastAsia" w:ascii="等线" w:hAnsi="等线" w:eastAsia="等线"/>
                      <w:sz w:val="22"/>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20</w:t>
                  </w:r>
                </w:p>
              </w:tc>
              <w:tc>
                <w:tcPr>
                  <w:tcW w:w="816" w:type="dxa"/>
                  <w:shd w:val="clear" w:color="auto" w:fill="auto"/>
                  <w:noWrap/>
                  <w:vAlign w:val="bottom"/>
                </w:tcPr>
                <w:p>
                  <w:pPr>
                    <w:jc w:val="center"/>
                    <w:rPr>
                      <w:rFonts w:eastAsia="楷体"/>
                      <w:sz w:val="18"/>
                      <w:szCs w:val="18"/>
                    </w:rPr>
                  </w:pPr>
                  <w:r>
                    <w:rPr>
                      <w:rFonts w:eastAsia="楷体"/>
                      <w:sz w:val="18"/>
                      <w:szCs w:val="18"/>
                    </w:rPr>
                    <w:t>19</w:t>
                  </w:r>
                </w:p>
              </w:tc>
              <w:tc>
                <w:tcPr>
                  <w:tcW w:w="910" w:type="dxa"/>
                  <w:shd w:val="clear" w:color="auto" w:fill="auto"/>
                  <w:noWrap/>
                  <w:vAlign w:val="bottom"/>
                </w:tcPr>
                <w:p>
                  <w:pPr>
                    <w:jc w:val="center"/>
                    <w:rPr>
                      <w:rFonts w:eastAsia="楷体"/>
                      <w:sz w:val="18"/>
                      <w:szCs w:val="18"/>
                    </w:rPr>
                  </w:pPr>
                  <w:r>
                    <w:rPr>
                      <w:rFonts w:eastAsia="楷体"/>
                      <w:sz w:val="18"/>
                      <w:szCs w:val="18"/>
                    </w:rPr>
                    <w:t>表层</w:t>
                  </w:r>
                </w:p>
              </w:tc>
              <w:tc>
                <w:tcPr>
                  <w:tcW w:w="816" w:type="dxa"/>
                  <w:shd w:val="clear" w:color="auto" w:fill="auto"/>
                  <w:noWrap/>
                  <w:vAlign w:val="center"/>
                </w:tcPr>
                <w:p>
                  <w:pPr>
                    <w:jc w:val="center"/>
                    <w:rPr>
                      <w:sz w:val="18"/>
                      <w:szCs w:val="18"/>
                    </w:rPr>
                  </w:pPr>
                  <w:r>
                    <w:rPr>
                      <w:rFonts w:eastAsia="等线"/>
                      <w:sz w:val="18"/>
                      <w:szCs w:val="18"/>
                    </w:rPr>
                    <w:t>22.7</w:t>
                  </w:r>
                </w:p>
              </w:tc>
              <w:tc>
                <w:tcPr>
                  <w:tcW w:w="816" w:type="dxa"/>
                  <w:shd w:val="clear" w:color="auto" w:fill="auto"/>
                  <w:noWrap/>
                  <w:vAlign w:val="center"/>
                </w:tcPr>
                <w:p>
                  <w:pPr>
                    <w:jc w:val="center"/>
                    <w:rPr>
                      <w:rFonts w:eastAsia="等线"/>
                      <w:sz w:val="18"/>
                      <w:szCs w:val="18"/>
                    </w:rPr>
                  </w:pPr>
                  <w:r>
                    <w:rPr>
                      <w:rFonts w:eastAsia="等线"/>
                      <w:sz w:val="18"/>
                      <w:szCs w:val="18"/>
                    </w:rPr>
                    <w:t>8.01</w:t>
                  </w:r>
                </w:p>
              </w:tc>
              <w:tc>
                <w:tcPr>
                  <w:tcW w:w="818" w:type="dxa"/>
                  <w:shd w:val="clear" w:color="auto" w:fill="auto"/>
                  <w:noWrap/>
                  <w:vAlign w:val="center"/>
                </w:tcPr>
                <w:p>
                  <w:pPr>
                    <w:jc w:val="center"/>
                    <w:rPr>
                      <w:rFonts w:eastAsia="等线"/>
                      <w:sz w:val="18"/>
                      <w:szCs w:val="18"/>
                    </w:rPr>
                  </w:pPr>
                  <w:r>
                    <w:rPr>
                      <w:rFonts w:eastAsia="等线"/>
                      <w:sz w:val="18"/>
                      <w:szCs w:val="18"/>
                    </w:rPr>
                    <w:t>32.11</w:t>
                  </w:r>
                </w:p>
              </w:tc>
              <w:tc>
                <w:tcPr>
                  <w:tcW w:w="818" w:type="dxa"/>
                  <w:shd w:val="clear" w:color="auto" w:fill="auto"/>
                  <w:noWrap/>
                  <w:vAlign w:val="center"/>
                </w:tcPr>
                <w:p>
                  <w:pPr>
                    <w:jc w:val="center"/>
                    <w:rPr>
                      <w:rFonts w:eastAsia="等线"/>
                      <w:sz w:val="18"/>
                      <w:szCs w:val="18"/>
                    </w:rPr>
                  </w:pPr>
                  <w:r>
                    <w:rPr>
                      <w:rFonts w:eastAsia="等线"/>
                      <w:sz w:val="18"/>
                      <w:szCs w:val="18"/>
                    </w:rPr>
                    <w:t>6.54</w:t>
                  </w:r>
                </w:p>
              </w:tc>
              <w:tc>
                <w:tcPr>
                  <w:tcW w:w="818" w:type="dxa"/>
                  <w:shd w:val="clear" w:color="auto" w:fill="auto"/>
                  <w:noWrap/>
                  <w:vAlign w:val="center"/>
                </w:tcPr>
                <w:p>
                  <w:pPr>
                    <w:jc w:val="center"/>
                    <w:rPr>
                      <w:rFonts w:eastAsia="等线"/>
                      <w:sz w:val="18"/>
                      <w:szCs w:val="18"/>
                    </w:rPr>
                  </w:pPr>
                  <w:r>
                    <w:rPr>
                      <w:sz w:val="18"/>
                      <w:szCs w:val="18"/>
                    </w:rPr>
                    <w:t>7.68</w:t>
                  </w:r>
                </w:p>
              </w:tc>
              <w:tc>
                <w:tcPr>
                  <w:tcW w:w="818" w:type="dxa"/>
                  <w:shd w:val="clear" w:color="auto" w:fill="auto"/>
                  <w:noWrap/>
                  <w:vAlign w:val="center"/>
                </w:tcPr>
                <w:p>
                  <w:pPr>
                    <w:jc w:val="center"/>
                    <w:rPr>
                      <w:rFonts w:eastAsia="等线"/>
                      <w:sz w:val="18"/>
                      <w:szCs w:val="18"/>
                    </w:rPr>
                  </w:pPr>
                  <w:r>
                    <w:rPr>
                      <w:rFonts w:eastAsia="等线"/>
                      <w:sz w:val="18"/>
                      <w:szCs w:val="18"/>
                    </w:rPr>
                    <w:t>0.58</w:t>
                  </w:r>
                </w:p>
              </w:tc>
              <w:tc>
                <w:tcPr>
                  <w:tcW w:w="814" w:type="dxa"/>
                  <w:shd w:val="clear" w:color="auto" w:fill="auto"/>
                  <w:noWrap/>
                  <w:vAlign w:val="center"/>
                </w:tcPr>
                <w:p>
                  <w:pPr>
                    <w:jc w:val="center"/>
                    <w:rPr>
                      <w:rFonts w:eastAsia="等线"/>
                      <w:sz w:val="18"/>
                      <w:szCs w:val="18"/>
                    </w:rPr>
                  </w:pPr>
                  <w:r>
                    <w:rPr>
                      <w:rFonts w:eastAsia="等线"/>
                      <w:sz w:val="18"/>
                      <w:szCs w:val="18"/>
                    </w:rPr>
                    <w:t>0.0113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15" w:type="dxa"/>
                  <w:shd w:val="clear" w:color="auto" w:fill="auto"/>
                  <w:noWrap/>
                  <w:vAlign w:val="bottom"/>
                </w:tcPr>
                <w:p>
                  <w:pPr>
                    <w:jc w:val="center"/>
                    <w:rPr>
                      <w:rFonts w:eastAsia="楷体"/>
                      <w:sz w:val="18"/>
                      <w:szCs w:val="18"/>
                    </w:rPr>
                  </w:pPr>
                  <w:r>
                    <w:rPr>
                      <w:rFonts w:eastAsia="楷体"/>
                      <w:sz w:val="18"/>
                      <w:szCs w:val="18"/>
                    </w:rPr>
                    <w:t>20</w:t>
                  </w:r>
                </w:p>
              </w:tc>
              <w:tc>
                <w:tcPr>
                  <w:tcW w:w="816" w:type="dxa"/>
                  <w:shd w:val="clear" w:color="auto" w:fill="auto"/>
                  <w:noWrap/>
                  <w:vAlign w:val="bottom"/>
                </w:tcPr>
                <w:p>
                  <w:pPr>
                    <w:jc w:val="center"/>
                    <w:rPr>
                      <w:rFonts w:eastAsia="楷体"/>
                      <w:sz w:val="18"/>
                      <w:szCs w:val="18"/>
                    </w:rPr>
                  </w:pPr>
                  <w:r>
                    <w:rPr>
                      <w:rFonts w:eastAsia="楷体"/>
                      <w:sz w:val="18"/>
                      <w:szCs w:val="18"/>
                    </w:rPr>
                    <w:t>19</w:t>
                  </w:r>
                </w:p>
              </w:tc>
              <w:tc>
                <w:tcPr>
                  <w:tcW w:w="910" w:type="dxa"/>
                  <w:shd w:val="clear" w:color="auto" w:fill="auto"/>
                  <w:noWrap/>
                  <w:vAlign w:val="bottom"/>
                </w:tcPr>
                <w:p>
                  <w:pPr>
                    <w:jc w:val="center"/>
                    <w:rPr>
                      <w:rFonts w:eastAsia="楷体"/>
                      <w:sz w:val="18"/>
                      <w:szCs w:val="18"/>
                    </w:rPr>
                  </w:pPr>
                  <w:r>
                    <w:rPr>
                      <w:rFonts w:eastAsia="楷体"/>
                      <w:sz w:val="18"/>
                      <w:szCs w:val="18"/>
                    </w:rPr>
                    <w:t>底层</w:t>
                  </w:r>
                </w:p>
              </w:tc>
              <w:tc>
                <w:tcPr>
                  <w:tcW w:w="816" w:type="dxa"/>
                  <w:shd w:val="clear" w:color="auto" w:fill="auto"/>
                  <w:noWrap/>
                  <w:vAlign w:val="center"/>
                </w:tcPr>
                <w:p>
                  <w:pPr>
                    <w:jc w:val="center"/>
                    <w:rPr>
                      <w:sz w:val="18"/>
                      <w:szCs w:val="18"/>
                    </w:rPr>
                  </w:pPr>
                  <w:r>
                    <w:rPr>
                      <w:rFonts w:eastAsia="等线"/>
                      <w:sz w:val="18"/>
                      <w:szCs w:val="18"/>
                    </w:rPr>
                    <w:t>21.3</w:t>
                  </w:r>
                </w:p>
              </w:tc>
              <w:tc>
                <w:tcPr>
                  <w:tcW w:w="816" w:type="dxa"/>
                  <w:shd w:val="clear" w:color="auto" w:fill="auto"/>
                  <w:noWrap/>
                  <w:vAlign w:val="center"/>
                </w:tcPr>
                <w:p>
                  <w:pPr>
                    <w:jc w:val="center"/>
                    <w:rPr>
                      <w:rFonts w:eastAsia="等线"/>
                      <w:sz w:val="18"/>
                      <w:szCs w:val="18"/>
                    </w:rPr>
                  </w:pPr>
                  <w:r>
                    <w:rPr>
                      <w:rFonts w:eastAsia="等线"/>
                      <w:sz w:val="18"/>
                      <w:szCs w:val="18"/>
                    </w:rPr>
                    <w:t>7.86</w:t>
                  </w:r>
                </w:p>
              </w:tc>
              <w:tc>
                <w:tcPr>
                  <w:tcW w:w="818" w:type="dxa"/>
                  <w:shd w:val="clear" w:color="auto" w:fill="auto"/>
                  <w:noWrap/>
                  <w:vAlign w:val="center"/>
                </w:tcPr>
                <w:p>
                  <w:pPr>
                    <w:jc w:val="center"/>
                    <w:rPr>
                      <w:rFonts w:eastAsia="等线"/>
                      <w:sz w:val="18"/>
                      <w:szCs w:val="18"/>
                    </w:rPr>
                  </w:pPr>
                  <w:r>
                    <w:rPr>
                      <w:rFonts w:eastAsia="等线"/>
                      <w:sz w:val="18"/>
                      <w:szCs w:val="18"/>
                    </w:rPr>
                    <w:t>31.71</w:t>
                  </w:r>
                </w:p>
              </w:tc>
              <w:tc>
                <w:tcPr>
                  <w:tcW w:w="818" w:type="dxa"/>
                  <w:shd w:val="clear" w:color="auto" w:fill="auto"/>
                  <w:noWrap/>
                  <w:vAlign w:val="center"/>
                </w:tcPr>
                <w:p>
                  <w:pPr>
                    <w:jc w:val="center"/>
                    <w:rPr>
                      <w:rFonts w:eastAsia="等线"/>
                      <w:sz w:val="18"/>
                      <w:szCs w:val="18"/>
                    </w:rPr>
                  </w:pPr>
                  <w:r>
                    <w:rPr>
                      <w:rFonts w:eastAsia="等线"/>
                      <w:sz w:val="18"/>
                      <w:szCs w:val="18"/>
                    </w:rPr>
                    <w:t>11.7</w:t>
                  </w:r>
                </w:p>
              </w:tc>
              <w:tc>
                <w:tcPr>
                  <w:tcW w:w="818" w:type="dxa"/>
                  <w:shd w:val="clear" w:color="auto" w:fill="auto"/>
                  <w:noWrap/>
                  <w:vAlign w:val="center"/>
                </w:tcPr>
                <w:p>
                  <w:pPr>
                    <w:jc w:val="center"/>
                    <w:rPr>
                      <w:rFonts w:eastAsia="等线"/>
                      <w:sz w:val="18"/>
                      <w:szCs w:val="18"/>
                    </w:rPr>
                  </w:pPr>
                  <w:r>
                    <w:rPr>
                      <w:sz w:val="18"/>
                      <w:szCs w:val="18"/>
                    </w:rPr>
                    <w:t>7.84</w:t>
                  </w:r>
                </w:p>
              </w:tc>
              <w:tc>
                <w:tcPr>
                  <w:tcW w:w="818" w:type="dxa"/>
                  <w:shd w:val="clear" w:color="auto" w:fill="auto"/>
                  <w:noWrap/>
                  <w:vAlign w:val="center"/>
                </w:tcPr>
                <w:p>
                  <w:pPr>
                    <w:jc w:val="center"/>
                    <w:rPr>
                      <w:rFonts w:eastAsia="等线"/>
                      <w:sz w:val="18"/>
                      <w:szCs w:val="18"/>
                    </w:rPr>
                  </w:pPr>
                  <w:r>
                    <w:rPr>
                      <w:rFonts w:eastAsia="等线"/>
                      <w:sz w:val="18"/>
                      <w:szCs w:val="18"/>
                    </w:rPr>
                    <w:t>0.68</w:t>
                  </w:r>
                </w:p>
              </w:tc>
              <w:tc>
                <w:tcPr>
                  <w:tcW w:w="814" w:type="dxa"/>
                  <w:shd w:val="clear" w:color="auto" w:fill="auto"/>
                  <w:noWrap/>
                  <w:vAlign w:val="center"/>
                </w:tcPr>
                <w:p>
                  <w:pPr>
                    <w:jc w:val="center"/>
                    <w:rPr>
                      <w:rFonts w:eastAsia="等线"/>
                      <w:sz w:val="18"/>
                      <w:szCs w:val="18"/>
                    </w:rPr>
                  </w:pPr>
                  <w:r>
                    <w:rPr>
                      <w:rFonts w:eastAsia="等线"/>
                      <w:sz w:val="18"/>
                      <w:szCs w:val="18"/>
                    </w:rPr>
                    <w:t>-</w:t>
                  </w:r>
                </w:p>
              </w:tc>
            </w:tr>
          </w:tbl>
          <w:p>
            <w:pPr>
              <w:pStyle w:val="279"/>
              <w:snapToGrid w:val="0"/>
              <w:ind w:firstLine="480"/>
            </w:pPr>
            <w:r>
              <w:t>表</w:t>
            </w:r>
            <w:r>
              <w:rPr>
                <w:rFonts w:hint="eastAsia"/>
              </w:rPr>
              <w:t>4</w:t>
            </w:r>
            <w:r>
              <w:t>.</w:t>
            </w:r>
            <w:r>
              <w:rPr>
                <w:rFonts w:hint="eastAsia"/>
              </w:rPr>
              <w:t>1.</w:t>
            </w:r>
            <w:r>
              <w:t>1-3(b) 水质监测结果</w:t>
            </w:r>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21"/>
              <w:gridCol w:w="921"/>
              <w:gridCol w:w="722"/>
              <w:gridCol w:w="1113"/>
              <w:gridCol w:w="1098"/>
              <w:gridCol w:w="963"/>
              <w:gridCol w:w="826"/>
              <w:gridCol w:w="780"/>
              <w:gridCol w:w="91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blHeader/>
                <w:jc w:val="center"/>
              </w:trPr>
              <w:tc>
                <w:tcPr>
                  <w:tcW w:w="921" w:type="dxa"/>
                  <w:shd w:val="clear" w:color="auto" w:fill="auto"/>
                  <w:noWrap/>
                  <w:vAlign w:val="center"/>
                </w:tcPr>
                <w:p>
                  <w:pPr>
                    <w:jc w:val="center"/>
                    <w:rPr>
                      <w:b/>
                      <w:sz w:val="18"/>
                      <w:szCs w:val="18"/>
                    </w:rPr>
                  </w:pPr>
                  <w:r>
                    <w:rPr>
                      <w:b/>
                      <w:sz w:val="18"/>
                      <w:szCs w:val="18"/>
                    </w:rPr>
                    <w:t>站位</w:t>
                  </w:r>
                </w:p>
              </w:tc>
              <w:tc>
                <w:tcPr>
                  <w:tcW w:w="921" w:type="dxa"/>
                  <w:shd w:val="clear" w:color="auto" w:fill="auto"/>
                  <w:noWrap/>
                  <w:vAlign w:val="center"/>
                </w:tcPr>
                <w:p>
                  <w:pPr>
                    <w:jc w:val="center"/>
                    <w:rPr>
                      <w:b/>
                      <w:sz w:val="18"/>
                      <w:szCs w:val="18"/>
                    </w:rPr>
                  </w:pPr>
                  <w:r>
                    <w:rPr>
                      <w:b/>
                      <w:sz w:val="18"/>
                      <w:szCs w:val="18"/>
                    </w:rPr>
                    <w:t>水深</w:t>
                  </w:r>
                </w:p>
                <w:p>
                  <w:pPr>
                    <w:jc w:val="center"/>
                    <w:rPr>
                      <w:b/>
                      <w:sz w:val="18"/>
                      <w:szCs w:val="18"/>
                    </w:rPr>
                  </w:pPr>
                  <w:r>
                    <w:rPr>
                      <w:b/>
                      <w:sz w:val="18"/>
                      <w:szCs w:val="18"/>
                    </w:rPr>
                    <w:t>(m)</w:t>
                  </w:r>
                </w:p>
              </w:tc>
              <w:tc>
                <w:tcPr>
                  <w:tcW w:w="722" w:type="dxa"/>
                  <w:shd w:val="clear" w:color="auto" w:fill="auto"/>
                  <w:noWrap/>
                  <w:vAlign w:val="center"/>
                </w:tcPr>
                <w:p>
                  <w:pPr>
                    <w:jc w:val="center"/>
                    <w:rPr>
                      <w:b/>
                      <w:sz w:val="18"/>
                      <w:szCs w:val="18"/>
                    </w:rPr>
                  </w:pPr>
                  <w:r>
                    <w:rPr>
                      <w:b/>
                      <w:sz w:val="18"/>
                      <w:szCs w:val="18"/>
                    </w:rPr>
                    <w:t>采样层次</w:t>
                  </w:r>
                </w:p>
              </w:tc>
              <w:tc>
                <w:tcPr>
                  <w:tcW w:w="1113" w:type="dxa"/>
                  <w:shd w:val="clear" w:color="auto" w:fill="auto"/>
                  <w:noWrap/>
                  <w:vAlign w:val="center"/>
                </w:tcPr>
                <w:p>
                  <w:pPr>
                    <w:jc w:val="center"/>
                    <w:rPr>
                      <w:b/>
                      <w:sz w:val="18"/>
                      <w:szCs w:val="18"/>
                    </w:rPr>
                  </w:pPr>
                  <w:r>
                    <w:rPr>
                      <w:b/>
                      <w:sz w:val="18"/>
                      <w:szCs w:val="18"/>
                    </w:rPr>
                    <w:t>活性磷酸盐</w:t>
                  </w:r>
                </w:p>
                <w:p>
                  <w:pPr>
                    <w:jc w:val="center"/>
                    <w:rPr>
                      <w:b/>
                      <w:sz w:val="18"/>
                      <w:szCs w:val="18"/>
                    </w:rPr>
                  </w:pPr>
                  <w:r>
                    <w:rPr>
                      <w:b/>
                      <w:sz w:val="18"/>
                      <w:szCs w:val="18"/>
                    </w:rPr>
                    <w:t>(</w:t>
                  </w:r>
                  <w:r>
                    <w:rPr>
                      <w:rFonts w:eastAsia="楷体"/>
                      <w:b/>
                      <w:sz w:val="18"/>
                      <w:szCs w:val="18"/>
                    </w:rPr>
                    <w:t>μ</w:t>
                  </w:r>
                  <w:r>
                    <w:rPr>
                      <w:b/>
                      <w:sz w:val="18"/>
                      <w:szCs w:val="18"/>
                    </w:rPr>
                    <w:t>g/L)</w:t>
                  </w:r>
                </w:p>
              </w:tc>
              <w:tc>
                <w:tcPr>
                  <w:tcW w:w="1098" w:type="dxa"/>
                  <w:shd w:val="clear" w:color="auto" w:fill="auto"/>
                  <w:noWrap/>
                  <w:vAlign w:val="center"/>
                </w:tcPr>
                <w:p>
                  <w:pPr>
                    <w:jc w:val="center"/>
                    <w:rPr>
                      <w:b/>
                      <w:sz w:val="18"/>
                      <w:szCs w:val="18"/>
                    </w:rPr>
                  </w:pPr>
                  <w:r>
                    <w:rPr>
                      <w:b/>
                      <w:sz w:val="18"/>
                      <w:szCs w:val="18"/>
                    </w:rPr>
                    <w:t>亚硝酸盐-氮(</w:t>
                  </w:r>
                  <w:r>
                    <w:rPr>
                      <w:rFonts w:eastAsia="楷体"/>
                      <w:b/>
                      <w:sz w:val="18"/>
                      <w:szCs w:val="18"/>
                    </w:rPr>
                    <w:t>μ</w:t>
                  </w:r>
                  <w:r>
                    <w:rPr>
                      <w:b/>
                      <w:sz w:val="18"/>
                      <w:szCs w:val="18"/>
                    </w:rPr>
                    <w:t>g/L)</w:t>
                  </w:r>
                </w:p>
              </w:tc>
              <w:tc>
                <w:tcPr>
                  <w:tcW w:w="963" w:type="dxa"/>
                  <w:shd w:val="clear" w:color="auto" w:fill="auto"/>
                  <w:noWrap/>
                  <w:vAlign w:val="center"/>
                </w:tcPr>
                <w:p>
                  <w:pPr>
                    <w:jc w:val="center"/>
                    <w:rPr>
                      <w:b/>
                      <w:sz w:val="18"/>
                      <w:szCs w:val="18"/>
                    </w:rPr>
                  </w:pPr>
                  <w:r>
                    <w:rPr>
                      <w:b/>
                      <w:sz w:val="18"/>
                      <w:szCs w:val="18"/>
                    </w:rPr>
                    <w:t>硝酸盐-氮(</w:t>
                  </w:r>
                  <w:r>
                    <w:rPr>
                      <w:rFonts w:eastAsia="楷体"/>
                      <w:b/>
                      <w:sz w:val="18"/>
                      <w:szCs w:val="18"/>
                    </w:rPr>
                    <w:t>μ</w:t>
                  </w:r>
                  <w:r>
                    <w:rPr>
                      <w:b/>
                      <w:sz w:val="18"/>
                      <w:szCs w:val="18"/>
                    </w:rPr>
                    <w:t>g/L)</w:t>
                  </w:r>
                </w:p>
              </w:tc>
              <w:tc>
                <w:tcPr>
                  <w:tcW w:w="826" w:type="dxa"/>
                  <w:shd w:val="clear" w:color="auto" w:fill="auto"/>
                  <w:noWrap/>
                  <w:vAlign w:val="center"/>
                </w:tcPr>
                <w:p>
                  <w:pPr>
                    <w:jc w:val="center"/>
                    <w:rPr>
                      <w:b/>
                      <w:sz w:val="18"/>
                      <w:szCs w:val="18"/>
                    </w:rPr>
                  </w:pPr>
                  <w:r>
                    <w:rPr>
                      <w:b/>
                      <w:sz w:val="18"/>
                      <w:szCs w:val="18"/>
                    </w:rPr>
                    <w:t>氨-氮(</w:t>
                  </w:r>
                  <w:r>
                    <w:rPr>
                      <w:rFonts w:eastAsia="楷体"/>
                      <w:b/>
                      <w:sz w:val="18"/>
                      <w:szCs w:val="18"/>
                    </w:rPr>
                    <w:t>μ</w:t>
                  </w:r>
                  <w:r>
                    <w:rPr>
                      <w:b/>
                      <w:sz w:val="18"/>
                      <w:szCs w:val="18"/>
                    </w:rPr>
                    <w:t>g/L)</w:t>
                  </w:r>
                </w:p>
              </w:tc>
              <w:tc>
                <w:tcPr>
                  <w:tcW w:w="780" w:type="dxa"/>
                  <w:shd w:val="clear" w:color="auto" w:fill="auto"/>
                  <w:noWrap/>
                  <w:vAlign w:val="center"/>
                </w:tcPr>
                <w:p>
                  <w:pPr>
                    <w:jc w:val="center"/>
                    <w:rPr>
                      <w:b/>
                      <w:sz w:val="18"/>
                      <w:szCs w:val="18"/>
                    </w:rPr>
                  </w:pPr>
                  <w:r>
                    <w:rPr>
                      <w:b/>
                      <w:sz w:val="18"/>
                      <w:szCs w:val="18"/>
                    </w:rPr>
                    <w:t>硫化物(mg/L)</w:t>
                  </w:r>
                </w:p>
              </w:tc>
              <w:tc>
                <w:tcPr>
                  <w:tcW w:w="915" w:type="dxa"/>
                  <w:shd w:val="clear" w:color="auto" w:fill="auto"/>
                  <w:noWrap/>
                  <w:vAlign w:val="center"/>
                </w:tcPr>
                <w:p>
                  <w:pPr>
                    <w:jc w:val="center"/>
                    <w:rPr>
                      <w:b/>
                      <w:sz w:val="18"/>
                      <w:szCs w:val="18"/>
                    </w:rPr>
                  </w:pPr>
                  <w:r>
                    <w:rPr>
                      <w:b/>
                      <w:sz w:val="18"/>
                      <w:szCs w:val="18"/>
                    </w:rPr>
                    <w:t>挥发酚(mg/L)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w:t>
                  </w:r>
                </w:p>
              </w:tc>
              <w:tc>
                <w:tcPr>
                  <w:tcW w:w="921" w:type="dxa"/>
                  <w:shd w:val="clear" w:color="auto" w:fill="auto"/>
                  <w:noWrap/>
                  <w:vAlign w:val="bottom"/>
                </w:tcPr>
                <w:p>
                  <w:pPr>
                    <w:jc w:val="center"/>
                    <w:rPr>
                      <w:sz w:val="18"/>
                      <w:szCs w:val="18"/>
                    </w:rPr>
                  </w:pPr>
                  <w:r>
                    <w:rPr>
                      <w:rFonts w:eastAsia="楷体"/>
                      <w:sz w:val="18"/>
                      <w:szCs w:val="18"/>
                    </w:rPr>
                    <w:t>3</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0.62</w:t>
                  </w:r>
                </w:p>
              </w:tc>
              <w:tc>
                <w:tcPr>
                  <w:tcW w:w="1098" w:type="dxa"/>
                  <w:shd w:val="clear" w:color="auto" w:fill="auto"/>
                  <w:noWrap/>
                  <w:vAlign w:val="center"/>
                </w:tcPr>
                <w:p>
                  <w:pPr>
                    <w:jc w:val="center"/>
                    <w:rPr>
                      <w:sz w:val="18"/>
                      <w:szCs w:val="18"/>
                    </w:rPr>
                  </w:pPr>
                  <w:r>
                    <w:rPr>
                      <w:sz w:val="18"/>
                      <w:szCs w:val="18"/>
                    </w:rPr>
                    <w:t>0.98</w:t>
                  </w:r>
                </w:p>
              </w:tc>
              <w:tc>
                <w:tcPr>
                  <w:tcW w:w="963" w:type="dxa"/>
                  <w:shd w:val="clear" w:color="auto" w:fill="auto"/>
                  <w:noWrap/>
                  <w:vAlign w:val="center"/>
                </w:tcPr>
                <w:p>
                  <w:pPr>
                    <w:jc w:val="center"/>
                    <w:rPr>
                      <w:sz w:val="18"/>
                      <w:szCs w:val="18"/>
                    </w:rPr>
                  </w:pPr>
                  <w:r>
                    <w:rPr>
                      <w:sz w:val="18"/>
                      <w:szCs w:val="18"/>
                    </w:rPr>
                    <w:t>11.</w:t>
                  </w:r>
                  <w:r>
                    <w:rPr>
                      <w:rFonts w:hint="eastAsia"/>
                      <w:sz w:val="18"/>
                      <w:szCs w:val="18"/>
                    </w:rPr>
                    <w:t>5</w:t>
                  </w:r>
                </w:p>
              </w:tc>
              <w:tc>
                <w:tcPr>
                  <w:tcW w:w="826" w:type="dxa"/>
                  <w:shd w:val="clear" w:color="auto" w:fill="auto"/>
                  <w:noWrap/>
                  <w:vAlign w:val="center"/>
                </w:tcPr>
                <w:p>
                  <w:pPr>
                    <w:jc w:val="center"/>
                    <w:rPr>
                      <w:sz w:val="18"/>
                      <w:szCs w:val="18"/>
                    </w:rPr>
                  </w:pPr>
                  <w:r>
                    <w:rPr>
                      <w:sz w:val="18"/>
                      <w:szCs w:val="18"/>
                    </w:rPr>
                    <w:t>0.42</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2</w:t>
                  </w:r>
                </w:p>
              </w:tc>
              <w:tc>
                <w:tcPr>
                  <w:tcW w:w="921" w:type="dxa"/>
                  <w:shd w:val="clear" w:color="auto" w:fill="auto"/>
                  <w:noWrap/>
                  <w:vAlign w:val="bottom"/>
                </w:tcPr>
                <w:p>
                  <w:pPr>
                    <w:jc w:val="center"/>
                    <w:rPr>
                      <w:sz w:val="18"/>
                      <w:szCs w:val="18"/>
                    </w:rPr>
                  </w:pPr>
                  <w:r>
                    <w:rPr>
                      <w:rFonts w:eastAsia="楷体"/>
                      <w:sz w:val="18"/>
                      <w:szCs w:val="18"/>
                    </w:rPr>
                    <w:t>3</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1.82</w:t>
                  </w:r>
                </w:p>
              </w:tc>
              <w:tc>
                <w:tcPr>
                  <w:tcW w:w="963" w:type="dxa"/>
                  <w:shd w:val="clear" w:color="auto" w:fill="auto"/>
                  <w:noWrap/>
                  <w:vAlign w:val="center"/>
                </w:tcPr>
                <w:p>
                  <w:pPr>
                    <w:jc w:val="center"/>
                    <w:rPr>
                      <w:sz w:val="18"/>
                      <w:szCs w:val="18"/>
                    </w:rPr>
                  </w:pPr>
                  <w:r>
                    <w:rPr>
                      <w:sz w:val="18"/>
                      <w:szCs w:val="18"/>
                    </w:rPr>
                    <w:t>18.9</w:t>
                  </w:r>
                </w:p>
              </w:tc>
              <w:tc>
                <w:tcPr>
                  <w:tcW w:w="826" w:type="dxa"/>
                  <w:shd w:val="clear" w:color="auto" w:fill="auto"/>
                  <w:noWrap/>
                  <w:vAlign w:val="center"/>
                </w:tcPr>
                <w:p>
                  <w:pPr>
                    <w:jc w:val="center"/>
                    <w:rPr>
                      <w:sz w:val="18"/>
                      <w:szCs w:val="18"/>
                    </w:rPr>
                  </w:pPr>
                  <w:r>
                    <w:rPr>
                      <w:sz w:val="18"/>
                      <w:szCs w:val="18"/>
                    </w:rPr>
                    <w:t>1.09</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3</w:t>
                  </w:r>
                </w:p>
              </w:tc>
              <w:tc>
                <w:tcPr>
                  <w:tcW w:w="921" w:type="dxa"/>
                  <w:shd w:val="clear" w:color="auto" w:fill="auto"/>
                  <w:noWrap/>
                  <w:vAlign w:val="bottom"/>
                </w:tcPr>
                <w:p>
                  <w:pPr>
                    <w:jc w:val="center"/>
                    <w:rPr>
                      <w:sz w:val="18"/>
                      <w:szCs w:val="18"/>
                    </w:rPr>
                  </w:pPr>
                  <w:r>
                    <w:rPr>
                      <w:rFonts w:eastAsia="楷体"/>
                      <w:sz w:val="18"/>
                      <w:szCs w:val="18"/>
                    </w:rPr>
                    <w:t>5</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0.84</w:t>
                  </w:r>
                </w:p>
              </w:tc>
              <w:tc>
                <w:tcPr>
                  <w:tcW w:w="963" w:type="dxa"/>
                  <w:shd w:val="clear" w:color="auto" w:fill="auto"/>
                  <w:noWrap/>
                  <w:vAlign w:val="center"/>
                </w:tcPr>
                <w:p>
                  <w:pPr>
                    <w:jc w:val="center"/>
                    <w:rPr>
                      <w:sz w:val="18"/>
                      <w:szCs w:val="18"/>
                    </w:rPr>
                  </w:pPr>
                  <w:r>
                    <w:rPr>
                      <w:sz w:val="18"/>
                      <w:szCs w:val="18"/>
                    </w:rPr>
                    <w:t>22.</w:t>
                  </w:r>
                  <w:r>
                    <w:rPr>
                      <w:rFonts w:hint="eastAsia"/>
                      <w:sz w:val="18"/>
                      <w:szCs w:val="18"/>
                    </w:rPr>
                    <w:t>7</w:t>
                  </w:r>
                </w:p>
              </w:tc>
              <w:tc>
                <w:tcPr>
                  <w:tcW w:w="826" w:type="dxa"/>
                  <w:shd w:val="clear" w:color="auto" w:fill="auto"/>
                  <w:noWrap/>
                  <w:vAlign w:val="center"/>
                </w:tcPr>
                <w:p>
                  <w:pPr>
                    <w:jc w:val="center"/>
                    <w:rPr>
                      <w:sz w:val="18"/>
                      <w:szCs w:val="18"/>
                    </w:rPr>
                  </w:pPr>
                  <w:r>
                    <w:rPr>
                      <w:sz w:val="18"/>
                      <w:szCs w:val="18"/>
                    </w:rPr>
                    <w:t>未检出</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4</w:t>
                  </w:r>
                </w:p>
              </w:tc>
              <w:tc>
                <w:tcPr>
                  <w:tcW w:w="921" w:type="dxa"/>
                  <w:shd w:val="clear" w:color="auto" w:fill="auto"/>
                  <w:noWrap/>
                  <w:vAlign w:val="bottom"/>
                </w:tcPr>
                <w:p>
                  <w:pPr>
                    <w:jc w:val="center"/>
                    <w:rPr>
                      <w:sz w:val="18"/>
                      <w:szCs w:val="18"/>
                    </w:rPr>
                  </w:pPr>
                  <w:r>
                    <w:rPr>
                      <w:rFonts w:eastAsia="楷体"/>
                      <w:sz w:val="18"/>
                      <w:szCs w:val="18"/>
                    </w:rPr>
                    <w:t>5</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0.62</w:t>
                  </w:r>
                </w:p>
              </w:tc>
              <w:tc>
                <w:tcPr>
                  <w:tcW w:w="1098" w:type="dxa"/>
                  <w:shd w:val="clear" w:color="auto" w:fill="auto"/>
                  <w:noWrap/>
                  <w:vAlign w:val="center"/>
                </w:tcPr>
                <w:p>
                  <w:pPr>
                    <w:jc w:val="center"/>
                    <w:rPr>
                      <w:sz w:val="18"/>
                      <w:szCs w:val="18"/>
                    </w:rPr>
                  </w:pPr>
                  <w:r>
                    <w:rPr>
                      <w:sz w:val="18"/>
                      <w:szCs w:val="18"/>
                    </w:rPr>
                    <w:t>1.26</w:t>
                  </w:r>
                </w:p>
              </w:tc>
              <w:tc>
                <w:tcPr>
                  <w:tcW w:w="963" w:type="dxa"/>
                  <w:shd w:val="clear" w:color="auto" w:fill="auto"/>
                  <w:noWrap/>
                  <w:vAlign w:val="center"/>
                </w:tcPr>
                <w:p>
                  <w:pPr>
                    <w:jc w:val="center"/>
                    <w:rPr>
                      <w:sz w:val="18"/>
                      <w:szCs w:val="18"/>
                    </w:rPr>
                  </w:pPr>
                  <w:r>
                    <w:rPr>
                      <w:sz w:val="18"/>
                      <w:szCs w:val="18"/>
                    </w:rPr>
                    <w:t>14.5</w:t>
                  </w:r>
                </w:p>
              </w:tc>
              <w:tc>
                <w:tcPr>
                  <w:tcW w:w="826" w:type="dxa"/>
                  <w:shd w:val="clear" w:color="auto" w:fill="auto"/>
                  <w:noWrap/>
                  <w:vAlign w:val="center"/>
                </w:tcPr>
                <w:p>
                  <w:pPr>
                    <w:jc w:val="center"/>
                    <w:rPr>
                      <w:sz w:val="18"/>
                      <w:szCs w:val="18"/>
                    </w:rPr>
                  </w:pPr>
                  <w:r>
                    <w:rPr>
                      <w:sz w:val="18"/>
                      <w:szCs w:val="18"/>
                    </w:rPr>
                    <w:t>1.54</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0.0023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5</w:t>
                  </w:r>
                </w:p>
              </w:tc>
              <w:tc>
                <w:tcPr>
                  <w:tcW w:w="921" w:type="dxa"/>
                  <w:shd w:val="clear" w:color="auto" w:fill="auto"/>
                  <w:noWrap/>
                  <w:vAlign w:val="bottom"/>
                </w:tcPr>
                <w:p>
                  <w:pPr>
                    <w:jc w:val="center"/>
                    <w:rPr>
                      <w:sz w:val="18"/>
                      <w:szCs w:val="18"/>
                    </w:rPr>
                  </w:pPr>
                  <w:r>
                    <w:rPr>
                      <w:rFonts w:eastAsia="楷体"/>
                      <w:sz w:val="18"/>
                      <w:szCs w:val="18"/>
                    </w:rPr>
                    <w:t>4</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0.62</w:t>
                  </w:r>
                </w:p>
              </w:tc>
              <w:tc>
                <w:tcPr>
                  <w:tcW w:w="1098" w:type="dxa"/>
                  <w:shd w:val="clear" w:color="auto" w:fill="auto"/>
                  <w:noWrap/>
                  <w:vAlign w:val="center"/>
                </w:tcPr>
                <w:p>
                  <w:pPr>
                    <w:jc w:val="center"/>
                    <w:rPr>
                      <w:sz w:val="18"/>
                      <w:szCs w:val="18"/>
                    </w:rPr>
                  </w:pPr>
                  <w:r>
                    <w:rPr>
                      <w:sz w:val="18"/>
                      <w:szCs w:val="18"/>
                    </w:rPr>
                    <w:t>2.24</w:t>
                  </w:r>
                </w:p>
              </w:tc>
              <w:tc>
                <w:tcPr>
                  <w:tcW w:w="963" w:type="dxa"/>
                  <w:shd w:val="clear" w:color="auto" w:fill="auto"/>
                  <w:noWrap/>
                  <w:vAlign w:val="center"/>
                </w:tcPr>
                <w:p>
                  <w:pPr>
                    <w:jc w:val="center"/>
                    <w:rPr>
                      <w:sz w:val="18"/>
                      <w:szCs w:val="18"/>
                    </w:rPr>
                  </w:pPr>
                  <w:r>
                    <w:rPr>
                      <w:sz w:val="18"/>
                      <w:szCs w:val="18"/>
                    </w:rPr>
                    <w:t>26.</w:t>
                  </w:r>
                  <w:r>
                    <w:rPr>
                      <w:rFonts w:hint="eastAsia"/>
                      <w:sz w:val="18"/>
                      <w:szCs w:val="18"/>
                    </w:rPr>
                    <w:t>2</w:t>
                  </w:r>
                </w:p>
              </w:tc>
              <w:tc>
                <w:tcPr>
                  <w:tcW w:w="826" w:type="dxa"/>
                  <w:shd w:val="clear" w:color="auto" w:fill="auto"/>
                  <w:noWrap/>
                  <w:vAlign w:val="center"/>
                </w:tcPr>
                <w:p>
                  <w:pPr>
                    <w:jc w:val="center"/>
                    <w:rPr>
                      <w:sz w:val="18"/>
                      <w:szCs w:val="18"/>
                    </w:rPr>
                  </w:pPr>
                  <w:r>
                    <w:rPr>
                      <w:sz w:val="18"/>
                      <w:szCs w:val="18"/>
                    </w:rPr>
                    <w:t>1.20</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widowControl/>
                    <w:jc w:val="center"/>
                    <w:rPr>
                      <w:rFonts w:eastAsia="等线"/>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6</w:t>
                  </w:r>
                </w:p>
              </w:tc>
              <w:tc>
                <w:tcPr>
                  <w:tcW w:w="921" w:type="dxa"/>
                  <w:shd w:val="clear" w:color="auto" w:fill="auto"/>
                  <w:noWrap/>
                  <w:vAlign w:val="bottom"/>
                </w:tcPr>
                <w:p>
                  <w:pPr>
                    <w:jc w:val="center"/>
                    <w:rPr>
                      <w:sz w:val="18"/>
                      <w:szCs w:val="18"/>
                    </w:rPr>
                  </w:pPr>
                  <w:r>
                    <w:rPr>
                      <w:rFonts w:eastAsia="楷体"/>
                      <w:sz w:val="18"/>
                      <w:szCs w:val="18"/>
                    </w:rPr>
                    <w:t>8</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1.54</w:t>
                  </w:r>
                </w:p>
              </w:tc>
              <w:tc>
                <w:tcPr>
                  <w:tcW w:w="963" w:type="dxa"/>
                  <w:shd w:val="clear" w:color="auto" w:fill="auto"/>
                  <w:noWrap/>
                  <w:vAlign w:val="center"/>
                </w:tcPr>
                <w:p>
                  <w:pPr>
                    <w:jc w:val="center"/>
                    <w:rPr>
                      <w:sz w:val="18"/>
                      <w:szCs w:val="18"/>
                    </w:rPr>
                  </w:pPr>
                  <w:r>
                    <w:rPr>
                      <w:sz w:val="18"/>
                      <w:szCs w:val="18"/>
                    </w:rPr>
                    <w:t>16.5</w:t>
                  </w:r>
                  <w:r>
                    <w:rPr>
                      <w:rFonts w:hint="eastAsia"/>
                      <w:sz w:val="18"/>
                      <w:szCs w:val="18"/>
                    </w:rPr>
                    <w:t>1</w:t>
                  </w:r>
                </w:p>
              </w:tc>
              <w:tc>
                <w:tcPr>
                  <w:tcW w:w="826" w:type="dxa"/>
                  <w:shd w:val="clear" w:color="auto" w:fill="auto"/>
                  <w:noWrap/>
                  <w:vAlign w:val="center"/>
                </w:tcPr>
                <w:p>
                  <w:pPr>
                    <w:jc w:val="center"/>
                    <w:rPr>
                      <w:sz w:val="18"/>
                      <w:szCs w:val="18"/>
                    </w:rPr>
                  </w:pPr>
                  <w:r>
                    <w:rPr>
                      <w:sz w:val="18"/>
                      <w:szCs w:val="18"/>
                    </w:rPr>
                    <w:t>2.4</w:t>
                  </w:r>
                  <w:r>
                    <w:rPr>
                      <w:rFonts w:hint="eastAsia"/>
                      <w:sz w:val="18"/>
                      <w:szCs w:val="18"/>
                    </w:rPr>
                    <w:t>1</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7</w:t>
                  </w:r>
                </w:p>
              </w:tc>
              <w:tc>
                <w:tcPr>
                  <w:tcW w:w="921" w:type="dxa"/>
                  <w:shd w:val="clear" w:color="auto" w:fill="auto"/>
                  <w:noWrap/>
                  <w:vAlign w:val="bottom"/>
                </w:tcPr>
                <w:p>
                  <w:pPr>
                    <w:jc w:val="center"/>
                    <w:rPr>
                      <w:sz w:val="18"/>
                      <w:szCs w:val="18"/>
                    </w:rPr>
                  </w:pPr>
                  <w:r>
                    <w:rPr>
                      <w:rFonts w:eastAsia="楷体"/>
                      <w:sz w:val="18"/>
                      <w:szCs w:val="18"/>
                    </w:rPr>
                    <w:t>6</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0.98</w:t>
                  </w:r>
                </w:p>
              </w:tc>
              <w:tc>
                <w:tcPr>
                  <w:tcW w:w="963" w:type="dxa"/>
                  <w:shd w:val="clear" w:color="auto" w:fill="auto"/>
                  <w:noWrap/>
                  <w:vAlign w:val="center"/>
                </w:tcPr>
                <w:p>
                  <w:pPr>
                    <w:jc w:val="center"/>
                    <w:rPr>
                      <w:sz w:val="18"/>
                      <w:szCs w:val="18"/>
                    </w:rPr>
                  </w:pPr>
                  <w:r>
                    <w:rPr>
                      <w:sz w:val="18"/>
                      <w:szCs w:val="18"/>
                    </w:rPr>
                    <w:t>14.1</w:t>
                  </w:r>
                </w:p>
              </w:tc>
              <w:tc>
                <w:tcPr>
                  <w:tcW w:w="826" w:type="dxa"/>
                  <w:shd w:val="clear" w:color="auto" w:fill="auto"/>
                  <w:noWrap/>
                  <w:vAlign w:val="center"/>
                </w:tcPr>
                <w:p>
                  <w:pPr>
                    <w:jc w:val="center"/>
                    <w:rPr>
                      <w:sz w:val="18"/>
                      <w:szCs w:val="18"/>
                    </w:rPr>
                  </w:pPr>
                  <w:r>
                    <w:rPr>
                      <w:sz w:val="18"/>
                      <w:szCs w:val="18"/>
                    </w:rPr>
                    <w:t>0.</w:t>
                  </w:r>
                  <w:r>
                    <w:rPr>
                      <w:rFonts w:hint="eastAsia"/>
                      <w:sz w:val="18"/>
                      <w:szCs w:val="18"/>
                    </w:rPr>
                    <w:t>80</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8</w:t>
                  </w:r>
                </w:p>
              </w:tc>
              <w:tc>
                <w:tcPr>
                  <w:tcW w:w="921" w:type="dxa"/>
                  <w:shd w:val="clear" w:color="auto" w:fill="auto"/>
                  <w:noWrap/>
                  <w:vAlign w:val="bottom"/>
                </w:tcPr>
                <w:p>
                  <w:pPr>
                    <w:jc w:val="center"/>
                    <w:rPr>
                      <w:sz w:val="18"/>
                      <w:szCs w:val="18"/>
                    </w:rPr>
                  </w:pPr>
                  <w:r>
                    <w:rPr>
                      <w:rFonts w:eastAsia="楷体"/>
                      <w:sz w:val="18"/>
                      <w:szCs w:val="18"/>
                    </w:rPr>
                    <w:t>5</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0.98</w:t>
                  </w:r>
                </w:p>
              </w:tc>
              <w:tc>
                <w:tcPr>
                  <w:tcW w:w="963" w:type="dxa"/>
                  <w:shd w:val="clear" w:color="auto" w:fill="auto"/>
                  <w:noWrap/>
                  <w:vAlign w:val="center"/>
                </w:tcPr>
                <w:p>
                  <w:pPr>
                    <w:jc w:val="center"/>
                    <w:rPr>
                      <w:sz w:val="18"/>
                      <w:szCs w:val="18"/>
                    </w:rPr>
                  </w:pPr>
                  <w:r>
                    <w:rPr>
                      <w:sz w:val="18"/>
                      <w:szCs w:val="18"/>
                    </w:rPr>
                    <w:t>4.76</w:t>
                  </w:r>
                </w:p>
              </w:tc>
              <w:tc>
                <w:tcPr>
                  <w:tcW w:w="826" w:type="dxa"/>
                  <w:shd w:val="clear" w:color="auto" w:fill="auto"/>
                  <w:noWrap/>
                  <w:vAlign w:val="center"/>
                </w:tcPr>
                <w:p>
                  <w:pPr>
                    <w:jc w:val="center"/>
                    <w:rPr>
                      <w:sz w:val="18"/>
                      <w:szCs w:val="18"/>
                    </w:rPr>
                  </w:pPr>
                  <w:r>
                    <w:rPr>
                      <w:sz w:val="18"/>
                      <w:szCs w:val="18"/>
                    </w:rPr>
                    <w:t>1.82</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widowControl/>
                    <w:jc w:val="center"/>
                    <w:rPr>
                      <w:rFonts w:eastAsia="等线"/>
                      <w:sz w:val="18"/>
                      <w:szCs w:val="18"/>
                    </w:rPr>
                  </w:pPr>
                  <w:r>
                    <w:rPr>
                      <w:rFonts w:hint="eastAsia"/>
                      <w:sz w:val="18"/>
                      <w:szCs w:val="18"/>
                    </w:rPr>
                    <w:t>0.0036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9</w:t>
                  </w:r>
                </w:p>
              </w:tc>
              <w:tc>
                <w:tcPr>
                  <w:tcW w:w="921" w:type="dxa"/>
                  <w:shd w:val="clear" w:color="auto" w:fill="auto"/>
                  <w:noWrap/>
                  <w:vAlign w:val="bottom"/>
                </w:tcPr>
                <w:p>
                  <w:pPr>
                    <w:jc w:val="center"/>
                    <w:rPr>
                      <w:sz w:val="18"/>
                      <w:szCs w:val="18"/>
                    </w:rPr>
                  </w:pPr>
                  <w:r>
                    <w:rPr>
                      <w:rFonts w:eastAsia="楷体"/>
                      <w:sz w:val="18"/>
                      <w:szCs w:val="18"/>
                    </w:rPr>
                    <w:t>9</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1.12</w:t>
                  </w:r>
                </w:p>
              </w:tc>
              <w:tc>
                <w:tcPr>
                  <w:tcW w:w="963" w:type="dxa"/>
                  <w:shd w:val="clear" w:color="auto" w:fill="auto"/>
                  <w:noWrap/>
                  <w:vAlign w:val="center"/>
                </w:tcPr>
                <w:p>
                  <w:pPr>
                    <w:jc w:val="center"/>
                    <w:rPr>
                      <w:sz w:val="18"/>
                      <w:szCs w:val="18"/>
                    </w:rPr>
                  </w:pPr>
                  <w:r>
                    <w:rPr>
                      <w:sz w:val="18"/>
                      <w:szCs w:val="18"/>
                    </w:rPr>
                    <w:t>9.24</w:t>
                  </w:r>
                </w:p>
              </w:tc>
              <w:tc>
                <w:tcPr>
                  <w:tcW w:w="826" w:type="dxa"/>
                  <w:shd w:val="clear" w:color="auto" w:fill="auto"/>
                  <w:noWrap/>
                  <w:vAlign w:val="center"/>
                </w:tcPr>
                <w:p>
                  <w:pPr>
                    <w:jc w:val="center"/>
                    <w:rPr>
                      <w:sz w:val="18"/>
                      <w:szCs w:val="18"/>
                    </w:rPr>
                  </w:pPr>
                  <w:r>
                    <w:rPr>
                      <w:sz w:val="18"/>
                      <w:szCs w:val="18"/>
                    </w:rPr>
                    <w:t>3.22</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10</w:t>
                  </w:r>
                </w:p>
              </w:tc>
              <w:tc>
                <w:tcPr>
                  <w:tcW w:w="921" w:type="dxa"/>
                  <w:shd w:val="clear" w:color="auto" w:fill="auto"/>
                  <w:noWrap/>
                  <w:vAlign w:val="bottom"/>
                </w:tcPr>
                <w:p>
                  <w:pPr>
                    <w:jc w:val="center"/>
                    <w:rPr>
                      <w:sz w:val="18"/>
                      <w:szCs w:val="18"/>
                    </w:rPr>
                  </w:pPr>
                  <w:r>
                    <w:rPr>
                      <w:rFonts w:eastAsia="楷体"/>
                      <w:sz w:val="18"/>
                      <w:szCs w:val="18"/>
                    </w:rPr>
                    <w:t>7</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1.54</w:t>
                  </w:r>
                </w:p>
              </w:tc>
              <w:tc>
                <w:tcPr>
                  <w:tcW w:w="963" w:type="dxa"/>
                  <w:shd w:val="clear" w:color="auto" w:fill="auto"/>
                  <w:noWrap/>
                  <w:vAlign w:val="center"/>
                </w:tcPr>
                <w:p>
                  <w:pPr>
                    <w:jc w:val="center"/>
                    <w:rPr>
                      <w:sz w:val="18"/>
                      <w:szCs w:val="18"/>
                    </w:rPr>
                  </w:pPr>
                  <w:r>
                    <w:rPr>
                      <w:sz w:val="18"/>
                      <w:szCs w:val="18"/>
                    </w:rPr>
                    <w:t>7.84</w:t>
                  </w:r>
                </w:p>
              </w:tc>
              <w:tc>
                <w:tcPr>
                  <w:tcW w:w="826" w:type="dxa"/>
                  <w:shd w:val="clear" w:color="auto" w:fill="auto"/>
                  <w:noWrap/>
                  <w:vAlign w:val="center"/>
                </w:tcPr>
                <w:p>
                  <w:pPr>
                    <w:jc w:val="center"/>
                    <w:rPr>
                      <w:sz w:val="18"/>
                      <w:szCs w:val="18"/>
                    </w:rPr>
                  </w:pPr>
                  <w:r>
                    <w:rPr>
                      <w:sz w:val="18"/>
                      <w:szCs w:val="18"/>
                    </w:rPr>
                    <w:t>1.82</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0.0037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11</w:t>
                  </w:r>
                </w:p>
              </w:tc>
              <w:tc>
                <w:tcPr>
                  <w:tcW w:w="921" w:type="dxa"/>
                  <w:shd w:val="clear" w:color="auto" w:fill="auto"/>
                  <w:noWrap/>
                  <w:vAlign w:val="bottom"/>
                </w:tcPr>
                <w:p>
                  <w:pPr>
                    <w:jc w:val="center"/>
                    <w:rPr>
                      <w:sz w:val="18"/>
                      <w:szCs w:val="18"/>
                    </w:rPr>
                  </w:pPr>
                  <w:r>
                    <w:rPr>
                      <w:rFonts w:eastAsia="楷体"/>
                      <w:sz w:val="18"/>
                      <w:szCs w:val="18"/>
                    </w:rPr>
                    <w:t>7</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0.62</w:t>
                  </w:r>
                </w:p>
              </w:tc>
              <w:tc>
                <w:tcPr>
                  <w:tcW w:w="1098" w:type="dxa"/>
                  <w:shd w:val="clear" w:color="auto" w:fill="auto"/>
                  <w:noWrap/>
                  <w:vAlign w:val="center"/>
                </w:tcPr>
                <w:p>
                  <w:pPr>
                    <w:jc w:val="center"/>
                    <w:rPr>
                      <w:sz w:val="18"/>
                      <w:szCs w:val="18"/>
                    </w:rPr>
                  </w:pPr>
                  <w:r>
                    <w:rPr>
                      <w:sz w:val="18"/>
                      <w:szCs w:val="18"/>
                    </w:rPr>
                    <w:t>0.84</w:t>
                  </w:r>
                </w:p>
              </w:tc>
              <w:tc>
                <w:tcPr>
                  <w:tcW w:w="963" w:type="dxa"/>
                  <w:shd w:val="clear" w:color="auto" w:fill="auto"/>
                  <w:noWrap/>
                  <w:vAlign w:val="center"/>
                </w:tcPr>
                <w:p>
                  <w:pPr>
                    <w:jc w:val="center"/>
                    <w:rPr>
                      <w:sz w:val="18"/>
                      <w:szCs w:val="18"/>
                    </w:rPr>
                  </w:pPr>
                  <w:r>
                    <w:rPr>
                      <w:sz w:val="18"/>
                      <w:szCs w:val="18"/>
                    </w:rPr>
                    <w:t>3.08</w:t>
                  </w:r>
                </w:p>
              </w:tc>
              <w:tc>
                <w:tcPr>
                  <w:tcW w:w="826" w:type="dxa"/>
                  <w:shd w:val="clear" w:color="auto" w:fill="auto"/>
                  <w:noWrap/>
                  <w:vAlign w:val="center"/>
                </w:tcPr>
                <w:p>
                  <w:pPr>
                    <w:jc w:val="center"/>
                    <w:rPr>
                      <w:sz w:val="18"/>
                      <w:szCs w:val="18"/>
                    </w:rPr>
                  </w:pPr>
                  <w:r>
                    <w:rPr>
                      <w:sz w:val="18"/>
                      <w:szCs w:val="18"/>
                    </w:rPr>
                    <w:t>未检出</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12</w:t>
                  </w:r>
                </w:p>
              </w:tc>
              <w:tc>
                <w:tcPr>
                  <w:tcW w:w="921" w:type="dxa"/>
                  <w:shd w:val="clear" w:color="auto" w:fill="auto"/>
                  <w:noWrap/>
                  <w:vAlign w:val="bottom"/>
                </w:tcPr>
                <w:p>
                  <w:pPr>
                    <w:jc w:val="center"/>
                    <w:rPr>
                      <w:sz w:val="18"/>
                      <w:szCs w:val="18"/>
                    </w:rPr>
                  </w:pPr>
                  <w:r>
                    <w:rPr>
                      <w:rFonts w:eastAsia="楷体"/>
                      <w:sz w:val="18"/>
                      <w:szCs w:val="18"/>
                    </w:rPr>
                    <w:t>5</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0.62</w:t>
                  </w:r>
                </w:p>
              </w:tc>
              <w:tc>
                <w:tcPr>
                  <w:tcW w:w="1098" w:type="dxa"/>
                  <w:shd w:val="clear" w:color="auto" w:fill="auto"/>
                  <w:noWrap/>
                  <w:vAlign w:val="center"/>
                </w:tcPr>
                <w:p>
                  <w:pPr>
                    <w:jc w:val="center"/>
                    <w:rPr>
                      <w:sz w:val="18"/>
                      <w:szCs w:val="18"/>
                    </w:rPr>
                  </w:pPr>
                  <w:r>
                    <w:rPr>
                      <w:sz w:val="18"/>
                      <w:szCs w:val="18"/>
                    </w:rPr>
                    <w:t>0.98</w:t>
                  </w:r>
                </w:p>
              </w:tc>
              <w:tc>
                <w:tcPr>
                  <w:tcW w:w="963" w:type="dxa"/>
                  <w:shd w:val="clear" w:color="auto" w:fill="auto"/>
                  <w:noWrap/>
                  <w:vAlign w:val="center"/>
                </w:tcPr>
                <w:p>
                  <w:pPr>
                    <w:jc w:val="center"/>
                    <w:rPr>
                      <w:sz w:val="18"/>
                      <w:szCs w:val="18"/>
                    </w:rPr>
                  </w:pPr>
                  <w:r>
                    <w:rPr>
                      <w:sz w:val="18"/>
                      <w:szCs w:val="18"/>
                    </w:rPr>
                    <w:t>7.14</w:t>
                  </w:r>
                </w:p>
              </w:tc>
              <w:tc>
                <w:tcPr>
                  <w:tcW w:w="826" w:type="dxa"/>
                  <w:shd w:val="clear" w:color="auto" w:fill="auto"/>
                  <w:noWrap/>
                  <w:vAlign w:val="center"/>
                </w:tcPr>
                <w:p>
                  <w:pPr>
                    <w:jc w:val="center"/>
                    <w:rPr>
                      <w:sz w:val="18"/>
                      <w:szCs w:val="18"/>
                    </w:rPr>
                  </w:pPr>
                  <w:r>
                    <w:rPr>
                      <w:sz w:val="18"/>
                      <w:szCs w:val="18"/>
                    </w:rPr>
                    <w:t>0.84</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13</w:t>
                  </w:r>
                </w:p>
              </w:tc>
              <w:tc>
                <w:tcPr>
                  <w:tcW w:w="921" w:type="dxa"/>
                  <w:shd w:val="clear" w:color="auto" w:fill="auto"/>
                  <w:noWrap/>
                  <w:vAlign w:val="bottom"/>
                </w:tcPr>
                <w:p>
                  <w:pPr>
                    <w:jc w:val="center"/>
                    <w:rPr>
                      <w:sz w:val="18"/>
                      <w:szCs w:val="18"/>
                    </w:rPr>
                  </w:pPr>
                  <w:r>
                    <w:rPr>
                      <w:rFonts w:eastAsia="楷体"/>
                      <w:sz w:val="18"/>
                      <w:szCs w:val="18"/>
                    </w:rPr>
                    <w:t>13</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0.93</w:t>
                  </w:r>
                </w:p>
              </w:tc>
              <w:tc>
                <w:tcPr>
                  <w:tcW w:w="1098" w:type="dxa"/>
                  <w:shd w:val="clear" w:color="auto" w:fill="auto"/>
                  <w:noWrap/>
                  <w:vAlign w:val="center"/>
                </w:tcPr>
                <w:p>
                  <w:pPr>
                    <w:jc w:val="center"/>
                    <w:rPr>
                      <w:sz w:val="18"/>
                      <w:szCs w:val="18"/>
                    </w:rPr>
                  </w:pPr>
                  <w:r>
                    <w:rPr>
                      <w:rFonts w:hint="eastAsia"/>
                      <w:sz w:val="18"/>
                      <w:szCs w:val="18"/>
                    </w:rPr>
                    <w:t>未检出</w:t>
                  </w:r>
                </w:p>
              </w:tc>
              <w:tc>
                <w:tcPr>
                  <w:tcW w:w="963" w:type="dxa"/>
                  <w:shd w:val="clear" w:color="auto" w:fill="auto"/>
                  <w:noWrap/>
                  <w:vAlign w:val="center"/>
                </w:tcPr>
                <w:p>
                  <w:pPr>
                    <w:jc w:val="center"/>
                    <w:rPr>
                      <w:sz w:val="18"/>
                      <w:szCs w:val="18"/>
                    </w:rPr>
                  </w:pPr>
                  <w:r>
                    <w:rPr>
                      <w:sz w:val="18"/>
                      <w:szCs w:val="18"/>
                    </w:rPr>
                    <w:t>8.68</w:t>
                  </w:r>
                </w:p>
              </w:tc>
              <w:tc>
                <w:tcPr>
                  <w:tcW w:w="826" w:type="dxa"/>
                  <w:shd w:val="clear" w:color="auto" w:fill="auto"/>
                  <w:noWrap/>
                  <w:vAlign w:val="center"/>
                </w:tcPr>
                <w:p>
                  <w:pPr>
                    <w:jc w:val="center"/>
                    <w:rPr>
                      <w:sz w:val="18"/>
                      <w:szCs w:val="18"/>
                    </w:rPr>
                  </w:pPr>
                  <w:r>
                    <w:rPr>
                      <w:sz w:val="18"/>
                      <w:szCs w:val="18"/>
                    </w:rPr>
                    <w:t>0.7</w:t>
                  </w:r>
                  <w:r>
                    <w:rPr>
                      <w:rFonts w:hint="eastAsia"/>
                      <w:sz w:val="18"/>
                      <w:szCs w:val="18"/>
                    </w:rPr>
                    <w:t>0</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13</w:t>
                  </w:r>
                </w:p>
              </w:tc>
              <w:tc>
                <w:tcPr>
                  <w:tcW w:w="921" w:type="dxa"/>
                  <w:shd w:val="clear" w:color="auto" w:fill="auto"/>
                  <w:noWrap/>
                  <w:vAlign w:val="bottom"/>
                </w:tcPr>
                <w:p>
                  <w:pPr>
                    <w:jc w:val="center"/>
                    <w:rPr>
                      <w:sz w:val="18"/>
                      <w:szCs w:val="18"/>
                    </w:rPr>
                  </w:pPr>
                  <w:r>
                    <w:rPr>
                      <w:rFonts w:eastAsia="楷体"/>
                      <w:sz w:val="18"/>
                      <w:szCs w:val="18"/>
                    </w:rPr>
                    <w:t>13</w:t>
                  </w:r>
                </w:p>
              </w:tc>
              <w:tc>
                <w:tcPr>
                  <w:tcW w:w="722" w:type="dxa"/>
                  <w:shd w:val="clear" w:color="auto" w:fill="auto"/>
                  <w:noWrap/>
                  <w:vAlign w:val="bottom"/>
                </w:tcPr>
                <w:p>
                  <w:pPr>
                    <w:jc w:val="center"/>
                    <w:rPr>
                      <w:sz w:val="18"/>
                      <w:szCs w:val="18"/>
                    </w:rPr>
                  </w:pPr>
                  <w:r>
                    <w:rPr>
                      <w:rFonts w:eastAsia="楷体"/>
                      <w:sz w:val="18"/>
                      <w:szCs w:val="18"/>
                    </w:rPr>
                    <w:t>底层</w:t>
                  </w:r>
                </w:p>
              </w:tc>
              <w:tc>
                <w:tcPr>
                  <w:tcW w:w="1113" w:type="dxa"/>
                  <w:shd w:val="clear" w:color="auto" w:fill="auto"/>
                  <w:noWrap/>
                  <w:vAlign w:val="center"/>
                </w:tcPr>
                <w:p>
                  <w:pPr>
                    <w:jc w:val="center"/>
                    <w:rPr>
                      <w:sz w:val="18"/>
                      <w:szCs w:val="18"/>
                    </w:rPr>
                  </w:pPr>
                  <w:r>
                    <w:rPr>
                      <w:sz w:val="18"/>
                      <w:szCs w:val="18"/>
                    </w:rPr>
                    <w:t>0.62</w:t>
                  </w:r>
                </w:p>
              </w:tc>
              <w:tc>
                <w:tcPr>
                  <w:tcW w:w="1098" w:type="dxa"/>
                  <w:shd w:val="clear" w:color="auto" w:fill="auto"/>
                  <w:noWrap/>
                  <w:vAlign w:val="center"/>
                </w:tcPr>
                <w:p>
                  <w:pPr>
                    <w:jc w:val="center"/>
                    <w:rPr>
                      <w:sz w:val="18"/>
                      <w:szCs w:val="18"/>
                    </w:rPr>
                  </w:pPr>
                  <w:r>
                    <w:rPr>
                      <w:sz w:val="18"/>
                      <w:szCs w:val="18"/>
                    </w:rPr>
                    <w:t>1.26</w:t>
                  </w:r>
                </w:p>
              </w:tc>
              <w:tc>
                <w:tcPr>
                  <w:tcW w:w="963" w:type="dxa"/>
                  <w:shd w:val="clear" w:color="auto" w:fill="auto"/>
                  <w:noWrap/>
                  <w:vAlign w:val="center"/>
                </w:tcPr>
                <w:p>
                  <w:pPr>
                    <w:jc w:val="center"/>
                    <w:rPr>
                      <w:sz w:val="18"/>
                      <w:szCs w:val="18"/>
                    </w:rPr>
                  </w:pPr>
                  <w:r>
                    <w:rPr>
                      <w:sz w:val="18"/>
                      <w:szCs w:val="18"/>
                    </w:rPr>
                    <w:t>2.8</w:t>
                  </w:r>
                  <w:r>
                    <w:rPr>
                      <w:rFonts w:hint="eastAsia"/>
                      <w:sz w:val="18"/>
                      <w:szCs w:val="18"/>
                    </w:rPr>
                    <w:t>0</w:t>
                  </w:r>
                </w:p>
              </w:tc>
              <w:tc>
                <w:tcPr>
                  <w:tcW w:w="826" w:type="dxa"/>
                  <w:shd w:val="clear" w:color="auto" w:fill="auto"/>
                  <w:noWrap/>
                  <w:vAlign w:val="center"/>
                </w:tcPr>
                <w:p>
                  <w:pPr>
                    <w:jc w:val="center"/>
                    <w:rPr>
                      <w:sz w:val="18"/>
                      <w:szCs w:val="18"/>
                    </w:rPr>
                  </w:pPr>
                  <w:r>
                    <w:rPr>
                      <w:sz w:val="18"/>
                      <w:szCs w:val="18"/>
                    </w:rPr>
                    <w:t>1.26</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14</w:t>
                  </w:r>
                </w:p>
              </w:tc>
              <w:tc>
                <w:tcPr>
                  <w:tcW w:w="921" w:type="dxa"/>
                  <w:shd w:val="clear" w:color="auto" w:fill="auto"/>
                  <w:noWrap/>
                  <w:vAlign w:val="bottom"/>
                </w:tcPr>
                <w:p>
                  <w:pPr>
                    <w:jc w:val="center"/>
                    <w:rPr>
                      <w:sz w:val="18"/>
                      <w:szCs w:val="18"/>
                    </w:rPr>
                  </w:pPr>
                  <w:r>
                    <w:rPr>
                      <w:rFonts w:eastAsia="楷体"/>
                      <w:sz w:val="18"/>
                      <w:szCs w:val="18"/>
                    </w:rPr>
                    <w:t>16</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0.84</w:t>
                  </w:r>
                </w:p>
              </w:tc>
              <w:tc>
                <w:tcPr>
                  <w:tcW w:w="963" w:type="dxa"/>
                  <w:shd w:val="clear" w:color="auto" w:fill="auto"/>
                  <w:noWrap/>
                  <w:vAlign w:val="center"/>
                </w:tcPr>
                <w:p>
                  <w:pPr>
                    <w:jc w:val="center"/>
                    <w:rPr>
                      <w:sz w:val="18"/>
                      <w:szCs w:val="18"/>
                    </w:rPr>
                  </w:pPr>
                  <w:r>
                    <w:rPr>
                      <w:sz w:val="18"/>
                      <w:szCs w:val="18"/>
                    </w:rPr>
                    <w:t>2.1</w:t>
                  </w:r>
                  <w:r>
                    <w:rPr>
                      <w:rFonts w:hint="eastAsia"/>
                      <w:sz w:val="18"/>
                      <w:szCs w:val="18"/>
                    </w:rPr>
                    <w:t>0</w:t>
                  </w:r>
                </w:p>
              </w:tc>
              <w:tc>
                <w:tcPr>
                  <w:tcW w:w="826" w:type="dxa"/>
                  <w:shd w:val="clear" w:color="auto" w:fill="auto"/>
                  <w:noWrap/>
                  <w:vAlign w:val="center"/>
                </w:tcPr>
                <w:p>
                  <w:pPr>
                    <w:jc w:val="center"/>
                    <w:rPr>
                      <w:sz w:val="18"/>
                      <w:szCs w:val="18"/>
                    </w:rPr>
                  </w:pPr>
                  <w:r>
                    <w:rPr>
                      <w:sz w:val="18"/>
                      <w:szCs w:val="18"/>
                    </w:rPr>
                    <w:t>未检出</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14</w:t>
                  </w:r>
                </w:p>
              </w:tc>
              <w:tc>
                <w:tcPr>
                  <w:tcW w:w="921" w:type="dxa"/>
                  <w:shd w:val="clear" w:color="auto" w:fill="auto"/>
                  <w:noWrap/>
                  <w:vAlign w:val="bottom"/>
                </w:tcPr>
                <w:p>
                  <w:pPr>
                    <w:jc w:val="center"/>
                    <w:rPr>
                      <w:sz w:val="18"/>
                      <w:szCs w:val="18"/>
                    </w:rPr>
                  </w:pPr>
                  <w:r>
                    <w:rPr>
                      <w:rFonts w:eastAsia="楷体"/>
                      <w:sz w:val="18"/>
                      <w:szCs w:val="18"/>
                    </w:rPr>
                    <w:t>16</w:t>
                  </w:r>
                </w:p>
              </w:tc>
              <w:tc>
                <w:tcPr>
                  <w:tcW w:w="722" w:type="dxa"/>
                  <w:shd w:val="clear" w:color="auto" w:fill="auto"/>
                  <w:noWrap/>
                  <w:vAlign w:val="bottom"/>
                </w:tcPr>
                <w:p>
                  <w:pPr>
                    <w:jc w:val="center"/>
                    <w:rPr>
                      <w:sz w:val="18"/>
                      <w:szCs w:val="18"/>
                    </w:rPr>
                  </w:pPr>
                  <w:r>
                    <w:rPr>
                      <w:rFonts w:eastAsia="楷体"/>
                      <w:sz w:val="18"/>
                      <w:szCs w:val="18"/>
                    </w:rPr>
                    <w:t>底层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1.4</w:t>
                  </w:r>
                  <w:r>
                    <w:rPr>
                      <w:rFonts w:hint="eastAsia"/>
                      <w:sz w:val="18"/>
                      <w:szCs w:val="18"/>
                    </w:rPr>
                    <w:t>0</w:t>
                  </w:r>
                </w:p>
              </w:tc>
              <w:tc>
                <w:tcPr>
                  <w:tcW w:w="963" w:type="dxa"/>
                  <w:shd w:val="clear" w:color="auto" w:fill="auto"/>
                  <w:noWrap/>
                  <w:vAlign w:val="center"/>
                </w:tcPr>
                <w:p>
                  <w:pPr>
                    <w:jc w:val="center"/>
                    <w:rPr>
                      <w:sz w:val="18"/>
                      <w:szCs w:val="18"/>
                    </w:rPr>
                  </w:pPr>
                  <w:r>
                    <w:rPr>
                      <w:sz w:val="18"/>
                      <w:szCs w:val="18"/>
                    </w:rPr>
                    <w:t>4.62</w:t>
                  </w:r>
                </w:p>
              </w:tc>
              <w:tc>
                <w:tcPr>
                  <w:tcW w:w="826" w:type="dxa"/>
                  <w:shd w:val="clear" w:color="auto" w:fill="auto"/>
                  <w:noWrap/>
                  <w:vAlign w:val="center"/>
                </w:tcPr>
                <w:p>
                  <w:pPr>
                    <w:jc w:val="center"/>
                    <w:rPr>
                      <w:sz w:val="18"/>
                      <w:szCs w:val="18"/>
                    </w:rPr>
                  </w:pPr>
                  <w:r>
                    <w:rPr>
                      <w:sz w:val="18"/>
                      <w:szCs w:val="18"/>
                    </w:rPr>
                    <w:t>1.12</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15</w:t>
                  </w:r>
                </w:p>
              </w:tc>
              <w:tc>
                <w:tcPr>
                  <w:tcW w:w="921" w:type="dxa"/>
                  <w:shd w:val="clear" w:color="auto" w:fill="auto"/>
                  <w:noWrap/>
                  <w:vAlign w:val="bottom"/>
                </w:tcPr>
                <w:p>
                  <w:pPr>
                    <w:jc w:val="center"/>
                    <w:rPr>
                      <w:sz w:val="18"/>
                      <w:szCs w:val="18"/>
                    </w:rPr>
                  </w:pPr>
                  <w:r>
                    <w:rPr>
                      <w:rFonts w:eastAsia="楷体"/>
                      <w:sz w:val="18"/>
                      <w:szCs w:val="18"/>
                    </w:rPr>
                    <w:t>7</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1.12</w:t>
                  </w:r>
                </w:p>
              </w:tc>
              <w:tc>
                <w:tcPr>
                  <w:tcW w:w="963" w:type="dxa"/>
                  <w:shd w:val="clear" w:color="auto" w:fill="auto"/>
                  <w:noWrap/>
                  <w:vAlign w:val="center"/>
                </w:tcPr>
                <w:p>
                  <w:pPr>
                    <w:jc w:val="center"/>
                    <w:rPr>
                      <w:sz w:val="18"/>
                      <w:szCs w:val="18"/>
                    </w:rPr>
                  </w:pPr>
                  <w:r>
                    <w:rPr>
                      <w:sz w:val="18"/>
                      <w:szCs w:val="18"/>
                    </w:rPr>
                    <w:t>2.66</w:t>
                  </w:r>
                </w:p>
              </w:tc>
              <w:tc>
                <w:tcPr>
                  <w:tcW w:w="826" w:type="dxa"/>
                  <w:shd w:val="clear" w:color="auto" w:fill="auto"/>
                  <w:noWrap/>
                  <w:vAlign w:val="center"/>
                </w:tcPr>
                <w:p>
                  <w:pPr>
                    <w:jc w:val="center"/>
                    <w:rPr>
                      <w:sz w:val="18"/>
                      <w:szCs w:val="18"/>
                    </w:rPr>
                  </w:pPr>
                  <w:r>
                    <w:rPr>
                      <w:sz w:val="18"/>
                      <w:szCs w:val="18"/>
                    </w:rPr>
                    <w:t>2.1</w:t>
                  </w:r>
                  <w:r>
                    <w:rPr>
                      <w:rFonts w:hint="eastAsia"/>
                      <w:sz w:val="18"/>
                      <w:szCs w:val="18"/>
                    </w:rPr>
                    <w:t>0</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16</w:t>
                  </w:r>
                </w:p>
              </w:tc>
              <w:tc>
                <w:tcPr>
                  <w:tcW w:w="921" w:type="dxa"/>
                  <w:shd w:val="clear" w:color="auto" w:fill="auto"/>
                  <w:noWrap/>
                  <w:vAlign w:val="bottom"/>
                </w:tcPr>
                <w:p>
                  <w:pPr>
                    <w:jc w:val="center"/>
                    <w:rPr>
                      <w:sz w:val="18"/>
                      <w:szCs w:val="18"/>
                    </w:rPr>
                  </w:pPr>
                  <w:r>
                    <w:rPr>
                      <w:rFonts w:eastAsia="楷体"/>
                      <w:sz w:val="18"/>
                      <w:szCs w:val="18"/>
                    </w:rPr>
                    <w:t>9</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0.84</w:t>
                  </w:r>
                </w:p>
              </w:tc>
              <w:tc>
                <w:tcPr>
                  <w:tcW w:w="963" w:type="dxa"/>
                  <w:shd w:val="clear" w:color="auto" w:fill="auto"/>
                  <w:noWrap/>
                  <w:vAlign w:val="center"/>
                </w:tcPr>
                <w:p>
                  <w:pPr>
                    <w:jc w:val="center"/>
                    <w:rPr>
                      <w:sz w:val="18"/>
                      <w:szCs w:val="18"/>
                    </w:rPr>
                  </w:pPr>
                  <w:r>
                    <w:rPr>
                      <w:sz w:val="18"/>
                      <w:szCs w:val="18"/>
                    </w:rPr>
                    <w:t>4.48</w:t>
                  </w:r>
                </w:p>
              </w:tc>
              <w:tc>
                <w:tcPr>
                  <w:tcW w:w="826" w:type="dxa"/>
                  <w:shd w:val="clear" w:color="auto" w:fill="auto"/>
                  <w:noWrap/>
                  <w:vAlign w:val="center"/>
                </w:tcPr>
                <w:p>
                  <w:pPr>
                    <w:jc w:val="center"/>
                    <w:rPr>
                      <w:sz w:val="18"/>
                      <w:szCs w:val="18"/>
                    </w:rPr>
                  </w:pPr>
                  <w:r>
                    <w:rPr>
                      <w:sz w:val="18"/>
                      <w:szCs w:val="18"/>
                    </w:rPr>
                    <w:t>0.56</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17</w:t>
                  </w:r>
                </w:p>
              </w:tc>
              <w:tc>
                <w:tcPr>
                  <w:tcW w:w="921" w:type="dxa"/>
                  <w:shd w:val="clear" w:color="auto" w:fill="auto"/>
                  <w:noWrap/>
                  <w:vAlign w:val="bottom"/>
                </w:tcPr>
                <w:p>
                  <w:pPr>
                    <w:jc w:val="center"/>
                    <w:rPr>
                      <w:sz w:val="18"/>
                      <w:szCs w:val="18"/>
                    </w:rPr>
                  </w:pPr>
                  <w:r>
                    <w:rPr>
                      <w:rFonts w:eastAsia="楷体"/>
                      <w:sz w:val="18"/>
                      <w:szCs w:val="18"/>
                    </w:rPr>
                    <w:t>19</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0.98</w:t>
                  </w:r>
                </w:p>
              </w:tc>
              <w:tc>
                <w:tcPr>
                  <w:tcW w:w="963" w:type="dxa"/>
                  <w:shd w:val="clear" w:color="auto" w:fill="auto"/>
                  <w:noWrap/>
                  <w:vAlign w:val="center"/>
                </w:tcPr>
                <w:p>
                  <w:pPr>
                    <w:jc w:val="center"/>
                    <w:rPr>
                      <w:sz w:val="18"/>
                      <w:szCs w:val="18"/>
                    </w:rPr>
                  </w:pPr>
                  <w:r>
                    <w:rPr>
                      <w:sz w:val="18"/>
                      <w:szCs w:val="18"/>
                    </w:rPr>
                    <w:t>3.5</w:t>
                  </w:r>
                  <w:r>
                    <w:rPr>
                      <w:rFonts w:hint="eastAsia"/>
                      <w:sz w:val="18"/>
                      <w:szCs w:val="18"/>
                    </w:rPr>
                    <w:t>0</w:t>
                  </w:r>
                </w:p>
              </w:tc>
              <w:tc>
                <w:tcPr>
                  <w:tcW w:w="826" w:type="dxa"/>
                  <w:shd w:val="clear" w:color="auto" w:fill="auto"/>
                  <w:noWrap/>
                  <w:vAlign w:val="center"/>
                </w:tcPr>
                <w:p>
                  <w:pPr>
                    <w:jc w:val="center"/>
                    <w:rPr>
                      <w:sz w:val="18"/>
                      <w:szCs w:val="18"/>
                    </w:rPr>
                  </w:pPr>
                  <w:r>
                    <w:rPr>
                      <w:sz w:val="18"/>
                      <w:szCs w:val="18"/>
                    </w:rPr>
                    <w:t>4.06</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17</w:t>
                  </w:r>
                </w:p>
              </w:tc>
              <w:tc>
                <w:tcPr>
                  <w:tcW w:w="921" w:type="dxa"/>
                  <w:shd w:val="clear" w:color="auto" w:fill="auto"/>
                  <w:noWrap/>
                  <w:vAlign w:val="bottom"/>
                </w:tcPr>
                <w:p>
                  <w:pPr>
                    <w:jc w:val="center"/>
                    <w:rPr>
                      <w:sz w:val="18"/>
                      <w:szCs w:val="18"/>
                    </w:rPr>
                  </w:pPr>
                  <w:r>
                    <w:rPr>
                      <w:rFonts w:eastAsia="楷体"/>
                      <w:sz w:val="18"/>
                      <w:szCs w:val="18"/>
                    </w:rPr>
                    <w:t>19</w:t>
                  </w:r>
                </w:p>
              </w:tc>
              <w:tc>
                <w:tcPr>
                  <w:tcW w:w="722" w:type="dxa"/>
                  <w:shd w:val="clear" w:color="auto" w:fill="auto"/>
                  <w:noWrap/>
                  <w:vAlign w:val="bottom"/>
                </w:tcPr>
                <w:p>
                  <w:pPr>
                    <w:jc w:val="center"/>
                    <w:rPr>
                      <w:sz w:val="18"/>
                      <w:szCs w:val="18"/>
                    </w:rPr>
                  </w:pPr>
                  <w:r>
                    <w:rPr>
                      <w:rFonts w:eastAsia="楷体"/>
                      <w:sz w:val="18"/>
                      <w:szCs w:val="18"/>
                    </w:rPr>
                    <w:t>底层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rFonts w:hint="eastAsia"/>
                      <w:sz w:val="18"/>
                      <w:szCs w:val="18"/>
                    </w:rPr>
                    <w:t>未检出</w:t>
                  </w:r>
                </w:p>
              </w:tc>
              <w:tc>
                <w:tcPr>
                  <w:tcW w:w="963" w:type="dxa"/>
                  <w:shd w:val="clear" w:color="auto" w:fill="auto"/>
                  <w:noWrap/>
                  <w:vAlign w:val="center"/>
                </w:tcPr>
                <w:p>
                  <w:pPr>
                    <w:jc w:val="center"/>
                    <w:rPr>
                      <w:sz w:val="18"/>
                      <w:szCs w:val="18"/>
                    </w:rPr>
                  </w:pPr>
                  <w:r>
                    <w:rPr>
                      <w:sz w:val="18"/>
                      <w:szCs w:val="18"/>
                    </w:rPr>
                    <w:t>2.94</w:t>
                  </w:r>
                </w:p>
              </w:tc>
              <w:tc>
                <w:tcPr>
                  <w:tcW w:w="826" w:type="dxa"/>
                  <w:shd w:val="clear" w:color="auto" w:fill="auto"/>
                  <w:noWrap/>
                  <w:vAlign w:val="center"/>
                </w:tcPr>
                <w:p>
                  <w:pPr>
                    <w:jc w:val="center"/>
                    <w:rPr>
                      <w:sz w:val="18"/>
                      <w:szCs w:val="18"/>
                    </w:rPr>
                  </w:pPr>
                  <w:r>
                    <w:rPr>
                      <w:sz w:val="18"/>
                      <w:szCs w:val="18"/>
                    </w:rPr>
                    <w:t>4.34</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18</w:t>
                  </w:r>
                </w:p>
              </w:tc>
              <w:tc>
                <w:tcPr>
                  <w:tcW w:w="921" w:type="dxa"/>
                  <w:shd w:val="clear" w:color="auto" w:fill="auto"/>
                  <w:noWrap/>
                  <w:vAlign w:val="bottom"/>
                </w:tcPr>
                <w:p>
                  <w:pPr>
                    <w:jc w:val="center"/>
                    <w:rPr>
                      <w:sz w:val="18"/>
                      <w:szCs w:val="18"/>
                    </w:rPr>
                  </w:pPr>
                  <w:r>
                    <w:rPr>
                      <w:rFonts w:eastAsia="楷体"/>
                      <w:sz w:val="18"/>
                      <w:szCs w:val="18"/>
                    </w:rPr>
                    <w:t>18</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0.62</w:t>
                  </w:r>
                </w:p>
              </w:tc>
              <w:tc>
                <w:tcPr>
                  <w:tcW w:w="1098" w:type="dxa"/>
                  <w:shd w:val="clear" w:color="auto" w:fill="auto"/>
                  <w:noWrap/>
                  <w:vAlign w:val="center"/>
                </w:tcPr>
                <w:p>
                  <w:pPr>
                    <w:jc w:val="center"/>
                    <w:rPr>
                      <w:sz w:val="18"/>
                      <w:szCs w:val="18"/>
                    </w:rPr>
                  </w:pPr>
                  <w:r>
                    <w:rPr>
                      <w:sz w:val="18"/>
                      <w:szCs w:val="18"/>
                    </w:rPr>
                    <w:t>1.54</w:t>
                  </w:r>
                </w:p>
              </w:tc>
              <w:tc>
                <w:tcPr>
                  <w:tcW w:w="963" w:type="dxa"/>
                  <w:shd w:val="clear" w:color="auto" w:fill="auto"/>
                  <w:noWrap/>
                  <w:vAlign w:val="center"/>
                </w:tcPr>
                <w:p>
                  <w:pPr>
                    <w:jc w:val="center"/>
                    <w:rPr>
                      <w:sz w:val="18"/>
                      <w:szCs w:val="18"/>
                    </w:rPr>
                  </w:pPr>
                  <w:r>
                    <w:rPr>
                      <w:sz w:val="18"/>
                      <w:szCs w:val="18"/>
                    </w:rPr>
                    <w:t>0.7</w:t>
                  </w:r>
                  <w:r>
                    <w:rPr>
                      <w:rFonts w:hint="eastAsia"/>
                      <w:sz w:val="18"/>
                      <w:szCs w:val="18"/>
                    </w:rPr>
                    <w:t>0</w:t>
                  </w:r>
                </w:p>
              </w:tc>
              <w:tc>
                <w:tcPr>
                  <w:tcW w:w="826" w:type="dxa"/>
                  <w:shd w:val="clear" w:color="auto" w:fill="auto"/>
                  <w:noWrap/>
                  <w:vAlign w:val="center"/>
                </w:tcPr>
                <w:p>
                  <w:pPr>
                    <w:jc w:val="center"/>
                    <w:rPr>
                      <w:sz w:val="18"/>
                      <w:szCs w:val="18"/>
                    </w:rPr>
                  </w:pPr>
                  <w:r>
                    <w:rPr>
                      <w:sz w:val="18"/>
                      <w:szCs w:val="18"/>
                    </w:rPr>
                    <w:t>1.96</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921" w:type="dxa"/>
                  <w:shd w:val="clear" w:color="auto" w:fill="auto"/>
                  <w:noWrap/>
                  <w:vAlign w:val="bottom"/>
                </w:tcPr>
                <w:p>
                  <w:pPr>
                    <w:jc w:val="center"/>
                    <w:rPr>
                      <w:sz w:val="18"/>
                      <w:szCs w:val="18"/>
                    </w:rPr>
                  </w:pPr>
                  <w:r>
                    <w:rPr>
                      <w:rFonts w:eastAsia="楷体"/>
                      <w:sz w:val="18"/>
                      <w:szCs w:val="18"/>
                    </w:rPr>
                    <w:t>18</w:t>
                  </w:r>
                </w:p>
              </w:tc>
              <w:tc>
                <w:tcPr>
                  <w:tcW w:w="921" w:type="dxa"/>
                  <w:shd w:val="clear" w:color="auto" w:fill="auto"/>
                  <w:noWrap/>
                  <w:vAlign w:val="bottom"/>
                </w:tcPr>
                <w:p>
                  <w:pPr>
                    <w:jc w:val="center"/>
                    <w:rPr>
                      <w:sz w:val="18"/>
                      <w:szCs w:val="18"/>
                    </w:rPr>
                  </w:pPr>
                  <w:r>
                    <w:rPr>
                      <w:rFonts w:eastAsia="楷体"/>
                      <w:sz w:val="18"/>
                      <w:szCs w:val="18"/>
                    </w:rPr>
                    <w:t>18</w:t>
                  </w:r>
                </w:p>
              </w:tc>
              <w:tc>
                <w:tcPr>
                  <w:tcW w:w="722" w:type="dxa"/>
                  <w:shd w:val="clear" w:color="auto" w:fill="auto"/>
                  <w:noWrap/>
                  <w:vAlign w:val="bottom"/>
                </w:tcPr>
                <w:p>
                  <w:pPr>
                    <w:jc w:val="center"/>
                    <w:rPr>
                      <w:sz w:val="18"/>
                      <w:szCs w:val="18"/>
                    </w:rPr>
                  </w:pPr>
                  <w:r>
                    <w:rPr>
                      <w:rFonts w:eastAsia="楷体"/>
                      <w:sz w:val="18"/>
                      <w:szCs w:val="18"/>
                    </w:rPr>
                    <w:t>底层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0.98</w:t>
                  </w:r>
                </w:p>
              </w:tc>
              <w:tc>
                <w:tcPr>
                  <w:tcW w:w="963" w:type="dxa"/>
                  <w:shd w:val="clear" w:color="auto" w:fill="auto"/>
                  <w:noWrap/>
                  <w:vAlign w:val="center"/>
                </w:tcPr>
                <w:p>
                  <w:pPr>
                    <w:jc w:val="center"/>
                    <w:rPr>
                      <w:sz w:val="18"/>
                      <w:szCs w:val="18"/>
                    </w:rPr>
                  </w:pPr>
                  <w:r>
                    <w:rPr>
                      <w:sz w:val="18"/>
                      <w:szCs w:val="18"/>
                    </w:rPr>
                    <w:t>1.82</w:t>
                  </w:r>
                </w:p>
              </w:tc>
              <w:tc>
                <w:tcPr>
                  <w:tcW w:w="826" w:type="dxa"/>
                  <w:shd w:val="clear" w:color="auto" w:fill="auto"/>
                  <w:noWrap/>
                  <w:vAlign w:val="center"/>
                </w:tcPr>
                <w:p>
                  <w:pPr>
                    <w:jc w:val="center"/>
                    <w:rPr>
                      <w:sz w:val="18"/>
                      <w:szCs w:val="18"/>
                    </w:rPr>
                  </w:pPr>
                  <w:r>
                    <w:rPr>
                      <w:sz w:val="18"/>
                      <w:szCs w:val="18"/>
                    </w:rPr>
                    <w:t>1.96</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53" w:hRule="atLeast"/>
                <w:jc w:val="center"/>
              </w:trPr>
              <w:tc>
                <w:tcPr>
                  <w:tcW w:w="921" w:type="dxa"/>
                  <w:shd w:val="clear" w:color="auto" w:fill="auto"/>
                  <w:noWrap/>
                  <w:vAlign w:val="bottom"/>
                </w:tcPr>
                <w:p>
                  <w:pPr>
                    <w:jc w:val="center"/>
                    <w:rPr>
                      <w:sz w:val="18"/>
                      <w:szCs w:val="18"/>
                    </w:rPr>
                  </w:pPr>
                  <w:r>
                    <w:rPr>
                      <w:rFonts w:eastAsia="楷体"/>
                      <w:sz w:val="18"/>
                      <w:szCs w:val="18"/>
                    </w:rPr>
                    <w:t>19</w:t>
                  </w:r>
                </w:p>
              </w:tc>
              <w:tc>
                <w:tcPr>
                  <w:tcW w:w="921" w:type="dxa"/>
                  <w:shd w:val="clear" w:color="auto" w:fill="auto"/>
                  <w:noWrap/>
                  <w:vAlign w:val="bottom"/>
                </w:tcPr>
                <w:p>
                  <w:pPr>
                    <w:jc w:val="center"/>
                    <w:rPr>
                      <w:sz w:val="18"/>
                      <w:szCs w:val="18"/>
                    </w:rPr>
                  </w:pPr>
                  <w:r>
                    <w:rPr>
                      <w:rFonts w:eastAsia="楷体"/>
                      <w:sz w:val="18"/>
                      <w:szCs w:val="18"/>
                    </w:rPr>
                    <w:t>19</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1.26</w:t>
                  </w:r>
                </w:p>
              </w:tc>
              <w:tc>
                <w:tcPr>
                  <w:tcW w:w="963" w:type="dxa"/>
                  <w:shd w:val="clear" w:color="auto" w:fill="auto"/>
                  <w:noWrap/>
                  <w:vAlign w:val="center"/>
                </w:tcPr>
                <w:p>
                  <w:pPr>
                    <w:jc w:val="center"/>
                    <w:rPr>
                      <w:sz w:val="18"/>
                      <w:szCs w:val="18"/>
                    </w:rPr>
                  </w:pPr>
                  <w:r>
                    <w:rPr>
                      <w:sz w:val="18"/>
                      <w:szCs w:val="18"/>
                    </w:rPr>
                    <w:t>13.0</w:t>
                  </w:r>
                </w:p>
              </w:tc>
              <w:tc>
                <w:tcPr>
                  <w:tcW w:w="826" w:type="dxa"/>
                  <w:shd w:val="clear" w:color="auto" w:fill="auto"/>
                  <w:noWrap/>
                  <w:vAlign w:val="center"/>
                </w:tcPr>
                <w:p>
                  <w:pPr>
                    <w:jc w:val="center"/>
                    <w:rPr>
                      <w:sz w:val="18"/>
                      <w:szCs w:val="18"/>
                    </w:rPr>
                  </w:pPr>
                  <w:r>
                    <w:rPr>
                      <w:sz w:val="18"/>
                      <w:szCs w:val="18"/>
                    </w:rPr>
                    <w:t>0.84</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921" w:type="dxa"/>
                  <w:shd w:val="clear" w:color="auto" w:fill="auto"/>
                  <w:noWrap/>
                  <w:vAlign w:val="bottom"/>
                </w:tcPr>
                <w:p>
                  <w:pPr>
                    <w:jc w:val="center"/>
                    <w:rPr>
                      <w:sz w:val="18"/>
                      <w:szCs w:val="18"/>
                    </w:rPr>
                  </w:pPr>
                  <w:r>
                    <w:rPr>
                      <w:rFonts w:eastAsia="楷体"/>
                      <w:sz w:val="18"/>
                      <w:szCs w:val="18"/>
                    </w:rPr>
                    <w:t>19</w:t>
                  </w:r>
                </w:p>
              </w:tc>
              <w:tc>
                <w:tcPr>
                  <w:tcW w:w="921" w:type="dxa"/>
                  <w:shd w:val="clear" w:color="auto" w:fill="auto"/>
                  <w:noWrap/>
                  <w:vAlign w:val="bottom"/>
                </w:tcPr>
                <w:p>
                  <w:pPr>
                    <w:jc w:val="center"/>
                    <w:rPr>
                      <w:sz w:val="18"/>
                      <w:szCs w:val="18"/>
                    </w:rPr>
                  </w:pPr>
                  <w:r>
                    <w:rPr>
                      <w:rFonts w:eastAsia="楷体"/>
                      <w:sz w:val="18"/>
                      <w:szCs w:val="18"/>
                    </w:rPr>
                    <w:t>19</w:t>
                  </w:r>
                </w:p>
              </w:tc>
              <w:tc>
                <w:tcPr>
                  <w:tcW w:w="722" w:type="dxa"/>
                  <w:shd w:val="clear" w:color="auto" w:fill="auto"/>
                  <w:noWrap/>
                  <w:vAlign w:val="bottom"/>
                </w:tcPr>
                <w:p>
                  <w:pPr>
                    <w:jc w:val="center"/>
                    <w:rPr>
                      <w:sz w:val="18"/>
                      <w:szCs w:val="18"/>
                    </w:rPr>
                  </w:pPr>
                  <w:r>
                    <w:rPr>
                      <w:rFonts w:eastAsia="楷体"/>
                      <w:sz w:val="18"/>
                      <w:szCs w:val="18"/>
                    </w:rPr>
                    <w:t>底层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1.12</w:t>
                  </w:r>
                </w:p>
              </w:tc>
              <w:tc>
                <w:tcPr>
                  <w:tcW w:w="963" w:type="dxa"/>
                  <w:shd w:val="clear" w:color="auto" w:fill="auto"/>
                  <w:noWrap/>
                  <w:vAlign w:val="center"/>
                </w:tcPr>
                <w:p>
                  <w:pPr>
                    <w:jc w:val="center"/>
                    <w:rPr>
                      <w:sz w:val="18"/>
                      <w:szCs w:val="18"/>
                    </w:rPr>
                  </w:pPr>
                  <w:r>
                    <w:rPr>
                      <w:sz w:val="18"/>
                      <w:szCs w:val="18"/>
                    </w:rPr>
                    <w:t>8.51</w:t>
                  </w:r>
                </w:p>
              </w:tc>
              <w:tc>
                <w:tcPr>
                  <w:tcW w:w="826" w:type="dxa"/>
                  <w:shd w:val="clear" w:color="auto" w:fill="auto"/>
                  <w:noWrap/>
                  <w:vAlign w:val="center"/>
                </w:tcPr>
                <w:p>
                  <w:pPr>
                    <w:jc w:val="center"/>
                    <w:rPr>
                      <w:sz w:val="18"/>
                      <w:szCs w:val="18"/>
                    </w:rPr>
                  </w:pPr>
                  <w:r>
                    <w:rPr>
                      <w:sz w:val="18"/>
                      <w:szCs w:val="18"/>
                    </w:rPr>
                    <w:t>2.1</w:t>
                  </w:r>
                  <w:r>
                    <w:rPr>
                      <w:rFonts w:hint="eastAsia"/>
                      <w:sz w:val="18"/>
                      <w:szCs w:val="18"/>
                    </w:rPr>
                    <w:t>0</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921" w:type="dxa"/>
                  <w:shd w:val="clear" w:color="auto" w:fill="auto"/>
                  <w:noWrap/>
                  <w:vAlign w:val="bottom"/>
                </w:tcPr>
                <w:p>
                  <w:pPr>
                    <w:jc w:val="center"/>
                    <w:rPr>
                      <w:sz w:val="18"/>
                      <w:szCs w:val="18"/>
                    </w:rPr>
                  </w:pPr>
                  <w:r>
                    <w:rPr>
                      <w:rFonts w:eastAsia="楷体"/>
                      <w:sz w:val="18"/>
                      <w:szCs w:val="18"/>
                    </w:rPr>
                    <w:t>20</w:t>
                  </w:r>
                </w:p>
              </w:tc>
              <w:tc>
                <w:tcPr>
                  <w:tcW w:w="921" w:type="dxa"/>
                  <w:shd w:val="clear" w:color="auto" w:fill="auto"/>
                  <w:noWrap/>
                  <w:vAlign w:val="bottom"/>
                </w:tcPr>
                <w:p>
                  <w:pPr>
                    <w:jc w:val="center"/>
                    <w:rPr>
                      <w:sz w:val="18"/>
                      <w:szCs w:val="18"/>
                    </w:rPr>
                  </w:pPr>
                  <w:r>
                    <w:rPr>
                      <w:rFonts w:eastAsia="楷体"/>
                      <w:sz w:val="18"/>
                      <w:szCs w:val="18"/>
                    </w:rPr>
                    <w:t>19</w:t>
                  </w:r>
                </w:p>
              </w:tc>
              <w:tc>
                <w:tcPr>
                  <w:tcW w:w="722" w:type="dxa"/>
                  <w:shd w:val="clear" w:color="auto" w:fill="auto"/>
                  <w:noWrap/>
                  <w:vAlign w:val="bottom"/>
                </w:tcPr>
                <w:p>
                  <w:pPr>
                    <w:jc w:val="center"/>
                    <w:rPr>
                      <w:sz w:val="18"/>
                      <w:szCs w:val="18"/>
                    </w:rPr>
                  </w:pPr>
                  <w:r>
                    <w:rPr>
                      <w:rFonts w:eastAsia="楷体"/>
                      <w:sz w:val="18"/>
                      <w:szCs w:val="18"/>
                    </w:rPr>
                    <w:t>表层</w:t>
                  </w:r>
                </w:p>
              </w:tc>
              <w:tc>
                <w:tcPr>
                  <w:tcW w:w="1113" w:type="dxa"/>
                  <w:shd w:val="clear" w:color="auto" w:fill="auto"/>
                  <w:noWrap/>
                  <w:vAlign w:val="center"/>
                </w:tcPr>
                <w:p>
                  <w:pPr>
                    <w:jc w:val="center"/>
                    <w:rPr>
                      <w:sz w:val="18"/>
                      <w:szCs w:val="18"/>
                    </w:rPr>
                  </w:pPr>
                  <w:r>
                    <w:rPr>
                      <w:sz w:val="18"/>
                      <w:szCs w:val="18"/>
                    </w:rPr>
                    <w:t>0.31</w:t>
                  </w:r>
                </w:p>
              </w:tc>
              <w:tc>
                <w:tcPr>
                  <w:tcW w:w="1098" w:type="dxa"/>
                  <w:shd w:val="clear" w:color="auto" w:fill="auto"/>
                  <w:noWrap/>
                  <w:vAlign w:val="center"/>
                </w:tcPr>
                <w:p>
                  <w:pPr>
                    <w:jc w:val="center"/>
                    <w:rPr>
                      <w:sz w:val="18"/>
                      <w:szCs w:val="18"/>
                    </w:rPr>
                  </w:pPr>
                  <w:r>
                    <w:rPr>
                      <w:sz w:val="18"/>
                      <w:szCs w:val="18"/>
                    </w:rPr>
                    <w:t>1.96</w:t>
                  </w:r>
                </w:p>
              </w:tc>
              <w:tc>
                <w:tcPr>
                  <w:tcW w:w="963" w:type="dxa"/>
                  <w:shd w:val="clear" w:color="auto" w:fill="auto"/>
                  <w:noWrap/>
                  <w:vAlign w:val="center"/>
                </w:tcPr>
                <w:p>
                  <w:pPr>
                    <w:jc w:val="center"/>
                    <w:rPr>
                      <w:sz w:val="18"/>
                      <w:szCs w:val="18"/>
                    </w:rPr>
                  </w:pPr>
                  <w:r>
                    <w:rPr>
                      <w:sz w:val="18"/>
                      <w:szCs w:val="18"/>
                    </w:rPr>
                    <w:t>27.0</w:t>
                  </w:r>
                </w:p>
              </w:tc>
              <w:tc>
                <w:tcPr>
                  <w:tcW w:w="826" w:type="dxa"/>
                  <w:shd w:val="clear" w:color="auto" w:fill="auto"/>
                  <w:noWrap/>
                  <w:vAlign w:val="center"/>
                </w:tcPr>
                <w:p>
                  <w:pPr>
                    <w:jc w:val="center"/>
                    <w:rPr>
                      <w:sz w:val="18"/>
                      <w:szCs w:val="18"/>
                    </w:rPr>
                  </w:pPr>
                  <w:r>
                    <w:rPr>
                      <w:sz w:val="18"/>
                      <w:szCs w:val="18"/>
                    </w:rPr>
                    <w:t>1.26</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921" w:type="dxa"/>
                  <w:shd w:val="clear" w:color="auto" w:fill="auto"/>
                  <w:noWrap/>
                  <w:vAlign w:val="bottom"/>
                </w:tcPr>
                <w:p>
                  <w:pPr>
                    <w:jc w:val="center"/>
                    <w:rPr>
                      <w:sz w:val="18"/>
                      <w:szCs w:val="18"/>
                    </w:rPr>
                  </w:pPr>
                  <w:r>
                    <w:rPr>
                      <w:rFonts w:eastAsia="楷体"/>
                      <w:sz w:val="18"/>
                      <w:szCs w:val="18"/>
                    </w:rPr>
                    <w:t>20</w:t>
                  </w:r>
                </w:p>
              </w:tc>
              <w:tc>
                <w:tcPr>
                  <w:tcW w:w="921" w:type="dxa"/>
                  <w:shd w:val="clear" w:color="auto" w:fill="auto"/>
                  <w:noWrap/>
                  <w:vAlign w:val="bottom"/>
                </w:tcPr>
                <w:p>
                  <w:pPr>
                    <w:jc w:val="center"/>
                    <w:rPr>
                      <w:sz w:val="18"/>
                      <w:szCs w:val="18"/>
                    </w:rPr>
                  </w:pPr>
                  <w:r>
                    <w:rPr>
                      <w:rFonts w:eastAsia="楷体"/>
                      <w:sz w:val="18"/>
                      <w:szCs w:val="18"/>
                    </w:rPr>
                    <w:t>19</w:t>
                  </w:r>
                </w:p>
              </w:tc>
              <w:tc>
                <w:tcPr>
                  <w:tcW w:w="722" w:type="dxa"/>
                  <w:shd w:val="clear" w:color="auto" w:fill="auto"/>
                  <w:noWrap/>
                  <w:vAlign w:val="bottom"/>
                </w:tcPr>
                <w:p>
                  <w:pPr>
                    <w:jc w:val="center"/>
                    <w:rPr>
                      <w:sz w:val="18"/>
                      <w:szCs w:val="18"/>
                    </w:rPr>
                  </w:pPr>
                  <w:r>
                    <w:rPr>
                      <w:rFonts w:eastAsia="楷体"/>
                      <w:sz w:val="18"/>
                      <w:szCs w:val="18"/>
                    </w:rPr>
                    <w:t>底层</w:t>
                  </w:r>
                </w:p>
              </w:tc>
              <w:tc>
                <w:tcPr>
                  <w:tcW w:w="1113" w:type="dxa"/>
                  <w:shd w:val="clear" w:color="auto" w:fill="auto"/>
                  <w:noWrap/>
                  <w:vAlign w:val="center"/>
                </w:tcPr>
                <w:p>
                  <w:pPr>
                    <w:jc w:val="center"/>
                    <w:rPr>
                      <w:sz w:val="18"/>
                      <w:szCs w:val="18"/>
                    </w:rPr>
                  </w:pPr>
                  <w:r>
                    <w:rPr>
                      <w:sz w:val="18"/>
                      <w:szCs w:val="18"/>
                    </w:rPr>
                    <w:t>1.24</w:t>
                  </w:r>
                </w:p>
              </w:tc>
              <w:tc>
                <w:tcPr>
                  <w:tcW w:w="1098" w:type="dxa"/>
                  <w:shd w:val="clear" w:color="auto" w:fill="auto"/>
                  <w:noWrap/>
                  <w:vAlign w:val="center"/>
                </w:tcPr>
                <w:p>
                  <w:pPr>
                    <w:jc w:val="center"/>
                    <w:rPr>
                      <w:sz w:val="18"/>
                      <w:szCs w:val="18"/>
                    </w:rPr>
                  </w:pPr>
                  <w:r>
                    <w:rPr>
                      <w:sz w:val="18"/>
                      <w:szCs w:val="18"/>
                    </w:rPr>
                    <w:t>0.84</w:t>
                  </w:r>
                </w:p>
              </w:tc>
              <w:tc>
                <w:tcPr>
                  <w:tcW w:w="963" w:type="dxa"/>
                  <w:shd w:val="clear" w:color="auto" w:fill="auto"/>
                  <w:noWrap/>
                  <w:vAlign w:val="center"/>
                </w:tcPr>
                <w:p>
                  <w:pPr>
                    <w:jc w:val="center"/>
                    <w:rPr>
                      <w:sz w:val="18"/>
                      <w:szCs w:val="18"/>
                    </w:rPr>
                  </w:pPr>
                  <w:r>
                    <w:rPr>
                      <w:sz w:val="18"/>
                      <w:szCs w:val="18"/>
                    </w:rPr>
                    <w:t>2.49</w:t>
                  </w:r>
                </w:p>
              </w:tc>
              <w:tc>
                <w:tcPr>
                  <w:tcW w:w="826" w:type="dxa"/>
                  <w:shd w:val="clear" w:color="auto" w:fill="auto"/>
                  <w:noWrap/>
                  <w:vAlign w:val="center"/>
                </w:tcPr>
                <w:p>
                  <w:pPr>
                    <w:jc w:val="center"/>
                    <w:rPr>
                      <w:sz w:val="18"/>
                      <w:szCs w:val="18"/>
                    </w:rPr>
                  </w:pPr>
                  <w:r>
                    <w:rPr>
                      <w:sz w:val="18"/>
                      <w:szCs w:val="18"/>
                    </w:rPr>
                    <w:t>未检出</w:t>
                  </w:r>
                </w:p>
              </w:tc>
              <w:tc>
                <w:tcPr>
                  <w:tcW w:w="780" w:type="dxa"/>
                  <w:shd w:val="clear" w:color="auto" w:fill="auto"/>
                  <w:noWrap/>
                  <w:vAlign w:val="center"/>
                </w:tcPr>
                <w:p>
                  <w:pPr>
                    <w:jc w:val="center"/>
                    <w:rPr>
                      <w:sz w:val="18"/>
                      <w:szCs w:val="18"/>
                    </w:rPr>
                  </w:pPr>
                  <w:r>
                    <w:rPr>
                      <w:rFonts w:hint="eastAsia"/>
                      <w:sz w:val="18"/>
                      <w:szCs w:val="18"/>
                    </w:rPr>
                    <w:t>未检出</w:t>
                  </w:r>
                </w:p>
              </w:tc>
              <w:tc>
                <w:tcPr>
                  <w:tcW w:w="915" w:type="dxa"/>
                  <w:shd w:val="clear" w:color="auto" w:fill="auto"/>
                  <w:noWrap/>
                  <w:vAlign w:val="center"/>
                </w:tcPr>
                <w:p>
                  <w:pPr>
                    <w:jc w:val="center"/>
                    <w:rPr>
                      <w:sz w:val="18"/>
                      <w:szCs w:val="18"/>
                    </w:rPr>
                  </w:pPr>
                  <w:r>
                    <w:rPr>
                      <w:rFonts w:hint="eastAsia"/>
                      <w:sz w:val="18"/>
                      <w:szCs w:val="18"/>
                    </w:rPr>
                    <w:t>0.0041</w:t>
                  </w:r>
                </w:p>
              </w:tc>
            </w:tr>
          </w:tbl>
          <w:p>
            <w:pPr>
              <w:pStyle w:val="45"/>
              <w:adjustRightInd w:val="0"/>
              <w:spacing w:line="288" w:lineRule="auto"/>
              <w:rPr>
                <w:rFonts w:ascii="Times New Roman" w:hAnsi="Times New Roman" w:eastAsia="楷体"/>
                <w:sz w:val="18"/>
                <w:szCs w:val="18"/>
              </w:rPr>
            </w:pPr>
            <w:r>
              <w:rPr>
                <w:rFonts w:ascii="Times New Roman" w:hAnsi="Times New Roman" w:eastAsia="楷体"/>
                <w:sz w:val="18"/>
                <w:szCs w:val="18"/>
              </w:rPr>
              <w:t xml:space="preserve"> </w:t>
            </w:r>
          </w:p>
          <w:p>
            <w:pPr>
              <w:pStyle w:val="279"/>
              <w:snapToGrid w:val="0"/>
              <w:ind w:firstLine="480"/>
            </w:pPr>
            <w:r>
              <w:t>表</w:t>
            </w:r>
            <w:r>
              <w:rPr>
                <w:rFonts w:hint="eastAsia"/>
              </w:rPr>
              <w:t>4</w:t>
            </w:r>
            <w:r>
              <w:t>.</w:t>
            </w:r>
            <w:r>
              <w:rPr>
                <w:rFonts w:hint="eastAsia"/>
              </w:rPr>
              <w:t>1.</w:t>
            </w:r>
            <w:r>
              <w:t>1-3(c) 水质监测结果</w:t>
            </w:r>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23"/>
              <w:gridCol w:w="824"/>
              <w:gridCol w:w="646"/>
              <w:gridCol w:w="826"/>
              <w:gridCol w:w="884"/>
              <w:gridCol w:w="757"/>
              <w:gridCol w:w="884"/>
              <w:gridCol w:w="882"/>
              <w:gridCol w:w="882"/>
              <w:gridCol w:w="85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blHeader/>
                <w:jc w:val="center"/>
              </w:trPr>
              <w:tc>
                <w:tcPr>
                  <w:tcW w:w="823" w:type="dxa"/>
                  <w:shd w:val="clear" w:color="auto" w:fill="auto"/>
                  <w:noWrap/>
                  <w:vAlign w:val="center"/>
                </w:tcPr>
                <w:p>
                  <w:pPr>
                    <w:jc w:val="center"/>
                    <w:rPr>
                      <w:b/>
                      <w:sz w:val="18"/>
                      <w:szCs w:val="18"/>
                    </w:rPr>
                  </w:pPr>
                  <w:r>
                    <w:rPr>
                      <w:b/>
                      <w:sz w:val="18"/>
                      <w:szCs w:val="18"/>
                    </w:rPr>
                    <w:t>站位</w:t>
                  </w:r>
                </w:p>
              </w:tc>
              <w:tc>
                <w:tcPr>
                  <w:tcW w:w="824" w:type="dxa"/>
                  <w:shd w:val="clear" w:color="auto" w:fill="auto"/>
                  <w:noWrap/>
                  <w:vAlign w:val="center"/>
                </w:tcPr>
                <w:p>
                  <w:pPr>
                    <w:jc w:val="center"/>
                    <w:rPr>
                      <w:b/>
                      <w:sz w:val="18"/>
                      <w:szCs w:val="18"/>
                    </w:rPr>
                  </w:pPr>
                  <w:r>
                    <w:rPr>
                      <w:b/>
                      <w:sz w:val="18"/>
                      <w:szCs w:val="18"/>
                    </w:rPr>
                    <w:t>水深</w:t>
                  </w:r>
                </w:p>
                <w:p>
                  <w:pPr>
                    <w:jc w:val="center"/>
                    <w:rPr>
                      <w:b/>
                      <w:sz w:val="18"/>
                      <w:szCs w:val="18"/>
                    </w:rPr>
                  </w:pPr>
                  <w:r>
                    <w:rPr>
                      <w:b/>
                      <w:sz w:val="18"/>
                      <w:szCs w:val="18"/>
                    </w:rPr>
                    <w:t>(m)</w:t>
                  </w:r>
                </w:p>
              </w:tc>
              <w:tc>
                <w:tcPr>
                  <w:tcW w:w="646" w:type="dxa"/>
                  <w:shd w:val="clear" w:color="auto" w:fill="auto"/>
                  <w:noWrap/>
                  <w:vAlign w:val="center"/>
                </w:tcPr>
                <w:p>
                  <w:pPr>
                    <w:jc w:val="center"/>
                    <w:rPr>
                      <w:b/>
                      <w:sz w:val="18"/>
                      <w:szCs w:val="18"/>
                    </w:rPr>
                  </w:pPr>
                  <w:r>
                    <w:rPr>
                      <w:b/>
                      <w:sz w:val="18"/>
                      <w:szCs w:val="18"/>
                    </w:rPr>
                    <w:t>采样层次</w:t>
                  </w:r>
                </w:p>
              </w:tc>
              <w:tc>
                <w:tcPr>
                  <w:tcW w:w="826" w:type="dxa"/>
                  <w:shd w:val="clear" w:color="auto" w:fill="auto"/>
                  <w:noWrap/>
                  <w:vAlign w:val="center"/>
                </w:tcPr>
                <w:p>
                  <w:pPr>
                    <w:jc w:val="center"/>
                    <w:rPr>
                      <w:b/>
                      <w:sz w:val="18"/>
                      <w:szCs w:val="18"/>
                    </w:rPr>
                  </w:pPr>
                  <w:r>
                    <w:rPr>
                      <w:b/>
                      <w:sz w:val="18"/>
                      <w:szCs w:val="18"/>
                    </w:rPr>
                    <w:t xml:space="preserve">铜 </w:t>
                  </w:r>
                </w:p>
                <w:p>
                  <w:pPr>
                    <w:jc w:val="center"/>
                    <w:rPr>
                      <w:b/>
                      <w:sz w:val="18"/>
                      <w:szCs w:val="18"/>
                    </w:rPr>
                  </w:pPr>
                  <w:r>
                    <w:rPr>
                      <w:b/>
                      <w:sz w:val="18"/>
                      <w:szCs w:val="18"/>
                    </w:rPr>
                    <w:t>(μg/L)</w:t>
                  </w:r>
                </w:p>
              </w:tc>
              <w:tc>
                <w:tcPr>
                  <w:tcW w:w="884" w:type="dxa"/>
                  <w:shd w:val="clear" w:color="auto" w:fill="auto"/>
                  <w:noWrap/>
                  <w:vAlign w:val="center"/>
                </w:tcPr>
                <w:p>
                  <w:pPr>
                    <w:jc w:val="center"/>
                    <w:rPr>
                      <w:b/>
                      <w:sz w:val="18"/>
                      <w:szCs w:val="18"/>
                    </w:rPr>
                  </w:pPr>
                  <w:r>
                    <w:rPr>
                      <w:b/>
                      <w:sz w:val="18"/>
                      <w:szCs w:val="18"/>
                    </w:rPr>
                    <w:t>铅</w:t>
                  </w:r>
                </w:p>
                <w:p>
                  <w:pPr>
                    <w:jc w:val="center"/>
                    <w:rPr>
                      <w:b/>
                      <w:sz w:val="18"/>
                      <w:szCs w:val="18"/>
                    </w:rPr>
                  </w:pPr>
                  <w:r>
                    <w:rPr>
                      <w:b/>
                      <w:sz w:val="18"/>
                      <w:szCs w:val="18"/>
                    </w:rPr>
                    <w:t xml:space="preserve"> (μg/L)</w:t>
                  </w:r>
                </w:p>
              </w:tc>
              <w:tc>
                <w:tcPr>
                  <w:tcW w:w="757" w:type="dxa"/>
                  <w:vAlign w:val="center"/>
                </w:tcPr>
                <w:p>
                  <w:pPr>
                    <w:jc w:val="center"/>
                    <w:rPr>
                      <w:b/>
                      <w:sz w:val="18"/>
                      <w:szCs w:val="18"/>
                    </w:rPr>
                  </w:pPr>
                  <w:r>
                    <w:rPr>
                      <w:b/>
                      <w:sz w:val="18"/>
                      <w:szCs w:val="18"/>
                    </w:rPr>
                    <w:t xml:space="preserve">锌 </w:t>
                  </w:r>
                </w:p>
                <w:p>
                  <w:pPr>
                    <w:jc w:val="center"/>
                    <w:rPr>
                      <w:b/>
                      <w:sz w:val="18"/>
                      <w:szCs w:val="18"/>
                    </w:rPr>
                  </w:pPr>
                  <w:r>
                    <w:rPr>
                      <w:b/>
                      <w:sz w:val="18"/>
                      <w:szCs w:val="18"/>
                    </w:rPr>
                    <w:t>(μg/L)</w:t>
                  </w:r>
                </w:p>
              </w:tc>
              <w:tc>
                <w:tcPr>
                  <w:tcW w:w="884" w:type="dxa"/>
                  <w:shd w:val="clear" w:color="auto" w:fill="auto"/>
                  <w:noWrap/>
                  <w:vAlign w:val="center"/>
                </w:tcPr>
                <w:p>
                  <w:pPr>
                    <w:jc w:val="center"/>
                    <w:rPr>
                      <w:b/>
                      <w:sz w:val="18"/>
                      <w:szCs w:val="18"/>
                    </w:rPr>
                  </w:pPr>
                  <w:r>
                    <w:rPr>
                      <w:b/>
                      <w:sz w:val="18"/>
                      <w:szCs w:val="18"/>
                    </w:rPr>
                    <w:t xml:space="preserve">镉 </w:t>
                  </w:r>
                </w:p>
                <w:p>
                  <w:pPr>
                    <w:jc w:val="center"/>
                    <w:rPr>
                      <w:b/>
                      <w:sz w:val="18"/>
                      <w:szCs w:val="18"/>
                    </w:rPr>
                  </w:pPr>
                  <w:r>
                    <w:rPr>
                      <w:b/>
                      <w:sz w:val="18"/>
                      <w:szCs w:val="18"/>
                    </w:rPr>
                    <w:t>(μg/L)</w:t>
                  </w:r>
                </w:p>
              </w:tc>
              <w:tc>
                <w:tcPr>
                  <w:tcW w:w="882" w:type="dxa"/>
                  <w:shd w:val="clear" w:color="auto" w:fill="auto"/>
                  <w:noWrap/>
                  <w:vAlign w:val="center"/>
                </w:tcPr>
                <w:p>
                  <w:pPr>
                    <w:jc w:val="center"/>
                    <w:rPr>
                      <w:b/>
                      <w:sz w:val="18"/>
                      <w:szCs w:val="18"/>
                    </w:rPr>
                  </w:pPr>
                  <w:r>
                    <w:rPr>
                      <w:b/>
                      <w:sz w:val="18"/>
                      <w:szCs w:val="18"/>
                    </w:rPr>
                    <w:t>总汞</w:t>
                  </w:r>
                </w:p>
                <w:p>
                  <w:pPr>
                    <w:jc w:val="center"/>
                    <w:rPr>
                      <w:b/>
                      <w:sz w:val="18"/>
                      <w:szCs w:val="18"/>
                    </w:rPr>
                  </w:pPr>
                  <w:r>
                    <w:rPr>
                      <w:b/>
                      <w:sz w:val="18"/>
                      <w:szCs w:val="18"/>
                    </w:rPr>
                    <w:t>(μg/L)</w:t>
                  </w:r>
                </w:p>
              </w:tc>
              <w:tc>
                <w:tcPr>
                  <w:tcW w:w="882" w:type="dxa"/>
                  <w:shd w:val="clear" w:color="auto" w:fill="auto"/>
                  <w:noWrap/>
                  <w:vAlign w:val="center"/>
                </w:tcPr>
                <w:p>
                  <w:pPr>
                    <w:jc w:val="center"/>
                    <w:rPr>
                      <w:b/>
                      <w:sz w:val="18"/>
                      <w:szCs w:val="18"/>
                    </w:rPr>
                  </w:pPr>
                  <w:r>
                    <w:rPr>
                      <w:b/>
                      <w:sz w:val="18"/>
                      <w:szCs w:val="18"/>
                    </w:rPr>
                    <w:t xml:space="preserve">砷 </w:t>
                  </w:r>
                </w:p>
                <w:p>
                  <w:pPr>
                    <w:jc w:val="center"/>
                    <w:rPr>
                      <w:b/>
                      <w:sz w:val="18"/>
                      <w:szCs w:val="18"/>
                    </w:rPr>
                  </w:pPr>
                  <w:r>
                    <w:rPr>
                      <w:b/>
                      <w:sz w:val="18"/>
                      <w:szCs w:val="18"/>
                    </w:rPr>
                    <w:t>(μg/L)</w:t>
                  </w:r>
                </w:p>
              </w:tc>
              <w:tc>
                <w:tcPr>
                  <w:tcW w:w="851" w:type="dxa"/>
                  <w:shd w:val="clear" w:color="auto" w:fill="auto"/>
                  <w:noWrap/>
                  <w:vAlign w:val="center"/>
                </w:tcPr>
                <w:p>
                  <w:pPr>
                    <w:jc w:val="center"/>
                    <w:rPr>
                      <w:b/>
                      <w:sz w:val="18"/>
                      <w:szCs w:val="18"/>
                    </w:rPr>
                  </w:pPr>
                  <w:r>
                    <w:rPr>
                      <w:b/>
                      <w:sz w:val="18"/>
                      <w:szCs w:val="18"/>
                    </w:rPr>
                    <w:t>铬</w:t>
                  </w:r>
                </w:p>
                <w:p>
                  <w:pPr>
                    <w:jc w:val="center"/>
                    <w:rPr>
                      <w:b/>
                      <w:sz w:val="18"/>
                      <w:szCs w:val="18"/>
                    </w:rPr>
                  </w:pPr>
                  <w:r>
                    <w:rPr>
                      <w:b/>
                      <w:sz w:val="18"/>
                      <w:szCs w:val="18"/>
                    </w:rPr>
                    <w:t>(μg/L)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w:t>
                  </w:r>
                </w:p>
              </w:tc>
              <w:tc>
                <w:tcPr>
                  <w:tcW w:w="824" w:type="dxa"/>
                  <w:shd w:val="clear" w:color="auto" w:fill="auto"/>
                  <w:noWrap/>
                  <w:vAlign w:val="bottom"/>
                </w:tcPr>
                <w:p>
                  <w:pPr>
                    <w:jc w:val="center"/>
                    <w:rPr>
                      <w:sz w:val="18"/>
                      <w:szCs w:val="18"/>
                    </w:rPr>
                  </w:pPr>
                  <w:r>
                    <w:rPr>
                      <w:rFonts w:eastAsia="楷体"/>
                      <w:sz w:val="18"/>
                      <w:szCs w:val="18"/>
                    </w:rPr>
                    <w:t>3</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2.31</w:t>
                  </w:r>
                </w:p>
              </w:tc>
              <w:tc>
                <w:tcPr>
                  <w:tcW w:w="884" w:type="dxa"/>
                  <w:shd w:val="clear" w:color="auto" w:fill="auto"/>
                  <w:noWrap/>
                  <w:vAlign w:val="center"/>
                </w:tcPr>
                <w:p>
                  <w:pPr>
                    <w:ind w:firstLine="199" w:firstLineChars="111"/>
                    <w:rPr>
                      <w:sz w:val="18"/>
                      <w:szCs w:val="18"/>
                    </w:rPr>
                  </w:pPr>
                  <w:r>
                    <w:rPr>
                      <w:rFonts w:eastAsia="等线"/>
                      <w:sz w:val="18"/>
                      <w:szCs w:val="18"/>
                    </w:rPr>
                    <w:t>0.34</w:t>
                  </w:r>
                </w:p>
              </w:tc>
              <w:tc>
                <w:tcPr>
                  <w:tcW w:w="757" w:type="dxa"/>
                  <w:vAlign w:val="center"/>
                </w:tcPr>
                <w:p>
                  <w:pPr>
                    <w:ind w:firstLine="180" w:firstLineChars="100"/>
                    <w:rPr>
                      <w:sz w:val="18"/>
                      <w:szCs w:val="18"/>
                    </w:rPr>
                  </w:pPr>
                  <w:r>
                    <w:rPr>
                      <w:rFonts w:eastAsia="等线"/>
                      <w:sz w:val="18"/>
                      <w:szCs w:val="18"/>
                    </w:rPr>
                    <w:t>5.14</w:t>
                  </w:r>
                </w:p>
              </w:tc>
              <w:tc>
                <w:tcPr>
                  <w:tcW w:w="884" w:type="dxa"/>
                  <w:shd w:val="clear" w:color="auto" w:fill="auto"/>
                  <w:noWrap/>
                  <w:vAlign w:val="center"/>
                </w:tcPr>
                <w:p>
                  <w:pPr>
                    <w:jc w:val="center"/>
                    <w:rPr>
                      <w:sz w:val="18"/>
                      <w:szCs w:val="18"/>
                    </w:rPr>
                  </w:pPr>
                  <w:r>
                    <w:rPr>
                      <w:rFonts w:eastAsia="等线"/>
                      <w:sz w:val="18"/>
                      <w:szCs w:val="18"/>
                    </w:rPr>
                    <w:t>0.41</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2.78</w:t>
                  </w:r>
                </w:p>
              </w:tc>
              <w:tc>
                <w:tcPr>
                  <w:tcW w:w="851" w:type="dxa"/>
                  <w:shd w:val="clear" w:color="auto" w:fill="auto"/>
                  <w:noWrap/>
                  <w:vAlign w:val="center"/>
                </w:tcPr>
                <w:p>
                  <w:pPr>
                    <w:jc w:val="center"/>
                    <w:rPr>
                      <w:sz w:val="18"/>
                      <w:szCs w:val="18"/>
                    </w:rPr>
                  </w:pPr>
                  <w:r>
                    <w:rPr>
                      <w:rFonts w:eastAsia="等线"/>
                      <w:sz w:val="18"/>
                      <w:szCs w:val="18"/>
                    </w:rPr>
                    <w:t>1.56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2</w:t>
                  </w:r>
                </w:p>
              </w:tc>
              <w:tc>
                <w:tcPr>
                  <w:tcW w:w="824" w:type="dxa"/>
                  <w:shd w:val="clear" w:color="auto" w:fill="auto"/>
                  <w:noWrap/>
                  <w:vAlign w:val="bottom"/>
                </w:tcPr>
                <w:p>
                  <w:pPr>
                    <w:jc w:val="center"/>
                    <w:rPr>
                      <w:sz w:val="18"/>
                      <w:szCs w:val="18"/>
                    </w:rPr>
                  </w:pPr>
                  <w:r>
                    <w:rPr>
                      <w:rFonts w:eastAsia="楷体"/>
                      <w:sz w:val="18"/>
                      <w:szCs w:val="18"/>
                    </w:rPr>
                    <w:t>3</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3.21</w:t>
                  </w:r>
                </w:p>
              </w:tc>
              <w:tc>
                <w:tcPr>
                  <w:tcW w:w="884" w:type="dxa"/>
                  <w:shd w:val="clear" w:color="auto" w:fill="auto"/>
                  <w:noWrap/>
                  <w:vAlign w:val="center"/>
                </w:tcPr>
                <w:p>
                  <w:pPr>
                    <w:jc w:val="center"/>
                    <w:rPr>
                      <w:sz w:val="18"/>
                      <w:szCs w:val="18"/>
                    </w:rPr>
                  </w:pPr>
                  <w:r>
                    <w:rPr>
                      <w:rFonts w:eastAsia="等线"/>
                      <w:sz w:val="18"/>
                      <w:szCs w:val="18"/>
                    </w:rPr>
                    <w:t>0.41</w:t>
                  </w:r>
                </w:p>
              </w:tc>
              <w:tc>
                <w:tcPr>
                  <w:tcW w:w="757" w:type="dxa"/>
                  <w:vAlign w:val="center"/>
                </w:tcPr>
                <w:p>
                  <w:pPr>
                    <w:jc w:val="center"/>
                    <w:rPr>
                      <w:sz w:val="18"/>
                      <w:szCs w:val="18"/>
                    </w:rPr>
                  </w:pPr>
                  <w:r>
                    <w:rPr>
                      <w:rFonts w:eastAsia="等线"/>
                      <w:sz w:val="18"/>
                      <w:szCs w:val="18"/>
                    </w:rPr>
                    <w:t>3.76</w:t>
                  </w:r>
                </w:p>
              </w:tc>
              <w:tc>
                <w:tcPr>
                  <w:tcW w:w="884" w:type="dxa"/>
                  <w:shd w:val="clear" w:color="auto" w:fill="auto"/>
                  <w:noWrap/>
                  <w:vAlign w:val="center"/>
                </w:tcPr>
                <w:p>
                  <w:pPr>
                    <w:jc w:val="center"/>
                    <w:rPr>
                      <w:sz w:val="18"/>
                      <w:szCs w:val="18"/>
                    </w:rPr>
                  </w:pPr>
                  <w:r>
                    <w:rPr>
                      <w:rFonts w:eastAsia="等线"/>
                      <w:sz w:val="18"/>
                      <w:szCs w:val="18"/>
                    </w:rPr>
                    <w:t>0.53</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4.23</w:t>
                  </w:r>
                </w:p>
              </w:tc>
              <w:tc>
                <w:tcPr>
                  <w:tcW w:w="851" w:type="dxa"/>
                  <w:shd w:val="clear" w:color="auto" w:fill="auto"/>
                  <w:noWrap/>
                  <w:vAlign w:val="center"/>
                </w:tcPr>
                <w:p>
                  <w:pPr>
                    <w:jc w:val="center"/>
                    <w:rPr>
                      <w:sz w:val="18"/>
                      <w:szCs w:val="18"/>
                    </w:rPr>
                  </w:pPr>
                  <w:r>
                    <w:rPr>
                      <w:rFonts w:eastAsia="等线"/>
                      <w:sz w:val="18"/>
                      <w:szCs w:val="18"/>
                    </w:rPr>
                    <w:t>3.15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3</w:t>
                  </w:r>
                </w:p>
              </w:tc>
              <w:tc>
                <w:tcPr>
                  <w:tcW w:w="824" w:type="dxa"/>
                  <w:shd w:val="clear" w:color="auto" w:fill="auto"/>
                  <w:noWrap/>
                  <w:vAlign w:val="bottom"/>
                </w:tcPr>
                <w:p>
                  <w:pPr>
                    <w:jc w:val="center"/>
                    <w:rPr>
                      <w:sz w:val="18"/>
                      <w:szCs w:val="18"/>
                    </w:rPr>
                  </w:pPr>
                  <w:r>
                    <w:rPr>
                      <w:rFonts w:eastAsia="楷体"/>
                      <w:sz w:val="18"/>
                      <w:szCs w:val="18"/>
                    </w:rPr>
                    <w:t>5</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3.57</w:t>
                  </w:r>
                </w:p>
              </w:tc>
              <w:tc>
                <w:tcPr>
                  <w:tcW w:w="884" w:type="dxa"/>
                  <w:shd w:val="clear" w:color="auto" w:fill="auto"/>
                  <w:noWrap/>
                  <w:vAlign w:val="center"/>
                </w:tcPr>
                <w:p>
                  <w:pPr>
                    <w:jc w:val="center"/>
                    <w:rPr>
                      <w:sz w:val="18"/>
                      <w:szCs w:val="18"/>
                    </w:rPr>
                  </w:pPr>
                  <w:r>
                    <w:rPr>
                      <w:rFonts w:eastAsia="等线"/>
                      <w:sz w:val="18"/>
                      <w:szCs w:val="18"/>
                    </w:rPr>
                    <w:t>0.37</w:t>
                  </w:r>
                </w:p>
              </w:tc>
              <w:tc>
                <w:tcPr>
                  <w:tcW w:w="757" w:type="dxa"/>
                  <w:vAlign w:val="center"/>
                </w:tcPr>
                <w:p>
                  <w:pPr>
                    <w:jc w:val="center"/>
                    <w:rPr>
                      <w:sz w:val="18"/>
                      <w:szCs w:val="18"/>
                    </w:rPr>
                  </w:pPr>
                  <w:r>
                    <w:rPr>
                      <w:rFonts w:eastAsia="等线"/>
                      <w:sz w:val="18"/>
                      <w:szCs w:val="18"/>
                    </w:rPr>
                    <w:t>4.67</w:t>
                  </w:r>
                </w:p>
              </w:tc>
              <w:tc>
                <w:tcPr>
                  <w:tcW w:w="884" w:type="dxa"/>
                  <w:shd w:val="clear" w:color="auto" w:fill="auto"/>
                  <w:noWrap/>
                  <w:vAlign w:val="center"/>
                </w:tcPr>
                <w:p>
                  <w:pPr>
                    <w:jc w:val="center"/>
                    <w:rPr>
                      <w:sz w:val="18"/>
                      <w:szCs w:val="18"/>
                    </w:rPr>
                  </w:pPr>
                  <w:r>
                    <w:rPr>
                      <w:rFonts w:eastAsia="等线"/>
                      <w:sz w:val="18"/>
                      <w:szCs w:val="18"/>
                    </w:rPr>
                    <w:t>0.28</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3.51</w:t>
                  </w:r>
                </w:p>
              </w:tc>
              <w:tc>
                <w:tcPr>
                  <w:tcW w:w="851" w:type="dxa"/>
                  <w:shd w:val="clear" w:color="auto" w:fill="auto"/>
                  <w:noWrap/>
                  <w:vAlign w:val="center"/>
                </w:tcPr>
                <w:p>
                  <w:pPr>
                    <w:jc w:val="center"/>
                    <w:rPr>
                      <w:sz w:val="18"/>
                      <w:szCs w:val="18"/>
                    </w:rPr>
                  </w:pPr>
                  <w:r>
                    <w:rPr>
                      <w:rFonts w:eastAsia="等线"/>
                      <w:sz w:val="18"/>
                      <w:szCs w:val="18"/>
                    </w:rPr>
                    <w:t>4.32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4</w:t>
                  </w:r>
                </w:p>
              </w:tc>
              <w:tc>
                <w:tcPr>
                  <w:tcW w:w="824" w:type="dxa"/>
                  <w:shd w:val="clear" w:color="auto" w:fill="auto"/>
                  <w:noWrap/>
                  <w:vAlign w:val="bottom"/>
                </w:tcPr>
                <w:p>
                  <w:pPr>
                    <w:jc w:val="center"/>
                    <w:rPr>
                      <w:sz w:val="18"/>
                      <w:szCs w:val="18"/>
                    </w:rPr>
                  </w:pPr>
                  <w:r>
                    <w:rPr>
                      <w:rFonts w:eastAsia="楷体"/>
                      <w:sz w:val="18"/>
                      <w:szCs w:val="18"/>
                    </w:rPr>
                    <w:t>5</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4.15</w:t>
                  </w:r>
                </w:p>
              </w:tc>
              <w:tc>
                <w:tcPr>
                  <w:tcW w:w="884" w:type="dxa"/>
                  <w:shd w:val="clear" w:color="auto" w:fill="auto"/>
                  <w:noWrap/>
                  <w:vAlign w:val="center"/>
                </w:tcPr>
                <w:p>
                  <w:pPr>
                    <w:jc w:val="center"/>
                    <w:rPr>
                      <w:sz w:val="18"/>
                      <w:szCs w:val="18"/>
                    </w:rPr>
                  </w:pPr>
                  <w:r>
                    <w:rPr>
                      <w:rFonts w:eastAsia="等线"/>
                      <w:sz w:val="18"/>
                      <w:szCs w:val="18"/>
                    </w:rPr>
                    <w:t>0.43</w:t>
                  </w:r>
                </w:p>
              </w:tc>
              <w:tc>
                <w:tcPr>
                  <w:tcW w:w="757" w:type="dxa"/>
                  <w:vAlign w:val="center"/>
                </w:tcPr>
                <w:p>
                  <w:pPr>
                    <w:jc w:val="center"/>
                    <w:rPr>
                      <w:sz w:val="18"/>
                      <w:szCs w:val="18"/>
                    </w:rPr>
                  </w:pPr>
                  <w:r>
                    <w:rPr>
                      <w:rFonts w:eastAsia="等线"/>
                      <w:sz w:val="18"/>
                      <w:szCs w:val="18"/>
                    </w:rPr>
                    <w:t>3.65</w:t>
                  </w:r>
                </w:p>
              </w:tc>
              <w:tc>
                <w:tcPr>
                  <w:tcW w:w="884" w:type="dxa"/>
                  <w:shd w:val="clear" w:color="auto" w:fill="auto"/>
                  <w:noWrap/>
                  <w:vAlign w:val="center"/>
                </w:tcPr>
                <w:p>
                  <w:pPr>
                    <w:jc w:val="center"/>
                    <w:rPr>
                      <w:sz w:val="18"/>
                      <w:szCs w:val="18"/>
                    </w:rPr>
                  </w:pPr>
                  <w:r>
                    <w:rPr>
                      <w:rFonts w:eastAsia="等线"/>
                      <w:sz w:val="18"/>
                      <w:szCs w:val="18"/>
                    </w:rPr>
                    <w:t>0.43</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3.24</w:t>
                  </w:r>
                </w:p>
              </w:tc>
              <w:tc>
                <w:tcPr>
                  <w:tcW w:w="851" w:type="dxa"/>
                  <w:shd w:val="clear" w:color="auto" w:fill="auto"/>
                  <w:noWrap/>
                  <w:vAlign w:val="center"/>
                </w:tcPr>
                <w:p>
                  <w:pPr>
                    <w:jc w:val="center"/>
                    <w:rPr>
                      <w:sz w:val="18"/>
                      <w:szCs w:val="18"/>
                    </w:rPr>
                  </w:pPr>
                  <w:r>
                    <w:rPr>
                      <w:rFonts w:eastAsia="等线"/>
                      <w:sz w:val="18"/>
                      <w:szCs w:val="18"/>
                    </w:rPr>
                    <w:t>3.67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5</w:t>
                  </w:r>
                </w:p>
              </w:tc>
              <w:tc>
                <w:tcPr>
                  <w:tcW w:w="824" w:type="dxa"/>
                  <w:shd w:val="clear" w:color="auto" w:fill="auto"/>
                  <w:noWrap/>
                  <w:vAlign w:val="bottom"/>
                </w:tcPr>
                <w:p>
                  <w:pPr>
                    <w:jc w:val="center"/>
                    <w:rPr>
                      <w:sz w:val="18"/>
                      <w:szCs w:val="18"/>
                    </w:rPr>
                  </w:pPr>
                  <w:r>
                    <w:rPr>
                      <w:rFonts w:eastAsia="楷体"/>
                      <w:sz w:val="18"/>
                      <w:szCs w:val="18"/>
                    </w:rPr>
                    <w:t>4</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3.24</w:t>
                  </w:r>
                </w:p>
              </w:tc>
              <w:tc>
                <w:tcPr>
                  <w:tcW w:w="884" w:type="dxa"/>
                  <w:shd w:val="clear" w:color="auto" w:fill="auto"/>
                  <w:noWrap/>
                  <w:vAlign w:val="center"/>
                </w:tcPr>
                <w:p>
                  <w:pPr>
                    <w:jc w:val="center"/>
                    <w:rPr>
                      <w:sz w:val="18"/>
                      <w:szCs w:val="18"/>
                    </w:rPr>
                  </w:pPr>
                  <w:r>
                    <w:rPr>
                      <w:rFonts w:eastAsia="等线"/>
                      <w:sz w:val="18"/>
                      <w:szCs w:val="18"/>
                    </w:rPr>
                    <w:t>0.38</w:t>
                  </w:r>
                </w:p>
              </w:tc>
              <w:tc>
                <w:tcPr>
                  <w:tcW w:w="757" w:type="dxa"/>
                  <w:vAlign w:val="center"/>
                </w:tcPr>
                <w:p>
                  <w:pPr>
                    <w:jc w:val="center"/>
                    <w:rPr>
                      <w:sz w:val="18"/>
                      <w:szCs w:val="18"/>
                    </w:rPr>
                  </w:pPr>
                  <w:r>
                    <w:rPr>
                      <w:rFonts w:eastAsia="等线"/>
                      <w:sz w:val="18"/>
                      <w:szCs w:val="18"/>
                    </w:rPr>
                    <w:t>4.61</w:t>
                  </w:r>
                </w:p>
              </w:tc>
              <w:tc>
                <w:tcPr>
                  <w:tcW w:w="884" w:type="dxa"/>
                  <w:shd w:val="clear" w:color="auto" w:fill="auto"/>
                  <w:noWrap/>
                  <w:vAlign w:val="center"/>
                </w:tcPr>
                <w:p>
                  <w:pPr>
                    <w:jc w:val="center"/>
                    <w:rPr>
                      <w:sz w:val="18"/>
                      <w:szCs w:val="18"/>
                    </w:rPr>
                  </w:pPr>
                  <w:r>
                    <w:rPr>
                      <w:rFonts w:eastAsia="等线"/>
                      <w:sz w:val="18"/>
                      <w:szCs w:val="18"/>
                    </w:rPr>
                    <w:t>0.46</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3.17</w:t>
                  </w:r>
                </w:p>
              </w:tc>
              <w:tc>
                <w:tcPr>
                  <w:tcW w:w="851" w:type="dxa"/>
                  <w:shd w:val="clear" w:color="auto" w:fill="auto"/>
                  <w:noWrap/>
                  <w:vAlign w:val="center"/>
                </w:tcPr>
                <w:p>
                  <w:pPr>
                    <w:jc w:val="center"/>
                    <w:rPr>
                      <w:sz w:val="18"/>
                      <w:szCs w:val="18"/>
                    </w:rPr>
                  </w:pPr>
                  <w:r>
                    <w:rPr>
                      <w:rFonts w:eastAsia="等线"/>
                      <w:sz w:val="18"/>
                      <w:szCs w:val="18"/>
                    </w:rPr>
                    <w:t>4.21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6</w:t>
                  </w:r>
                </w:p>
              </w:tc>
              <w:tc>
                <w:tcPr>
                  <w:tcW w:w="824" w:type="dxa"/>
                  <w:shd w:val="clear" w:color="auto" w:fill="auto"/>
                  <w:noWrap/>
                  <w:vAlign w:val="bottom"/>
                </w:tcPr>
                <w:p>
                  <w:pPr>
                    <w:jc w:val="center"/>
                    <w:rPr>
                      <w:sz w:val="18"/>
                      <w:szCs w:val="18"/>
                    </w:rPr>
                  </w:pPr>
                  <w:r>
                    <w:rPr>
                      <w:rFonts w:eastAsia="楷体"/>
                      <w:sz w:val="18"/>
                      <w:szCs w:val="18"/>
                    </w:rPr>
                    <w:t>8</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3.12</w:t>
                  </w:r>
                </w:p>
              </w:tc>
              <w:tc>
                <w:tcPr>
                  <w:tcW w:w="884" w:type="dxa"/>
                  <w:shd w:val="clear" w:color="auto" w:fill="auto"/>
                  <w:noWrap/>
                  <w:vAlign w:val="center"/>
                </w:tcPr>
                <w:p>
                  <w:pPr>
                    <w:jc w:val="center"/>
                    <w:rPr>
                      <w:sz w:val="18"/>
                      <w:szCs w:val="18"/>
                    </w:rPr>
                  </w:pPr>
                  <w:r>
                    <w:rPr>
                      <w:rFonts w:eastAsia="等线"/>
                      <w:sz w:val="18"/>
                      <w:szCs w:val="18"/>
                    </w:rPr>
                    <w:t>0.51</w:t>
                  </w:r>
                </w:p>
              </w:tc>
              <w:tc>
                <w:tcPr>
                  <w:tcW w:w="757" w:type="dxa"/>
                  <w:vAlign w:val="center"/>
                </w:tcPr>
                <w:p>
                  <w:pPr>
                    <w:jc w:val="center"/>
                    <w:rPr>
                      <w:sz w:val="18"/>
                      <w:szCs w:val="18"/>
                    </w:rPr>
                  </w:pPr>
                  <w:r>
                    <w:rPr>
                      <w:rFonts w:eastAsia="等线"/>
                      <w:sz w:val="18"/>
                      <w:szCs w:val="18"/>
                    </w:rPr>
                    <w:t>3.67</w:t>
                  </w:r>
                </w:p>
              </w:tc>
              <w:tc>
                <w:tcPr>
                  <w:tcW w:w="884" w:type="dxa"/>
                  <w:shd w:val="clear" w:color="auto" w:fill="auto"/>
                  <w:noWrap/>
                  <w:vAlign w:val="center"/>
                </w:tcPr>
                <w:p>
                  <w:pPr>
                    <w:jc w:val="center"/>
                    <w:rPr>
                      <w:sz w:val="18"/>
                      <w:szCs w:val="18"/>
                    </w:rPr>
                  </w:pPr>
                  <w:r>
                    <w:rPr>
                      <w:rFonts w:eastAsia="等线"/>
                      <w:sz w:val="18"/>
                      <w:szCs w:val="18"/>
                    </w:rPr>
                    <w:t>0.52</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2.98</w:t>
                  </w:r>
                </w:p>
              </w:tc>
              <w:tc>
                <w:tcPr>
                  <w:tcW w:w="851" w:type="dxa"/>
                  <w:shd w:val="clear" w:color="auto" w:fill="auto"/>
                  <w:noWrap/>
                  <w:vAlign w:val="center"/>
                </w:tcPr>
                <w:p>
                  <w:pPr>
                    <w:jc w:val="center"/>
                    <w:rPr>
                      <w:sz w:val="18"/>
                      <w:szCs w:val="18"/>
                    </w:rPr>
                  </w:pPr>
                  <w:r>
                    <w:rPr>
                      <w:rFonts w:eastAsia="等线"/>
                      <w:sz w:val="18"/>
                      <w:szCs w:val="18"/>
                    </w:rPr>
                    <w:t>3.57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7</w:t>
                  </w:r>
                </w:p>
              </w:tc>
              <w:tc>
                <w:tcPr>
                  <w:tcW w:w="824" w:type="dxa"/>
                  <w:shd w:val="clear" w:color="auto" w:fill="auto"/>
                  <w:noWrap/>
                  <w:vAlign w:val="bottom"/>
                </w:tcPr>
                <w:p>
                  <w:pPr>
                    <w:jc w:val="center"/>
                    <w:rPr>
                      <w:sz w:val="18"/>
                      <w:szCs w:val="18"/>
                    </w:rPr>
                  </w:pPr>
                  <w:r>
                    <w:rPr>
                      <w:rFonts w:eastAsia="楷体"/>
                      <w:sz w:val="18"/>
                      <w:szCs w:val="18"/>
                    </w:rPr>
                    <w:t>6</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4.51</w:t>
                  </w:r>
                </w:p>
              </w:tc>
              <w:tc>
                <w:tcPr>
                  <w:tcW w:w="884" w:type="dxa"/>
                  <w:shd w:val="clear" w:color="auto" w:fill="auto"/>
                  <w:noWrap/>
                  <w:vAlign w:val="center"/>
                </w:tcPr>
                <w:p>
                  <w:pPr>
                    <w:jc w:val="center"/>
                    <w:rPr>
                      <w:sz w:val="18"/>
                      <w:szCs w:val="18"/>
                    </w:rPr>
                  </w:pPr>
                  <w:r>
                    <w:rPr>
                      <w:rFonts w:eastAsia="等线"/>
                      <w:sz w:val="18"/>
                      <w:szCs w:val="18"/>
                    </w:rPr>
                    <w:t>0.33</w:t>
                  </w:r>
                </w:p>
              </w:tc>
              <w:tc>
                <w:tcPr>
                  <w:tcW w:w="757" w:type="dxa"/>
                  <w:vAlign w:val="center"/>
                </w:tcPr>
                <w:p>
                  <w:pPr>
                    <w:jc w:val="center"/>
                    <w:rPr>
                      <w:sz w:val="18"/>
                      <w:szCs w:val="18"/>
                    </w:rPr>
                  </w:pPr>
                  <w:r>
                    <w:rPr>
                      <w:rFonts w:eastAsia="等线"/>
                      <w:sz w:val="18"/>
                      <w:szCs w:val="18"/>
                    </w:rPr>
                    <w:t>3.89</w:t>
                  </w:r>
                </w:p>
              </w:tc>
              <w:tc>
                <w:tcPr>
                  <w:tcW w:w="884" w:type="dxa"/>
                  <w:shd w:val="clear" w:color="auto" w:fill="auto"/>
                  <w:noWrap/>
                  <w:vAlign w:val="center"/>
                </w:tcPr>
                <w:p>
                  <w:pPr>
                    <w:jc w:val="center"/>
                    <w:rPr>
                      <w:sz w:val="18"/>
                      <w:szCs w:val="18"/>
                    </w:rPr>
                  </w:pPr>
                  <w:r>
                    <w:rPr>
                      <w:rFonts w:eastAsia="等线"/>
                      <w:sz w:val="18"/>
                      <w:szCs w:val="18"/>
                    </w:rPr>
                    <w:t>0.37</w:t>
                  </w:r>
                </w:p>
              </w:tc>
              <w:tc>
                <w:tcPr>
                  <w:tcW w:w="882" w:type="dxa"/>
                  <w:shd w:val="clear" w:color="auto" w:fill="auto"/>
                  <w:noWrap/>
                  <w:vAlign w:val="center"/>
                </w:tcPr>
                <w:p>
                  <w:pPr>
                    <w:jc w:val="center"/>
                    <w:rPr>
                      <w:sz w:val="18"/>
                      <w:szCs w:val="18"/>
                    </w:rPr>
                  </w:pPr>
                  <w:r>
                    <w:rPr>
                      <w:rFonts w:eastAsia="等线"/>
                      <w:sz w:val="18"/>
                      <w:szCs w:val="18"/>
                    </w:rPr>
                    <w:t>0.003</w:t>
                  </w:r>
                </w:p>
              </w:tc>
              <w:tc>
                <w:tcPr>
                  <w:tcW w:w="882" w:type="dxa"/>
                  <w:shd w:val="clear" w:color="auto" w:fill="auto"/>
                  <w:noWrap/>
                  <w:vAlign w:val="center"/>
                </w:tcPr>
                <w:p>
                  <w:pPr>
                    <w:jc w:val="center"/>
                    <w:rPr>
                      <w:sz w:val="18"/>
                      <w:szCs w:val="18"/>
                    </w:rPr>
                  </w:pPr>
                  <w:r>
                    <w:rPr>
                      <w:rFonts w:eastAsia="等线"/>
                      <w:sz w:val="18"/>
                      <w:szCs w:val="18"/>
                    </w:rPr>
                    <w:t>3.15</w:t>
                  </w:r>
                </w:p>
              </w:tc>
              <w:tc>
                <w:tcPr>
                  <w:tcW w:w="851" w:type="dxa"/>
                  <w:shd w:val="clear" w:color="auto" w:fill="auto"/>
                  <w:noWrap/>
                  <w:vAlign w:val="center"/>
                </w:tcPr>
                <w:p>
                  <w:pPr>
                    <w:jc w:val="center"/>
                    <w:rPr>
                      <w:sz w:val="18"/>
                      <w:szCs w:val="18"/>
                    </w:rPr>
                  </w:pPr>
                  <w:r>
                    <w:rPr>
                      <w:rFonts w:eastAsia="等线"/>
                      <w:sz w:val="18"/>
                      <w:szCs w:val="18"/>
                    </w:rPr>
                    <w:t>6.12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8</w:t>
                  </w:r>
                </w:p>
              </w:tc>
              <w:tc>
                <w:tcPr>
                  <w:tcW w:w="824" w:type="dxa"/>
                  <w:shd w:val="clear" w:color="auto" w:fill="auto"/>
                  <w:noWrap/>
                  <w:vAlign w:val="bottom"/>
                </w:tcPr>
                <w:p>
                  <w:pPr>
                    <w:jc w:val="center"/>
                    <w:rPr>
                      <w:sz w:val="18"/>
                      <w:szCs w:val="18"/>
                    </w:rPr>
                  </w:pPr>
                  <w:r>
                    <w:rPr>
                      <w:rFonts w:eastAsia="楷体"/>
                      <w:sz w:val="18"/>
                      <w:szCs w:val="18"/>
                    </w:rPr>
                    <w:t>5</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4.31</w:t>
                  </w:r>
                </w:p>
              </w:tc>
              <w:tc>
                <w:tcPr>
                  <w:tcW w:w="884" w:type="dxa"/>
                  <w:shd w:val="clear" w:color="auto" w:fill="auto"/>
                  <w:noWrap/>
                  <w:vAlign w:val="center"/>
                </w:tcPr>
                <w:p>
                  <w:pPr>
                    <w:jc w:val="center"/>
                    <w:rPr>
                      <w:sz w:val="18"/>
                      <w:szCs w:val="18"/>
                    </w:rPr>
                  </w:pPr>
                  <w:r>
                    <w:rPr>
                      <w:rFonts w:eastAsia="等线"/>
                      <w:sz w:val="18"/>
                      <w:szCs w:val="18"/>
                    </w:rPr>
                    <w:t>0.51</w:t>
                  </w:r>
                </w:p>
              </w:tc>
              <w:tc>
                <w:tcPr>
                  <w:tcW w:w="757" w:type="dxa"/>
                  <w:vAlign w:val="center"/>
                </w:tcPr>
                <w:p>
                  <w:pPr>
                    <w:jc w:val="center"/>
                    <w:rPr>
                      <w:sz w:val="18"/>
                      <w:szCs w:val="18"/>
                    </w:rPr>
                  </w:pPr>
                  <w:r>
                    <w:rPr>
                      <w:rFonts w:eastAsia="等线"/>
                      <w:sz w:val="18"/>
                      <w:szCs w:val="18"/>
                    </w:rPr>
                    <w:t>6.35</w:t>
                  </w:r>
                </w:p>
              </w:tc>
              <w:tc>
                <w:tcPr>
                  <w:tcW w:w="884" w:type="dxa"/>
                  <w:shd w:val="clear" w:color="auto" w:fill="auto"/>
                  <w:noWrap/>
                  <w:vAlign w:val="center"/>
                </w:tcPr>
                <w:p>
                  <w:pPr>
                    <w:jc w:val="center"/>
                    <w:rPr>
                      <w:sz w:val="18"/>
                      <w:szCs w:val="18"/>
                    </w:rPr>
                  </w:pPr>
                  <w:r>
                    <w:rPr>
                      <w:rFonts w:eastAsia="等线"/>
                      <w:sz w:val="18"/>
                      <w:szCs w:val="18"/>
                    </w:rPr>
                    <w:t>0.48</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4.18</w:t>
                  </w:r>
                </w:p>
              </w:tc>
              <w:tc>
                <w:tcPr>
                  <w:tcW w:w="851" w:type="dxa"/>
                  <w:shd w:val="clear" w:color="auto" w:fill="auto"/>
                  <w:noWrap/>
                  <w:vAlign w:val="center"/>
                </w:tcPr>
                <w:p>
                  <w:pPr>
                    <w:jc w:val="center"/>
                    <w:rPr>
                      <w:sz w:val="18"/>
                      <w:szCs w:val="18"/>
                    </w:rPr>
                  </w:pPr>
                  <w:r>
                    <w:rPr>
                      <w:rFonts w:eastAsia="等线"/>
                      <w:sz w:val="18"/>
                      <w:szCs w:val="18"/>
                    </w:rPr>
                    <w:t>4.17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9</w:t>
                  </w:r>
                </w:p>
              </w:tc>
              <w:tc>
                <w:tcPr>
                  <w:tcW w:w="824" w:type="dxa"/>
                  <w:shd w:val="clear" w:color="auto" w:fill="auto"/>
                  <w:noWrap/>
                  <w:vAlign w:val="bottom"/>
                </w:tcPr>
                <w:p>
                  <w:pPr>
                    <w:jc w:val="center"/>
                    <w:rPr>
                      <w:sz w:val="18"/>
                      <w:szCs w:val="18"/>
                    </w:rPr>
                  </w:pPr>
                  <w:r>
                    <w:rPr>
                      <w:rFonts w:eastAsia="楷体"/>
                      <w:sz w:val="18"/>
                      <w:szCs w:val="18"/>
                    </w:rPr>
                    <w:t>9</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3.64</w:t>
                  </w:r>
                </w:p>
              </w:tc>
              <w:tc>
                <w:tcPr>
                  <w:tcW w:w="884" w:type="dxa"/>
                  <w:shd w:val="clear" w:color="auto" w:fill="auto"/>
                  <w:noWrap/>
                  <w:vAlign w:val="center"/>
                </w:tcPr>
                <w:p>
                  <w:pPr>
                    <w:jc w:val="center"/>
                    <w:rPr>
                      <w:sz w:val="18"/>
                      <w:szCs w:val="18"/>
                    </w:rPr>
                  </w:pPr>
                  <w:r>
                    <w:rPr>
                      <w:rFonts w:eastAsia="等线"/>
                      <w:sz w:val="18"/>
                      <w:szCs w:val="18"/>
                    </w:rPr>
                    <w:t>0.45</w:t>
                  </w:r>
                </w:p>
              </w:tc>
              <w:tc>
                <w:tcPr>
                  <w:tcW w:w="757" w:type="dxa"/>
                  <w:vAlign w:val="center"/>
                </w:tcPr>
                <w:p>
                  <w:pPr>
                    <w:jc w:val="center"/>
                    <w:rPr>
                      <w:sz w:val="18"/>
                      <w:szCs w:val="18"/>
                    </w:rPr>
                  </w:pPr>
                  <w:r>
                    <w:rPr>
                      <w:rFonts w:eastAsia="等线"/>
                      <w:sz w:val="18"/>
                      <w:szCs w:val="18"/>
                    </w:rPr>
                    <w:t>4.12</w:t>
                  </w:r>
                </w:p>
              </w:tc>
              <w:tc>
                <w:tcPr>
                  <w:tcW w:w="884" w:type="dxa"/>
                  <w:shd w:val="clear" w:color="auto" w:fill="auto"/>
                  <w:noWrap/>
                  <w:vAlign w:val="center"/>
                </w:tcPr>
                <w:p>
                  <w:pPr>
                    <w:jc w:val="center"/>
                    <w:rPr>
                      <w:sz w:val="18"/>
                      <w:szCs w:val="18"/>
                    </w:rPr>
                  </w:pPr>
                  <w:r>
                    <w:rPr>
                      <w:rFonts w:eastAsia="等线"/>
                      <w:sz w:val="18"/>
                      <w:szCs w:val="18"/>
                    </w:rPr>
                    <w:t>0.45</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4.22</w:t>
                  </w:r>
                </w:p>
              </w:tc>
              <w:tc>
                <w:tcPr>
                  <w:tcW w:w="851" w:type="dxa"/>
                  <w:shd w:val="clear" w:color="auto" w:fill="auto"/>
                  <w:noWrap/>
                  <w:vAlign w:val="center"/>
                </w:tcPr>
                <w:p>
                  <w:pPr>
                    <w:jc w:val="center"/>
                    <w:rPr>
                      <w:sz w:val="18"/>
                      <w:szCs w:val="18"/>
                    </w:rPr>
                  </w:pPr>
                  <w:r>
                    <w:rPr>
                      <w:rFonts w:eastAsia="等线"/>
                      <w:sz w:val="18"/>
                      <w:szCs w:val="18"/>
                    </w:rPr>
                    <w:t>3.46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10</w:t>
                  </w:r>
                </w:p>
              </w:tc>
              <w:tc>
                <w:tcPr>
                  <w:tcW w:w="824" w:type="dxa"/>
                  <w:shd w:val="clear" w:color="auto" w:fill="auto"/>
                  <w:noWrap/>
                  <w:vAlign w:val="bottom"/>
                </w:tcPr>
                <w:p>
                  <w:pPr>
                    <w:jc w:val="center"/>
                    <w:rPr>
                      <w:sz w:val="18"/>
                      <w:szCs w:val="18"/>
                    </w:rPr>
                  </w:pPr>
                  <w:r>
                    <w:rPr>
                      <w:rFonts w:eastAsia="楷体"/>
                      <w:sz w:val="18"/>
                      <w:szCs w:val="18"/>
                    </w:rPr>
                    <w:t>7</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2.45</w:t>
                  </w:r>
                </w:p>
              </w:tc>
              <w:tc>
                <w:tcPr>
                  <w:tcW w:w="884" w:type="dxa"/>
                  <w:shd w:val="clear" w:color="auto" w:fill="auto"/>
                  <w:noWrap/>
                  <w:vAlign w:val="center"/>
                </w:tcPr>
                <w:p>
                  <w:pPr>
                    <w:jc w:val="center"/>
                    <w:rPr>
                      <w:sz w:val="18"/>
                      <w:szCs w:val="18"/>
                    </w:rPr>
                  </w:pPr>
                  <w:r>
                    <w:rPr>
                      <w:rFonts w:eastAsia="等线"/>
                      <w:sz w:val="18"/>
                      <w:szCs w:val="18"/>
                    </w:rPr>
                    <w:t>0.56</w:t>
                  </w:r>
                </w:p>
              </w:tc>
              <w:tc>
                <w:tcPr>
                  <w:tcW w:w="757" w:type="dxa"/>
                  <w:vAlign w:val="center"/>
                </w:tcPr>
                <w:p>
                  <w:pPr>
                    <w:jc w:val="center"/>
                    <w:rPr>
                      <w:sz w:val="18"/>
                      <w:szCs w:val="18"/>
                    </w:rPr>
                  </w:pPr>
                  <w:r>
                    <w:rPr>
                      <w:rFonts w:eastAsia="等线"/>
                      <w:sz w:val="18"/>
                      <w:szCs w:val="18"/>
                    </w:rPr>
                    <w:t>3.52</w:t>
                  </w:r>
                </w:p>
              </w:tc>
              <w:tc>
                <w:tcPr>
                  <w:tcW w:w="884" w:type="dxa"/>
                  <w:shd w:val="clear" w:color="auto" w:fill="auto"/>
                  <w:noWrap/>
                  <w:vAlign w:val="center"/>
                </w:tcPr>
                <w:p>
                  <w:pPr>
                    <w:jc w:val="center"/>
                    <w:rPr>
                      <w:sz w:val="18"/>
                      <w:szCs w:val="18"/>
                    </w:rPr>
                  </w:pPr>
                  <w:r>
                    <w:rPr>
                      <w:rFonts w:eastAsia="等线"/>
                      <w:sz w:val="18"/>
                      <w:szCs w:val="18"/>
                    </w:rPr>
                    <w:t>0.36</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5.12</w:t>
                  </w:r>
                </w:p>
              </w:tc>
              <w:tc>
                <w:tcPr>
                  <w:tcW w:w="851" w:type="dxa"/>
                  <w:shd w:val="clear" w:color="auto" w:fill="auto"/>
                  <w:noWrap/>
                  <w:vAlign w:val="center"/>
                </w:tcPr>
                <w:p>
                  <w:pPr>
                    <w:jc w:val="center"/>
                    <w:rPr>
                      <w:sz w:val="18"/>
                      <w:szCs w:val="18"/>
                    </w:rPr>
                  </w:pPr>
                  <w:r>
                    <w:rPr>
                      <w:rFonts w:eastAsia="等线"/>
                      <w:sz w:val="18"/>
                      <w:szCs w:val="18"/>
                    </w:rPr>
                    <w:t>4.11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11</w:t>
                  </w:r>
                </w:p>
              </w:tc>
              <w:tc>
                <w:tcPr>
                  <w:tcW w:w="824" w:type="dxa"/>
                  <w:shd w:val="clear" w:color="auto" w:fill="auto"/>
                  <w:noWrap/>
                  <w:vAlign w:val="bottom"/>
                </w:tcPr>
                <w:p>
                  <w:pPr>
                    <w:jc w:val="center"/>
                    <w:rPr>
                      <w:sz w:val="18"/>
                      <w:szCs w:val="18"/>
                    </w:rPr>
                  </w:pPr>
                  <w:r>
                    <w:rPr>
                      <w:rFonts w:eastAsia="楷体"/>
                      <w:sz w:val="18"/>
                      <w:szCs w:val="18"/>
                    </w:rPr>
                    <w:t>7</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3.15</w:t>
                  </w:r>
                </w:p>
              </w:tc>
              <w:tc>
                <w:tcPr>
                  <w:tcW w:w="884" w:type="dxa"/>
                  <w:shd w:val="clear" w:color="auto" w:fill="auto"/>
                  <w:noWrap/>
                  <w:vAlign w:val="center"/>
                </w:tcPr>
                <w:p>
                  <w:pPr>
                    <w:jc w:val="center"/>
                    <w:rPr>
                      <w:sz w:val="18"/>
                      <w:szCs w:val="18"/>
                    </w:rPr>
                  </w:pPr>
                  <w:r>
                    <w:rPr>
                      <w:rFonts w:eastAsia="等线"/>
                      <w:sz w:val="18"/>
                      <w:szCs w:val="18"/>
                    </w:rPr>
                    <w:t>0.53</w:t>
                  </w:r>
                </w:p>
              </w:tc>
              <w:tc>
                <w:tcPr>
                  <w:tcW w:w="757" w:type="dxa"/>
                  <w:vAlign w:val="center"/>
                </w:tcPr>
                <w:p>
                  <w:pPr>
                    <w:jc w:val="center"/>
                    <w:rPr>
                      <w:sz w:val="18"/>
                      <w:szCs w:val="18"/>
                    </w:rPr>
                  </w:pPr>
                  <w:r>
                    <w:rPr>
                      <w:rFonts w:eastAsia="等线"/>
                      <w:sz w:val="18"/>
                      <w:szCs w:val="18"/>
                    </w:rPr>
                    <w:t>5.31</w:t>
                  </w:r>
                </w:p>
              </w:tc>
              <w:tc>
                <w:tcPr>
                  <w:tcW w:w="884" w:type="dxa"/>
                  <w:shd w:val="clear" w:color="auto" w:fill="auto"/>
                  <w:noWrap/>
                  <w:vAlign w:val="center"/>
                </w:tcPr>
                <w:p>
                  <w:pPr>
                    <w:jc w:val="center"/>
                    <w:rPr>
                      <w:sz w:val="18"/>
                      <w:szCs w:val="18"/>
                    </w:rPr>
                  </w:pPr>
                  <w:r>
                    <w:rPr>
                      <w:rFonts w:eastAsia="等线"/>
                      <w:sz w:val="18"/>
                      <w:szCs w:val="18"/>
                    </w:rPr>
                    <w:t>0.51</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4.33</w:t>
                  </w:r>
                </w:p>
              </w:tc>
              <w:tc>
                <w:tcPr>
                  <w:tcW w:w="851" w:type="dxa"/>
                  <w:shd w:val="clear" w:color="auto" w:fill="auto"/>
                  <w:noWrap/>
                  <w:vAlign w:val="center"/>
                </w:tcPr>
                <w:p>
                  <w:pPr>
                    <w:jc w:val="center"/>
                    <w:rPr>
                      <w:sz w:val="18"/>
                      <w:szCs w:val="18"/>
                    </w:rPr>
                  </w:pPr>
                  <w:r>
                    <w:rPr>
                      <w:rFonts w:eastAsia="等线"/>
                      <w:sz w:val="18"/>
                      <w:szCs w:val="18"/>
                    </w:rPr>
                    <w:t>3.78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12</w:t>
                  </w:r>
                </w:p>
              </w:tc>
              <w:tc>
                <w:tcPr>
                  <w:tcW w:w="824" w:type="dxa"/>
                  <w:shd w:val="clear" w:color="auto" w:fill="auto"/>
                  <w:noWrap/>
                  <w:vAlign w:val="bottom"/>
                </w:tcPr>
                <w:p>
                  <w:pPr>
                    <w:jc w:val="center"/>
                    <w:rPr>
                      <w:sz w:val="18"/>
                      <w:szCs w:val="18"/>
                    </w:rPr>
                  </w:pPr>
                  <w:r>
                    <w:rPr>
                      <w:rFonts w:eastAsia="楷体"/>
                      <w:sz w:val="18"/>
                      <w:szCs w:val="18"/>
                    </w:rPr>
                    <w:t>5</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3.25</w:t>
                  </w:r>
                </w:p>
              </w:tc>
              <w:tc>
                <w:tcPr>
                  <w:tcW w:w="884" w:type="dxa"/>
                  <w:shd w:val="clear" w:color="auto" w:fill="auto"/>
                  <w:noWrap/>
                  <w:vAlign w:val="center"/>
                </w:tcPr>
                <w:p>
                  <w:pPr>
                    <w:jc w:val="center"/>
                    <w:rPr>
                      <w:sz w:val="18"/>
                      <w:szCs w:val="18"/>
                    </w:rPr>
                  </w:pPr>
                  <w:r>
                    <w:rPr>
                      <w:rFonts w:eastAsia="等线"/>
                      <w:sz w:val="18"/>
                      <w:szCs w:val="18"/>
                    </w:rPr>
                    <w:t>0.47</w:t>
                  </w:r>
                </w:p>
              </w:tc>
              <w:tc>
                <w:tcPr>
                  <w:tcW w:w="757" w:type="dxa"/>
                  <w:vAlign w:val="center"/>
                </w:tcPr>
                <w:p>
                  <w:pPr>
                    <w:jc w:val="center"/>
                    <w:rPr>
                      <w:sz w:val="18"/>
                      <w:szCs w:val="18"/>
                    </w:rPr>
                  </w:pPr>
                  <w:r>
                    <w:rPr>
                      <w:rFonts w:eastAsia="等线"/>
                      <w:sz w:val="18"/>
                      <w:szCs w:val="18"/>
                    </w:rPr>
                    <w:t>4.89</w:t>
                  </w:r>
                </w:p>
              </w:tc>
              <w:tc>
                <w:tcPr>
                  <w:tcW w:w="884" w:type="dxa"/>
                  <w:shd w:val="clear" w:color="auto" w:fill="auto"/>
                  <w:noWrap/>
                  <w:vAlign w:val="center"/>
                </w:tcPr>
                <w:p>
                  <w:pPr>
                    <w:jc w:val="center"/>
                    <w:rPr>
                      <w:sz w:val="18"/>
                      <w:szCs w:val="18"/>
                    </w:rPr>
                  </w:pPr>
                  <w:r>
                    <w:rPr>
                      <w:rFonts w:eastAsia="等线"/>
                      <w:sz w:val="18"/>
                      <w:szCs w:val="18"/>
                    </w:rPr>
                    <w:t>0.55</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5.31</w:t>
                  </w:r>
                </w:p>
              </w:tc>
              <w:tc>
                <w:tcPr>
                  <w:tcW w:w="851" w:type="dxa"/>
                  <w:shd w:val="clear" w:color="auto" w:fill="auto"/>
                  <w:noWrap/>
                  <w:vAlign w:val="center"/>
                </w:tcPr>
                <w:p>
                  <w:pPr>
                    <w:jc w:val="center"/>
                    <w:rPr>
                      <w:sz w:val="18"/>
                      <w:szCs w:val="18"/>
                    </w:rPr>
                  </w:pPr>
                  <w:r>
                    <w:rPr>
                      <w:rFonts w:eastAsia="等线"/>
                      <w:sz w:val="18"/>
                      <w:szCs w:val="18"/>
                    </w:rPr>
                    <w:t>2.54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13</w:t>
                  </w:r>
                </w:p>
              </w:tc>
              <w:tc>
                <w:tcPr>
                  <w:tcW w:w="824" w:type="dxa"/>
                  <w:shd w:val="clear" w:color="auto" w:fill="auto"/>
                  <w:noWrap/>
                  <w:vAlign w:val="bottom"/>
                </w:tcPr>
                <w:p>
                  <w:pPr>
                    <w:jc w:val="center"/>
                    <w:rPr>
                      <w:sz w:val="18"/>
                      <w:szCs w:val="18"/>
                    </w:rPr>
                  </w:pPr>
                  <w:r>
                    <w:rPr>
                      <w:rFonts w:eastAsia="楷体"/>
                      <w:sz w:val="18"/>
                      <w:szCs w:val="18"/>
                    </w:rPr>
                    <w:t>13</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3.51</w:t>
                  </w:r>
                </w:p>
              </w:tc>
              <w:tc>
                <w:tcPr>
                  <w:tcW w:w="884" w:type="dxa"/>
                  <w:shd w:val="clear" w:color="auto" w:fill="auto"/>
                  <w:noWrap/>
                  <w:vAlign w:val="center"/>
                </w:tcPr>
                <w:p>
                  <w:pPr>
                    <w:jc w:val="center"/>
                    <w:rPr>
                      <w:sz w:val="18"/>
                      <w:szCs w:val="18"/>
                    </w:rPr>
                  </w:pPr>
                  <w:r>
                    <w:rPr>
                      <w:rFonts w:eastAsia="等线"/>
                      <w:sz w:val="18"/>
                      <w:szCs w:val="18"/>
                    </w:rPr>
                    <w:t>0.41</w:t>
                  </w:r>
                </w:p>
              </w:tc>
              <w:tc>
                <w:tcPr>
                  <w:tcW w:w="757" w:type="dxa"/>
                  <w:vAlign w:val="center"/>
                </w:tcPr>
                <w:p>
                  <w:pPr>
                    <w:jc w:val="center"/>
                    <w:rPr>
                      <w:sz w:val="18"/>
                      <w:szCs w:val="18"/>
                    </w:rPr>
                  </w:pPr>
                  <w:r>
                    <w:rPr>
                      <w:rFonts w:eastAsia="等线"/>
                      <w:sz w:val="18"/>
                      <w:szCs w:val="18"/>
                    </w:rPr>
                    <w:t>3.65</w:t>
                  </w:r>
                </w:p>
              </w:tc>
              <w:tc>
                <w:tcPr>
                  <w:tcW w:w="884" w:type="dxa"/>
                  <w:shd w:val="clear" w:color="auto" w:fill="auto"/>
                  <w:noWrap/>
                  <w:vAlign w:val="center"/>
                </w:tcPr>
                <w:p>
                  <w:pPr>
                    <w:jc w:val="center"/>
                    <w:rPr>
                      <w:sz w:val="18"/>
                      <w:szCs w:val="18"/>
                    </w:rPr>
                  </w:pPr>
                  <w:r>
                    <w:rPr>
                      <w:rFonts w:eastAsia="等线"/>
                      <w:sz w:val="18"/>
                      <w:szCs w:val="18"/>
                    </w:rPr>
                    <w:t>0.48</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5.4</w:t>
                  </w:r>
                </w:p>
              </w:tc>
              <w:tc>
                <w:tcPr>
                  <w:tcW w:w="851" w:type="dxa"/>
                  <w:shd w:val="clear" w:color="auto" w:fill="auto"/>
                  <w:noWrap/>
                  <w:vAlign w:val="center"/>
                </w:tcPr>
                <w:p>
                  <w:pPr>
                    <w:jc w:val="center"/>
                    <w:rPr>
                      <w:sz w:val="18"/>
                      <w:szCs w:val="18"/>
                    </w:rPr>
                  </w:pPr>
                  <w:r>
                    <w:rPr>
                      <w:rFonts w:eastAsia="等线"/>
                      <w:sz w:val="18"/>
                      <w:szCs w:val="18"/>
                    </w:rPr>
                    <w:t>5.67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13</w:t>
                  </w:r>
                </w:p>
              </w:tc>
              <w:tc>
                <w:tcPr>
                  <w:tcW w:w="824" w:type="dxa"/>
                  <w:shd w:val="clear" w:color="auto" w:fill="auto"/>
                  <w:noWrap/>
                  <w:vAlign w:val="bottom"/>
                </w:tcPr>
                <w:p>
                  <w:pPr>
                    <w:jc w:val="center"/>
                    <w:rPr>
                      <w:sz w:val="18"/>
                      <w:szCs w:val="18"/>
                    </w:rPr>
                  </w:pPr>
                  <w:r>
                    <w:rPr>
                      <w:rFonts w:eastAsia="楷体"/>
                      <w:sz w:val="18"/>
                      <w:szCs w:val="18"/>
                    </w:rPr>
                    <w:t>13</w:t>
                  </w:r>
                </w:p>
              </w:tc>
              <w:tc>
                <w:tcPr>
                  <w:tcW w:w="646" w:type="dxa"/>
                  <w:shd w:val="clear" w:color="auto" w:fill="auto"/>
                  <w:noWrap/>
                  <w:vAlign w:val="bottom"/>
                </w:tcPr>
                <w:p>
                  <w:pPr>
                    <w:jc w:val="center"/>
                    <w:rPr>
                      <w:sz w:val="18"/>
                      <w:szCs w:val="18"/>
                    </w:rPr>
                  </w:pPr>
                  <w:r>
                    <w:rPr>
                      <w:rFonts w:eastAsia="楷体"/>
                      <w:sz w:val="18"/>
                      <w:szCs w:val="18"/>
                    </w:rPr>
                    <w:t>底层</w:t>
                  </w:r>
                </w:p>
              </w:tc>
              <w:tc>
                <w:tcPr>
                  <w:tcW w:w="826" w:type="dxa"/>
                  <w:shd w:val="clear" w:color="auto" w:fill="auto"/>
                  <w:noWrap/>
                  <w:vAlign w:val="center"/>
                </w:tcPr>
                <w:p>
                  <w:pPr>
                    <w:jc w:val="center"/>
                    <w:rPr>
                      <w:sz w:val="18"/>
                      <w:szCs w:val="18"/>
                    </w:rPr>
                  </w:pPr>
                  <w:r>
                    <w:rPr>
                      <w:rFonts w:eastAsia="等线"/>
                      <w:sz w:val="18"/>
                      <w:szCs w:val="18"/>
                    </w:rPr>
                    <w:t>4.08</w:t>
                  </w:r>
                </w:p>
              </w:tc>
              <w:tc>
                <w:tcPr>
                  <w:tcW w:w="884" w:type="dxa"/>
                  <w:shd w:val="clear" w:color="auto" w:fill="auto"/>
                  <w:noWrap/>
                  <w:vAlign w:val="center"/>
                </w:tcPr>
                <w:p>
                  <w:pPr>
                    <w:jc w:val="center"/>
                    <w:rPr>
                      <w:sz w:val="18"/>
                      <w:szCs w:val="18"/>
                    </w:rPr>
                  </w:pPr>
                  <w:r>
                    <w:rPr>
                      <w:rFonts w:eastAsia="等线"/>
                      <w:sz w:val="18"/>
                      <w:szCs w:val="18"/>
                    </w:rPr>
                    <w:t>0.38</w:t>
                  </w:r>
                </w:p>
              </w:tc>
              <w:tc>
                <w:tcPr>
                  <w:tcW w:w="757" w:type="dxa"/>
                  <w:vAlign w:val="center"/>
                </w:tcPr>
                <w:p>
                  <w:pPr>
                    <w:jc w:val="center"/>
                    <w:rPr>
                      <w:sz w:val="18"/>
                      <w:szCs w:val="18"/>
                    </w:rPr>
                  </w:pPr>
                  <w:r>
                    <w:rPr>
                      <w:rFonts w:eastAsia="等线"/>
                      <w:sz w:val="18"/>
                      <w:szCs w:val="18"/>
                    </w:rPr>
                    <w:t>4.18</w:t>
                  </w:r>
                </w:p>
              </w:tc>
              <w:tc>
                <w:tcPr>
                  <w:tcW w:w="884" w:type="dxa"/>
                  <w:shd w:val="clear" w:color="auto" w:fill="auto"/>
                  <w:noWrap/>
                  <w:vAlign w:val="center"/>
                </w:tcPr>
                <w:p>
                  <w:pPr>
                    <w:jc w:val="center"/>
                    <w:rPr>
                      <w:sz w:val="18"/>
                      <w:szCs w:val="18"/>
                    </w:rPr>
                  </w:pPr>
                  <w:r>
                    <w:rPr>
                      <w:rFonts w:eastAsia="等线"/>
                      <w:sz w:val="18"/>
                      <w:szCs w:val="18"/>
                    </w:rPr>
                    <w:t>0.36</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3.65</w:t>
                  </w:r>
                </w:p>
              </w:tc>
              <w:tc>
                <w:tcPr>
                  <w:tcW w:w="851" w:type="dxa"/>
                  <w:shd w:val="clear" w:color="auto" w:fill="auto"/>
                  <w:noWrap/>
                  <w:vAlign w:val="center"/>
                </w:tcPr>
                <w:p>
                  <w:pPr>
                    <w:jc w:val="center"/>
                    <w:rPr>
                      <w:sz w:val="18"/>
                      <w:szCs w:val="18"/>
                    </w:rPr>
                  </w:pPr>
                  <w:r>
                    <w:rPr>
                      <w:rFonts w:eastAsia="等线"/>
                      <w:sz w:val="18"/>
                      <w:szCs w:val="18"/>
                    </w:rPr>
                    <w:t>4.32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14</w:t>
                  </w:r>
                </w:p>
              </w:tc>
              <w:tc>
                <w:tcPr>
                  <w:tcW w:w="824" w:type="dxa"/>
                  <w:shd w:val="clear" w:color="auto" w:fill="auto"/>
                  <w:noWrap/>
                  <w:vAlign w:val="bottom"/>
                </w:tcPr>
                <w:p>
                  <w:pPr>
                    <w:jc w:val="center"/>
                    <w:rPr>
                      <w:sz w:val="18"/>
                      <w:szCs w:val="18"/>
                    </w:rPr>
                  </w:pPr>
                  <w:r>
                    <w:rPr>
                      <w:rFonts w:eastAsia="楷体"/>
                      <w:sz w:val="18"/>
                      <w:szCs w:val="18"/>
                    </w:rPr>
                    <w:t>16</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2.98</w:t>
                  </w:r>
                </w:p>
              </w:tc>
              <w:tc>
                <w:tcPr>
                  <w:tcW w:w="884" w:type="dxa"/>
                  <w:shd w:val="clear" w:color="auto" w:fill="auto"/>
                  <w:noWrap/>
                  <w:vAlign w:val="center"/>
                </w:tcPr>
                <w:p>
                  <w:pPr>
                    <w:jc w:val="center"/>
                    <w:rPr>
                      <w:sz w:val="18"/>
                      <w:szCs w:val="18"/>
                    </w:rPr>
                  </w:pPr>
                  <w:r>
                    <w:rPr>
                      <w:rFonts w:eastAsia="等线"/>
                      <w:sz w:val="18"/>
                      <w:szCs w:val="18"/>
                    </w:rPr>
                    <w:t>0.54</w:t>
                  </w:r>
                </w:p>
              </w:tc>
              <w:tc>
                <w:tcPr>
                  <w:tcW w:w="757" w:type="dxa"/>
                  <w:vAlign w:val="center"/>
                </w:tcPr>
                <w:p>
                  <w:pPr>
                    <w:jc w:val="center"/>
                    <w:rPr>
                      <w:sz w:val="18"/>
                      <w:szCs w:val="18"/>
                    </w:rPr>
                  </w:pPr>
                  <w:r>
                    <w:rPr>
                      <w:rFonts w:eastAsia="等线"/>
                      <w:sz w:val="18"/>
                      <w:szCs w:val="18"/>
                    </w:rPr>
                    <w:t>5.23</w:t>
                  </w:r>
                </w:p>
              </w:tc>
              <w:tc>
                <w:tcPr>
                  <w:tcW w:w="884" w:type="dxa"/>
                  <w:shd w:val="clear" w:color="auto" w:fill="auto"/>
                  <w:noWrap/>
                  <w:vAlign w:val="center"/>
                </w:tcPr>
                <w:p>
                  <w:pPr>
                    <w:jc w:val="center"/>
                    <w:rPr>
                      <w:sz w:val="18"/>
                      <w:szCs w:val="18"/>
                    </w:rPr>
                  </w:pPr>
                  <w:r>
                    <w:rPr>
                      <w:rFonts w:eastAsia="等线"/>
                      <w:sz w:val="18"/>
                      <w:szCs w:val="18"/>
                    </w:rPr>
                    <w:t>0.53</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3.76</w:t>
                  </w:r>
                </w:p>
              </w:tc>
              <w:tc>
                <w:tcPr>
                  <w:tcW w:w="851" w:type="dxa"/>
                  <w:shd w:val="clear" w:color="auto" w:fill="auto"/>
                  <w:noWrap/>
                  <w:vAlign w:val="center"/>
                </w:tcPr>
                <w:p>
                  <w:pPr>
                    <w:jc w:val="center"/>
                    <w:rPr>
                      <w:sz w:val="18"/>
                      <w:szCs w:val="18"/>
                    </w:rPr>
                  </w:pPr>
                  <w:r>
                    <w:rPr>
                      <w:rFonts w:eastAsia="等线"/>
                      <w:sz w:val="18"/>
                      <w:szCs w:val="18"/>
                    </w:rPr>
                    <w:t>2.47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14</w:t>
                  </w:r>
                </w:p>
              </w:tc>
              <w:tc>
                <w:tcPr>
                  <w:tcW w:w="824" w:type="dxa"/>
                  <w:shd w:val="clear" w:color="auto" w:fill="auto"/>
                  <w:noWrap/>
                  <w:vAlign w:val="bottom"/>
                </w:tcPr>
                <w:p>
                  <w:pPr>
                    <w:jc w:val="center"/>
                    <w:rPr>
                      <w:sz w:val="18"/>
                      <w:szCs w:val="18"/>
                    </w:rPr>
                  </w:pPr>
                  <w:r>
                    <w:rPr>
                      <w:rFonts w:eastAsia="楷体"/>
                      <w:sz w:val="18"/>
                      <w:szCs w:val="18"/>
                    </w:rPr>
                    <w:t>16</w:t>
                  </w:r>
                </w:p>
              </w:tc>
              <w:tc>
                <w:tcPr>
                  <w:tcW w:w="646" w:type="dxa"/>
                  <w:shd w:val="clear" w:color="auto" w:fill="auto"/>
                  <w:noWrap/>
                  <w:vAlign w:val="bottom"/>
                </w:tcPr>
                <w:p>
                  <w:pPr>
                    <w:jc w:val="center"/>
                    <w:rPr>
                      <w:sz w:val="18"/>
                      <w:szCs w:val="18"/>
                    </w:rPr>
                  </w:pPr>
                  <w:r>
                    <w:rPr>
                      <w:rFonts w:eastAsia="楷体"/>
                      <w:sz w:val="18"/>
                      <w:szCs w:val="18"/>
                    </w:rPr>
                    <w:t>底层</w:t>
                  </w:r>
                </w:p>
              </w:tc>
              <w:tc>
                <w:tcPr>
                  <w:tcW w:w="826" w:type="dxa"/>
                  <w:shd w:val="clear" w:color="auto" w:fill="auto"/>
                  <w:noWrap/>
                  <w:vAlign w:val="center"/>
                </w:tcPr>
                <w:p>
                  <w:pPr>
                    <w:jc w:val="center"/>
                    <w:rPr>
                      <w:sz w:val="18"/>
                      <w:szCs w:val="18"/>
                    </w:rPr>
                  </w:pPr>
                  <w:r>
                    <w:rPr>
                      <w:rFonts w:eastAsia="等线"/>
                      <w:sz w:val="18"/>
                      <w:szCs w:val="18"/>
                    </w:rPr>
                    <w:t>3.68</w:t>
                  </w:r>
                </w:p>
              </w:tc>
              <w:tc>
                <w:tcPr>
                  <w:tcW w:w="884" w:type="dxa"/>
                  <w:shd w:val="clear" w:color="auto" w:fill="auto"/>
                  <w:noWrap/>
                  <w:vAlign w:val="center"/>
                </w:tcPr>
                <w:p>
                  <w:pPr>
                    <w:jc w:val="center"/>
                    <w:rPr>
                      <w:sz w:val="18"/>
                      <w:szCs w:val="18"/>
                    </w:rPr>
                  </w:pPr>
                  <w:r>
                    <w:rPr>
                      <w:rFonts w:eastAsia="等线"/>
                      <w:sz w:val="18"/>
                      <w:szCs w:val="18"/>
                    </w:rPr>
                    <w:t>0.47</w:t>
                  </w:r>
                </w:p>
              </w:tc>
              <w:tc>
                <w:tcPr>
                  <w:tcW w:w="757" w:type="dxa"/>
                  <w:vAlign w:val="center"/>
                </w:tcPr>
                <w:p>
                  <w:pPr>
                    <w:jc w:val="center"/>
                    <w:rPr>
                      <w:sz w:val="18"/>
                      <w:szCs w:val="18"/>
                    </w:rPr>
                  </w:pPr>
                  <w:r>
                    <w:rPr>
                      <w:rFonts w:eastAsia="等线"/>
                      <w:sz w:val="18"/>
                      <w:szCs w:val="18"/>
                    </w:rPr>
                    <w:t>5.61</w:t>
                  </w:r>
                </w:p>
              </w:tc>
              <w:tc>
                <w:tcPr>
                  <w:tcW w:w="884" w:type="dxa"/>
                  <w:shd w:val="clear" w:color="auto" w:fill="auto"/>
                  <w:noWrap/>
                  <w:vAlign w:val="center"/>
                </w:tcPr>
                <w:p>
                  <w:pPr>
                    <w:jc w:val="center"/>
                    <w:rPr>
                      <w:sz w:val="18"/>
                      <w:szCs w:val="18"/>
                    </w:rPr>
                  </w:pPr>
                  <w:r>
                    <w:rPr>
                      <w:rFonts w:eastAsia="等线"/>
                      <w:sz w:val="18"/>
                      <w:szCs w:val="18"/>
                    </w:rPr>
                    <w:t>0.46</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4.13</w:t>
                  </w:r>
                </w:p>
              </w:tc>
              <w:tc>
                <w:tcPr>
                  <w:tcW w:w="851" w:type="dxa"/>
                  <w:shd w:val="clear" w:color="auto" w:fill="auto"/>
                  <w:noWrap/>
                  <w:vAlign w:val="center"/>
                </w:tcPr>
                <w:p>
                  <w:pPr>
                    <w:jc w:val="center"/>
                    <w:rPr>
                      <w:sz w:val="18"/>
                      <w:szCs w:val="18"/>
                    </w:rPr>
                  </w:pPr>
                  <w:r>
                    <w:rPr>
                      <w:rFonts w:eastAsia="等线"/>
                      <w:sz w:val="18"/>
                      <w:szCs w:val="18"/>
                    </w:rPr>
                    <w:t>4.08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15</w:t>
                  </w:r>
                </w:p>
              </w:tc>
              <w:tc>
                <w:tcPr>
                  <w:tcW w:w="824" w:type="dxa"/>
                  <w:shd w:val="clear" w:color="auto" w:fill="auto"/>
                  <w:noWrap/>
                  <w:vAlign w:val="bottom"/>
                </w:tcPr>
                <w:p>
                  <w:pPr>
                    <w:jc w:val="center"/>
                    <w:rPr>
                      <w:sz w:val="18"/>
                      <w:szCs w:val="18"/>
                    </w:rPr>
                  </w:pPr>
                  <w:r>
                    <w:rPr>
                      <w:rFonts w:eastAsia="楷体"/>
                      <w:sz w:val="18"/>
                      <w:szCs w:val="18"/>
                    </w:rPr>
                    <w:t>7</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3.21</w:t>
                  </w:r>
                </w:p>
              </w:tc>
              <w:tc>
                <w:tcPr>
                  <w:tcW w:w="884" w:type="dxa"/>
                  <w:shd w:val="clear" w:color="auto" w:fill="auto"/>
                  <w:noWrap/>
                  <w:vAlign w:val="center"/>
                </w:tcPr>
                <w:p>
                  <w:pPr>
                    <w:jc w:val="center"/>
                    <w:rPr>
                      <w:sz w:val="18"/>
                      <w:szCs w:val="18"/>
                    </w:rPr>
                  </w:pPr>
                  <w:r>
                    <w:rPr>
                      <w:rFonts w:eastAsia="等线"/>
                      <w:sz w:val="18"/>
                      <w:szCs w:val="18"/>
                    </w:rPr>
                    <w:t>0.28</w:t>
                  </w:r>
                </w:p>
              </w:tc>
              <w:tc>
                <w:tcPr>
                  <w:tcW w:w="757" w:type="dxa"/>
                  <w:vAlign w:val="center"/>
                </w:tcPr>
                <w:p>
                  <w:pPr>
                    <w:jc w:val="center"/>
                    <w:rPr>
                      <w:sz w:val="18"/>
                      <w:szCs w:val="18"/>
                    </w:rPr>
                  </w:pPr>
                  <w:r>
                    <w:rPr>
                      <w:rFonts w:eastAsia="等线"/>
                      <w:sz w:val="18"/>
                      <w:szCs w:val="18"/>
                    </w:rPr>
                    <w:t>4.56</w:t>
                  </w:r>
                </w:p>
              </w:tc>
              <w:tc>
                <w:tcPr>
                  <w:tcW w:w="884" w:type="dxa"/>
                  <w:shd w:val="clear" w:color="auto" w:fill="auto"/>
                  <w:noWrap/>
                  <w:vAlign w:val="center"/>
                </w:tcPr>
                <w:p>
                  <w:pPr>
                    <w:jc w:val="center"/>
                    <w:rPr>
                      <w:sz w:val="18"/>
                      <w:szCs w:val="18"/>
                    </w:rPr>
                  </w:pPr>
                  <w:r>
                    <w:rPr>
                      <w:rFonts w:eastAsia="等线"/>
                      <w:sz w:val="18"/>
                      <w:szCs w:val="18"/>
                    </w:rPr>
                    <w:t>0.37</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4.37</w:t>
                  </w:r>
                </w:p>
              </w:tc>
              <w:tc>
                <w:tcPr>
                  <w:tcW w:w="851" w:type="dxa"/>
                  <w:shd w:val="clear" w:color="auto" w:fill="auto"/>
                  <w:noWrap/>
                  <w:vAlign w:val="center"/>
                </w:tcPr>
                <w:p>
                  <w:pPr>
                    <w:jc w:val="center"/>
                    <w:rPr>
                      <w:sz w:val="18"/>
                      <w:szCs w:val="18"/>
                    </w:rPr>
                  </w:pPr>
                  <w:r>
                    <w:rPr>
                      <w:rFonts w:eastAsia="等线"/>
                      <w:sz w:val="18"/>
                      <w:szCs w:val="18"/>
                    </w:rPr>
                    <w:t>3.26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16</w:t>
                  </w:r>
                </w:p>
              </w:tc>
              <w:tc>
                <w:tcPr>
                  <w:tcW w:w="824" w:type="dxa"/>
                  <w:shd w:val="clear" w:color="auto" w:fill="auto"/>
                  <w:noWrap/>
                  <w:vAlign w:val="bottom"/>
                </w:tcPr>
                <w:p>
                  <w:pPr>
                    <w:jc w:val="center"/>
                    <w:rPr>
                      <w:sz w:val="18"/>
                      <w:szCs w:val="18"/>
                    </w:rPr>
                  </w:pPr>
                  <w:r>
                    <w:rPr>
                      <w:rFonts w:eastAsia="楷体"/>
                      <w:sz w:val="18"/>
                      <w:szCs w:val="18"/>
                    </w:rPr>
                    <w:t>9</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2.67</w:t>
                  </w:r>
                </w:p>
              </w:tc>
              <w:tc>
                <w:tcPr>
                  <w:tcW w:w="884" w:type="dxa"/>
                  <w:shd w:val="clear" w:color="auto" w:fill="auto"/>
                  <w:noWrap/>
                  <w:vAlign w:val="center"/>
                </w:tcPr>
                <w:p>
                  <w:pPr>
                    <w:jc w:val="center"/>
                    <w:rPr>
                      <w:sz w:val="18"/>
                      <w:szCs w:val="18"/>
                    </w:rPr>
                  </w:pPr>
                  <w:r>
                    <w:rPr>
                      <w:rFonts w:eastAsia="等线"/>
                      <w:sz w:val="18"/>
                      <w:szCs w:val="18"/>
                    </w:rPr>
                    <w:t>0.45</w:t>
                  </w:r>
                </w:p>
              </w:tc>
              <w:tc>
                <w:tcPr>
                  <w:tcW w:w="757" w:type="dxa"/>
                  <w:vAlign w:val="center"/>
                </w:tcPr>
                <w:p>
                  <w:pPr>
                    <w:jc w:val="center"/>
                    <w:rPr>
                      <w:sz w:val="18"/>
                      <w:szCs w:val="18"/>
                    </w:rPr>
                  </w:pPr>
                  <w:r>
                    <w:rPr>
                      <w:rFonts w:eastAsia="等线"/>
                      <w:sz w:val="18"/>
                      <w:szCs w:val="18"/>
                    </w:rPr>
                    <w:t>4.31</w:t>
                  </w:r>
                </w:p>
              </w:tc>
              <w:tc>
                <w:tcPr>
                  <w:tcW w:w="884" w:type="dxa"/>
                  <w:shd w:val="clear" w:color="auto" w:fill="auto"/>
                  <w:noWrap/>
                  <w:vAlign w:val="center"/>
                </w:tcPr>
                <w:p>
                  <w:pPr>
                    <w:jc w:val="center"/>
                    <w:rPr>
                      <w:sz w:val="18"/>
                      <w:szCs w:val="18"/>
                    </w:rPr>
                  </w:pPr>
                  <w:r>
                    <w:rPr>
                      <w:rFonts w:eastAsia="等线"/>
                      <w:sz w:val="18"/>
                      <w:szCs w:val="18"/>
                    </w:rPr>
                    <w:t>0.35</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5.14</w:t>
                  </w:r>
                </w:p>
              </w:tc>
              <w:tc>
                <w:tcPr>
                  <w:tcW w:w="851" w:type="dxa"/>
                  <w:shd w:val="clear" w:color="auto" w:fill="auto"/>
                  <w:noWrap/>
                  <w:vAlign w:val="center"/>
                </w:tcPr>
                <w:p>
                  <w:pPr>
                    <w:jc w:val="center"/>
                    <w:rPr>
                      <w:sz w:val="18"/>
                      <w:szCs w:val="18"/>
                    </w:rPr>
                  </w:pPr>
                  <w:r>
                    <w:rPr>
                      <w:rFonts w:eastAsia="等线"/>
                      <w:sz w:val="18"/>
                      <w:szCs w:val="18"/>
                    </w:rPr>
                    <w:t>1.98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17</w:t>
                  </w:r>
                </w:p>
              </w:tc>
              <w:tc>
                <w:tcPr>
                  <w:tcW w:w="824" w:type="dxa"/>
                  <w:shd w:val="clear" w:color="auto" w:fill="auto"/>
                  <w:noWrap/>
                  <w:vAlign w:val="bottom"/>
                </w:tcPr>
                <w:p>
                  <w:pPr>
                    <w:jc w:val="center"/>
                    <w:rPr>
                      <w:sz w:val="18"/>
                      <w:szCs w:val="18"/>
                    </w:rPr>
                  </w:pPr>
                  <w:r>
                    <w:rPr>
                      <w:rFonts w:eastAsia="楷体"/>
                      <w:sz w:val="18"/>
                      <w:szCs w:val="18"/>
                    </w:rPr>
                    <w:t>19</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3.21</w:t>
                  </w:r>
                </w:p>
              </w:tc>
              <w:tc>
                <w:tcPr>
                  <w:tcW w:w="884" w:type="dxa"/>
                  <w:shd w:val="clear" w:color="auto" w:fill="auto"/>
                  <w:noWrap/>
                  <w:vAlign w:val="center"/>
                </w:tcPr>
                <w:p>
                  <w:pPr>
                    <w:jc w:val="center"/>
                    <w:rPr>
                      <w:sz w:val="18"/>
                      <w:szCs w:val="18"/>
                    </w:rPr>
                  </w:pPr>
                  <w:r>
                    <w:rPr>
                      <w:rFonts w:eastAsia="等线"/>
                      <w:sz w:val="18"/>
                      <w:szCs w:val="18"/>
                    </w:rPr>
                    <w:t>0.47</w:t>
                  </w:r>
                </w:p>
              </w:tc>
              <w:tc>
                <w:tcPr>
                  <w:tcW w:w="757" w:type="dxa"/>
                  <w:vAlign w:val="center"/>
                </w:tcPr>
                <w:p>
                  <w:pPr>
                    <w:jc w:val="center"/>
                    <w:rPr>
                      <w:sz w:val="18"/>
                      <w:szCs w:val="18"/>
                    </w:rPr>
                  </w:pPr>
                  <w:r>
                    <w:rPr>
                      <w:rFonts w:eastAsia="等线"/>
                      <w:sz w:val="18"/>
                      <w:szCs w:val="18"/>
                    </w:rPr>
                    <w:t>5.13</w:t>
                  </w:r>
                </w:p>
              </w:tc>
              <w:tc>
                <w:tcPr>
                  <w:tcW w:w="884" w:type="dxa"/>
                  <w:shd w:val="clear" w:color="auto" w:fill="auto"/>
                  <w:noWrap/>
                  <w:vAlign w:val="center"/>
                </w:tcPr>
                <w:p>
                  <w:pPr>
                    <w:jc w:val="center"/>
                    <w:rPr>
                      <w:sz w:val="18"/>
                      <w:szCs w:val="18"/>
                    </w:rPr>
                  </w:pPr>
                  <w:r>
                    <w:rPr>
                      <w:rFonts w:eastAsia="等线"/>
                      <w:sz w:val="18"/>
                      <w:szCs w:val="18"/>
                    </w:rPr>
                    <w:t>0.61</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6.43</w:t>
                  </w:r>
                </w:p>
              </w:tc>
              <w:tc>
                <w:tcPr>
                  <w:tcW w:w="851" w:type="dxa"/>
                  <w:shd w:val="clear" w:color="auto" w:fill="auto"/>
                  <w:noWrap/>
                  <w:vAlign w:val="center"/>
                </w:tcPr>
                <w:p>
                  <w:pPr>
                    <w:jc w:val="center"/>
                    <w:rPr>
                      <w:sz w:val="18"/>
                      <w:szCs w:val="18"/>
                    </w:rPr>
                  </w:pPr>
                  <w:r>
                    <w:rPr>
                      <w:rFonts w:eastAsia="等线"/>
                      <w:sz w:val="18"/>
                      <w:szCs w:val="18"/>
                    </w:rPr>
                    <w:t>2.45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17</w:t>
                  </w:r>
                </w:p>
              </w:tc>
              <w:tc>
                <w:tcPr>
                  <w:tcW w:w="824" w:type="dxa"/>
                  <w:shd w:val="clear" w:color="auto" w:fill="auto"/>
                  <w:noWrap/>
                  <w:vAlign w:val="bottom"/>
                </w:tcPr>
                <w:p>
                  <w:pPr>
                    <w:jc w:val="center"/>
                    <w:rPr>
                      <w:sz w:val="18"/>
                      <w:szCs w:val="18"/>
                    </w:rPr>
                  </w:pPr>
                  <w:r>
                    <w:rPr>
                      <w:rFonts w:eastAsia="楷体"/>
                      <w:sz w:val="18"/>
                      <w:szCs w:val="18"/>
                    </w:rPr>
                    <w:t>19</w:t>
                  </w:r>
                </w:p>
              </w:tc>
              <w:tc>
                <w:tcPr>
                  <w:tcW w:w="646" w:type="dxa"/>
                  <w:shd w:val="clear" w:color="auto" w:fill="auto"/>
                  <w:noWrap/>
                  <w:vAlign w:val="bottom"/>
                </w:tcPr>
                <w:p>
                  <w:pPr>
                    <w:jc w:val="center"/>
                    <w:rPr>
                      <w:sz w:val="18"/>
                      <w:szCs w:val="18"/>
                    </w:rPr>
                  </w:pPr>
                  <w:r>
                    <w:rPr>
                      <w:rFonts w:eastAsia="楷体"/>
                      <w:sz w:val="18"/>
                      <w:szCs w:val="18"/>
                    </w:rPr>
                    <w:t>底层</w:t>
                  </w:r>
                </w:p>
              </w:tc>
              <w:tc>
                <w:tcPr>
                  <w:tcW w:w="826" w:type="dxa"/>
                  <w:shd w:val="clear" w:color="auto" w:fill="auto"/>
                  <w:noWrap/>
                  <w:vAlign w:val="center"/>
                </w:tcPr>
                <w:p>
                  <w:pPr>
                    <w:jc w:val="center"/>
                    <w:rPr>
                      <w:sz w:val="18"/>
                      <w:szCs w:val="18"/>
                    </w:rPr>
                  </w:pPr>
                  <w:r>
                    <w:rPr>
                      <w:rFonts w:eastAsia="等线"/>
                      <w:sz w:val="18"/>
                      <w:szCs w:val="18"/>
                    </w:rPr>
                    <w:t>3.41</w:t>
                  </w:r>
                </w:p>
              </w:tc>
              <w:tc>
                <w:tcPr>
                  <w:tcW w:w="884" w:type="dxa"/>
                  <w:shd w:val="clear" w:color="auto" w:fill="auto"/>
                  <w:noWrap/>
                  <w:vAlign w:val="center"/>
                </w:tcPr>
                <w:p>
                  <w:pPr>
                    <w:jc w:val="center"/>
                    <w:rPr>
                      <w:sz w:val="18"/>
                      <w:szCs w:val="18"/>
                    </w:rPr>
                  </w:pPr>
                  <w:r>
                    <w:rPr>
                      <w:rFonts w:eastAsia="等线"/>
                      <w:sz w:val="18"/>
                      <w:szCs w:val="18"/>
                    </w:rPr>
                    <w:t>0.53</w:t>
                  </w:r>
                </w:p>
              </w:tc>
              <w:tc>
                <w:tcPr>
                  <w:tcW w:w="757" w:type="dxa"/>
                  <w:vAlign w:val="center"/>
                </w:tcPr>
                <w:p>
                  <w:pPr>
                    <w:jc w:val="center"/>
                    <w:rPr>
                      <w:sz w:val="18"/>
                      <w:szCs w:val="18"/>
                    </w:rPr>
                  </w:pPr>
                  <w:r>
                    <w:rPr>
                      <w:rFonts w:eastAsia="等线"/>
                      <w:sz w:val="18"/>
                      <w:szCs w:val="18"/>
                    </w:rPr>
                    <w:t>7.56</w:t>
                  </w:r>
                </w:p>
              </w:tc>
              <w:tc>
                <w:tcPr>
                  <w:tcW w:w="884" w:type="dxa"/>
                  <w:shd w:val="clear" w:color="auto" w:fill="auto"/>
                  <w:noWrap/>
                  <w:vAlign w:val="center"/>
                </w:tcPr>
                <w:p>
                  <w:pPr>
                    <w:jc w:val="center"/>
                    <w:rPr>
                      <w:sz w:val="18"/>
                      <w:szCs w:val="18"/>
                    </w:rPr>
                  </w:pPr>
                  <w:r>
                    <w:rPr>
                      <w:rFonts w:eastAsia="等线"/>
                      <w:sz w:val="18"/>
                      <w:szCs w:val="18"/>
                    </w:rPr>
                    <w:t>0.53</w:t>
                  </w:r>
                </w:p>
              </w:tc>
              <w:tc>
                <w:tcPr>
                  <w:tcW w:w="882" w:type="dxa"/>
                  <w:shd w:val="clear" w:color="auto" w:fill="auto"/>
                  <w:noWrap/>
                  <w:vAlign w:val="center"/>
                </w:tcPr>
                <w:p>
                  <w:pPr>
                    <w:jc w:val="center"/>
                    <w:rPr>
                      <w:sz w:val="18"/>
                      <w:szCs w:val="18"/>
                    </w:rPr>
                  </w:pPr>
                  <w:r>
                    <w:rPr>
                      <w:rFonts w:eastAsia="等线"/>
                      <w:sz w:val="18"/>
                      <w:szCs w:val="18"/>
                    </w:rPr>
                    <w:t>0.003</w:t>
                  </w:r>
                </w:p>
              </w:tc>
              <w:tc>
                <w:tcPr>
                  <w:tcW w:w="882" w:type="dxa"/>
                  <w:shd w:val="clear" w:color="auto" w:fill="auto"/>
                  <w:noWrap/>
                  <w:vAlign w:val="center"/>
                </w:tcPr>
                <w:p>
                  <w:pPr>
                    <w:jc w:val="center"/>
                    <w:rPr>
                      <w:sz w:val="18"/>
                      <w:szCs w:val="18"/>
                    </w:rPr>
                  </w:pPr>
                  <w:r>
                    <w:rPr>
                      <w:rFonts w:eastAsia="等线"/>
                      <w:sz w:val="18"/>
                      <w:szCs w:val="18"/>
                    </w:rPr>
                    <w:t>5.23</w:t>
                  </w:r>
                </w:p>
              </w:tc>
              <w:tc>
                <w:tcPr>
                  <w:tcW w:w="851" w:type="dxa"/>
                  <w:shd w:val="clear" w:color="auto" w:fill="auto"/>
                  <w:noWrap/>
                  <w:vAlign w:val="center"/>
                </w:tcPr>
                <w:p>
                  <w:pPr>
                    <w:jc w:val="center"/>
                    <w:rPr>
                      <w:sz w:val="18"/>
                      <w:szCs w:val="18"/>
                    </w:rPr>
                  </w:pPr>
                  <w:r>
                    <w:rPr>
                      <w:rFonts w:eastAsia="等线"/>
                      <w:sz w:val="18"/>
                      <w:szCs w:val="18"/>
                    </w:rPr>
                    <w:t>3.65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18</w:t>
                  </w:r>
                </w:p>
              </w:tc>
              <w:tc>
                <w:tcPr>
                  <w:tcW w:w="824" w:type="dxa"/>
                  <w:shd w:val="clear" w:color="auto" w:fill="auto"/>
                  <w:noWrap/>
                  <w:vAlign w:val="bottom"/>
                </w:tcPr>
                <w:p>
                  <w:pPr>
                    <w:jc w:val="center"/>
                    <w:rPr>
                      <w:sz w:val="18"/>
                      <w:szCs w:val="18"/>
                    </w:rPr>
                  </w:pPr>
                  <w:r>
                    <w:rPr>
                      <w:rFonts w:eastAsia="楷体"/>
                      <w:sz w:val="18"/>
                      <w:szCs w:val="18"/>
                    </w:rPr>
                    <w:t>18</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3.68</w:t>
                  </w:r>
                </w:p>
              </w:tc>
              <w:tc>
                <w:tcPr>
                  <w:tcW w:w="884" w:type="dxa"/>
                  <w:shd w:val="clear" w:color="auto" w:fill="auto"/>
                  <w:noWrap/>
                  <w:vAlign w:val="center"/>
                </w:tcPr>
                <w:p>
                  <w:pPr>
                    <w:jc w:val="center"/>
                    <w:rPr>
                      <w:sz w:val="18"/>
                      <w:szCs w:val="18"/>
                    </w:rPr>
                  </w:pPr>
                  <w:r>
                    <w:rPr>
                      <w:rFonts w:eastAsia="等线"/>
                      <w:sz w:val="18"/>
                      <w:szCs w:val="18"/>
                    </w:rPr>
                    <w:t>0.38</w:t>
                  </w:r>
                </w:p>
              </w:tc>
              <w:tc>
                <w:tcPr>
                  <w:tcW w:w="757" w:type="dxa"/>
                  <w:vAlign w:val="center"/>
                </w:tcPr>
                <w:p>
                  <w:pPr>
                    <w:jc w:val="center"/>
                    <w:rPr>
                      <w:sz w:val="18"/>
                      <w:szCs w:val="18"/>
                    </w:rPr>
                  </w:pPr>
                  <w:r>
                    <w:rPr>
                      <w:rFonts w:eastAsia="等线"/>
                      <w:sz w:val="18"/>
                      <w:szCs w:val="18"/>
                    </w:rPr>
                    <w:t>5.14</w:t>
                  </w:r>
                </w:p>
              </w:tc>
              <w:tc>
                <w:tcPr>
                  <w:tcW w:w="884" w:type="dxa"/>
                  <w:shd w:val="clear" w:color="auto" w:fill="auto"/>
                  <w:noWrap/>
                  <w:vAlign w:val="center"/>
                </w:tcPr>
                <w:p>
                  <w:pPr>
                    <w:jc w:val="center"/>
                    <w:rPr>
                      <w:sz w:val="18"/>
                      <w:szCs w:val="18"/>
                    </w:rPr>
                  </w:pPr>
                  <w:r>
                    <w:rPr>
                      <w:rFonts w:eastAsia="等线"/>
                      <w:sz w:val="18"/>
                      <w:szCs w:val="18"/>
                    </w:rPr>
                    <w:t>0.49</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3.12</w:t>
                  </w:r>
                </w:p>
              </w:tc>
              <w:tc>
                <w:tcPr>
                  <w:tcW w:w="851" w:type="dxa"/>
                  <w:shd w:val="clear" w:color="auto" w:fill="auto"/>
                  <w:noWrap/>
                  <w:vAlign w:val="center"/>
                </w:tcPr>
                <w:p>
                  <w:pPr>
                    <w:jc w:val="center"/>
                    <w:rPr>
                      <w:sz w:val="18"/>
                      <w:szCs w:val="18"/>
                    </w:rPr>
                  </w:pPr>
                  <w:r>
                    <w:rPr>
                      <w:rFonts w:eastAsia="等线"/>
                      <w:sz w:val="18"/>
                      <w:szCs w:val="18"/>
                    </w:rPr>
                    <w:t>3.21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823" w:type="dxa"/>
                  <w:shd w:val="clear" w:color="auto" w:fill="auto"/>
                  <w:noWrap/>
                  <w:vAlign w:val="bottom"/>
                </w:tcPr>
                <w:p>
                  <w:pPr>
                    <w:jc w:val="center"/>
                    <w:rPr>
                      <w:sz w:val="18"/>
                      <w:szCs w:val="18"/>
                    </w:rPr>
                  </w:pPr>
                  <w:r>
                    <w:rPr>
                      <w:rFonts w:eastAsia="楷体"/>
                      <w:sz w:val="18"/>
                      <w:szCs w:val="18"/>
                    </w:rPr>
                    <w:t>18</w:t>
                  </w:r>
                </w:p>
              </w:tc>
              <w:tc>
                <w:tcPr>
                  <w:tcW w:w="824" w:type="dxa"/>
                  <w:shd w:val="clear" w:color="auto" w:fill="auto"/>
                  <w:noWrap/>
                  <w:vAlign w:val="bottom"/>
                </w:tcPr>
                <w:p>
                  <w:pPr>
                    <w:jc w:val="center"/>
                    <w:rPr>
                      <w:sz w:val="18"/>
                      <w:szCs w:val="18"/>
                    </w:rPr>
                  </w:pPr>
                  <w:r>
                    <w:rPr>
                      <w:rFonts w:eastAsia="楷体"/>
                      <w:sz w:val="18"/>
                      <w:szCs w:val="18"/>
                    </w:rPr>
                    <w:t>18</w:t>
                  </w:r>
                </w:p>
              </w:tc>
              <w:tc>
                <w:tcPr>
                  <w:tcW w:w="646" w:type="dxa"/>
                  <w:shd w:val="clear" w:color="auto" w:fill="auto"/>
                  <w:noWrap/>
                  <w:vAlign w:val="bottom"/>
                </w:tcPr>
                <w:p>
                  <w:pPr>
                    <w:jc w:val="center"/>
                    <w:rPr>
                      <w:sz w:val="18"/>
                      <w:szCs w:val="18"/>
                    </w:rPr>
                  </w:pPr>
                  <w:r>
                    <w:rPr>
                      <w:rFonts w:eastAsia="楷体"/>
                      <w:sz w:val="18"/>
                      <w:szCs w:val="18"/>
                    </w:rPr>
                    <w:t>底层</w:t>
                  </w:r>
                </w:p>
              </w:tc>
              <w:tc>
                <w:tcPr>
                  <w:tcW w:w="826" w:type="dxa"/>
                  <w:shd w:val="clear" w:color="auto" w:fill="auto"/>
                  <w:noWrap/>
                  <w:vAlign w:val="center"/>
                </w:tcPr>
                <w:p>
                  <w:pPr>
                    <w:jc w:val="center"/>
                    <w:rPr>
                      <w:sz w:val="18"/>
                      <w:szCs w:val="18"/>
                    </w:rPr>
                  </w:pPr>
                  <w:r>
                    <w:rPr>
                      <w:rFonts w:eastAsia="等线"/>
                      <w:sz w:val="18"/>
                      <w:szCs w:val="18"/>
                    </w:rPr>
                    <w:t>2.57</w:t>
                  </w:r>
                </w:p>
              </w:tc>
              <w:tc>
                <w:tcPr>
                  <w:tcW w:w="884" w:type="dxa"/>
                  <w:shd w:val="clear" w:color="auto" w:fill="auto"/>
                  <w:noWrap/>
                  <w:vAlign w:val="center"/>
                </w:tcPr>
                <w:p>
                  <w:pPr>
                    <w:jc w:val="center"/>
                    <w:rPr>
                      <w:sz w:val="18"/>
                      <w:szCs w:val="18"/>
                    </w:rPr>
                  </w:pPr>
                  <w:r>
                    <w:rPr>
                      <w:rFonts w:eastAsia="等线"/>
                      <w:sz w:val="18"/>
                      <w:szCs w:val="18"/>
                    </w:rPr>
                    <w:t>0.33</w:t>
                  </w:r>
                </w:p>
              </w:tc>
              <w:tc>
                <w:tcPr>
                  <w:tcW w:w="757" w:type="dxa"/>
                  <w:vAlign w:val="center"/>
                </w:tcPr>
                <w:p>
                  <w:pPr>
                    <w:jc w:val="center"/>
                    <w:rPr>
                      <w:sz w:val="18"/>
                      <w:szCs w:val="18"/>
                    </w:rPr>
                  </w:pPr>
                  <w:r>
                    <w:rPr>
                      <w:rFonts w:eastAsia="等线"/>
                      <w:sz w:val="18"/>
                      <w:szCs w:val="18"/>
                    </w:rPr>
                    <w:t>3.67</w:t>
                  </w:r>
                </w:p>
              </w:tc>
              <w:tc>
                <w:tcPr>
                  <w:tcW w:w="884" w:type="dxa"/>
                  <w:shd w:val="clear" w:color="auto" w:fill="auto"/>
                  <w:noWrap/>
                  <w:vAlign w:val="center"/>
                </w:tcPr>
                <w:p>
                  <w:pPr>
                    <w:jc w:val="center"/>
                    <w:rPr>
                      <w:sz w:val="18"/>
                      <w:szCs w:val="18"/>
                    </w:rPr>
                  </w:pPr>
                  <w:r>
                    <w:rPr>
                      <w:rFonts w:eastAsia="等线"/>
                      <w:sz w:val="18"/>
                      <w:szCs w:val="18"/>
                    </w:rPr>
                    <w:t>0.51</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3.67</w:t>
                  </w:r>
                </w:p>
              </w:tc>
              <w:tc>
                <w:tcPr>
                  <w:tcW w:w="851" w:type="dxa"/>
                  <w:shd w:val="clear" w:color="auto" w:fill="auto"/>
                  <w:noWrap/>
                  <w:vAlign w:val="center"/>
                </w:tcPr>
                <w:p>
                  <w:pPr>
                    <w:jc w:val="center"/>
                    <w:rPr>
                      <w:sz w:val="18"/>
                      <w:szCs w:val="18"/>
                    </w:rPr>
                  </w:pPr>
                  <w:r>
                    <w:rPr>
                      <w:rFonts w:eastAsia="等线"/>
                      <w:sz w:val="18"/>
                      <w:szCs w:val="18"/>
                    </w:rPr>
                    <w:t>2.78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53" w:hRule="atLeast"/>
                <w:jc w:val="center"/>
              </w:trPr>
              <w:tc>
                <w:tcPr>
                  <w:tcW w:w="823" w:type="dxa"/>
                  <w:shd w:val="clear" w:color="auto" w:fill="auto"/>
                  <w:noWrap/>
                  <w:vAlign w:val="bottom"/>
                </w:tcPr>
                <w:p>
                  <w:pPr>
                    <w:jc w:val="center"/>
                    <w:rPr>
                      <w:sz w:val="18"/>
                      <w:szCs w:val="18"/>
                    </w:rPr>
                  </w:pPr>
                  <w:r>
                    <w:rPr>
                      <w:rFonts w:eastAsia="楷体"/>
                      <w:sz w:val="18"/>
                      <w:szCs w:val="18"/>
                    </w:rPr>
                    <w:t>19</w:t>
                  </w:r>
                </w:p>
              </w:tc>
              <w:tc>
                <w:tcPr>
                  <w:tcW w:w="824" w:type="dxa"/>
                  <w:shd w:val="clear" w:color="auto" w:fill="auto"/>
                  <w:noWrap/>
                  <w:vAlign w:val="bottom"/>
                </w:tcPr>
                <w:p>
                  <w:pPr>
                    <w:jc w:val="center"/>
                    <w:rPr>
                      <w:sz w:val="18"/>
                      <w:szCs w:val="18"/>
                    </w:rPr>
                  </w:pPr>
                  <w:r>
                    <w:rPr>
                      <w:rFonts w:eastAsia="楷体"/>
                      <w:sz w:val="18"/>
                      <w:szCs w:val="18"/>
                    </w:rPr>
                    <w:t>19</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2.8</w:t>
                  </w:r>
                </w:p>
              </w:tc>
              <w:tc>
                <w:tcPr>
                  <w:tcW w:w="884" w:type="dxa"/>
                  <w:shd w:val="clear" w:color="auto" w:fill="auto"/>
                  <w:noWrap/>
                  <w:vAlign w:val="center"/>
                </w:tcPr>
                <w:p>
                  <w:pPr>
                    <w:jc w:val="center"/>
                    <w:rPr>
                      <w:sz w:val="18"/>
                      <w:szCs w:val="18"/>
                    </w:rPr>
                  </w:pPr>
                  <w:r>
                    <w:rPr>
                      <w:rFonts w:eastAsia="等线"/>
                      <w:sz w:val="18"/>
                      <w:szCs w:val="18"/>
                    </w:rPr>
                    <w:t>0.38</w:t>
                  </w:r>
                </w:p>
              </w:tc>
              <w:tc>
                <w:tcPr>
                  <w:tcW w:w="757" w:type="dxa"/>
                  <w:vAlign w:val="center"/>
                </w:tcPr>
                <w:p>
                  <w:pPr>
                    <w:jc w:val="center"/>
                    <w:rPr>
                      <w:sz w:val="18"/>
                      <w:szCs w:val="18"/>
                    </w:rPr>
                  </w:pPr>
                  <w:r>
                    <w:rPr>
                      <w:rFonts w:eastAsia="等线"/>
                      <w:sz w:val="18"/>
                      <w:szCs w:val="18"/>
                    </w:rPr>
                    <w:t>4.12</w:t>
                  </w:r>
                </w:p>
              </w:tc>
              <w:tc>
                <w:tcPr>
                  <w:tcW w:w="884" w:type="dxa"/>
                  <w:shd w:val="clear" w:color="auto" w:fill="auto"/>
                  <w:noWrap/>
                  <w:vAlign w:val="center"/>
                </w:tcPr>
                <w:p>
                  <w:pPr>
                    <w:jc w:val="center"/>
                    <w:rPr>
                      <w:sz w:val="18"/>
                      <w:szCs w:val="18"/>
                    </w:rPr>
                  </w:pPr>
                  <w:r>
                    <w:rPr>
                      <w:rFonts w:eastAsia="等线"/>
                      <w:sz w:val="18"/>
                      <w:szCs w:val="18"/>
                    </w:rPr>
                    <w:t>0.44</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4.89</w:t>
                  </w:r>
                </w:p>
              </w:tc>
              <w:tc>
                <w:tcPr>
                  <w:tcW w:w="851" w:type="dxa"/>
                  <w:shd w:val="clear" w:color="auto" w:fill="auto"/>
                  <w:noWrap/>
                  <w:vAlign w:val="center"/>
                </w:tcPr>
                <w:p>
                  <w:pPr>
                    <w:jc w:val="center"/>
                    <w:rPr>
                      <w:sz w:val="18"/>
                      <w:szCs w:val="18"/>
                    </w:rPr>
                  </w:pPr>
                  <w:r>
                    <w:rPr>
                      <w:rFonts w:eastAsia="等线"/>
                      <w:sz w:val="18"/>
                      <w:szCs w:val="18"/>
                    </w:rPr>
                    <w:t>4.71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823" w:type="dxa"/>
                  <w:shd w:val="clear" w:color="auto" w:fill="auto"/>
                  <w:noWrap/>
                  <w:vAlign w:val="bottom"/>
                </w:tcPr>
                <w:p>
                  <w:pPr>
                    <w:jc w:val="center"/>
                    <w:rPr>
                      <w:sz w:val="18"/>
                      <w:szCs w:val="18"/>
                    </w:rPr>
                  </w:pPr>
                  <w:r>
                    <w:rPr>
                      <w:rFonts w:eastAsia="楷体"/>
                      <w:sz w:val="18"/>
                      <w:szCs w:val="18"/>
                    </w:rPr>
                    <w:t>19</w:t>
                  </w:r>
                </w:p>
              </w:tc>
              <w:tc>
                <w:tcPr>
                  <w:tcW w:w="824" w:type="dxa"/>
                  <w:shd w:val="clear" w:color="auto" w:fill="auto"/>
                  <w:noWrap/>
                  <w:vAlign w:val="bottom"/>
                </w:tcPr>
                <w:p>
                  <w:pPr>
                    <w:jc w:val="center"/>
                    <w:rPr>
                      <w:sz w:val="18"/>
                      <w:szCs w:val="18"/>
                    </w:rPr>
                  </w:pPr>
                  <w:r>
                    <w:rPr>
                      <w:rFonts w:eastAsia="楷体"/>
                      <w:sz w:val="18"/>
                      <w:szCs w:val="18"/>
                    </w:rPr>
                    <w:t>19</w:t>
                  </w:r>
                </w:p>
              </w:tc>
              <w:tc>
                <w:tcPr>
                  <w:tcW w:w="646" w:type="dxa"/>
                  <w:shd w:val="clear" w:color="auto" w:fill="auto"/>
                  <w:noWrap/>
                  <w:vAlign w:val="bottom"/>
                </w:tcPr>
                <w:p>
                  <w:pPr>
                    <w:jc w:val="center"/>
                    <w:rPr>
                      <w:sz w:val="18"/>
                      <w:szCs w:val="18"/>
                    </w:rPr>
                  </w:pPr>
                  <w:r>
                    <w:rPr>
                      <w:rFonts w:eastAsia="楷体"/>
                      <w:sz w:val="18"/>
                      <w:szCs w:val="18"/>
                    </w:rPr>
                    <w:t>底层</w:t>
                  </w:r>
                </w:p>
              </w:tc>
              <w:tc>
                <w:tcPr>
                  <w:tcW w:w="826" w:type="dxa"/>
                  <w:shd w:val="clear" w:color="auto" w:fill="auto"/>
                  <w:noWrap/>
                  <w:vAlign w:val="center"/>
                </w:tcPr>
                <w:p>
                  <w:pPr>
                    <w:jc w:val="center"/>
                    <w:rPr>
                      <w:sz w:val="18"/>
                      <w:szCs w:val="18"/>
                    </w:rPr>
                  </w:pPr>
                  <w:r>
                    <w:rPr>
                      <w:rFonts w:eastAsia="等线"/>
                      <w:sz w:val="18"/>
                      <w:szCs w:val="18"/>
                    </w:rPr>
                    <w:t>4.08</w:t>
                  </w:r>
                </w:p>
              </w:tc>
              <w:tc>
                <w:tcPr>
                  <w:tcW w:w="884" w:type="dxa"/>
                  <w:shd w:val="clear" w:color="auto" w:fill="auto"/>
                  <w:noWrap/>
                  <w:vAlign w:val="center"/>
                </w:tcPr>
                <w:p>
                  <w:pPr>
                    <w:jc w:val="center"/>
                    <w:rPr>
                      <w:sz w:val="18"/>
                      <w:szCs w:val="18"/>
                    </w:rPr>
                  </w:pPr>
                  <w:r>
                    <w:rPr>
                      <w:rFonts w:eastAsia="等线"/>
                      <w:sz w:val="18"/>
                      <w:szCs w:val="18"/>
                    </w:rPr>
                    <w:t>0.54</w:t>
                  </w:r>
                </w:p>
              </w:tc>
              <w:tc>
                <w:tcPr>
                  <w:tcW w:w="757" w:type="dxa"/>
                  <w:vAlign w:val="center"/>
                </w:tcPr>
                <w:p>
                  <w:pPr>
                    <w:jc w:val="center"/>
                    <w:rPr>
                      <w:sz w:val="18"/>
                      <w:szCs w:val="18"/>
                    </w:rPr>
                  </w:pPr>
                  <w:r>
                    <w:rPr>
                      <w:rFonts w:eastAsia="等线"/>
                      <w:sz w:val="18"/>
                      <w:szCs w:val="18"/>
                    </w:rPr>
                    <w:t>6.12</w:t>
                  </w:r>
                </w:p>
              </w:tc>
              <w:tc>
                <w:tcPr>
                  <w:tcW w:w="884" w:type="dxa"/>
                  <w:shd w:val="clear" w:color="auto" w:fill="auto"/>
                  <w:noWrap/>
                  <w:vAlign w:val="center"/>
                </w:tcPr>
                <w:p>
                  <w:pPr>
                    <w:jc w:val="center"/>
                    <w:rPr>
                      <w:sz w:val="18"/>
                      <w:szCs w:val="18"/>
                    </w:rPr>
                  </w:pPr>
                  <w:r>
                    <w:rPr>
                      <w:rFonts w:eastAsia="等线"/>
                      <w:sz w:val="18"/>
                      <w:szCs w:val="18"/>
                    </w:rPr>
                    <w:t>0.34</w:t>
                  </w:r>
                </w:p>
              </w:tc>
              <w:tc>
                <w:tcPr>
                  <w:tcW w:w="882" w:type="dxa"/>
                  <w:shd w:val="clear" w:color="auto" w:fill="auto"/>
                  <w:noWrap/>
                  <w:vAlign w:val="center"/>
                </w:tcPr>
                <w:p>
                  <w:pPr>
                    <w:jc w:val="center"/>
                    <w:rPr>
                      <w:sz w:val="18"/>
                      <w:szCs w:val="18"/>
                    </w:rPr>
                  </w:pPr>
                  <w:r>
                    <w:rPr>
                      <w:rFonts w:eastAsia="等线"/>
                      <w:sz w:val="18"/>
                      <w:szCs w:val="18"/>
                    </w:rPr>
                    <w:t>0.001</w:t>
                  </w:r>
                </w:p>
              </w:tc>
              <w:tc>
                <w:tcPr>
                  <w:tcW w:w="882" w:type="dxa"/>
                  <w:shd w:val="clear" w:color="auto" w:fill="auto"/>
                  <w:noWrap/>
                  <w:vAlign w:val="center"/>
                </w:tcPr>
                <w:p>
                  <w:pPr>
                    <w:jc w:val="center"/>
                    <w:rPr>
                      <w:sz w:val="18"/>
                      <w:szCs w:val="18"/>
                    </w:rPr>
                  </w:pPr>
                  <w:r>
                    <w:rPr>
                      <w:rFonts w:eastAsia="等线"/>
                      <w:sz w:val="18"/>
                      <w:szCs w:val="18"/>
                    </w:rPr>
                    <w:t>3.71</w:t>
                  </w:r>
                </w:p>
              </w:tc>
              <w:tc>
                <w:tcPr>
                  <w:tcW w:w="851" w:type="dxa"/>
                  <w:shd w:val="clear" w:color="auto" w:fill="auto"/>
                  <w:noWrap/>
                  <w:vAlign w:val="center"/>
                </w:tcPr>
                <w:p>
                  <w:pPr>
                    <w:jc w:val="center"/>
                    <w:rPr>
                      <w:sz w:val="18"/>
                      <w:szCs w:val="18"/>
                    </w:rPr>
                  </w:pPr>
                  <w:r>
                    <w:rPr>
                      <w:rFonts w:eastAsia="等线"/>
                      <w:sz w:val="18"/>
                      <w:szCs w:val="18"/>
                    </w:rPr>
                    <w:t>3.26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823" w:type="dxa"/>
                  <w:shd w:val="clear" w:color="auto" w:fill="auto"/>
                  <w:noWrap/>
                  <w:vAlign w:val="bottom"/>
                </w:tcPr>
                <w:p>
                  <w:pPr>
                    <w:jc w:val="center"/>
                    <w:rPr>
                      <w:sz w:val="18"/>
                      <w:szCs w:val="18"/>
                    </w:rPr>
                  </w:pPr>
                  <w:r>
                    <w:rPr>
                      <w:rFonts w:eastAsia="楷体"/>
                      <w:sz w:val="18"/>
                      <w:szCs w:val="18"/>
                    </w:rPr>
                    <w:t>20</w:t>
                  </w:r>
                </w:p>
              </w:tc>
              <w:tc>
                <w:tcPr>
                  <w:tcW w:w="824" w:type="dxa"/>
                  <w:shd w:val="clear" w:color="auto" w:fill="auto"/>
                  <w:noWrap/>
                  <w:vAlign w:val="bottom"/>
                </w:tcPr>
                <w:p>
                  <w:pPr>
                    <w:jc w:val="center"/>
                    <w:rPr>
                      <w:sz w:val="18"/>
                      <w:szCs w:val="18"/>
                    </w:rPr>
                  </w:pPr>
                  <w:r>
                    <w:rPr>
                      <w:rFonts w:eastAsia="楷体"/>
                      <w:sz w:val="18"/>
                      <w:szCs w:val="18"/>
                    </w:rPr>
                    <w:t>19</w:t>
                  </w:r>
                </w:p>
              </w:tc>
              <w:tc>
                <w:tcPr>
                  <w:tcW w:w="646" w:type="dxa"/>
                  <w:shd w:val="clear" w:color="auto" w:fill="auto"/>
                  <w:noWrap/>
                  <w:vAlign w:val="bottom"/>
                </w:tcPr>
                <w:p>
                  <w:pPr>
                    <w:jc w:val="center"/>
                    <w:rPr>
                      <w:sz w:val="18"/>
                      <w:szCs w:val="18"/>
                    </w:rPr>
                  </w:pPr>
                  <w:r>
                    <w:rPr>
                      <w:rFonts w:eastAsia="楷体"/>
                      <w:sz w:val="18"/>
                      <w:szCs w:val="18"/>
                    </w:rPr>
                    <w:t>表层</w:t>
                  </w:r>
                </w:p>
              </w:tc>
              <w:tc>
                <w:tcPr>
                  <w:tcW w:w="826" w:type="dxa"/>
                  <w:shd w:val="clear" w:color="auto" w:fill="auto"/>
                  <w:noWrap/>
                  <w:vAlign w:val="center"/>
                </w:tcPr>
                <w:p>
                  <w:pPr>
                    <w:jc w:val="center"/>
                    <w:rPr>
                      <w:sz w:val="18"/>
                      <w:szCs w:val="18"/>
                    </w:rPr>
                  </w:pPr>
                  <w:r>
                    <w:rPr>
                      <w:rFonts w:eastAsia="等线"/>
                      <w:sz w:val="18"/>
                      <w:szCs w:val="18"/>
                    </w:rPr>
                    <w:t>3.21</w:t>
                  </w:r>
                </w:p>
              </w:tc>
              <w:tc>
                <w:tcPr>
                  <w:tcW w:w="884" w:type="dxa"/>
                  <w:shd w:val="clear" w:color="auto" w:fill="auto"/>
                  <w:noWrap/>
                  <w:vAlign w:val="center"/>
                </w:tcPr>
                <w:p>
                  <w:pPr>
                    <w:jc w:val="center"/>
                    <w:rPr>
                      <w:sz w:val="18"/>
                      <w:szCs w:val="18"/>
                    </w:rPr>
                  </w:pPr>
                  <w:r>
                    <w:rPr>
                      <w:rFonts w:eastAsia="等线"/>
                      <w:sz w:val="18"/>
                      <w:szCs w:val="18"/>
                    </w:rPr>
                    <w:t>0.57</w:t>
                  </w:r>
                </w:p>
              </w:tc>
              <w:tc>
                <w:tcPr>
                  <w:tcW w:w="757" w:type="dxa"/>
                  <w:vAlign w:val="center"/>
                </w:tcPr>
                <w:p>
                  <w:pPr>
                    <w:jc w:val="center"/>
                    <w:rPr>
                      <w:sz w:val="18"/>
                      <w:szCs w:val="18"/>
                    </w:rPr>
                  </w:pPr>
                  <w:r>
                    <w:rPr>
                      <w:rFonts w:eastAsia="等线"/>
                      <w:sz w:val="18"/>
                      <w:szCs w:val="18"/>
                    </w:rPr>
                    <w:t>5.4</w:t>
                  </w:r>
                </w:p>
              </w:tc>
              <w:tc>
                <w:tcPr>
                  <w:tcW w:w="884" w:type="dxa"/>
                  <w:shd w:val="clear" w:color="auto" w:fill="auto"/>
                  <w:noWrap/>
                  <w:vAlign w:val="center"/>
                </w:tcPr>
                <w:p>
                  <w:pPr>
                    <w:jc w:val="center"/>
                    <w:rPr>
                      <w:sz w:val="18"/>
                      <w:szCs w:val="18"/>
                    </w:rPr>
                  </w:pPr>
                  <w:r>
                    <w:rPr>
                      <w:rFonts w:eastAsia="等线"/>
                      <w:sz w:val="18"/>
                      <w:szCs w:val="18"/>
                    </w:rPr>
                    <w:t>0.52</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4.16</w:t>
                  </w:r>
                </w:p>
              </w:tc>
              <w:tc>
                <w:tcPr>
                  <w:tcW w:w="851" w:type="dxa"/>
                  <w:shd w:val="clear" w:color="auto" w:fill="auto"/>
                  <w:noWrap/>
                  <w:vAlign w:val="center"/>
                </w:tcPr>
                <w:p>
                  <w:pPr>
                    <w:jc w:val="center"/>
                    <w:rPr>
                      <w:sz w:val="18"/>
                      <w:szCs w:val="18"/>
                    </w:rPr>
                  </w:pPr>
                  <w:r>
                    <w:rPr>
                      <w:rFonts w:eastAsia="等线"/>
                      <w:sz w:val="18"/>
                      <w:szCs w:val="18"/>
                    </w:rPr>
                    <w:t>3.21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823" w:type="dxa"/>
                  <w:shd w:val="clear" w:color="auto" w:fill="auto"/>
                  <w:noWrap/>
                  <w:vAlign w:val="bottom"/>
                </w:tcPr>
                <w:p>
                  <w:pPr>
                    <w:jc w:val="center"/>
                    <w:rPr>
                      <w:sz w:val="18"/>
                      <w:szCs w:val="18"/>
                    </w:rPr>
                  </w:pPr>
                  <w:r>
                    <w:rPr>
                      <w:rFonts w:eastAsia="楷体"/>
                      <w:sz w:val="18"/>
                      <w:szCs w:val="18"/>
                    </w:rPr>
                    <w:t>20</w:t>
                  </w:r>
                </w:p>
              </w:tc>
              <w:tc>
                <w:tcPr>
                  <w:tcW w:w="824" w:type="dxa"/>
                  <w:shd w:val="clear" w:color="auto" w:fill="auto"/>
                  <w:noWrap/>
                  <w:vAlign w:val="bottom"/>
                </w:tcPr>
                <w:p>
                  <w:pPr>
                    <w:jc w:val="center"/>
                    <w:rPr>
                      <w:sz w:val="18"/>
                      <w:szCs w:val="18"/>
                    </w:rPr>
                  </w:pPr>
                  <w:r>
                    <w:rPr>
                      <w:rFonts w:eastAsia="楷体"/>
                      <w:sz w:val="18"/>
                      <w:szCs w:val="18"/>
                    </w:rPr>
                    <w:t>19</w:t>
                  </w:r>
                </w:p>
              </w:tc>
              <w:tc>
                <w:tcPr>
                  <w:tcW w:w="646" w:type="dxa"/>
                  <w:shd w:val="clear" w:color="auto" w:fill="auto"/>
                  <w:noWrap/>
                  <w:vAlign w:val="bottom"/>
                </w:tcPr>
                <w:p>
                  <w:pPr>
                    <w:jc w:val="center"/>
                    <w:rPr>
                      <w:sz w:val="18"/>
                      <w:szCs w:val="18"/>
                    </w:rPr>
                  </w:pPr>
                  <w:r>
                    <w:rPr>
                      <w:rFonts w:eastAsia="楷体"/>
                      <w:sz w:val="18"/>
                      <w:szCs w:val="18"/>
                    </w:rPr>
                    <w:t>底层</w:t>
                  </w:r>
                </w:p>
              </w:tc>
              <w:tc>
                <w:tcPr>
                  <w:tcW w:w="826" w:type="dxa"/>
                  <w:shd w:val="clear" w:color="auto" w:fill="auto"/>
                  <w:noWrap/>
                  <w:vAlign w:val="center"/>
                </w:tcPr>
                <w:p>
                  <w:pPr>
                    <w:jc w:val="center"/>
                    <w:rPr>
                      <w:sz w:val="18"/>
                      <w:szCs w:val="18"/>
                    </w:rPr>
                  </w:pPr>
                  <w:r>
                    <w:rPr>
                      <w:rFonts w:eastAsia="等线"/>
                      <w:sz w:val="18"/>
                      <w:szCs w:val="18"/>
                    </w:rPr>
                    <w:t>2.68</w:t>
                  </w:r>
                </w:p>
              </w:tc>
              <w:tc>
                <w:tcPr>
                  <w:tcW w:w="884" w:type="dxa"/>
                  <w:shd w:val="clear" w:color="auto" w:fill="auto"/>
                  <w:noWrap/>
                  <w:vAlign w:val="center"/>
                </w:tcPr>
                <w:p>
                  <w:pPr>
                    <w:jc w:val="center"/>
                    <w:rPr>
                      <w:sz w:val="18"/>
                      <w:szCs w:val="18"/>
                    </w:rPr>
                  </w:pPr>
                  <w:r>
                    <w:rPr>
                      <w:rFonts w:eastAsia="等线"/>
                      <w:sz w:val="18"/>
                      <w:szCs w:val="18"/>
                    </w:rPr>
                    <w:t>0.47</w:t>
                  </w:r>
                </w:p>
              </w:tc>
              <w:tc>
                <w:tcPr>
                  <w:tcW w:w="757" w:type="dxa"/>
                  <w:vAlign w:val="center"/>
                </w:tcPr>
                <w:p>
                  <w:pPr>
                    <w:jc w:val="center"/>
                    <w:rPr>
                      <w:sz w:val="18"/>
                      <w:szCs w:val="18"/>
                    </w:rPr>
                  </w:pPr>
                  <w:r>
                    <w:rPr>
                      <w:rFonts w:eastAsia="等线"/>
                      <w:sz w:val="18"/>
                      <w:szCs w:val="18"/>
                    </w:rPr>
                    <w:t>3.6</w:t>
                  </w:r>
                </w:p>
              </w:tc>
              <w:tc>
                <w:tcPr>
                  <w:tcW w:w="884" w:type="dxa"/>
                  <w:shd w:val="clear" w:color="auto" w:fill="auto"/>
                  <w:noWrap/>
                  <w:vAlign w:val="center"/>
                </w:tcPr>
                <w:p>
                  <w:pPr>
                    <w:jc w:val="center"/>
                    <w:rPr>
                      <w:sz w:val="18"/>
                      <w:szCs w:val="18"/>
                    </w:rPr>
                  </w:pPr>
                  <w:r>
                    <w:rPr>
                      <w:rFonts w:eastAsia="等线"/>
                      <w:sz w:val="18"/>
                      <w:szCs w:val="18"/>
                    </w:rPr>
                    <w:t>0.47</w:t>
                  </w:r>
                </w:p>
              </w:tc>
              <w:tc>
                <w:tcPr>
                  <w:tcW w:w="882" w:type="dxa"/>
                  <w:shd w:val="clear" w:color="auto" w:fill="auto"/>
                  <w:noWrap/>
                  <w:vAlign w:val="center"/>
                </w:tcPr>
                <w:p>
                  <w:pPr>
                    <w:jc w:val="center"/>
                    <w:rPr>
                      <w:sz w:val="18"/>
                      <w:szCs w:val="18"/>
                    </w:rPr>
                  </w:pPr>
                  <w:r>
                    <w:rPr>
                      <w:rFonts w:eastAsia="等线"/>
                      <w:sz w:val="18"/>
                      <w:szCs w:val="18"/>
                    </w:rPr>
                    <w:t>0.002</w:t>
                  </w:r>
                </w:p>
              </w:tc>
              <w:tc>
                <w:tcPr>
                  <w:tcW w:w="882" w:type="dxa"/>
                  <w:shd w:val="clear" w:color="auto" w:fill="auto"/>
                  <w:noWrap/>
                  <w:vAlign w:val="center"/>
                </w:tcPr>
                <w:p>
                  <w:pPr>
                    <w:jc w:val="center"/>
                    <w:rPr>
                      <w:sz w:val="18"/>
                      <w:szCs w:val="18"/>
                    </w:rPr>
                  </w:pPr>
                  <w:r>
                    <w:rPr>
                      <w:rFonts w:eastAsia="等线"/>
                      <w:sz w:val="18"/>
                      <w:szCs w:val="18"/>
                    </w:rPr>
                    <w:t>5.08</w:t>
                  </w:r>
                </w:p>
              </w:tc>
              <w:tc>
                <w:tcPr>
                  <w:tcW w:w="851" w:type="dxa"/>
                  <w:shd w:val="clear" w:color="auto" w:fill="auto"/>
                  <w:noWrap/>
                  <w:vAlign w:val="center"/>
                </w:tcPr>
                <w:p>
                  <w:pPr>
                    <w:jc w:val="center"/>
                    <w:rPr>
                      <w:sz w:val="18"/>
                      <w:szCs w:val="18"/>
                    </w:rPr>
                  </w:pPr>
                  <w:r>
                    <w:rPr>
                      <w:rFonts w:eastAsia="等线"/>
                      <w:sz w:val="18"/>
                      <w:szCs w:val="18"/>
                    </w:rPr>
                    <w:t>4.61</w:t>
                  </w:r>
                </w:p>
              </w:tc>
            </w:tr>
          </w:tbl>
          <w:p>
            <w:pPr>
              <w:pStyle w:val="279"/>
              <w:snapToGrid w:val="0"/>
              <w:ind w:firstLine="480"/>
            </w:pPr>
            <w:r>
              <w:t>表</w:t>
            </w:r>
            <w:r>
              <w:rPr>
                <w:rFonts w:hint="eastAsia"/>
              </w:rPr>
              <w:t>4</w:t>
            </w:r>
            <w:r>
              <w:t>.</w:t>
            </w:r>
            <w:r>
              <w:rPr>
                <w:rFonts w:hint="eastAsia"/>
              </w:rPr>
              <w:t>1.</w:t>
            </w:r>
            <w:r>
              <w:t>1-4(a) 水质质量评价指数</w:t>
            </w:r>
          </w:p>
          <w:tbl>
            <w:tblPr>
              <w:tblStyle w:val="88"/>
              <w:tblW w:w="825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32"/>
              <w:gridCol w:w="929"/>
              <w:gridCol w:w="826"/>
              <w:gridCol w:w="826"/>
              <w:gridCol w:w="826"/>
              <w:gridCol w:w="826"/>
              <w:gridCol w:w="826"/>
              <w:gridCol w:w="826"/>
              <w:gridCol w:w="826"/>
              <w:gridCol w:w="81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11" w:hRule="atLeast"/>
                <w:tblHeader/>
                <w:jc w:val="center"/>
              </w:trPr>
              <w:tc>
                <w:tcPr>
                  <w:tcW w:w="732" w:type="dxa"/>
                  <w:shd w:val="clear" w:color="auto" w:fill="auto"/>
                  <w:noWrap/>
                  <w:vAlign w:val="center"/>
                </w:tcPr>
                <w:p>
                  <w:pPr>
                    <w:jc w:val="center"/>
                    <w:rPr>
                      <w:b/>
                      <w:sz w:val="18"/>
                      <w:szCs w:val="18"/>
                    </w:rPr>
                  </w:pPr>
                  <w:r>
                    <w:rPr>
                      <w:b/>
                      <w:sz w:val="18"/>
                      <w:szCs w:val="18"/>
                    </w:rPr>
                    <w:t>站位</w:t>
                  </w:r>
                </w:p>
              </w:tc>
              <w:tc>
                <w:tcPr>
                  <w:tcW w:w="929" w:type="dxa"/>
                  <w:vAlign w:val="center"/>
                </w:tcPr>
                <w:p>
                  <w:pPr>
                    <w:jc w:val="center"/>
                    <w:rPr>
                      <w:b/>
                      <w:sz w:val="18"/>
                      <w:szCs w:val="18"/>
                    </w:rPr>
                  </w:pPr>
                  <w:r>
                    <w:rPr>
                      <w:b/>
                      <w:sz w:val="18"/>
                      <w:szCs w:val="18"/>
                    </w:rPr>
                    <w:t>采样层次</w:t>
                  </w:r>
                </w:p>
              </w:tc>
              <w:tc>
                <w:tcPr>
                  <w:tcW w:w="826" w:type="dxa"/>
                  <w:shd w:val="clear" w:color="auto" w:fill="auto"/>
                  <w:noWrap/>
                  <w:vAlign w:val="center"/>
                </w:tcPr>
                <w:p>
                  <w:pPr>
                    <w:jc w:val="center"/>
                    <w:rPr>
                      <w:b/>
                      <w:sz w:val="18"/>
                      <w:szCs w:val="18"/>
                    </w:rPr>
                  </w:pPr>
                  <w:r>
                    <w:rPr>
                      <w:b/>
                      <w:sz w:val="18"/>
                      <w:szCs w:val="18"/>
                    </w:rPr>
                    <w:t>pH</w:t>
                  </w:r>
                </w:p>
              </w:tc>
              <w:tc>
                <w:tcPr>
                  <w:tcW w:w="826" w:type="dxa"/>
                  <w:shd w:val="clear" w:color="auto" w:fill="auto"/>
                  <w:noWrap/>
                  <w:vAlign w:val="center"/>
                </w:tcPr>
                <w:p>
                  <w:pPr>
                    <w:jc w:val="center"/>
                    <w:rPr>
                      <w:b/>
                      <w:sz w:val="18"/>
                      <w:szCs w:val="18"/>
                    </w:rPr>
                  </w:pPr>
                  <w:r>
                    <w:rPr>
                      <w:b/>
                      <w:sz w:val="18"/>
                      <w:szCs w:val="18"/>
                    </w:rPr>
                    <w:t>DO</w:t>
                  </w:r>
                </w:p>
              </w:tc>
              <w:tc>
                <w:tcPr>
                  <w:tcW w:w="826" w:type="dxa"/>
                  <w:shd w:val="clear" w:color="auto" w:fill="auto"/>
                  <w:noWrap/>
                  <w:vAlign w:val="center"/>
                </w:tcPr>
                <w:p>
                  <w:pPr>
                    <w:jc w:val="center"/>
                    <w:rPr>
                      <w:b/>
                      <w:sz w:val="18"/>
                      <w:szCs w:val="18"/>
                    </w:rPr>
                  </w:pPr>
                  <w:r>
                    <w:rPr>
                      <w:b/>
                      <w:sz w:val="18"/>
                      <w:szCs w:val="18"/>
                    </w:rPr>
                    <w:t>COD</w:t>
                  </w:r>
                </w:p>
              </w:tc>
              <w:tc>
                <w:tcPr>
                  <w:tcW w:w="826" w:type="dxa"/>
                  <w:shd w:val="clear" w:color="auto" w:fill="auto"/>
                  <w:noWrap/>
                  <w:vAlign w:val="center"/>
                </w:tcPr>
                <w:p>
                  <w:pPr>
                    <w:jc w:val="center"/>
                    <w:rPr>
                      <w:b/>
                      <w:sz w:val="18"/>
                      <w:szCs w:val="18"/>
                    </w:rPr>
                  </w:pPr>
                  <w:r>
                    <w:rPr>
                      <w:b/>
                      <w:sz w:val="18"/>
                      <w:szCs w:val="18"/>
                    </w:rPr>
                    <w:t>石油类</w:t>
                  </w:r>
                </w:p>
              </w:tc>
              <w:tc>
                <w:tcPr>
                  <w:tcW w:w="826" w:type="dxa"/>
                  <w:shd w:val="clear" w:color="auto" w:fill="auto"/>
                  <w:noWrap/>
                  <w:vAlign w:val="center"/>
                </w:tcPr>
                <w:p>
                  <w:pPr>
                    <w:jc w:val="center"/>
                    <w:rPr>
                      <w:b/>
                      <w:sz w:val="18"/>
                      <w:szCs w:val="18"/>
                    </w:rPr>
                  </w:pPr>
                  <w:r>
                    <w:rPr>
                      <w:b/>
                      <w:sz w:val="18"/>
                      <w:szCs w:val="18"/>
                    </w:rPr>
                    <w:t>活性磷酸盐</w:t>
                  </w:r>
                </w:p>
              </w:tc>
              <w:tc>
                <w:tcPr>
                  <w:tcW w:w="826" w:type="dxa"/>
                  <w:shd w:val="clear" w:color="auto" w:fill="auto"/>
                  <w:noWrap/>
                  <w:vAlign w:val="center"/>
                </w:tcPr>
                <w:p>
                  <w:pPr>
                    <w:jc w:val="center"/>
                    <w:rPr>
                      <w:b/>
                      <w:sz w:val="18"/>
                      <w:szCs w:val="18"/>
                    </w:rPr>
                  </w:pPr>
                  <w:r>
                    <w:rPr>
                      <w:b/>
                      <w:sz w:val="18"/>
                      <w:szCs w:val="18"/>
                    </w:rPr>
                    <w:t>无机氮</w:t>
                  </w:r>
                </w:p>
              </w:tc>
              <w:tc>
                <w:tcPr>
                  <w:tcW w:w="826" w:type="dxa"/>
                  <w:shd w:val="clear" w:color="auto" w:fill="auto"/>
                  <w:noWrap/>
                  <w:vAlign w:val="center"/>
                </w:tcPr>
                <w:p>
                  <w:pPr>
                    <w:jc w:val="center"/>
                    <w:rPr>
                      <w:b/>
                      <w:sz w:val="18"/>
                      <w:szCs w:val="18"/>
                    </w:rPr>
                  </w:pPr>
                  <w:r>
                    <w:rPr>
                      <w:b/>
                      <w:sz w:val="18"/>
                      <w:szCs w:val="18"/>
                    </w:rPr>
                    <w:t>硫化物</w:t>
                  </w:r>
                </w:p>
              </w:tc>
              <w:tc>
                <w:tcPr>
                  <w:tcW w:w="814" w:type="dxa"/>
                  <w:vAlign w:val="center"/>
                </w:tcPr>
                <w:p>
                  <w:pPr>
                    <w:jc w:val="center"/>
                    <w:rPr>
                      <w:b/>
                      <w:sz w:val="18"/>
                      <w:szCs w:val="18"/>
                    </w:rPr>
                  </w:pPr>
                  <w:r>
                    <w:rPr>
                      <w:rFonts w:hint="eastAsia"/>
                      <w:b/>
                      <w:sz w:val="18"/>
                      <w:szCs w:val="18"/>
                    </w:rPr>
                    <w:t>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53" w:hRule="atLeast"/>
                <w:jc w:val="center"/>
              </w:trPr>
              <w:tc>
                <w:tcPr>
                  <w:tcW w:w="732" w:type="dxa"/>
                  <w:shd w:val="clear" w:color="auto" w:fill="auto"/>
                  <w:noWrap/>
                  <w:vAlign w:val="bottom"/>
                </w:tcPr>
                <w:p>
                  <w:pPr>
                    <w:jc w:val="center"/>
                    <w:rPr>
                      <w:sz w:val="18"/>
                      <w:szCs w:val="18"/>
                    </w:rPr>
                  </w:pPr>
                  <w:r>
                    <w:rPr>
                      <w:rFonts w:eastAsia="楷体"/>
                      <w:sz w:val="18"/>
                      <w:szCs w:val="18"/>
                    </w:rPr>
                    <w:t>1</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0.62</w:t>
                  </w:r>
                </w:p>
              </w:tc>
              <w:tc>
                <w:tcPr>
                  <w:tcW w:w="826" w:type="dxa"/>
                  <w:shd w:val="clear" w:color="auto" w:fill="auto"/>
                  <w:noWrap/>
                  <w:vAlign w:val="bottom"/>
                </w:tcPr>
                <w:p>
                  <w:pPr>
                    <w:ind w:firstLine="199" w:firstLineChars="111"/>
                    <w:rPr>
                      <w:rFonts w:eastAsia="等线"/>
                      <w:sz w:val="18"/>
                      <w:szCs w:val="18"/>
                    </w:rPr>
                  </w:pPr>
                  <w:r>
                    <w:rPr>
                      <w:rFonts w:hint="eastAsia" w:eastAsia="等线"/>
                      <w:sz w:val="18"/>
                      <w:szCs w:val="18"/>
                    </w:rPr>
                    <w:t>0.28</w:t>
                  </w:r>
                </w:p>
              </w:tc>
              <w:tc>
                <w:tcPr>
                  <w:tcW w:w="826" w:type="dxa"/>
                  <w:shd w:val="clear" w:color="auto" w:fill="auto"/>
                  <w:noWrap/>
                  <w:vAlign w:val="bottom"/>
                </w:tcPr>
                <w:p>
                  <w:pPr>
                    <w:ind w:firstLine="199" w:firstLineChars="111"/>
                    <w:rPr>
                      <w:rFonts w:eastAsia="等线"/>
                      <w:sz w:val="18"/>
                      <w:szCs w:val="18"/>
                    </w:rPr>
                  </w:pPr>
                  <w:r>
                    <w:rPr>
                      <w:rFonts w:hint="eastAsia" w:eastAsia="等线"/>
                      <w:sz w:val="18"/>
                      <w:szCs w:val="18"/>
                    </w:rPr>
                    <w:t>0.09</w:t>
                  </w:r>
                </w:p>
              </w:tc>
              <w:tc>
                <w:tcPr>
                  <w:tcW w:w="826" w:type="dxa"/>
                  <w:shd w:val="clear" w:color="auto" w:fill="auto"/>
                  <w:noWrap/>
                  <w:vAlign w:val="bottom"/>
                </w:tcPr>
                <w:p>
                  <w:pPr>
                    <w:ind w:firstLine="199" w:firstLineChars="111"/>
                    <w:rPr>
                      <w:rFonts w:eastAsia="等线"/>
                      <w:sz w:val="18"/>
                      <w:szCs w:val="18"/>
                    </w:rPr>
                  </w:pPr>
                  <w:r>
                    <w:rPr>
                      <w:rFonts w:hint="eastAsia" w:eastAsia="等线"/>
                      <w:sz w:val="18"/>
                      <w:szCs w:val="18"/>
                    </w:rPr>
                    <w:t>0.21</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ind w:firstLine="199" w:firstLineChars="111"/>
                    <w:rPr>
                      <w:rFonts w:eastAsia="等线"/>
                      <w:sz w:val="18"/>
                      <w:szCs w:val="18"/>
                    </w:rPr>
                  </w:pPr>
                  <w:r>
                    <w:rPr>
                      <w:rFonts w:hint="eastAsia" w:eastAsia="等线"/>
                      <w:sz w:val="18"/>
                      <w:szCs w:val="18"/>
                    </w:rPr>
                    <w:t>0.04</w:t>
                  </w:r>
                </w:p>
              </w:tc>
              <w:tc>
                <w:tcPr>
                  <w:tcW w:w="826" w:type="dxa"/>
                  <w:shd w:val="clear" w:color="auto" w:fill="auto"/>
                  <w:noWrap/>
                  <w:vAlign w:val="bottom"/>
                </w:tcPr>
                <w:p>
                  <w:pPr>
                    <w:jc w:val="center"/>
                    <w:rPr>
                      <w:rFonts w:eastAsia="等线"/>
                      <w:sz w:val="18"/>
                      <w:szCs w:val="18"/>
                    </w:rPr>
                  </w:pPr>
                  <w:r>
                    <w:rPr>
                      <w:rFonts w:hint="eastAsia" w:eastAsia="等线"/>
                      <w:sz w:val="18"/>
                      <w:szCs w:val="18"/>
                    </w:rPr>
                    <w:t>0.009</w:t>
                  </w:r>
                </w:p>
              </w:tc>
              <w:tc>
                <w:tcPr>
                  <w:tcW w:w="814" w:type="dxa"/>
                  <w:vAlign w:val="center"/>
                </w:tcPr>
                <w:p>
                  <w:pPr>
                    <w:jc w:val="center"/>
                    <w:rPr>
                      <w:rFonts w:eastAsia="楷体"/>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2</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0.68</w:t>
                  </w:r>
                </w:p>
              </w:tc>
              <w:tc>
                <w:tcPr>
                  <w:tcW w:w="826" w:type="dxa"/>
                  <w:shd w:val="clear" w:color="auto" w:fill="auto"/>
                  <w:noWrap/>
                  <w:vAlign w:val="bottom"/>
                </w:tcPr>
                <w:p>
                  <w:pPr>
                    <w:jc w:val="center"/>
                    <w:rPr>
                      <w:rFonts w:eastAsia="等线"/>
                      <w:sz w:val="18"/>
                      <w:szCs w:val="18"/>
                    </w:rPr>
                  </w:pPr>
                  <w:r>
                    <w:rPr>
                      <w:rFonts w:hint="eastAsia" w:eastAsia="等线"/>
                      <w:sz w:val="18"/>
                      <w:szCs w:val="18"/>
                    </w:rPr>
                    <w:t>0.22</w:t>
                  </w:r>
                </w:p>
              </w:tc>
              <w:tc>
                <w:tcPr>
                  <w:tcW w:w="826" w:type="dxa"/>
                  <w:shd w:val="clear" w:color="auto" w:fill="auto"/>
                  <w:noWrap/>
                  <w:vAlign w:val="bottom"/>
                </w:tcPr>
                <w:p>
                  <w:pPr>
                    <w:jc w:val="center"/>
                    <w:rPr>
                      <w:rFonts w:eastAsia="等线"/>
                      <w:sz w:val="18"/>
                      <w:szCs w:val="18"/>
                    </w:rPr>
                  </w:pPr>
                  <w:r>
                    <w:rPr>
                      <w:rFonts w:hint="eastAsia" w:eastAsia="等线"/>
                      <w:sz w:val="18"/>
                      <w:szCs w:val="18"/>
                    </w:rPr>
                    <w:t>0.10</w:t>
                  </w:r>
                </w:p>
              </w:tc>
              <w:tc>
                <w:tcPr>
                  <w:tcW w:w="826" w:type="dxa"/>
                  <w:shd w:val="clear" w:color="auto" w:fill="auto"/>
                  <w:noWrap/>
                  <w:vAlign w:val="bottom"/>
                </w:tcPr>
                <w:p>
                  <w:pPr>
                    <w:jc w:val="center"/>
                    <w:rPr>
                      <w:rFonts w:eastAsia="等线"/>
                      <w:sz w:val="18"/>
                      <w:szCs w:val="18"/>
                    </w:rPr>
                  </w:pPr>
                  <w:r>
                    <w:rPr>
                      <w:rFonts w:hint="eastAsia" w:eastAsia="等线"/>
                      <w:sz w:val="18"/>
                      <w:szCs w:val="18"/>
                    </w:rPr>
                    <w:t>0.13</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0.07</w:t>
                  </w:r>
                </w:p>
              </w:tc>
              <w:tc>
                <w:tcPr>
                  <w:tcW w:w="826" w:type="dxa"/>
                  <w:shd w:val="clear" w:color="auto" w:fill="auto"/>
                  <w:noWrap/>
                  <w:vAlign w:val="bottom"/>
                </w:tcPr>
                <w:p>
                  <w:pPr>
                    <w:jc w:val="center"/>
                    <w:rPr>
                      <w:rFonts w:eastAsia="等线"/>
                      <w:sz w:val="18"/>
                      <w:szCs w:val="18"/>
                    </w:rPr>
                  </w:pPr>
                  <w:r>
                    <w:rPr>
                      <w:rFonts w:hint="eastAsia" w:eastAsia="等线"/>
                      <w:sz w:val="18"/>
                      <w:szCs w:val="18"/>
                    </w:rPr>
                    <w:t>0.009</w:t>
                  </w:r>
                </w:p>
              </w:tc>
              <w:tc>
                <w:tcPr>
                  <w:tcW w:w="814" w:type="dxa"/>
                  <w:vAlign w:val="center"/>
                </w:tcPr>
                <w:p>
                  <w:pPr>
                    <w:jc w:val="center"/>
                    <w:rPr>
                      <w:rFonts w:eastAsia="楷体"/>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3</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0.65</w:t>
                  </w:r>
                </w:p>
              </w:tc>
              <w:tc>
                <w:tcPr>
                  <w:tcW w:w="826" w:type="dxa"/>
                  <w:shd w:val="clear" w:color="auto" w:fill="auto"/>
                  <w:noWrap/>
                  <w:vAlign w:val="bottom"/>
                </w:tcPr>
                <w:p>
                  <w:pPr>
                    <w:jc w:val="center"/>
                    <w:rPr>
                      <w:rFonts w:eastAsia="等线"/>
                      <w:sz w:val="18"/>
                      <w:szCs w:val="18"/>
                    </w:rPr>
                  </w:pPr>
                  <w:r>
                    <w:rPr>
                      <w:rFonts w:hint="eastAsia" w:eastAsia="等线"/>
                      <w:sz w:val="18"/>
                      <w:szCs w:val="18"/>
                    </w:rPr>
                    <w:t>0.30</w:t>
                  </w:r>
                </w:p>
              </w:tc>
              <w:tc>
                <w:tcPr>
                  <w:tcW w:w="826" w:type="dxa"/>
                  <w:shd w:val="clear" w:color="auto" w:fill="auto"/>
                  <w:noWrap/>
                  <w:vAlign w:val="bottom"/>
                </w:tcPr>
                <w:p>
                  <w:pPr>
                    <w:jc w:val="center"/>
                    <w:rPr>
                      <w:rFonts w:eastAsia="等线"/>
                      <w:sz w:val="18"/>
                      <w:szCs w:val="18"/>
                    </w:rPr>
                  </w:pPr>
                  <w:r>
                    <w:rPr>
                      <w:rFonts w:hint="eastAsia" w:eastAsia="等线"/>
                      <w:sz w:val="18"/>
                      <w:szCs w:val="18"/>
                    </w:rPr>
                    <w:t>0.14</w:t>
                  </w:r>
                </w:p>
              </w:tc>
              <w:tc>
                <w:tcPr>
                  <w:tcW w:w="826" w:type="dxa"/>
                  <w:shd w:val="clear" w:color="auto" w:fill="auto"/>
                  <w:noWrap/>
                  <w:vAlign w:val="bottom"/>
                </w:tcPr>
                <w:p>
                  <w:pPr>
                    <w:jc w:val="center"/>
                    <w:rPr>
                      <w:rFonts w:eastAsia="等线"/>
                      <w:sz w:val="18"/>
                      <w:szCs w:val="18"/>
                    </w:rPr>
                  </w:pPr>
                  <w:r>
                    <w:rPr>
                      <w:rFonts w:hint="eastAsia" w:eastAsia="等线"/>
                      <w:sz w:val="18"/>
                      <w:szCs w:val="18"/>
                    </w:rPr>
                    <w:t>0.14</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0.08</w:t>
                  </w:r>
                </w:p>
              </w:tc>
              <w:tc>
                <w:tcPr>
                  <w:tcW w:w="826" w:type="dxa"/>
                  <w:shd w:val="clear" w:color="auto" w:fill="auto"/>
                  <w:noWrap/>
                  <w:vAlign w:val="bottom"/>
                </w:tcPr>
                <w:p>
                  <w:pPr>
                    <w:jc w:val="center"/>
                    <w:rPr>
                      <w:rFonts w:eastAsia="等线"/>
                      <w:sz w:val="18"/>
                      <w:szCs w:val="18"/>
                    </w:rPr>
                  </w:pPr>
                  <w:r>
                    <w:rPr>
                      <w:rFonts w:hint="eastAsia" w:eastAsia="等线"/>
                      <w:sz w:val="18"/>
                      <w:szCs w:val="18"/>
                    </w:rPr>
                    <w:t>0.009</w:t>
                  </w:r>
                </w:p>
              </w:tc>
              <w:tc>
                <w:tcPr>
                  <w:tcW w:w="814" w:type="dxa"/>
                  <w:vAlign w:val="center"/>
                </w:tcPr>
                <w:p>
                  <w:pPr>
                    <w:jc w:val="center"/>
                    <w:rPr>
                      <w:rFonts w:eastAsia="楷体"/>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4</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0.59</w:t>
                  </w:r>
                </w:p>
              </w:tc>
              <w:tc>
                <w:tcPr>
                  <w:tcW w:w="826" w:type="dxa"/>
                  <w:shd w:val="clear" w:color="auto" w:fill="auto"/>
                  <w:noWrap/>
                  <w:vAlign w:val="bottom"/>
                </w:tcPr>
                <w:p>
                  <w:pPr>
                    <w:jc w:val="center"/>
                    <w:rPr>
                      <w:rFonts w:eastAsia="等线"/>
                      <w:sz w:val="18"/>
                      <w:szCs w:val="18"/>
                    </w:rPr>
                  </w:pPr>
                  <w:r>
                    <w:rPr>
                      <w:rFonts w:hint="eastAsia" w:eastAsia="等线"/>
                      <w:sz w:val="18"/>
                      <w:szCs w:val="18"/>
                    </w:rPr>
                    <w:t>0.10</w:t>
                  </w:r>
                </w:p>
              </w:tc>
              <w:tc>
                <w:tcPr>
                  <w:tcW w:w="826" w:type="dxa"/>
                  <w:shd w:val="clear" w:color="auto" w:fill="auto"/>
                  <w:noWrap/>
                  <w:vAlign w:val="bottom"/>
                </w:tcPr>
                <w:p>
                  <w:pPr>
                    <w:jc w:val="center"/>
                    <w:rPr>
                      <w:rFonts w:eastAsia="等线"/>
                      <w:sz w:val="18"/>
                      <w:szCs w:val="18"/>
                    </w:rPr>
                  </w:pPr>
                  <w:r>
                    <w:rPr>
                      <w:rFonts w:hint="eastAsia" w:eastAsia="等线"/>
                      <w:sz w:val="18"/>
                      <w:szCs w:val="18"/>
                    </w:rPr>
                    <w:t>0.18</w:t>
                  </w:r>
                </w:p>
              </w:tc>
              <w:tc>
                <w:tcPr>
                  <w:tcW w:w="826" w:type="dxa"/>
                  <w:shd w:val="clear" w:color="auto" w:fill="auto"/>
                  <w:noWrap/>
                  <w:vAlign w:val="bottom"/>
                </w:tcPr>
                <w:p>
                  <w:pPr>
                    <w:jc w:val="center"/>
                    <w:rPr>
                      <w:rFonts w:eastAsia="等线"/>
                      <w:sz w:val="18"/>
                      <w:szCs w:val="18"/>
                    </w:rPr>
                  </w:pPr>
                  <w:r>
                    <w:rPr>
                      <w:rFonts w:hint="eastAsia" w:eastAsia="等线"/>
                      <w:sz w:val="18"/>
                      <w:szCs w:val="18"/>
                    </w:rPr>
                    <w:t>0.14</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0.06</w:t>
                  </w:r>
                </w:p>
              </w:tc>
              <w:tc>
                <w:tcPr>
                  <w:tcW w:w="826" w:type="dxa"/>
                  <w:shd w:val="clear" w:color="auto" w:fill="auto"/>
                  <w:noWrap/>
                  <w:vAlign w:val="bottom"/>
                </w:tcPr>
                <w:p>
                  <w:pPr>
                    <w:jc w:val="center"/>
                    <w:rPr>
                      <w:rFonts w:eastAsia="等线"/>
                      <w:sz w:val="18"/>
                      <w:szCs w:val="18"/>
                    </w:rPr>
                  </w:pPr>
                  <w:r>
                    <w:rPr>
                      <w:rFonts w:hint="eastAsia" w:eastAsia="等线"/>
                      <w:sz w:val="18"/>
                      <w:szCs w:val="18"/>
                    </w:rPr>
                    <w:t>0.009</w:t>
                  </w:r>
                </w:p>
              </w:tc>
              <w:tc>
                <w:tcPr>
                  <w:tcW w:w="814" w:type="dxa"/>
                  <w:vAlign w:val="center"/>
                </w:tcPr>
                <w:p>
                  <w:pPr>
                    <w:jc w:val="center"/>
                    <w:rPr>
                      <w:rFonts w:eastAsia="楷体"/>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5</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0.53</w:t>
                  </w:r>
                </w:p>
              </w:tc>
              <w:tc>
                <w:tcPr>
                  <w:tcW w:w="826" w:type="dxa"/>
                  <w:shd w:val="clear" w:color="auto" w:fill="auto"/>
                  <w:noWrap/>
                  <w:vAlign w:val="bottom"/>
                </w:tcPr>
                <w:p>
                  <w:pPr>
                    <w:jc w:val="center"/>
                    <w:rPr>
                      <w:rFonts w:eastAsia="等线"/>
                      <w:sz w:val="18"/>
                      <w:szCs w:val="18"/>
                    </w:rPr>
                  </w:pPr>
                  <w:r>
                    <w:rPr>
                      <w:rFonts w:hint="eastAsia" w:eastAsia="等线"/>
                      <w:sz w:val="18"/>
                      <w:szCs w:val="18"/>
                    </w:rPr>
                    <w:t>0.12</w:t>
                  </w:r>
                </w:p>
              </w:tc>
              <w:tc>
                <w:tcPr>
                  <w:tcW w:w="826" w:type="dxa"/>
                  <w:shd w:val="clear" w:color="auto" w:fill="auto"/>
                  <w:noWrap/>
                  <w:vAlign w:val="bottom"/>
                </w:tcPr>
                <w:p>
                  <w:pPr>
                    <w:jc w:val="center"/>
                    <w:rPr>
                      <w:rFonts w:eastAsia="等线"/>
                      <w:sz w:val="18"/>
                      <w:szCs w:val="18"/>
                    </w:rPr>
                  </w:pPr>
                  <w:r>
                    <w:rPr>
                      <w:rFonts w:hint="eastAsia" w:eastAsia="等线"/>
                      <w:sz w:val="18"/>
                      <w:szCs w:val="18"/>
                    </w:rPr>
                    <w:t>0.09</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0.07</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6</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0.65</w:t>
                  </w:r>
                </w:p>
              </w:tc>
              <w:tc>
                <w:tcPr>
                  <w:tcW w:w="826" w:type="dxa"/>
                  <w:shd w:val="clear" w:color="auto" w:fill="auto"/>
                  <w:noWrap/>
                  <w:vAlign w:val="bottom"/>
                </w:tcPr>
                <w:p>
                  <w:pPr>
                    <w:jc w:val="center"/>
                    <w:rPr>
                      <w:rFonts w:eastAsia="等线"/>
                      <w:sz w:val="18"/>
                      <w:szCs w:val="18"/>
                    </w:rPr>
                  </w:pPr>
                  <w:r>
                    <w:rPr>
                      <w:rFonts w:hint="eastAsia" w:eastAsia="等线"/>
                      <w:sz w:val="18"/>
                      <w:szCs w:val="18"/>
                    </w:rPr>
                    <w:t>0.41</w:t>
                  </w:r>
                </w:p>
              </w:tc>
              <w:tc>
                <w:tcPr>
                  <w:tcW w:w="826" w:type="dxa"/>
                  <w:shd w:val="clear" w:color="auto" w:fill="auto"/>
                  <w:noWrap/>
                  <w:vAlign w:val="bottom"/>
                </w:tcPr>
                <w:p>
                  <w:pPr>
                    <w:jc w:val="center"/>
                    <w:rPr>
                      <w:rFonts w:eastAsia="等线"/>
                      <w:sz w:val="18"/>
                      <w:szCs w:val="18"/>
                    </w:rPr>
                  </w:pPr>
                  <w:r>
                    <w:rPr>
                      <w:rFonts w:hint="eastAsia" w:eastAsia="等线"/>
                      <w:sz w:val="18"/>
                      <w:szCs w:val="18"/>
                    </w:rPr>
                    <w:t>0.21</w:t>
                  </w:r>
                </w:p>
              </w:tc>
              <w:tc>
                <w:tcPr>
                  <w:tcW w:w="826" w:type="dxa"/>
                  <w:shd w:val="clear" w:color="auto" w:fill="auto"/>
                  <w:noWrap/>
                  <w:vAlign w:val="bottom"/>
                </w:tcPr>
                <w:p>
                  <w:pPr>
                    <w:jc w:val="center"/>
                    <w:rPr>
                      <w:rFonts w:eastAsia="等线"/>
                      <w:sz w:val="18"/>
                      <w:szCs w:val="18"/>
                    </w:rPr>
                  </w:pPr>
                  <w:r>
                    <w:rPr>
                      <w:rFonts w:hint="eastAsia" w:eastAsia="等线"/>
                      <w:sz w:val="18"/>
                      <w:szCs w:val="18"/>
                    </w:rPr>
                    <w:t>0.06</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0.10</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7</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0.57</w:t>
                  </w:r>
                </w:p>
              </w:tc>
              <w:tc>
                <w:tcPr>
                  <w:tcW w:w="826" w:type="dxa"/>
                  <w:shd w:val="clear" w:color="auto" w:fill="auto"/>
                  <w:noWrap/>
                  <w:vAlign w:val="bottom"/>
                </w:tcPr>
                <w:p>
                  <w:pPr>
                    <w:jc w:val="center"/>
                    <w:rPr>
                      <w:rFonts w:eastAsia="等线"/>
                      <w:sz w:val="18"/>
                      <w:szCs w:val="18"/>
                    </w:rPr>
                  </w:pPr>
                  <w:r>
                    <w:rPr>
                      <w:rFonts w:hint="eastAsia" w:eastAsia="等线"/>
                      <w:sz w:val="18"/>
                      <w:szCs w:val="18"/>
                    </w:rPr>
                    <w:t>0.57</w:t>
                  </w:r>
                </w:p>
              </w:tc>
              <w:tc>
                <w:tcPr>
                  <w:tcW w:w="826" w:type="dxa"/>
                  <w:shd w:val="clear" w:color="auto" w:fill="auto"/>
                  <w:noWrap/>
                  <w:vAlign w:val="bottom"/>
                </w:tcPr>
                <w:p>
                  <w:pPr>
                    <w:jc w:val="center"/>
                    <w:rPr>
                      <w:rFonts w:eastAsia="等线"/>
                      <w:sz w:val="18"/>
                      <w:szCs w:val="18"/>
                    </w:rPr>
                  </w:pPr>
                  <w:r>
                    <w:rPr>
                      <w:rFonts w:hint="eastAsia" w:eastAsia="等线"/>
                      <w:sz w:val="18"/>
                      <w:szCs w:val="18"/>
                    </w:rPr>
                    <w:t>0.16</w:t>
                  </w:r>
                </w:p>
              </w:tc>
              <w:tc>
                <w:tcPr>
                  <w:tcW w:w="826" w:type="dxa"/>
                  <w:shd w:val="clear" w:color="auto" w:fill="auto"/>
                  <w:noWrap/>
                  <w:vAlign w:val="bottom"/>
                </w:tcPr>
                <w:p>
                  <w:pPr>
                    <w:jc w:val="center"/>
                    <w:rPr>
                      <w:rFonts w:eastAsia="等线"/>
                      <w:sz w:val="18"/>
                      <w:szCs w:val="18"/>
                    </w:rPr>
                  </w:pPr>
                  <w:r>
                    <w:rPr>
                      <w:rFonts w:hint="eastAsia" w:eastAsia="等线"/>
                      <w:sz w:val="18"/>
                      <w:szCs w:val="18"/>
                    </w:rPr>
                    <w:t>0.12</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0.08</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8</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0.53</w:t>
                  </w:r>
                </w:p>
              </w:tc>
              <w:tc>
                <w:tcPr>
                  <w:tcW w:w="826" w:type="dxa"/>
                  <w:shd w:val="clear" w:color="auto" w:fill="auto"/>
                  <w:noWrap/>
                  <w:vAlign w:val="bottom"/>
                </w:tcPr>
                <w:p>
                  <w:pPr>
                    <w:jc w:val="center"/>
                    <w:rPr>
                      <w:rFonts w:eastAsia="等线"/>
                      <w:sz w:val="18"/>
                      <w:szCs w:val="18"/>
                    </w:rPr>
                  </w:pPr>
                  <w:r>
                    <w:rPr>
                      <w:rFonts w:hint="eastAsia" w:eastAsia="等线"/>
                      <w:sz w:val="18"/>
                      <w:szCs w:val="18"/>
                    </w:rPr>
                    <w:t>0.64</w:t>
                  </w:r>
                </w:p>
              </w:tc>
              <w:tc>
                <w:tcPr>
                  <w:tcW w:w="826" w:type="dxa"/>
                  <w:shd w:val="clear" w:color="auto" w:fill="auto"/>
                  <w:noWrap/>
                  <w:vAlign w:val="bottom"/>
                </w:tcPr>
                <w:p>
                  <w:pPr>
                    <w:jc w:val="center"/>
                    <w:rPr>
                      <w:rFonts w:eastAsia="等线"/>
                      <w:sz w:val="18"/>
                      <w:szCs w:val="18"/>
                    </w:rPr>
                  </w:pPr>
                  <w:r>
                    <w:rPr>
                      <w:rFonts w:hint="eastAsia" w:eastAsia="等线"/>
                      <w:sz w:val="18"/>
                      <w:szCs w:val="18"/>
                    </w:rPr>
                    <w:t>0.16</w:t>
                  </w:r>
                </w:p>
              </w:tc>
              <w:tc>
                <w:tcPr>
                  <w:tcW w:w="826" w:type="dxa"/>
                  <w:shd w:val="clear" w:color="auto" w:fill="auto"/>
                  <w:noWrap/>
                  <w:vAlign w:val="bottom"/>
                </w:tcPr>
                <w:p>
                  <w:pPr>
                    <w:jc w:val="center"/>
                    <w:rPr>
                      <w:rFonts w:eastAsia="等线"/>
                      <w:sz w:val="18"/>
                      <w:szCs w:val="18"/>
                    </w:rPr>
                  </w:pPr>
                  <w:r>
                    <w:rPr>
                      <w:rFonts w:hint="eastAsia" w:eastAsia="等线"/>
                      <w:sz w:val="18"/>
                      <w:szCs w:val="18"/>
                    </w:rPr>
                    <w:t>0.10</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0.04</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9</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0.57</w:t>
                  </w:r>
                </w:p>
              </w:tc>
              <w:tc>
                <w:tcPr>
                  <w:tcW w:w="826" w:type="dxa"/>
                  <w:shd w:val="clear" w:color="auto" w:fill="auto"/>
                  <w:noWrap/>
                  <w:vAlign w:val="bottom"/>
                </w:tcPr>
                <w:p>
                  <w:pPr>
                    <w:jc w:val="center"/>
                    <w:rPr>
                      <w:rFonts w:eastAsia="等线"/>
                      <w:sz w:val="18"/>
                      <w:szCs w:val="18"/>
                    </w:rPr>
                  </w:pPr>
                  <w:r>
                    <w:rPr>
                      <w:rFonts w:hint="eastAsia" w:eastAsia="等线"/>
                      <w:sz w:val="18"/>
                      <w:szCs w:val="18"/>
                    </w:rPr>
                    <w:t>0.20</w:t>
                  </w:r>
                </w:p>
              </w:tc>
              <w:tc>
                <w:tcPr>
                  <w:tcW w:w="826" w:type="dxa"/>
                  <w:shd w:val="clear" w:color="auto" w:fill="auto"/>
                  <w:noWrap/>
                  <w:vAlign w:val="bottom"/>
                </w:tcPr>
                <w:p>
                  <w:pPr>
                    <w:jc w:val="center"/>
                    <w:rPr>
                      <w:rFonts w:eastAsia="等线"/>
                      <w:sz w:val="18"/>
                      <w:szCs w:val="18"/>
                    </w:rPr>
                  </w:pPr>
                  <w:r>
                    <w:rPr>
                      <w:rFonts w:hint="eastAsia" w:eastAsia="等线"/>
                      <w:sz w:val="18"/>
                      <w:szCs w:val="18"/>
                    </w:rPr>
                    <w:t>0.10</w:t>
                  </w:r>
                </w:p>
              </w:tc>
              <w:tc>
                <w:tcPr>
                  <w:tcW w:w="826" w:type="dxa"/>
                  <w:shd w:val="clear" w:color="auto" w:fill="auto"/>
                  <w:noWrap/>
                  <w:vAlign w:val="bottom"/>
                </w:tcPr>
                <w:p>
                  <w:pPr>
                    <w:jc w:val="center"/>
                    <w:rPr>
                      <w:rFonts w:eastAsia="等线"/>
                      <w:sz w:val="18"/>
                      <w:szCs w:val="18"/>
                    </w:rPr>
                  </w:pPr>
                  <w:r>
                    <w:rPr>
                      <w:rFonts w:hint="eastAsia" w:eastAsia="等线"/>
                      <w:sz w:val="18"/>
                      <w:szCs w:val="18"/>
                    </w:rPr>
                    <w:t>0.03</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0.03</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10</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0.69</w:t>
                  </w:r>
                </w:p>
              </w:tc>
              <w:tc>
                <w:tcPr>
                  <w:tcW w:w="826" w:type="dxa"/>
                  <w:shd w:val="clear" w:color="auto" w:fill="auto"/>
                  <w:noWrap/>
                  <w:vAlign w:val="bottom"/>
                </w:tcPr>
                <w:p>
                  <w:pPr>
                    <w:jc w:val="center"/>
                    <w:rPr>
                      <w:rFonts w:eastAsia="等线"/>
                      <w:sz w:val="18"/>
                      <w:szCs w:val="18"/>
                    </w:rPr>
                  </w:pPr>
                  <w:r>
                    <w:rPr>
                      <w:rFonts w:hint="eastAsia" w:eastAsia="等线"/>
                      <w:sz w:val="18"/>
                      <w:szCs w:val="18"/>
                    </w:rPr>
                    <w:t>0.23</w:t>
                  </w:r>
                </w:p>
              </w:tc>
              <w:tc>
                <w:tcPr>
                  <w:tcW w:w="826" w:type="dxa"/>
                  <w:shd w:val="clear" w:color="auto" w:fill="auto"/>
                  <w:noWrap/>
                  <w:vAlign w:val="bottom"/>
                </w:tcPr>
                <w:p>
                  <w:pPr>
                    <w:jc w:val="center"/>
                    <w:rPr>
                      <w:rFonts w:eastAsia="等线"/>
                      <w:sz w:val="18"/>
                      <w:szCs w:val="18"/>
                    </w:rPr>
                  </w:pPr>
                  <w:r>
                    <w:rPr>
                      <w:rFonts w:hint="eastAsia" w:eastAsia="等线"/>
                      <w:sz w:val="18"/>
                      <w:szCs w:val="18"/>
                    </w:rPr>
                    <w:t>0.20</w:t>
                  </w:r>
                </w:p>
              </w:tc>
              <w:tc>
                <w:tcPr>
                  <w:tcW w:w="826" w:type="dxa"/>
                  <w:shd w:val="clear" w:color="auto" w:fill="auto"/>
                  <w:noWrap/>
                  <w:vAlign w:val="bottom"/>
                </w:tcPr>
                <w:p>
                  <w:pPr>
                    <w:jc w:val="center"/>
                    <w:rPr>
                      <w:rFonts w:eastAsia="等线"/>
                      <w:sz w:val="18"/>
                      <w:szCs w:val="18"/>
                    </w:rPr>
                  </w:pPr>
                  <w:r>
                    <w:rPr>
                      <w:rFonts w:hint="eastAsia" w:eastAsia="等线"/>
                      <w:sz w:val="18"/>
                      <w:szCs w:val="18"/>
                    </w:rPr>
                    <w:t>0.11</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0.06</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11</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0.59</w:t>
                  </w:r>
                </w:p>
              </w:tc>
              <w:tc>
                <w:tcPr>
                  <w:tcW w:w="826" w:type="dxa"/>
                  <w:shd w:val="clear" w:color="auto" w:fill="auto"/>
                  <w:noWrap/>
                  <w:vAlign w:val="bottom"/>
                </w:tcPr>
                <w:p>
                  <w:pPr>
                    <w:jc w:val="center"/>
                    <w:rPr>
                      <w:rFonts w:eastAsia="等线"/>
                      <w:sz w:val="18"/>
                      <w:szCs w:val="18"/>
                    </w:rPr>
                  </w:pPr>
                  <w:r>
                    <w:rPr>
                      <w:rFonts w:hint="eastAsia" w:eastAsia="等线"/>
                      <w:sz w:val="18"/>
                      <w:szCs w:val="18"/>
                    </w:rPr>
                    <w:t>0.54</w:t>
                  </w:r>
                </w:p>
              </w:tc>
              <w:tc>
                <w:tcPr>
                  <w:tcW w:w="826" w:type="dxa"/>
                  <w:shd w:val="clear" w:color="auto" w:fill="auto"/>
                  <w:noWrap/>
                  <w:vAlign w:val="bottom"/>
                </w:tcPr>
                <w:p>
                  <w:pPr>
                    <w:jc w:val="center"/>
                    <w:rPr>
                      <w:rFonts w:eastAsia="等线"/>
                      <w:sz w:val="18"/>
                      <w:szCs w:val="18"/>
                    </w:rPr>
                  </w:pPr>
                  <w:r>
                    <w:rPr>
                      <w:rFonts w:hint="eastAsia" w:eastAsia="等线"/>
                      <w:sz w:val="18"/>
                      <w:szCs w:val="18"/>
                    </w:rPr>
                    <w:t>0.15</w:t>
                  </w:r>
                </w:p>
              </w:tc>
              <w:tc>
                <w:tcPr>
                  <w:tcW w:w="826" w:type="dxa"/>
                  <w:shd w:val="clear" w:color="auto" w:fill="auto"/>
                  <w:noWrap/>
                  <w:vAlign w:val="bottom"/>
                </w:tcPr>
                <w:p>
                  <w:pPr>
                    <w:jc w:val="center"/>
                    <w:rPr>
                      <w:rFonts w:eastAsia="等线"/>
                      <w:sz w:val="18"/>
                      <w:szCs w:val="18"/>
                    </w:rPr>
                  </w:pPr>
                  <w:r>
                    <w:rPr>
                      <w:rFonts w:hint="eastAsia" w:eastAsia="等线"/>
                      <w:sz w:val="18"/>
                      <w:szCs w:val="18"/>
                    </w:rPr>
                    <w:t>0.10</w:t>
                  </w:r>
                </w:p>
              </w:tc>
              <w:tc>
                <w:tcPr>
                  <w:tcW w:w="826" w:type="dxa"/>
                  <w:shd w:val="clear" w:color="auto" w:fill="auto"/>
                  <w:noWrap/>
                  <w:vAlign w:val="bottom"/>
                </w:tcPr>
                <w:p>
                  <w:pPr>
                    <w:jc w:val="center"/>
                    <w:rPr>
                      <w:rFonts w:eastAsia="等线"/>
                      <w:sz w:val="18"/>
                      <w:szCs w:val="18"/>
                    </w:rPr>
                  </w:pPr>
                  <w:r>
                    <w:rPr>
                      <w:rFonts w:hint="eastAsia" w:eastAsia="等线"/>
                      <w:sz w:val="18"/>
                      <w:szCs w:val="18"/>
                    </w:rPr>
                    <w:t>0.04</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12</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0.57</w:t>
                  </w:r>
                </w:p>
              </w:tc>
              <w:tc>
                <w:tcPr>
                  <w:tcW w:w="826" w:type="dxa"/>
                  <w:shd w:val="clear" w:color="auto" w:fill="auto"/>
                  <w:noWrap/>
                  <w:vAlign w:val="bottom"/>
                </w:tcPr>
                <w:p>
                  <w:pPr>
                    <w:jc w:val="center"/>
                    <w:rPr>
                      <w:rFonts w:eastAsia="等线"/>
                      <w:sz w:val="18"/>
                      <w:szCs w:val="18"/>
                    </w:rPr>
                  </w:pPr>
                  <w:r>
                    <w:rPr>
                      <w:rFonts w:hint="eastAsia" w:eastAsia="等线"/>
                      <w:sz w:val="18"/>
                      <w:szCs w:val="18"/>
                    </w:rPr>
                    <w:t>0.14</w:t>
                  </w:r>
                </w:p>
              </w:tc>
              <w:tc>
                <w:tcPr>
                  <w:tcW w:w="826" w:type="dxa"/>
                  <w:shd w:val="clear" w:color="auto" w:fill="auto"/>
                  <w:noWrap/>
                  <w:vAlign w:val="bottom"/>
                </w:tcPr>
                <w:p>
                  <w:pPr>
                    <w:jc w:val="center"/>
                    <w:rPr>
                      <w:rFonts w:eastAsia="等线"/>
                      <w:sz w:val="18"/>
                      <w:szCs w:val="18"/>
                    </w:rPr>
                  </w:pPr>
                  <w:r>
                    <w:rPr>
                      <w:rFonts w:hint="eastAsia" w:eastAsia="等线"/>
                      <w:sz w:val="18"/>
                      <w:szCs w:val="18"/>
                    </w:rPr>
                    <w:t>0.12</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13</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0.57</w:t>
                  </w:r>
                </w:p>
              </w:tc>
              <w:tc>
                <w:tcPr>
                  <w:tcW w:w="826" w:type="dxa"/>
                  <w:shd w:val="clear" w:color="auto" w:fill="auto"/>
                  <w:noWrap/>
                  <w:vAlign w:val="bottom"/>
                </w:tcPr>
                <w:p>
                  <w:pPr>
                    <w:jc w:val="center"/>
                    <w:rPr>
                      <w:rFonts w:eastAsia="等线"/>
                      <w:sz w:val="18"/>
                      <w:szCs w:val="18"/>
                    </w:rPr>
                  </w:pPr>
                  <w:r>
                    <w:rPr>
                      <w:rFonts w:hint="eastAsia" w:eastAsia="等线"/>
                      <w:sz w:val="18"/>
                      <w:szCs w:val="18"/>
                    </w:rPr>
                    <w:t>0.12</w:t>
                  </w:r>
                </w:p>
              </w:tc>
              <w:tc>
                <w:tcPr>
                  <w:tcW w:w="826" w:type="dxa"/>
                  <w:shd w:val="clear" w:color="auto" w:fill="auto"/>
                  <w:noWrap/>
                  <w:vAlign w:val="bottom"/>
                </w:tcPr>
                <w:p>
                  <w:pPr>
                    <w:jc w:val="center"/>
                    <w:rPr>
                      <w:rFonts w:eastAsia="等线"/>
                      <w:sz w:val="18"/>
                      <w:szCs w:val="18"/>
                    </w:rPr>
                  </w:pPr>
                  <w:r>
                    <w:rPr>
                      <w:rFonts w:hint="eastAsia" w:eastAsia="等线"/>
                      <w:sz w:val="18"/>
                      <w:szCs w:val="18"/>
                    </w:rPr>
                    <w:t>0.13</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0.03</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13</w:t>
                  </w:r>
                </w:p>
              </w:tc>
              <w:tc>
                <w:tcPr>
                  <w:tcW w:w="929" w:type="dxa"/>
                  <w:vAlign w:val="bottom"/>
                </w:tcPr>
                <w:p>
                  <w:pPr>
                    <w:jc w:val="center"/>
                    <w:rPr>
                      <w:sz w:val="18"/>
                      <w:szCs w:val="18"/>
                    </w:rPr>
                  </w:pPr>
                  <w:r>
                    <w:rPr>
                      <w:rFonts w:eastAsia="楷体"/>
                      <w:sz w:val="18"/>
                      <w:szCs w:val="18"/>
                    </w:rPr>
                    <w:t>底层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0.52</w:t>
                  </w:r>
                </w:p>
              </w:tc>
              <w:tc>
                <w:tcPr>
                  <w:tcW w:w="826" w:type="dxa"/>
                  <w:shd w:val="clear" w:color="auto" w:fill="auto"/>
                  <w:noWrap/>
                  <w:vAlign w:val="bottom"/>
                </w:tcPr>
                <w:p>
                  <w:pPr>
                    <w:jc w:val="center"/>
                    <w:rPr>
                      <w:rFonts w:eastAsia="等线"/>
                      <w:sz w:val="18"/>
                      <w:szCs w:val="18"/>
                    </w:rPr>
                  </w:pPr>
                  <w:r>
                    <w:rPr>
                      <w:rFonts w:hint="eastAsia" w:eastAsia="等线"/>
                      <w:sz w:val="18"/>
                      <w:szCs w:val="18"/>
                    </w:rPr>
                    <w:t>0.20</w:t>
                  </w:r>
                </w:p>
              </w:tc>
              <w:tc>
                <w:tcPr>
                  <w:tcW w:w="826" w:type="dxa"/>
                  <w:shd w:val="clear" w:color="auto" w:fill="auto"/>
                  <w:noWrap/>
                  <w:vAlign w:val="bottom"/>
                </w:tcPr>
                <w:p>
                  <w:pPr>
                    <w:jc w:val="center"/>
                    <w:rPr>
                      <w:rFonts w:eastAsia="等线"/>
                      <w:sz w:val="18"/>
                      <w:szCs w:val="18"/>
                    </w:rPr>
                  </w:pPr>
                  <w:r>
                    <w:rPr>
                      <w:rFonts w:hint="eastAsia" w:eastAsia="等线"/>
                      <w:sz w:val="18"/>
                      <w:szCs w:val="18"/>
                    </w:rPr>
                    <w:t>0.13</w:t>
                  </w:r>
                </w:p>
              </w:tc>
              <w:tc>
                <w:tcPr>
                  <w:tcW w:w="826" w:type="dxa"/>
                  <w:shd w:val="clear" w:color="auto" w:fill="auto"/>
                  <w:noWrap/>
                  <w:vAlign w:val="bottom"/>
                </w:tcPr>
                <w:p>
                  <w:pPr>
                    <w:jc w:val="center"/>
                    <w:rPr>
                      <w:rFonts w:eastAsia="等线"/>
                      <w:sz w:val="18"/>
                      <w:szCs w:val="18"/>
                    </w:rPr>
                  </w:pPr>
                  <w:r>
                    <w:rPr>
                      <w:rFonts w:hint="eastAsia" w:eastAsia="等线"/>
                      <w:sz w:val="18"/>
                      <w:szCs w:val="18"/>
                    </w:rPr>
                    <w:t>-</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14</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0.46</w:t>
                  </w:r>
                </w:p>
              </w:tc>
              <w:tc>
                <w:tcPr>
                  <w:tcW w:w="826" w:type="dxa"/>
                  <w:shd w:val="clear" w:color="auto" w:fill="auto"/>
                  <w:noWrap/>
                  <w:vAlign w:val="bottom"/>
                </w:tcPr>
                <w:p>
                  <w:pPr>
                    <w:jc w:val="center"/>
                    <w:rPr>
                      <w:rFonts w:eastAsia="等线"/>
                      <w:sz w:val="18"/>
                      <w:szCs w:val="18"/>
                    </w:rPr>
                  </w:pPr>
                  <w:r>
                    <w:rPr>
                      <w:rFonts w:hint="eastAsia" w:eastAsia="等线"/>
                      <w:sz w:val="18"/>
                      <w:szCs w:val="18"/>
                    </w:rPr>
                    <w:t>0.13</w:t>
                  </w:r>
                </w:p>
              </w:tc>
              <w:tc>
                <w:tcPr>
                  <w:tcW w:w="826" w:type="dxa"/>
                  <w:shd w:val="clear" w:color="auto" w:fill="auto"/>
                  <w:noWrap/>
                  <w:vAlign w:val="bottom"/>
                </w:tcPr>
                <w:p>
                  <w:pPr>
                    <w:jc w:val="center"/>
                    <w:rPr>
                      <w:rFonts w:eastAsia="等线"/>
                      <w:sz w:val="18"/>
                      <w:szCs w:val="18"/>
                    </w:rPr>
                  </w:pPr>
                  <w:r>
                    <w:rPr>
                      <w:rFonts w:hint="eastAsia" w:eastAsia="等线"/>
                      <w:sz w:val="18"/>
                      <w:szCs w:val="18"/>
                    </w:rPr>
                    <w:t>0.09</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14</w:t>
                  </w:r>
                </w:p>
              </w:tc>
              <w:tc>
                <w:tcPr>
                  <w:tcW w:w="929" w:type="dxa"/>
                  <w:vAlign w:val="bottom"/>
                </w:tcPr>
                <w:p>
                  <w:pPr>
                    <w:jc w:val="center"/>
                    <w:rPr>
                      <w:sz w:val="18"/>
                      <w:szCs w:val="18"/>
                    </w:rPr>
                  </w:pPr>
                  <w:r>
                    <w:rPr>
                      <w:rFonts w:eastAsia="楷体"/>
                      <w:sz w:val="18"/>
                      <w:szCs w:val="18"/>
                    </w:rPr>
                    <w:t>底层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0.53</w:t>
                  </w:r>
                </w:p>
              </w:tc>
              <w:tc>
                <w:tcPr>
                  <w:tcW w:w="826" w:type="dxa"/>
                  <w:shd w:val="clear" w:color="auto" w:fill="auto"/>
                  <w:noWrap/>
                  <w:vAlign w:val="bottom"/>
                </w:tcPr>
                <w:p>
                  <w:pPr>
                    <w:jc w:val="center"/>
                    <w:rPr>
                      <w:rFonts w:eastAsia="等线"/>
                      <w:sz w:val="18"/>
                      <w:szCs w:val="18"/>
                    </w:rPr>
                  </w:pPr>
                  <w:r>
                    <w:rPr>
                      <w:rFonts w:hint="eastAsia" w:eastAsia="等线"/>
                      <w:sz w:val="18"/>
                      <w:szCs w:val="18"/>
                    </w:rPr>
                    <w:t>0.23</w:t>
                  </w:r>
                </w:p>
              </w:tc>
              <w:tc>
                <w:tcPr>
                  <w:tcW w:w="826" w:type="dxa"/>
                  <w:shd w:val="clear" w:color="auto" w:fill="auto"/>
                  <w:noWrap/>
                  <w:vAlign w:val="bottom"/>
                </w:tcPr>
                <w:p>
                  <w:pPr>
                    <w:jc w:val="center"/>
                    <w:rPr>
                      <w:rFonts w:eastAsia="等线"/>
                      <w:sz w:val="18"/>
                      <w:szCs w:val="18"/>
                    </w:rPr>
                  </w:pPr>
                  <w:r>
                    <w:rPr>
                      <w:rFonts w:hint="eastAsia" w:eastAsia="等线"/>
                      <w:sz w:val="18"/>
                      <w:szCs w:val="18"/>
                    </w:rPr>
                    <w:t>0.08</w:t>
                  </w:r>
                </w:p>
              </w:tc>
              <w:tc>
                <w:tcPr>
                  <w:tcW w:w="826" w:type="dxa"/>
                  <w:shd w:val="clear" w:color="auto" w:fill="auto"/>
                  <w:noWrap/>
                  <w:vAlign w:val="bottom"/>
                </w:tcPr>
                <w:p>
                  <w:pPr>
                    <w:jc w:val="center"/>
                    <w:rPr>
                      <w:rFonts w:eastAsia="等线"/>
                      <w:sz w:val="18"/>
                      <w:szCs w:val="18"/>
                    </w:rPr>
                  </w:pPr>
                  <w:r>
                    <w:rPr>
                      <w:rFonts w:hint="eastAsia" w:eastAsia="等线"/>
                      <w:sz w:val="18"/>
                      <w:szCs w:val="18"/>
                    </w:rPr>
                    <w:t>-</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15</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0.59</w:t>
                  </w:r>
                </w:p>
              </w:tc>
              <w:tc>
                <w:tcPr>
                  <w:tcW w:w="826" w:type="dxa"/>
                  <w:shd w:val="clear" w:color="auto" w:fill="auto"/>
                  <w:noWrap/>
                  <w:vAlign w:val="bottom"/>
                </w:tcPr>
                <w:p>
                  <w:pPr>
                    <w:jc w:val="center"/>
                    <w:rPr>
                      <w:rFonts w:eastAsia="等线"/>
                      <w:sz w:val="18"/>
                      <w:szCs w:val="18"/>
                    </w:rPr>
                  </w:pPr>
                  <w:r>
                    <w:rPr>
                      <w:rFonts w:hint="eastAsia" w:eastAsia="等线"/>
                      <w:sz w:val="18"/>
                      <w:szCs w:val="18"/>
                    </w:rPr>
                    <w:t>0.38</w:t>
                  </w:r>
                </w:p>
              </w:tc>
              <w:tc>
                <w:tcPr>
                  <w:tcW w:w="826" w:type="dxa"/>
                  <w:shd w:val="clear" w:color="auto" w:fill="auto"/>
                  <w:noWrap/>
                  <w:vAlign w:val="bottom"/>
                </w:tcPr>
                <w:p>
                  <w:pPr>
                    <w:jc w:val="center"/>
                    <w:rPr>
                      <w:rFonts w:eastAsia="等线"/>
                      <w:sz w:val="18"/>
                      <w:szCs w:val="18"/>
                    </w:rPr>
                  </w:pPr>
                  <w:r>
                    <w:rPr>
                      <w:rFonts w:hint="eastAsia" w:eastAsia="等线"/>
                      <w:sz w:val="18"/>
                      <w:szCs w:val="18"/>
                    </w:rPr>
                    <w:t>0.26</w:t>
                  </w:r>
                </w:p>
              </w:tc>
              <w:tc>
                <w:tcPr>
                  <w:tcW w:w="826" w:type="dxa"/>
                  <w:shd w:val="clear" w:color="auto" w:fill="auto"/>
                  <w:noWrap/>
                  <w:vAlign w:val="bottom"/>
                </w:tcPr>
                <w:p>
                  <w:pPr>
                    <w:jc w:val="center"/>
                    <w:rPr>
                      <w:rFonts w:eastAsia="等线"/>
                      <w:sz w:val="18"/>
                      <w:szCs w:val="18"/>
                    </w:rPr>
                  </w:pPr>
                  <w:r>
                    <w:rPr>
                      <w:rFonts w:hint="eastAsia" w:eastAsia="等线"/>
                      <w:sz w:val="18"/>
                      <w:szCs w:val="18"/>
                    </w:rPr>
                    <w:t>0.12</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0.03</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16</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0.67</w:t>
                  </w:r>
                </w:p>
              </w:tc>
              <w:tc>
                <w:tcPr>
                  <w:tcW w:w="826" w:type="dxa"/>
                  <w:shd w:val="clear" w:color="auto" w:fill="auto"/>
                  <w:noWrap/>
                  <w:vAlign w:val="bottom"/>
                </w:tcPr>
                <w:p>
                  <w:pPr>
                    <w:jc w:val="center"/>
                    <w:rPr>
                      <w:rFonts w:eastAsia="等线"/>
                      <w:sz w:val="18"/>
                      <w:szCs w:val="18"/>
                    </w:rPr>
                  </w:pPr>
                  <w:r>
                    <w:rPr>
                      <w:rFonts w:hint="eastAsia" w:eastAsia="等线"/>
                      <w:sz w:val="18"/>
                      <w:szCs w:val="18"/>
                    </w:rPr>
                    <w:t>0.27</w:t>
                  </w:r>
                </w:p>
              </w:tc>
              <w:tc>
                <w:tcPr>
                  <w:tcW w:w="826" w:type="dxa"/>
                  <w:shd w:val="clear" w:color="auto" w:fill="auto"/>
                  <w:noWrap/>
                  <w:vAlign w:val="bottom"/>
                </w:tcPr>
                <w:p>
                  <w:pPr>
                    <w:jc w:val="center"/>
                    <w:rPr>
                      <w:rFonts w:eastAsia="等线"/>
                      <w:sz w:val="18"/>
                      <w:szCs w:val="18"/>
                    </w:rPr>
                  </w:pPr>
                  <w:r>
                    <w:rPr>
                      <w:rFonts w:hint="eastAsia" w:eastAsia="等线"/>
                      <w:sz w:val="18"/>
                      <w:szCs w:val="18"/>
                    </w:rPr>
                    <w:t>0.16</w:t>
                  </w:r>
                </w:p>
              </w:tc>
              <w:tc>
                <w:tcPr>
                  <w:tcW w:w="826" w:type="dxa"/>
                  <w:shd w:val="clear" w:color="auto" w:fill="auto"/>
                  <w:noWrap/>
                  <w:vAlign w:val="bottom"/>
                </w:tcPr>
                <w:p>
                  <w:pPr>
                    <w:jc w:val="center"/>
                    <w:rPr>
                      <w:rFonts w:eastAsia="等线"/>
                      <w:sz w:val="18"/>
                      <w:szCs w:val="18"/>
                    </w:rPr>
                  </w:pPr>
                  <w:r>
                    <w:rPr>
                      <w:rFonts w:hint="eastAsia" w:eastAsia="等线"/>
                      <w:sz w:val="18"/>
                      <w:szCs w:val="18"/>
                    </w:rPr>
                    <w:t>0.14</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0.009</w:t>
                  </w:r>
                </w:p>
              </w:tc>
              <w:tc>
                <w:tcPr>
                  <w:tcW w:w="814" w:type="dxa"/>
                  <w:vAlign w:val="center"/>
                </w:tcPr>
                <w:p>
                  <w:pPr>
                    <w:jc w:val="center"/>
                    <w:rPr>
                      <w:rFonts w:eastAsia="楷体"/>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17</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0.57</w:t>
                  </w:r>
                </w:p>
              </w:tc>
              <w:tc>
                <w:tcPr>
                  <w:tcW w:w="826" w:type="dxa"/>
                  <w:shd w:val="clear" w:color="auto" w:fill="auto"/>
                  <w:noWrap/>
                  <w:vAlign w:val="bottom"/>
                </w:tcPr>
                <w:p>
                  <w:pPr>
                    <w:jc w:val="center"/>
                    <w:rPr>
                      <w:rFonts w:eastAsia="等线"/>
                      <w:sz w:val="18"/>
                      <w:szCs w:val="18"/>
                    </w:rPr>
                  </w:pPr>
                  <w:r>
                    <w:rPr>
                      <w:rFonts w:hint="eastAsia" w:eastAsia="等线"/>
                      <w:sz w:val="18"/>
                      <w:szCs w:val="18"/>
                    </w:rPr>
                    <w:t>0.21</w:t>
                  </w:r>
                </w:p>
              </w:tc>
              <w:tc>
                <w:tcPr>
                  <w:tcW w:w="826" w:type="dxa"/>
                  <w:shd w:val="clear" w:color="auto" w:fill="auto"/>
                  <w:noWrap/>
                  <w:vAlign w:val="bottom"/>
                </w:tcPr>
                <w:p>
                  <w:pPr>
                    <w:jc w:val="center"/>
                    <w:rPr>
                      <w:rFonts w:eastAsia="等线"/>
                      <w:sz w:val="18"/>
                      <w:szCs w:val="18"/>
                    </w:rPr>
                  </w:pPr>
                  <w:r>
                    <w:rPr>
                      <w:rFonts w:hint="eastAsia" w:eastAsia="等线"/>
                      <w:sz w:val="18"/>
                      <w:szCs w:val="18"/>
                    </w:rPr>
                    <w:t>0.08</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17</w:t>
                  </w:r>
                </w:p>
              </w:tc>
              <w:tc>
                <w:tcPr>
                  <w:tcW w:w="929" w:type="dxa"/>
                  <w:vAlign w:val="bottom"/>
                </w:tcPr>
                <w:p>
                  <w:pPr>
                    <w:jc w:val="center"/>
                    <w:rPr>
                      <w:sz w:val="18"/>
                      <w:szCs w:val="18"/>
                    </w:rPr>
                  </w:pPr>
                  <w:r>
                    <w:rPr>
                      <w:rFonts w:eastAsia="楷体"/>
                      <w:sz w:val="18"/>
                      <w:szCs w:val="18"/>
                    </w:rPr>
                    <w:t>底层</w:t>
                  </w:r>
                </w:p>
              </w:tc>
              <w:tc>
                <w:tcPr>
                  <w:tcW w:w="826" w:type="dxa"/>
                  <w:shd w:val="clear" w:color="auto" w:fill="auto"/>
                  <w:noWrap/>
                  <w:vAlign w:val="bottom"/>
                </w:tcPr>
                <w:p>
                  <w:pPr>
                    <w:jc w:val="center"/>
                    <w:rPr>
                      <w:rFonts w:eastAsia="等线"/>
                      <w:sz w:val="18"/>
                      <w:szCs w:val="18"/>
                    </w:rPr>
                  </w:pPr>
                  <w:r>
                    <w:rPr>
                      <w:rFonts w:hint="eastAsia" w:eastAsia="等线"/>
                      <w:sz w:val="18"/>
                      <w:szCs w:val="18"/>
                    </w:rPr>
                    <w:t>0.49</w:t>
                  </w:r>
                </w:p>
              </w:tc>
              <w:tc>
                <w:tcPr>
                  <w:tcW w:w="826" w:type="dxa"/>
                  <w:shd w:val="clear" w:color="auto" w:fill="auto"/>
                  <w:noWrap/>
                  <w:vAlign w:val="bottom"/>
                </w:tcPr>
                <w:p>
                  <w:pPr>
                    <w:jc w:val="center"/>
                    <w:rPr>
                      <w:rFonts w:eastAsia="等线"/>
                      <w:sz w:val="18"/>
                      <w:szCs w:val="18"/>
                    </w:rPr>
                  </w:pPr>
                  <w:r>
                    <w:rPr>
                      <w:rFonts w:hint="eastAsia" w:eastAsia="等线"/>
                      <w:sz w:val="18"/>
                      <w:szCs w:val="18"/>
                    </w:rPr>
                    <w:t>0.16</w:t>
                  </w:r>
                </w:p>
              </w:tc>
              <w:tc>
                <w:tcPr>
                  <w:tcW w:w="826" w:type="dxa"/>
                  <w:shd w:val="clear" w:color="auto" w:fill="auto"/>
                  <w:noWrap/>
                  <w:vAlign w:val="bottom"/>
                </w:tcPr>
                <w:p>
                  <w:pPr>
                    <w:jc w:val="center"/>
                    <w:rPr>
                      <w:rFonts w:eastAsia="等线"/>
                      <w:sz w:val="18"/>
                      <w:szCs w:val="18"/>
                    </w:rPr>
                  </w:pPr>
                  <w:r>
                    <w:rPr>
                      <w:rFonts w:hint="eastAsia" w:eastAsia="等线"/>
                      <w:sz w:val="18"/>
                      <w:szCs w:val="18"/>
                    </w:rPr>
                    <w:t>0.12</w:t>
                  </w:r>
                </w:p>
              </w:tc>
              <w:tc>
                <w:tcPr>
                  <w:tcW w:w="826" w:type="dxa"/>
                  <w:shd w:val="clear" w:color="auto" w:fill="auto"/>
                  <w:noWrap/>
                  <w:vAlign w:val="bottom"/>
                </w:tcPr>
                <w:p>
                  <w:pPr>
                    <w:jc w:val="center"/>
                    <w:rPr>
                      <w:rFonts w:eastAsia="等线"/>
                      <w:sz w:val="18"/>
                      <w:szCs w:val="18"/>
                    </w:rPr>
                  </w:pPr>
                  <w:r>
                    <w:rPr>
                      <w:rFonts w:hint="eastAsia" w:eastAsia="等线"/>
                      <w:sz w:val="18"/>
                      <w:szCs w:val="18"/>
                    </w:rPr>
                    <w:t>-</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18</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0.57</w:t>
                  </w:r>
                </w:p>
              </w:tc>
              <w:tc>
                <w:tcPr>
                  <w:tcW w:w="826" w:type="dxa"/>
                  <w:shd w:val="clear" w:color="auto" w:fill="auto"/>
                  <w:noWrap/>
                  <w:vAlign w:val="bottom"/>
                </w:tcPr>
                <w:p>
                  <w:pPr>
                    <w:jc w:val="center"/>
                    <w:rPr>
                      <w:rFonts w:eastAsia="等线"/>
                      <w:sz w:val="18"/>
                      <w:szCs w:val="18"/>
                    </w:rPr>
                  </w:pPr>
                  <w:r>
                    <w:rPr>
                      <w:rFonts w:hint="eastAsia" w:eastAsia="等线"/>
                      <w:sz w:val="18"/>
                      <w:szCs w:val="18"/>
                    </w:rPr>
                    <w:t>0.36</w:t>
                  </w:r>
                </w:p>
              </w:tc>
              <w:tc>
                <w:tcPr>
                  <w:tcW w:w="826" w:type="dxa"/>
                  <w:shd w:val="clear" w:color="auto" w:fill="auto"/>
                  <w:noWrap/>
                  <w:vAlign w:val="bottom"/>
                </w:tcPr>
                <w:p>
                  <w:pPr>
                    <w:jc w:val="center"/>
                    <w:rPr>
                      <w:rFonts w:eastAsia="等线"/>
                      <w:sz w:val="18"/>
                      <w:szCs w:val="18"/>
                    </w:rPr>
                  </w:pPr>
                  <w:r>
                    <w:rPr>
                      <w:rFonts w:hint="eastAsia" w:eastAsia="等线"/>
                      <w:sz w:val="18"/>
                      <w:szCs w:val="18"/>
                    </w:rPr>
                    <w:t>0.19</w:t>
                  </w:r>
                </w:p>
              </w:tc>
              <w:tc>
                <w:tcPr>
                  <w:tcW w:w="826" w:type="dxa"/>
                  <w:shd w:val="clear" w:color="auto" w:fill="auto"/>
                  <w:noWrap/>
                  <w:vAlign w:val="bottom"/>
                </w:tcPr>
                <w:p>
                  <w:pPr>
                    <w:jc w:val="center"/>
                    <w:rPr>
                      <w:rFonts w:eastAsia="等线"/>
                      <w:sz w:val="18"/>
                      <w:szCs w:val="18"/>
                    </w:rPr>
                  </w:pPr>
                  <w:r>
                    <w:rPr>
                      <w:rFonts w:hint="eastAsia" w:eastAsia="等线"/>
                      <w:sz w:val="18"/>
                      <w:szCs w:val="18"/>
                    </w:rPr>
                    <w:t>0.08</w:t>
                  </w:r>
                </w:p>
              </w:tc>
              <w:tc>
                <w:tcPr>
                  <w:tcW w:w="826" w:type="dxa"/>
                  <w:shd w:val="clear" w:color="auto" w:fill="auto"/>
                  <w:noWrap/>
                  <w:vAlign w:val="bottom"/>
                </w:tcPr>
                <w:p>
                  <w:pPr>
                    <w:jc w:val="center"/>
                    <w:rPr>
                      <w:rFonts w:eastAsia="等线"/>
                      <w:sz w:val="18"/>
                      <w:szCs w:val="18"/>
                    </w:rPr>
                  </w:pPr>
                  <w:r>
                    <w:rPr>
                      <w:rFonts w:hint="eastAsia" w:eastAsia="等线"/>
                      <w:sz w:val="18"/>
                      <w:szCs w:val="18"/>
                    </w:rPr>
                    <w:t>0.04</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18</w:t>
                  </w:r>
                </w:p>
              </w:tc>
              <w:tc>
                <w:tcPr>
                  <w:tcW w:w="929" w:type="dxa"/>
                  <w:vAlign w:val="bottom"/>
                </w:tcPr>
                <w:p>
                  <w:pPr>
                    <w:jc w:val="center"/>
                    <w:rPr>
                      <w:sz w:val="18"/>
                      <w:szCs w:val="18"/>
                    </w:rPr>
                  </w:pPr>
                  <w:r>
                    <w:rPr>
                      <w:rFonts w:eastAsia="楷体"/>
                      <w:sz w:val="18"/>
                      <w:szCs w:val="18"/>
                    </w:rPr>
                    <w:t>底层</w:t>
                  </w:r>
                </w:p>
              </w:tc>
              <w:tc>
                <w:tcPr>
                  <w:tcW w:w="826" w:type="dxa"/>
                  <w:shd w:val="clear" w:color="auto" w:fill="auto"/>
                  <w:noWrap/>
                  <w:vAlign w:val="bottom"/>
                </w:tcPr>
                <w:p>
                  <w:pPr>
                    <w:jc w:val="center"/>
                    <w:rPr>
                      <w:rFonts w:eastAsia="等线"/>
                      <w:sz w:val="18"/>
                      <w:szCs w:val="18"/>
                    </w:rPr>
                  </w:pPr>
                  <w:r>
                    <w:rPr>
                      <w:rFonts w:hint="eastAsia" w:eastAsia="等线"/>
                      <w:sz w:val="18"/>
                      <w:szCs w:val="18"/>
                    </w:rPr>
                    <w:t>0.62</w:t>
                  </w:r>
                </w:p>
              </w:tc>
              <w:tc>
                <w:tcPr>
                  <w:tcW w:w="826" w:type="dxa"/>
                  <w:shd w:val="clear" w:color="auto" w:fill="auto"/>
                  <w:noWrap/>
                  <w:vAlign w:val="bottom"/>
                </w:tcPr>
                <w:p>
                  <w:pPr>
                    <w:jc w:val="center"/>
                    <w:rPr>
                      <w:rFonts w:eastAsia="等线"/>
                      <w:sz w:val="18"/>
                      <w:szCs w:val="18"/>
                    </w:rPr>
                  </w:pPr>
                  <w:r>
                    <w:rPr>
                      <w:rFonts w:hint="eastAsia" w:eastAsia="等线"/>
                      <w:sz w:val="18"/>
                      <w:szCs w:val="18"/>
                    </w:rPr>
                    <w:t>0.59</w:t>
                  </w:r>
                </w:p>
              </w:tc>
              <w:tc>
                <w:tcPr>
                  <w:tcW w:w="826" w:type="dxa"/>
                  <w:shd w:val="clear" w:color="auto" w:fill="auto"/>
                  <w:noWrap/>
                  <w:vAlign w:val="bottom"/>
                </w:tcPr>
                <w:p>
                  <w:pPr>
                    <w:jc w:val="center"/>
                    <w:rPr>
                      <w:rFonts w:eastAsia="等线"/>
                      <w:sz w:val="18"/>
                      <w:szCs w:val="18"/>
                    </w:rPr>
                  </w:pPr>
                  <w:r>
                    <w:rPr>
                      <w:rFonts w:hint="eastAsia" w:eastAsia="等线"/>
                      <w:sz w:val="18"/>
                      <w:szCs w:val="18"/>
                    </w:rPr>
                    <w:t>0.21</w:t>
                  </w:r>
                </w:p>
              </w:tc>
              <w:tc>
                <w:tcPr>
                  <w:tcW w:w="826" w:type="dxa"/>
                  <w:shd w:val="clear" w:color="auto" w:fill="auto"/>
                  <w:noWrap/>
                  <w:vAlign w:val="bottom"/>
                </w:tcPr>
                <w:p>
                  <w:pPr>
                    <w:jc w:val="center"/>
                    <w:rPr>
                      <w:rFonts w:eastAsia="等线"/>
                      <w:sz w:val="18"/>
                      <w:szCs w:val="18"/>
                    </w:rPr>
                  </w:pPr>
                  <w:r>
                    <w:rPr>
                      <w:rFonts w:hint="eastAsia" w:eastAsia="等线"/>
                      <w:sz w:val="18"/>
                      <w:szCs w:val="18"/>
                    </w:rPr>
                    <w:t>-</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53" w:hRule="atLeast"/>
                <w:jc w:val="center"/>
              </w:trPr>
              <w:tc>
                <w:tcPr>
                  <w:tcW w:w="732" w:type="dxa"/>
                  <w:shd w:val="clear" w:color="auto" w:fill="auto"/>
                  <w:noWrap/>
                  <w:vAlign w:val="bottom"/>
                </w:tcPr>
                <w:p>
                  <w:pPr>
                    <w:jc w:val="center"/>
                    <w:rPr>
                      <w:sz w:val="18"/>
                      <w:szCs w:val="18"/>
                    </w:rPr>
                  </w:pPr>
                  <w:r>
                    <w:rPr>
                      <w:rFonts w:eastAsia="楷体"/>
                      <w:sz w:val="18"/>
                      <w:szCs w:val="18"/>
                    </w:rPr>
                    <w:t>19</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0.63</w:t>
                  </w:r>
                </w:p>
              </w:tc>
              <w:tc>
                <w:tcPr>
                  <w:tcW w:w="826" w:type="dxa"/>
                  <w:shd w:val="clear" w:color="auto" w:fill="auto"/>
                  <w:noWrap/>
                  <w:vAlign w:val="bottom"/>
                </w:tcPr>
                <w:p>
                  <w:pPr>
                    <w:jc w:val="center"/>
                    <w:rPr>
                      <w:rFonts w:eastAsia="等线"/>
                      <w:sz w:val="18"/>
                      <w:szCs w:val="18"/>
                    </w:rPr>
                  </w:pPr>
                  <w:r>
                    <w:rPr>
                      <w:rFonts w:hint="eastAsia" w:eastAsia="等线"/>
                      <w:sz w:val="18"/>
                      <w:szCs w:val="18"/>
                    </w:rPr>
                    <w:t>0.23</w:t>
                  </w:r>
                </w:p>
              </w:tc>
              <w:tc>
                <w:tcPr>
                  <w:tcW w:w="826" w:type="dxa"/>
                  <w:shd w:val="clear" w:color="auto" w:fill="auto"/>
                  <w:noWrap/>
                  <w:vAlign w:val="bottom"/>
                </w:tcPr>
                <w:p>
                  <w:pPr>
                    <w:jc w:val="center"/>
                    <w:rPr>
                      <w:rFonts w:eastAsia="等线"/>
                      <w:sz w:val="18"/>
                      <w:szCs w:val="18"/>
                    </w:rPr>
                  </w:pPr>
                  <w:r>
                    <w:rPr>
                      <w:rFonts w:hint="eastAsia" w:eastAsia="等线"/>
                      <w:sz w:val="18"/>
                      <w:szCs w:val="18"/>
                    </w:rPr>
                    <w:t>0.19</w:t>
                  </w:r>
                </w:p>
              </w:tc>
              <w:tc>
                <w:tcPr>
                  <w:tcW w:w="826" w:type="dxa"/>
                  <w:shd w:val="clear" w:color="auto" w:fill="auto"/>
                  <w:noWrap/>
                  <w:vAlign w:val="bottom"/>
                </w:tcPr>
                <w:p>
                  <w:pPr>
                    <w:jc w:val="center"/>
                    <w:rPr>
                      <w:rFonts w:eastAsia="等线"/>
                      <w:sz w:val="18"/>
                      <w:szCs w:val="18"/>
                    </w:rPr>
                  </w:pPr>
                  <w:r>
                    <w:rPr>
                      <w:rFonts w:hint="eastAsia" w:eastAsia="等线"/>
                      <w:sz w:val="18"/>
                      <w:szCs w:val="18"/>
                    </w:rPr>
                    <w:t>0.19</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0.08</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19</w:t>
                  </w:r>
                </w:p>
              </w:tc>
              <w:tc>
                <w:tcPr>
                  <w:tcW w:w="929" w:type="dxa"/>
                  <w:vAlign w:val="bottom"/>
                </w:tcPr>
                <w:p>
                  <w:pPr>
                    <w:jc w:val="center"/>
                    <w:rPr>
                      <w:sz w:val="18"/>
                      <w:szCs w:val="18"/>
                    </w:rPr>
                  </w:pPr>
                  <w:r>
                    <w:rPr>
                      <w:rFonts w:eastAsia="楷体"/>
                      <w:sz w:val="18"/>
                      <w:szCs w:val="18"/>
                    </w:rPr>
                    <w:t>底层</w:t>
                  </w:r>
                </w:p>
              </w:tc>
              <w:tc>
                <w:tcPr>
                  <w:tcW w:w="826" w:type="dxa"/>
                  <w:shd w:val="clear" w:color="auto" w:fill="auto"/>
                  <w:noWrap/>
                  <w:vAlign w:val="bottom"/>
                </w:tcPr>
                <w:p>
                  <w:pPr>
                    <w:jc w:val="center"/>
                    <w:rPr>
                      <w:rFonts w:eastAsia="等线"/>
                      <w:sz w:val="18"/>
                      <w:szCs w:val="18"/>
                    </w:rPr>
                  </w:pPr>
                  <w:r>
                    <w:rPr>
                      <w:rFonts w:hint="eastAsia" w:eastAsia="等线"/>
                      <w:sz w:val="18"/>
                      <w:szCs w:val="18"/>
                    </w:rPr>
                    <w:t>0.70</w:t>
                  </w:r>
                </w:p>
              </w:tc>
              <w:tc>
                <w:tcPr>
                  <w:tcW w:w="826" w:type="dxa"/>
                  <w:shd w:val="clear" w:color="auto" w:fill="auto"/>
                  <w:noWrap/>
                  <w:vAlign w:val="bottom"/>
                </w:tcPr>
                <w:p>
                  <w:pPr>
                    <w:jc w:val="center"/>
                    <w:rPr>
                      <w:rFonts w:eastAsia="等线"/>
                      <w:sz w:val="18"/>
                      <w:szCs w:val="18"/>
                    </w:rPr>
                  </w:pPr>
                  <w:r>
                    <w:rPr>
                      <w:rFonts w:hint="eastAsia" w:eastAsia="等线"/>
                      <w:sz w:val="18"/>
                      <w:szCs w:val="18"/>
                    </w:rPr>
                    <w:t>0.61</w:t>
                  </w:r>
                </w:p>
              </w:tc>
              <w:tc>
                <w:tcPr>
                  <w:tcW w:w="826" w:type="dxa"/>
                  <w:shd w:val="clear" w:color="auto" w:fill="auto"/>
                  <w:noWrap/>
                  <w:vAlign w:val="bottom"/>
                </w:tcPr>
                <w:p>
                  <w:pPr>
                    <w:jc w:val="center"/>
                    <w:rPr>
                      <w:rFonts w:eastAsia="等线"/>
                      <w:sz w:val="18"/>
                      <w:szCs w:val="18"/>
                    </w:rPr>
                  </w:pPr>
                  <w:r>
                    <w:rPr>
                      <w:rFonts w:hint="eastAsia" w:eastAsia="等线"/>
                      <w:sz w:val="18"/>
                      <w:szCs w:val="18"/>
                    </w:rPr>
                    <w:t>0.31</w:t>
                  </w:r>
                </w:p>
              </w:tc>
              <w:tc>
                <w:tcPr>
                  <w:tcW w:w="826" w:type="dxa"/>
                  <w:shd w:val="clear" w:color="auto" w:fill="auto"/>
                  <w:noWrap/>
                  <w:vAlign w:val="bottom"/>
                </w:tcPr>
                <w:p>
                  <w:pPr>
                    <w:jc w:val="center"/>
                    <w:rPr>
                      <w:rFonts w:eastAsia="等线"/>
                      <w:sz w:val="18"/>
                      <w:szCs w:val="18"/>
                    </w:rPr>
                  </w:pPr>
                  <w:r>
                    <w:rPr>
                      <w:rFonts w:hint="eastAsia" w:eastAsia="等线"/>
                      <w:sz w:val="18"/>
                      <w:szCs w:val="18"/>
                    </w:rPr>
                    <w:t>-</w:t>
                  </w:r>
                </w:p>
              </w:tc>
              <w:tc>
                <w:tcPr>
                  <w:tcW w:w="826" w:type="dxa"/>
                  <w:shd w:val="clear" w:color="auto" w:fill="auto"/>
                  <w:noWrap/>
                  <w:vAlign w:val="bottom"/>
                </w:tcPr>
                <w:p>
                  <w:pPr>
                    <w:jc w:val="center"/>
                    <w:rPr>
                      <w:rFonts w:eastAsia="等线"/>
                      <w:sz w:val="18"/>
                      <w:szCs w:val="18"/>
                    </w:rPr>
                  </w:pPr>
                  <w:r>
                    <w:rPr>
                      <w:rFonts w:hint="eastAsia" w:eastAsia="等线"/>
                      <w:sz w:val="18"/>
                      <w:szCs w:val="18"/>
                    </w:rPr>
                    <w:t>0.02</w:t>
                  </w:r>
                </w:p>
              </w:tc>
              <w:tc>
                <w:tcPr>
                  <w:tcW w:w="826" w:type="dxa"/>
                  <w:shd w:val="clear" w:color="auto" w:fill="auto"/>
                  <w:noWrap/>
                  <w:vAlign w:val="bottom"/>
                </w:tcPr>
                <w:p>
                  <w:pPr>
                    <w:jc w:val="center"/>
                    <w:rPr>
                      <w:rFonts w:eastAsia="等线"/>
                      <w:sz w:val="18"/>
                      <w:szCs w:val="18"/>
                    </w:rPr>
                  </w:pPr>
                  <w:r>
                    <w:rPr>
                      <w:rFonts w:hint="eastAsia" w:eastAsia="等线"/>
                      <w:sz w:val="18"/>
                      <w:szCs w:val="18"/>
                    </w:rPr>
                    <w:t>0.06</w:t>
                  </w:r>
                </w:p>
              </w:tc>
              <w:tc>
                <w:tcPr>
                  <w:tcW w:w="826" w:type="dxa"/>
                  <w:shd w:val="clear" w:color="auto" w:fill="auto"/>
                  <w:noWrap/>
                  <w:vAlign w:val="bottom"/>
                </w:tcPr>
                <w:p>
                  <w:pPr>
                    <w:jc w:val="center"/>
                    <w:rPr>
                      <w:rFonts w:eastAsia="等线"/>
                      <w:sz w:val="18"/>
                      <w:szCs w:val="18"/>
                    </w:rPr>
                  </w:pPr>
                  <w:r>
                    <w:rPr>
                      <w:rFonts w:hint="eastAsia" w:eastAsia="等线"/>
                      <w:sz w:val="18"/>
                      <w:szCs w:val="18"/>
                    </w:rPr>
                    <w:t>0.021</w:t>
                  </w:r>
                </w:p>
              </w:tc>
              <w:tc>
                <w:tcPr>
                  <w:tcW w:w="814" w:type="dxa"/>
                  <w:vAlign w:val="center"/>
                </w:tcPr>
                <w:p>
                  <w:pPr>
                    <w:jc w:val="center"/>
                    <w:rPr>
                      <w:rFonts w:eastAsia="楷体"/>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20</w:t>
                  </w:r>
                </w:p>
              </w:tc>
              <w:tc>
                <w:tcPr>
                  <w:tcW w:w="929" w:type="dxa"/>
                  <w:vAlign w:val="bottom"/>
                </w:tcPr>
                <w:p>
                  <w:pPr>
                    <w:jc w:val="center"/>
                    <w:rPr>
                      <w:sz w:val="18"/>
                      <w:szCs w:val="18"/>
                    </w:rPr>
                  </w:pPr>
                  <w:r>
                    <w:rPr>
                      <w:rFonts w:eastAsia="楷体"/>
                      <w:sz w:val="18"/>
                      <w:szCs w:val="18"/>
                    </w:rPr>
                    <w:t>表层</w:t>
                  </w:r>
                </w:p>
              </w:tc>
              <w:tc>
                <w:tcPr>
                  <w:tcW w:w="826" w:type="dxa"/>
                  <w:shd w:val="clear" w:color="auto" w:fill="auto"/>
                  <w:noWrap/>
                  <w:vAlign w:val="bottom"/>
                </w:tcPr>
                <w:p>
                  <w:pPr>
                    <w:jc w:val="center"/>
                    <w:rPr>
                      <w:rFonts w:eastAsia="等线"/>
                      <w:sz w:val="18"/>
                      <w:szCs w:val="18"/>
                    </w:rPr>
                  </w:pPr>
                  <w:r>
                    <w:rPr>
                      <w:rFonts w:hint="eastAsia" w:eastAsia="等线"/>
                      <w:sz w:val="18"/>
                      <w:szCs w:val="18"/>
                    </w:rPr>
                    <w:t>0.56</w:t>
                  </w:r>
                </w:p>
              </w:tc>
              <w:tc>
                <w:tcPr>
                  <w:tcW w:w="826" w:type="dxa"/>
                  <w:shd w:val="clear" w:color="auto" w:fill="auto"/>
                  <w:noWrap/>
                  <w:vAlign w:val="bottom"/>
                </w:tcPr>
                <w:p>
                  <w:pPr>
                    <w:jc w:val="center"/>
                    <w:rPr>
                      <w:rFonts w:eastAsia="等线"/>
                      <w:sz w:val="18"/>
                      <w:szCs w:val="18"/>
                    </w:rPr>
                  </w:pPr>
                  <w:r>
                    <w:rPr>
                      <w:rFonts w:hint="eastAsia" w:eastAsia="等线"/>
                      <w:sz w:val="18"/>
                      <w:szCs w:val="18"/>
                    </w:rPr>
                    <w:t>0.10</w:t>
                  </w:r>
                </w:p>
              </w:tc>
              <w:tc>
                <w:tcPr>
                  <w:tcW w:w="826" w:type="dxa"/>
                  <w:shd w:val="clear" w:color="auto" w:fill="auto"/>
                  <w:noWrap/>
                  <w:vAlign w:val="bottom"/>
                </w:tcPr>
                <w:p>
                  <w:pPr>
                    <w:jc w:val="center"/>
                    <w:rPr>
                      <w:rFonts w:eastAsia="等线"/>
                      <w:sz w:val="18"/>
                      <w:szCs w:val="18"/>
                    </w:rPr>
                  </w:pPr>
                  <w:r>
                    <w:rPr>
                      <w:rFonts w:hint="eastAsia" w:eastAsia="等线"/>
                      <w:sz w:val="18"/>
                      <w:szCs w:val="18"/>
                    </w:rPr>
                    <w:t>0.15</w:t>
                  </w:r>
                </w:p>
              </w:tc>
              <w:tc>
                <w:tcPr>
                  <w:tcW w:w="826" w:type="dxa"/>
                  <w:shd w:val="clear" w:color="auto" w:fill="auto"/>
                  <w:noWrap/>
                  <w:vAlign w:val="bottom"/>
                </w:tcPr>
                <w:p>
                  <w:pPr>
                    <w:jc w:val="center"/>
                    <w:rPr>
                      <w:rFonts w:eastAsia="等线"/>
                      <w:sz w:val="18"/>
                      <w:szCs w:val="18"/>
                    </w:rPr>
                  </w:pPr>
                  <w:r>
                    <w:rPr>
                      <w:rFonts w:hint="eastAsia" w:eastAsia="等线"/>
                      <w:sz w:val="18"/>
                      <w:szCs w:val="18"/>
                    </w:rPr>
                    <w:t>0.04</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0.08</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732" w:type="dxa"/>
                  <w:shd w:val="clear" w:color="auto" w:fill="auto"/>
                  <w:noWrap/>
                  <w:vAlign w:val="bottom"/>
                </w:tcPr>
                <w:p>
                  <w:pPr>
                    <w:jc w:val="center"/>
                    <w:rPr>
                      <w:sz w:val="18"/>
                      <w:szCs w:val="18"/>
                    </w:rPr>
                  </w:pPr>
                  <w:r>
                    <w:rPr>
                      <w:rFonts w:eastAsia="楷体"/>
                      <w:sz w:val="18"/>
                      <w:szCs w:val="18"/>
                    </w:rPr>
                    <w:t>20</w:t>
                  </w:r>
                </w:p>
              </w:tc>
              <w:tc>
                <w:tcPr>
                  <w:tcW w:w="929" w:type="dxa"/>
                  <w:vAlign w:val="bottom"/>
                </w:tcPr>
                <w:p>
                  <w:pPr>
                    <w:jc w:val="center"/>
                    <w:rPr>
                      <w:sz w:val="18"/>
                      <w:szCs w:val="18"/>
                    </w:rPr>
                  </w:pPr>
                  <w:r>
                    <w:rPr>
                      <w:rFonts w:eastAsia="楷体"/>
                      <w:sz w:val="18"/>
                      <w:szCs w:val="18"/>
                    </w:rPr>
                    <w:t>底层</w:t>
                  </w:r>
                </w:p>
              </w:tc>
              <w:tc>
                <w:tcPr>
                  <w:tcW w:w="826" w:type="dxa"/>
                  <w:shd w:val="clear" w:color="auto" w:fill="auto"/>
                  <w:noWrap/>
                  <w:vAlign w:val="bottom"/>
                </w:tcPr>
                <w:p>
                  <w:pPr>
                    <w:jc w:val="center"/>
                    <w:rPr>
                      <w:rFonts w:eastAsia="等线"/>
                      <w:sz w:val="18"/>
                      <w:szCs w:val="18"/>
                    </w:rPr>
                  </w:pPr>
                  <w:r>
                    <w:rPr>
                      <w:rFonts w:hint="eastAsia" w:eastAsia="等线"/>
                      <w:sz w:val="18"/>
                      <w:szCs w:val="18"/>
                    </w:rPr>
                    <w:t>0.48</w:t>
                  </w:r>
                </w:p>
              </w:tc>
              <w:tc>
                <w:tcPr>
                  <w:tcW w:w="826" w:type="dxa"/>
                  <w:shd w:val="clear" w:color="auto" w:fill="auto"/>
                  <w:noWrap/>
                  <w:vAlign w:val="bottom"/>
                </w:tcPr>
                <w:p>
                  <w:pPr>
                    <w:jc w:val="center"/>
                    <w:rPr>
                      <w:rFonts w:eastAsia="等线"/>
                      <w:sz w:val="18"/>
                      <w:szCs w:val="18"/>
                    </w:rPr>
                  </w:pPr>
                  <w:r>
                    <w:rPr>
                      <w:rFonts w:hint="eastAsia" w:eastAsia="等线"/>
                      <w:sz w:val="18"/>
                      <w:szCs w:val="18"/>
                    </w:rPr>
                    <w:t>0.13</w:t>
                  </w:r>
                </w:p>
              </w:tc>
              <w:tc>
                <w:tcPr>
                  <w:tcW w:w="826" w:type="dxa"/>
                  <w:shd w:val="clear" w:color="auto" w:fill="auto"/>
                  <w:noWrap/>
                  <w:vAlign w:val="bottom"/>
                </w:tcPr>
                <w:p>
                  <w:pPr>
                    <w:jc w:val="center"/>
                    <w:rPr>
                      <w:rFonts w:eastAsia="等线"/>
                      <w:sz w:val="18"/>
                      <w:szCs w:val="18"/>
                    </w:rPr>
                  </w:pPr>
                  <w:r>
                    <w:rPr>
                      <w:rFonts w:hint="eastAsia" w:eastAsia="等线"/>
                      <w:sz w:val="18"/>
                      <w:szCs w:val="18"/>
                    </w:rPr>
                    <w:t>0.17</w:t>
                  </w:r>
                </w:p>
              </w:tc>
              <w:tc>
                <w:tcPr>
                  <w:tcW w:w="826" w:type="dxa"/>
                  <w:shd w:val="clear" w:color="auto" w:fill="auto"/>
                  <w:noWrap/>
                  <w:vAlign w:val="bottom"/>
                </w:tcPr>
                <w:p>
                  <w:pPr>
                    <w:jc w:val="center"/>
                    <w:rPr>
                      <w:rFonts w:eastAsia="等线"/>
                      <w:sz w:val="18"/>
                      <w:szCs w:val="18"/>
                    </w:rPr>
                  </w:pPr>
                  <w:r>
                    <w:rPr>
                      <w:rFonts w:hint="eastAsia" w:eastAsia="等线"/>
                      <w:sz w:val="18"/>
                      <w:szCs w:val="18"/>
                    </w:rPr>
                    <w:t>-</w:t>
                  </w:r>
                </w:p>
              </w:tc>
              <w:tc>
                <w:tcPr>
                  <w:tcW w:w="826" w:type="dxa"/>
                  <w:shd w:val="clear" w:color="auto" w:fill="auto"/>
                  <w:noWrap/>
                  <w:vAlign w:val="bottom"/>
                </w:tcPr>
                <w:p>
                  <w:pPr>
                    <w:jc w:val="center"/>
                    <w:rPr>
                      <w:rFonts w:eastAsia="等线"/>
                      <w:sz w:val="18"/>
                      <w:szCs w:val="18"/>
                    </w:rPr>
                  </w:pPr>
                  <w:r>
                    <w:rPr>
                      <w:rFonts w:hint="eastAsia" w:eastAsia="等线"/>
                      <w:sz w:val="18"/>
                      <w:szCs w:val="18"/>
                    </w:rPr>
                    <w:t>0.04</w:t>
                  </w:r>
                </w:p>
              </w:tc>
              <w:tc>
                <w:tcPr>
                  <w:tcW w:w="826" w:type="dxa"/>
                  <w:shd w:val="clear" w:color="auto" w:fill="auto"/>
                  <w:noWrap/>
                  <w:vAlign w:val="bottom"/>
                </w:tcPr>
                <w:p>
                  <w:pPr>
                    <w:jc w:val="center"/>
                    <w:rPr>
                      <w:rFonts w:eastAsia="等线"/>
                      <w:sz w:val="18"/>
                      <w:szCs w:val="18"/>
                    </w:rPr>
                  </w:pPr>
                  <w:r>
                    <w:rPr>
                      <w:rFonts w:hint="eastAsia" w:eastAsia="等线"/>
                      <w:sz w:val="18"/>
                      <w:szCs w:val="18"/>
                    </w:rPr>
                    <w:t>0.01</w:t>
                  </w:r>
                </w:p>
              </w:tc>
              <w:tc>
                <w:tcPr>
                  <w:tcW w:w="826" w:type="dxa"/>
                  <w:shd w:val="clear" w:color="auto" w:fill="auto"/>
                  <w:noWrap/>
                  <w:vAlign w:val="bottom"/>
                </w:tcPr>
                <w:p>
                  <w:pPr>
                    <w:jc w:val="center"/>
                    <w:rPr>
                      <w:rFonts w:eastAsia="等线"/>
                      <w:sz w:val="18"/>
                      <w:szCs w:val="18"/>
                    </w:rPr>
                  </w:pPr>
                  <w:r>
                    <w:rPr>
                      <w:rFonts w:hint="eastAsia" w:eastAsia="等线"/>
                      <w:sz w:val="18"/>
                      <w:szCs w:val="18"/>
                    </w:rPr>
                    <w:t>0.004</w:t>
                  </w:r>
                </w:p>
              </w:tc>
              <w:tc>
                <w:tcPr>
                  <w:tcW w:w="814" w:type="dxa"/>
                  <w:vAlign w:val="center"/>
                </w:tcPr>
                <w:p>
                  <w:pPr>
                    <w:jc w:val="center"/>
                    <w:rPr>
                      <w:rFonts w:eastAsia="楷体"/>
                      <w:sz w:val="18"/>
                      <w:szCs w:val="18"/>
                    </w:rPr>
                  </w:pPr>
                  <w:r>
                    <w:rPr>
                      <w:rFonts w:hint="eastAsia"/>
                      <w:b/>
                      <w:bCs/>
                      <w:sz w:val="18"/>
                      <w:szCs w:val="18"/>
                    </w:rPr>
                    <w:t>三类</w:t>
                  </w:r>
                </w:p>
              </w:tc>
            </w:tr>
          </w:tbl>
          <w:p>
            <w:pPr>
              <w:pStyle w:val="279"/>
              <w:snapToGrid w:val="0"/>
              <w:ind w:firstLine="480"/>
            </w:pPr>
            <w:r>
              <w:t>表</w:t>
            </w:r>
            <w:r>
              <w:rPr>
                <w:rFonts w:hint="eastAsia"/>
              </w:rPr>
              <w:t>4</w:t>
            </w:r>
            <w:r>
              <w:t>.</w:t>
            </w:r>
            <w:r>
              <w:rPr>
                <w:rFonts w:hint="eastAsia"/>
              </w:rPr>
              <w:t>1.</w:t>
            </w:r>
            <w:r>
              <w:t>1-4(b) 水质质量评价指数</w:t>
            </w:r>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61"/>
              <w:gridCol w:w="838"/>
              <w:gridCol w:w="751"/>
              <w:gridCol w:w="752"/>
              <w:gridCol w:w="752"/>
              <w:gridCol w:w="752"/>
              <w:gridCol w:w="752"/>
              <w:gridCol w:w="752"/>
              <w:gridCol w:w="752"/>
              <w:gridCol w:w="752"/>
              <w:gridCol w:w="74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tblHeader/>
                <w:jc w:val="center"/>
              </w:trPr>
              <w:tc>
                <w:tcPr>
                  <w:tcW w:w="661" w:type="dxa"/>
                  <w:shd w:val="clear" w:color="auto" w:fill="auto"/>
                  <w:noWrap/>
                  <w:vAlign w:val="center"/>
                </w:tcPr>
                <w:p>
                  <w:pPr>
                    <w:jc w:val="center"/>
                    <w:rPr>
                      <w:b/>
                      <w:sz w:val="18"/>
                      <w:szCs w:val="18"/>
                    </w:rPr>
                  </w:pPr>
                  <w:r>
                    <w:rPr>
                      <w:b/>
                      <w:sz w:val="18"/>
                      <w:szCs w:val="18"/>
                    </w:rPr>
                    <w:t>站位</w:t>
                  </w:r>
                </w:p>
              </w:tc>
              <w:tc>
                <w:tcPr>
                  <w:tcW w:w="838" w:type="dxa"/>
                  <w:shd w:val="clear" w:color="auto" w:fill="auto"/>
                  <w:noWrap/>
                  <w:vAlign w:val="center"/>
                </w:tcPr>
                <w:p>
                  <w:pPr>
                    <w:jc w:val="center"/>
                    <w:rPr>
                      <w:b/>
                      <w:sz w:val="18"/>
                      <w:szCs w:val="18"/>
                    </w:rPr>
                  </w:pPr>
                  <w:r>
                    <w:rPr>
                      <w:b/>
                      <w:sz w:val="18"/>
                      <w:szCs w:val="18"/>
                    </w:rPr>
                    <w:t>采样层次</w:t>
                  </w:r>
                </w:p>
              </w:tc>
              <w:tc>
                <w:tcPr>
                  <w:tcW w:w="751" w:type="dxa"/>
                  <w:shd w:val="clear" w:color="auto" w:fill="auto"/>
                  <w:noWrap/>
                  <w:vAlign w:val="center"/>
                </w:tcPr>
                <w:p>
                  <w:pPr>
                    <w:jc w:val="center"/>
                    <w:rPr>
                      <w:b/>
                      <w:sz w:val="18"/>
                      <w:szCs w:val="18"/>
                    </w:rPr>
                  </w:pPr>
                  <w:r>
                    <w:rPr>
                      <w:b/>
                      <w:sz w:val="18"/>
                      <w:szCs w:val="18"/>
                    </w:rPr>
                    <w:t>挥发酚</w:t>
                  </w:r>
                </w:p>
              </w:tc>
              <w:tc>
                <w:tcPr>
                  <w:tcW w:w="752" w:type="dxa"/>
                  <w:shd w:val="clear" w:color="auto" w:fill="auto"/>
                  <w:noWrap/>
                  <w:vAlign w:val="center"/>
                </w:tcPr>
                <w:p>
                  <w:pPr>
                    <w:jc w:val="center"/>
                    <w:rPr>
                      <w:b/>
                      <w:sz w:val="18"/>
                      <w:szCs w:val="18"/>
                    </w:rPr>
                  </w:pPr>
                  <w:r>
                    <w:rPr>
                      <w:b/>
                      <w:sz w:val="18"/>
                      <w:szCs w:val="18"/>
                    </w:rPr>
                    <w:t>铜</w:t>
                  </w:r>
                </w:p>
              </w:tc>
              <w:tc>
                <w:tcPr>
                  <w:tcW w:w="752" w:type="dxa"/>
                  <w:shd w:val="clear" w:color="auto" w:fill="auto"/>
                  <w:noWrap/>
                  <w:vAlign w:val="center"/>
                </w:tcPr>
                <w:p>
                  <w:pPr>
                    <w:jc w:val="center"/>
                    <w:rPr>
                      <w:b/>
                      <w:sz w:val="18"/>
                      <w:szCs w:val="18"/>
                    </w:rPr>
                  </w:pPr>
                  <w:r>
                    <w:rPr>
                      <w:b/>
                      <w:sz w:val="18"/>
                      <w:szCs w:val="18"/>
                    </w:rPr>
                    <w:t>铅</w:t>
                  </w:r>
                </w:p>
              </w:tc>
              <w:tc>
                <w:tcPr>
                  <w:tcW w:w="752" w:type="dxa"/>
                  <w:shd w:val="clear" w:color="auto" w:fill="auto"/>
                  <w:noWrap/>
                  <w:vAlign w:val="center"/>
                </w:tcPr>
                <w:p>
                  <w:pPr>
                    <w:jc w:val="center"/>
                    <w:rPr>
                      <w:b/>
                      <w:sz w:val="18"/>
                      <w:szCs w:val="18"/>
                    </w:rPr>
                  </w:pPr>
                  <w:r>
                    <w:rPr>
                      <w:b/>
                      <w:sz w:val="18"/>
                      <w:szCs w:val="18"/>
                    </w:rPr>
                    <w:t>锌</w:t>
                  </w:r>
                </w:p>
              </w:tc>
              <w:tc>
                <w:tcPr>
                  <w:tcW w:w="752" w:type="dxa"/>
                  <w:shd w:val="clear" w:color="auto" w:fill="auto"/>
                  <w:noWrap/>
                  <w:vAlign w:val="center"/>
                </w:tcPr>
                <w:p>
                  <w:pPr>
                    <w:jc w:val="center"/>
                    <w:rPr>
                      <w:b/>
                      <w:sz w:val="18"/>
                      <w:szCs w:val="18"/>
                    </w:rPr>
                  </w:pPr>
                  <w:r>
                    <w:rPr>
                      <w:b/>
                      <w:sz w:val="18"/>
                      <w:szCs w:val="18"/>
                    </w:rPr>
                    <w:t>镉</w:t>
                  </w:r>
                </w:p>
              </w:tc>
              <w:tc>
                <w:tcPr>
                  <w:tcW w:w="752" w:type="dxa"/>
                  <w:shd w:val="clear" w:color="auto" w:fill="auto"/>
                  <w:noWrap/>
                  <w:vAlign w:val="center"/>
                </w:tcPr>
                <w:p>
                  <w:pPr>
                    <w:jc w:val="center"/>
                    <w:rPr>
                      <w:b/>
                      <w:sz w:val="18"/>
                      <w:szCs w:val="18"/>
                    </w:rPr>
                  </w:pPr>
                  <w:r>
                    <w:rPr>
                      <w:b/>
                      <w:sz w:val="18"/>
                      <w:szCs w:val="18"/>
                    </w:rPr>
                    <w:t>总汞</w:t>
                  </w:r>
                </w:p>
              </w:tc>
              <w:tc>
                <w:tcPr>
                  <w:tcW w:w="752" w:type="dxa"/>
                  <w:shd w:val="clear" w:color="auto" w:fill="auto"/>
                  <w:noWrap/>
                  <w:vAlign w:val="center"/>
                </w:tcPr>
                <w:p>
                  <w:pPr>
                    <w:jc w:val="center"/>
                    <w:rPr>
                      <w:b/>
                      <w:sz w:val="18"/>
                      <w:szCs w:val="18"/>
                    </w:rPr>
                  </w:pPr>
                  <w:r>
                    <w:rPr>
                      <w:b/>
                      <w:sz w:val="18"/>
                      <w:szCs w:val="18"/>
                    </w:rPr>
                    <w:t>砷</w:t>
                  </w:r>
                </w:p>
              </w:tc>
              <w:tc>
                <w:tcPr>
                  <w:tcW w:w="752" w:type="dxa"/>
                  <w:shd w:val="clear" w:color="auto" w:fill="auto"/>
                  <w:noWrap/>
                  <w:vAlign w:val="center"/>
                </w:tcPr>
                <w:p>
                  <w:pPr>
                    <w:jc w:val="center"/>
                    <w:rPr>
                      <w:b/>
                      <w:sz w:val="18"/>
                      <w:szCs w:val="18"/>
                    </w:rPr>
                  </w:pPr>
                  <w:r>
                    <w:rPr>
                      <w:b/>
                      <w:sz w:val="18"/>
                      <w:szCs w:val="18"/>
                    </w:rPr>
                    <w:t>铬</w:t>
                  </w:r>
                </w:p>
              </w:tc>
              <w:tc>
                <w:tcPr>
                  <w:tcW w:w="745" w:type="dxa"/>
                </w:tcPr>
                <w:p>
                  <w:pPr>
                    <w:jc w:val="center"/>
                    <w:rPr>
                      <w:b/>
                      <w:sz w:val="18"/>
                      <w:szCs w:val="18"/>
                    </w:rPr>
                  </w:pPr>
                  <w:r>
                    <w:rPr>
                      <w:rFonts w:hint="eastAsia"/>
                      <w:b/>
                      <w:sz w:val="18"/>
                      <w:szCs w:val="18"/>
                    </w:rPr>
                    <w:t>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53" w:hRule="atLeast"/>
                <w:jc w:val="center"/>
              </w:trPr>
              <w:tc>
                <w:tcPr>
                  <w:tcW w:w="661" w:type="dxa"/>
                  <w:shd w:val="clear" w:color="auto" w:fill="auto"/>
                  <w:noWrap/>
                  <w:vAlign w:val="bottom"/>
                </w:tcPr>
                <w:p>
                  <w:pPr>
                    <w:jc w:val="center"/>
                    <w:rPr>
                      <w:sz w:val="18"/>
                      <w:szCs w:val="18"/>
                    </w:rPr>
                  </w:pPr>
                  <w:r>
                    <w:rPr>
                      <w:rFonts w:eastAsia="楷体"/>
                      <w:sz w:val="18"/>
                      <w:szCs w:val="18"/>
                    </w:rPr>
                    <w:t>1</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0.23</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0.10</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0.09</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45" w:type="dxa"/>
                  <w:vAlign w:val="center"/>
                </w:tcPr>
                <w:p>
                  <w:pPr>
                    <w:jc w:val="center"/>
                    <w:rPr>
                      <w:rFonts w:eastAsia="等线"/>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2</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0.32</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52" w:type="dxa"/>
                  <w:shd w:val="clear" w:color="auto" w:fill="auto"/>
                  <w:noWrap/>
                  <w:vAlign w:val="bottom"/>
                </w:tcPr>
                <w:p>
                  <w:pPr>
                    <w:jc w:val="center"/>
                    <w:rPr>
                      <w:rFonts w:eastAsia="等线"/>
                      <w:sz w:val="18"/>
                      <w:szCs w:val="18"/>
                    </w:rPr>
                  </w:pPr>
                  <w:r>
                    <w:rPr>
                      <w:rFonts w:hint="eastAsia" w:eastAsia="等线"/>
                      <w:sz w:val="18"/>
                      <w:szCs w:val="18"/>
                    </w:rPr>
                    <w:t>0.11</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0.14</w:t>
                  </w:r>
                </w:p>
              </w:tc>
              <w:tc>
                <w:tcPr>
                  <w:tcW w:w="752" w:type="dxa"/>
                  <w:shd w:val="clear" w:color="auto" w:fill="auto"/>
                  <w:noWrap/>
                  <w:vAlign w:val="bottom"/>
                </w:tcPr>
                <w:p>
                  <w:pPr>
                    <w:jc w:val="center"/>
                    <w:rPr>
                      <w:rFonts w:eastAsia="等线"/>
                      <w:sz w:val="18"/>
                      <w:szCs w:val="18"/>
                    </w:rPr>
                  </w:pPr>
                  <w:r>
                    <w:rPr>
                      <w:rFonts w:hint="eastAsia" w:eastAsia="等线"/>
                      <w:sz w:val="18"/>
                      <w:szCs w:val="18"/>
                    </w:rPr>
                    <w:t>0.03</w:t>
                  </w:r>
                </w:p>
              </w:tc>
              <w:tc>
                <w:tcPr>
                  <w:tcW w:w="745" w:type="dxa"/>
                  <w:vAlign w:val="center"/>
                </w:tcPr>
                <w:p>
                  <w:pPr>
                    <w:jc w:val="center"/>
                    <w:rPr>
                      <w:rFonts w:eastAsia="等线"/>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3</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0.36</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0.09</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0.12</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45" w:type="dxa"/>
                  <w:vAlign w:val="center"/>
                </w:tcPr>
                <w:p>
                  <w:pPr>
                    <w:jc w:val="center"/>
                    <w:rPr>
                      <w:rFonts w:eastAsia="等线"/>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4</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0.46</w:t>
                  </w:r>
                </w:p>
              </w:tc>
              <w:tc>
                <w:tcPr>
                  <w:tcW w:w="752" w:type="dxa"/>
                  <w:shd w:val="clear" w:color="auto" w:fill="auto"/>
                  <w:noWrap/>
                  <w:vAlign w:val="bottom"/>
                </w:tcPr>
                <w:p>
                  <w:pPr>
                    <w:jc w:val="center"/>
                    <w:rPr>
                      <w:rFonts w:eastAsia="等线"/>
                      <w:sz w:val="18"/>
                      <w:szCs w:val="18"/>
                    </w:rPr>
                  </w:pPr>
                  <w:r>
                    <w:rPr>
                      <w:rFonts w:hint="eastAsia" w:eastAsia="等线"/>
                      <w:sz w:val="18"/>
                      <w:szCs w:val="18"/>
                    </w:rPr>
                    <w:t>0.42</w:t>
                  </w:r>
                </w:p>
              </w:tc>
              <w:tc>
                <w:tcPr>
                  <w:tcW w:w="752" w:type="dxa"/>
                  <w:shd w:val="clear" w:color="auto" w:fill="auto"/>
                  <w:noWrap/>
                  <w:vAlign w:val="bottom"/>
                </w:tcPr>
                <w:p>
                  <w:pPr>
                    <w:jc w:val="center"/>
                    <w:rPr>
                      <w:rFonts w:eastAsia="等线"/>
                      <w:sz w:val="18"/>
                      <w:szCs w:val="18"/>
                    </w:rPr>
                  </w:pPr>
                  <w:r>
                    <w:rPr>
                      <w:rFonts w:hint="eastAsia" w:eastAsia="等线"/>
                      <w:sz w:val="18"/>
                      <w:szCs w:val="18"/>
                    </w:rPr>
                    <w:t>0.09</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0.09</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0.11</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45" w:type="dxa"/>
                  <w:vAlign w:val="center"/>
                </w:tcPr>
                <w:p>
                  <w:pPr>
                    <w:jc w:val="center"/>
                    <w:rPr>
                      <w:rFonts w:eastAsia="等线"/>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5</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0.03</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6</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0.62</w:t>
                  </w:r>
                </w:p>
              </w:tc>
              <w:tc>
                <w:tcPr>
                  <w:tcW w:w="752" w:type="dxa"/>
                  <w:shd w:val="clear" w:color="auto" w:fill="auto"/>
                  <w:noWrap/>
                  <w:vAlign w:val="bottom"/>
                </w:tcPr>
                <w:p>
                  <w:pPr>
                    <w:jc w:val="center"/>
                    <w:rPr>
                      <w:rFonts w:eastAsia="等线"/>
                      <w:sz w:val="18"/>
                      <w:szCs w:val="18"/>
                    </w:rPr>
                  </w:pPr>
                  <w:r>
                    <w:rPr>
                      <w:rFonts w:hint="eastAsia" w:eastAsia="等线"/>
                      <w:sz w:val="18"/>
                      <w:szCs w:val="18"/>
                    </w:rPr>
                    <w:t>0.51</w:t>
                  </w:r>
                </w:p>
              </w:tc>
              <w:tc>
                <w:tcPr>
                  <w:tcW w:w="752" w:type="dxa"/>
                  <w:shd w:val="clear" w:color="auto" w:fill="auto"/>
                  <w:noWrap/>
                  <w:vAlign w:val="bottom"/>
                </w:tcPr>
                <w:p>
                  <w:pPr>
                    <w:jc w:val="center"/>
                    <w:rPr>
                      <w:rFonts w:eastAsia="等线"/>
                      <w:sz w:val="18"/>
                      <w:szCs w:val="18"/>
                    </w:rPr>
                  </w:pPr>
                  <w:r>
                    <w:rPr>
                      <w:rFonts w:hint="eastAsia" w:eastAsia="等线"/>
                      <w:sz w:val="18"/>
                      <w:szCs w:val="18"/>
                    </w:rPr>
                    <w:t>0.18</w:t>
                  </w:r>
                </w:p>
              </w:tc>
              <w:tc>
                <w:tcPr>
                  <w:tcW w:w="752" w:type="dxa"/>
                  <w:shd w:val="clear" w:color="auto" w:fill="auto"/>
                  <w:noWrap/>
                  <w:vAlign w:val="bottom"/>
                </w:tcPr>
                <w:p>
                  <w:pPr>
                    <w:jc w:val="center"/>
                    <w:rPr>
                      <w:rFonts w:eastAsia="等线"/>
                      <w:sz w:val="18"/>
                      <w:szCs w:val="18"/>
                    </w:rPr>
                  </w:pPr>
                  <w:r>
                    <w:rPr>
                      <w:rFonts w:hint="eastAsia" w:eastAsia="等线"/>
                      <w:sz w:val="18"/>
                      <w:szCs w:val="18"/>
                    </w:rPr>
                    <w:t>0.52</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0.15</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7</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0.90</w:t>
                  </w:r>
                </w:p>
              </w:tc>
              <w:tc>
                <w:tcPr>
                  <w:tcW w:w="752" w:type="dxa"/>
                  <w:shd w:val="clear" w:color="auto" w:fill="auto"/>
                  <w:noWrap/>
                  <w:vAlign w:val="bottom"/>
                </w:tcPr>
                <w:p>
                  <w:pPr>
                    <w:jc w:val="center"/>
                    <w:rPr>
                      <w:rFonts w:eastAsia="等线"/>
                      <w:sz w:val="18"/>
                      <w:szCs w:val="18"/>
                    </w:rPr>
                  </w:pPr>
                  <w:r>
                    <w:rPr>
                      <w:rFonts w:hint="eastAsia" w:eastAsia="等线"/>
                      <w:sz w:val="18"/>
                      <w:szCs w:val="18"/>
                    </w:rPr>
                    <w:t>0.33</w:t>
                  </w:r>
                </w:p>
              </w:tc>
              <w:tc>
                <w:tcPr>
                  <w:tcW w:w="752" w:type="dxa"/>
                  <w:shd w:val="clear" w:color="auto" w:fill="auto"/>
                  <w:noWrap/>
                  <w:vAlign w:val="bottom"/>
                </w:tcPr>
                <w:p>
                  <w:pPr>
                    <w:jc w:val="center"/>
                    <w:rPr>
                      <w:rFonts w:eastAsia="等线"/>
                      <w:sz w:val="18"/>
                      <w:szCs w:val="18"/>
                    </w:rPr>
                  </w:pPr>
                  <w:r>
                    <w:rPr>
                      <w:rFonts w:hint="eastAsia" w:eastAsia="等线"/>
                      <w:sz w:val="18"/>
                      <w:szCs w:val="18"/>
                    </w:rPr>
                    <w:t>0.19</w:t>
                  </w:r>
                </w:p>
              </w:tc>
              <w:tc>
                <w:tcPr>
                  <w:tcW w:w="752" w:type="dxa"/>
                  <w:shd w:val="clear" w:color="auto" w:fill="auto"/>
                  <w:noWrap/>
                  <w:vAlign w:val="bottom"/>
                </w:tcPr>
                <w:p>
                  <w:pPr>
                    <w:jc w:val="center"/>
                    <w:rPr>
                      <w:rFonts w:eastAsia="等线"/>
                      <w:sz w:val="18"/>
                      <w:szCs w:val="18"/>
                    </w:rPr>
                  </w:pPr>
                  <w:r>
                    <w:rPr>
                      <w:rFonts w:hint="eastAsia" w:eastAsia="等线"/>
                      <w:sz w:val="18"/>
                      <w:szCs w:val="18"/>
                    </w:rPr>
                    <w:t>0.37</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0.16</w:t>
                  </w:r>
                </w:p>
              </w:tc>
              <w:tc>
                <w:tcPr>
                  <w:tcW w:w="752" w:type="dxa"/>
                  <w:shd w:val="clear" w:color="auto" w:fill="auto"/>
                  <w:noWrap/>
                  <w:vAlign w:val="bottom"/>
                </w:tcPr>
                <w:p>
                  <w:pPr>
                    <w:jc w:val="center"/>
                    <w:rPr>
                      <w:rFonts w:eastAsia="等线"/>
                      <w:sz w:val="18"/>
                      <w:szCs w:val="18"/>
                    </w:rPr>
                  </w:pPr>
                  <w:r>
                    <w:rPr>
                      <w:rFonts w:hint="eastAsia" w:eastAsia="等线"/>
                      <w:sz w:val="18"/>
                      <w:szCs w:val="18"/>
                    </w:rPr>
                    <w:t>0.12</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8</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0.72</w:t>
                  </w:r>
                </w:p>
              </w:tc>
              <w:tc>
                <w:tcPr>
                  <w:tcW w:w="752" w:type="dxa"/>
                  <w:shd w:val="clear" w:color="auto" w:fill="auto"/>
                  <w:noWrap/>
                  <w:vAlign w:val="bottom"/>
                </w:tcPr>
                <w:p>
                  <w:pPr>
                    <w:jc w:val="center"/>
                    <w:rPr>
                      <w:rFonts w:eastAsia="等线"/>
                      <w:sz w:val="18"/>
                      <w:szCs w:val="18"/>
                    </w:rPr>
                  </w:pPr>
                  <w:r>
                    <w:rPr>
                      <w:rFonts w:hint="eastAsia" w:eastAsia="等线"/>
                      <w:sz w:val="18"/>
                      <w:szCs w:val="18"/>
                    </w:rPr>
                    <w:t>0.86</w:t>
                  </w:r>
                </w:p>
              </w:tc>
              <w:tc>
                <w:tcPr>
                  <w:tcW w:w="752" w:type="dxa"/>
                  <w:shd w:val="clear" w:color="auto" w:fill="auto"/>
                  <w:noWrap/>
                  <w:vAlign w:val="bottom"/>
                </w:tcPr>
                <w:p>
                  <w:pPr>
                    <w:jc w:val="center"/>
                    <w:rPr>
                      <w:rFonts w:eastAsia="等线"/>
                      <w:sz w:val="18"/>
                      <w:szCs w:val="18"/>
                    </w:rPr>
                  </w:pPr>
                  <w:r>
                    <w:rPr>
                      <w:rFonts w:hint="eastAsia" w:eastAsia="等线"/>
                      <w:sz w:val="18"/>
                      <w:szCs w:val="18"/>
                    </w:rPr>
                    <w:t>0.51</w:t>
                  </w:r>
                </w:p>
              </w:tc>
              <w:tc>
                <w:tcPr>
                  <w:tcW w:w="752" w:type="dxa"/>
                  <w:shd w:val="clear" w:color="auto" w:fill="auto"/>
                  <w:noWrap/>
                  <w:vAlign w:val="bottom"/>
                </w:tcPr>
                <w:p>
                  <w:pPr>
                    <w:jc w:val="center"/>
                    <w:rPr>
                      <w:rFonts w:eastAsia="等线"/>
                      <w:sz w:val="18"/>
                      <w:szCs w:val="18"/>
                    </w:rPr>
                  </w:pPr>
                  <w:r>
                    <w:rPr>
                      <w:rFonts w:hint="eastAsia" w:eastAsia="等线"/>
                      <w:sz w:val="18"/>
                      <w:szCs w:val="18"/>
                    </w:rPr>
                    <w:t>0.32</w:t>
                  </w:r>
                </w:p>
              </w:tc>
              <w:tc>
                <w:tcPr>
                  <w:tcW w:w="752" w:type="dxa"/>
                  <w:shd w:val="clear" w:color="auto" w:fill="auto"/>
                  <w:noWrap/>
                  <w:vAlign w:val="bottom"/>
                </w:tcPr>
                <w:p>
                  <w:pPr>
                    <w:jc w:val="center"/>
                    <w:rPr>
                      <w:rFonts w:eastAsia="等线"/>
                      <w:sz w:val="18"/>
                      <w:szCs w:val="18"/>
                    </w:rPr>
                  </w:pPr>
                  <w:r>
                    <w:rPr>
                      <w:rFonts w:hint="eastAsia" w:eastAsia="等线"/>
                      <w:sz w:val="18"/>
                      <w:szCs w:val="18"/>
                    </w:rPr>
                    <w:t>0.48</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52" w:type="dxa"/>
                  <w:shd w:val="clear" w:color="auto" w:fill="auto"/>
                  <w:noWrap/>
                  <w:vAlign w:val="bottom"/>
                </w:tcPr>
                <w:p>
                  <w:pPr>
                    <w:jc w:val="center"/>
                    <w:rPr>
                      <w:rFonts w:eastAsia="等线"/>
                      <w:sz w:val="18"/>
                      <w:szCs w:val="18"/>
                    </w:rPr>
                  </w:pPr>
                  <w:r>
                    <w:rPr>
                      <w:rFonts w:hint="eastAsia" w:eastAsia="等线"/>
                      <w:sz w:val="18"/>
                      <w:szCs w:val="18"/>
                    </w:rPr>
                    <w:t>0.21</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9</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10</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0.74</w:t>
                  </w:r>
                </w:p>
              </w:tc>
              <w:tc>
                <w:tcPr>
                  <w:tcW w:w="752" w:type="dxa"/>
                  <w:shd w:val="clear" w:color="auto" w:fill="auto"/>
                  <w:noWrap/>
                  <w:vAlign w:val="bottom"/>
                </w:tcPr>
                <w:p>
                  <w:pPr>
                    <w:jc w:val="center"/>
                    <w:rPr>
                      <w:rFonts w:eastAsia="等线"/>
                      <w:sz w:val="18"/>
                      <w:szCs w:val="18"/>
                    </w:rPr>
                  </w:pPr>
                  <w:r>
                    <w:rPr>
                      <w:rFonts w:hint="eastAsia" w:eastAsia="等线"/>
                      <w:sz w:val="18"/>
                      <w:szCs w:val="18"/>
                    </w:rPr>
                    <w:t>0.49</w:t>
                  </w:r>
                </w:p>
              </w:tc>
              <w:tc>
                <w:tcPr>
                  <w:tcW w:w="752" w:type="dxa"/>
                  <w:shd w:val="clear" w:color="auto" w:fill="auto"/>
                  <w:noWrap/>
                  <w:vAlign w:val="bottom"/>
                </w:tcPr>
                <w:p>
                  <w:pPr>
                    <w:jc w:val="center"/>
                    <w:rPr>
                      <w:rFonts w:eastAsia="等线"/>
                      <w:sz w:val="18"/>
                      <w:szCs w:val="18"/>
                    </w:rPr>
                  </w:pPr>
                  <w:r>
                    <w:rPr>
                      <w:rFonts w:hint="eastAsia" w:eastAsia="等线"/>
                      <w:sz w:val="18"/>
                      <w:szCs w:val="18"/>
                    </w:rPr>
                    <w:t>0.56</w:t>
                  </w:r>
                </w:p>
              </w:tc>
              <w:tc>
                <w:tcPr>
                  <w:tcW w:w="752" w:type="dxa"/>
                  <w:shd w:val="clear" w:color="auto" w:fill="auto"/>
                  <w:noWrap/>
                  <w:vAlign w:val="bottom"/>
                </w:tcPr>
                <w:p>
                  <w:pPr>
                    <w:jc w:val="center"/>
                    <w:rPr>
                      <w:rFonts w:eastAsia="等线"/>
                      <w:sz w:val="18"/>
                      <w:szCs w:val="18"/>
                    </w:rPr>
                  </w:pPr>
                  <w:r>
                    <w:rPr>
                      <w:rFonts w:hint="eastAsia" w:eastAsia="等线"/>
                      <w:sz w:val="18"/>
                      <w:szCs w:val="18"/>
                    </w:rPr>
                    <w:t>0.18</w:t>
                  </w:r>
                </w:p>
              </w:tc>
              <w:tc>
                <w:tcPr>
                  <w:tcW w:w="752" w:type="dxa"/>
                  <w:shd w:val="clear" w:color="auto" w:fill="auto"/>
                  <w:noWrap/>
                  <w:vAlign w:val="bottom"/>
                </w:tcPr>
                <w:p>
                  <w:pPr>
                    <w:jc w:val="center"/>
                    <w:rPr>
                      <w:rFonts w:eastAsia="等线"/>
                      <w:sz w:val="18"/>
                      <w:szCs w:val="18"/>
                    </w:rPr>
                  </w:pPr>
                  <w:r>
                    <w:rPr>
                      <w:rFonts w:hint="eastAsia" w:eastAsia="等线"/>
                      <w:sz w:val="18"/>
                      <w:szCs w:val="18"/>
                    </w:rPr>
                    <w:t>0.36</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0.26</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11</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0.63</w:t>
                  </w:r>
                </w:p>
              </w:tc>
              <w:tc>
                <w:tcPr>
                  <w:tcW w:w="752" w:type="dxa"/>
                  <w:shd w:val="clear" w:color="auto" w:fill="auto"/>
                  <w:noWrap/>
                  <w:vAlign w:val="bottom"/>
                </w:tcPr>
                <w:p>
                  <w:pPr>
                    <w:jc w:val="center"/>
                    <w:rPr>
                      <w:rFonts w:eastAsia="等线"/>
                      <w:sz w:val="18"/>
                      <w:szCs w:val="18"/>
                    </w:rPr>
                  </w:pPr>
                  <w:r>
                    <w:rPr>
                      <w:rFonts w:hint="eastAsia" w:eastAsia="等线"/>
                      <w:sz w:val="18"/>
                      <w:szCs w:val="18"/>
                    </w:rPr>
                    <w:t>0.53</w:t>
                  </w:r>
                </w:p>
              </w:tc>
              <w:tc>
                <w:tcPr>
                  <w:tcW w:w="752" w:type="dxa"/>
                  <w:shd w:val="clear" w:color="auto" w:fill="auto"/>
                  <w:noWrap/>
                  <w:vAlign w:val="bottom"/>
                </w:tcPr>
                <w:p>
                  <w:pPr>
                    <w:jc w:val="center"/>
                    <w:rPr>
                      <w:rFonts w:eastAsia="等线"/>
                      <w:sz w:val="18"/>
                      <w:szCs w:val="18"/>
                    </w:rPr>
                  </w:pPr>
                  <w:r>
                    <w:rPr>
                      <w:rFonts w:hint="eastAsia" w:eastAsia="等线"/>
                      <w:sz w:val="18"/>
                      <w:szCs w:val="18"/>
                    </w:rPr>
                    <w:t>0.27</w:t>
                  </w:r>
                </w:p>
              </w:tc>
              <w:tc>
                <w:tcPr>
                  <w:tcW w:w="752" w:type="dxa"/>
                  <w:shd w:val="clear" w:color="auto" w:fill="auto"/>
                  <w:noWrap/>
                  <w:vAlign w:val="bottom"/>
                </w:tcPr>
                <w:p>
                  <w:pPr>
                    <w:jc w:val="center"/>
                    <w:rPr>
                      <w:rFonts w:eastAsia="等线"/>
                      <w:sz w:val="18"/>
                      <w:szCs w:val="18"/>
                    </w:rPr>
                  </w:pPr>
                  <w:r>
                    <w:rPr>
                      <w:rFonts w:hint="eastAsia" w:eastAsia="等线"/>
                      <w:sz w:val="18"/>
                      <w:szCs w:val="18"/>
                    </w:rPr>
                    <w:t>0.51</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52" w:type="dxa"/>
                  <w:shd w:val="clear" w:color="auto" w:fill="auto"/>
                  <w:noWrap/>
                  <w:vAlign w:val="bottom"/>
                </w:tcPr>
                <w:p>
                  <w:pPr>
                    <w:jc w:val="center"/>
                    <w:rPr>
                      <w:rFonts w:eastAsia="等线"/>
                      <w:sz w:val="18"/>
                      <w:szCs w:val="18"/>
                    </w:rPr>
                  </w:pPr>
                  <w:r>
                    <w:rPr>
                      <w:rFonts w:hint="eastAsia" w:eastAsia="等线"/>
                      <w:sz w:val="18"/>
                      <w:szCs w:val="18"/>
                    </w:rPr>
                    <w:t>0.22</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12</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0.03</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0.11</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13</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0.03</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0.11</w:t>
                  </w:r>
                </w:p>
              </w:tc>
              <w:tc>
                <w:tcPr>
                  <w:tcW w:w="752" w:type="dxa"/>
                  <w:shd w:val="clear" w:color="auto" w:fill="auto"/>
                  <w:noWrap/>
                  <w:vAlign w:val="bottom"/>
                </w:tcPr>
                <w:p>
                  <w:pPr>
                    <w:jc w:val="center"/>
                    <w:rPr>
                      <w:rFonts w:eastAsia="等线"/>
                      <w:sz w:val="18"/>
                      <w:szCs w:val="18"/>
                    </w:rPr>
                  </w:pPr>
                  <w:r>
                    <w:rPr>
                      <w:rFonts w:hint="eastAsia" w:eastAsia="等线"/>
                      <w:sz w:val="18"/>
                      <w:szCs w:val="18"/>
                    </w:rPr>
                    <w:t>0.03</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13</w:t>
                  </w:r>
                </w:p>
              </w:tc>
              <w:tc>
                <w:tcPr>
                  <w:tcW w:w="838" w:type="dxa"/>
                  <w:shd w:val="clear" w:color="auto" w:fill="auto"/>
                  <w:noWrap/>
                  <w:vAlign w:val="bottom"/>
                </w:tcPr>
                <w:p>
                  <w:pPr>
                    <w:jc w:val="center"/>
                    <w:rPr>
                      <w:sz w:val="18"/>
                      <w:szCs w:val="18"/>
                    </w:rPr>
                  </w:pPr>
                  <w:r>
                    <w:rPr>
                      <w:rFonts w:eastAsia="楷体"/>
                      <w:sz w:val="18"/>
                      <w:szCs w:val="18"/>
                    </w:rPr>
                    <w:t>底层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0.03</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14</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0.03</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14</w:t>
                  </w:r>
                </w:p>
              </w:tc>
              <w:tc>
                <w:tcPr>
                  <w:tcW w:w="838" w:type="dxa"/>
                  <w:shd w:val="clear" w:color="auto" w:fill="auto"/>
                  <w:noWrap/>
                  <w:vAlign w:val="bottom"/>
                </w:tcPr>
                <w:p>
                  <w:pPr>
                    <w:jc w:val="center"/>
                    <w:rPr>
                      <w:sz w:val="18"/>
                      <w:szCs w:val="18"/>
                    </w:rPr>
                  </w:pPr>
                  <w:r>
                    <w:rPr>
                      <w:rFonts w:eastAsia="楷体"/>
                      <w:sz w:val="18"/>
                      <w:szCs w:val="18"/>
                    </w:rPr>
                    <w:t>底层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0.03</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15</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0.64</w:t>
                  </w:r>
                </w:p>
              </w:tc>
              <w:tc>
                <w:tcPr>
                  <w:tcW w:w="752" w:type="dxa"/>
                  <w:shd w:val="clear" w:color="auto" w:fill="auto"/>
                  <w:noWrap/>
                  <w:vAlign w:val="bottom"/>
                </w:tcPr>
                <w:p>
                  <w:pPr>
                    <w:jc w:val="center"/>
                    <w:rPr>
                      <w:rFonts w:eastAsia="等线"/>
                      <w:sz w:val="18"/>
                      <w:szCs w:val="18"/>
                    </w:rPr>
                  </w:pPr>
                  <w:r>
                    <w:rPr>
                      <w:rFonts w:hint="eastAsia" w:eastAsia="等线"/>
                      <w:sz w:val="18"/>
                      <w:szCs w:val="18"/>
                    </w:rPr>
                    <w:t>0.28</w:t>
                  </w:r>
                </w:p>
              </w:tc>
              <w:tc>
                <w:tcPr>
                  <w:tcW w:w="752" w:type="dxa"/>
                  <w:shd w:val="clear" w:color="auto" w:fill="auto"/>
                  <w:noWrap/>
                  <w:vAlign w:val="bottom"/>
                </w:tcPr>
                <w:p>
                  <w:pPr>
                    <w:jc w:val="center"/>
                    <w:rPr>
                      <w:rFonts w:eastAsia="等线"/>
                      <w:sz w:val="18"/>
                      <w:szCs w:val="18"/>
                    </w:rPr>
                  </w:pPr>
                  <w:r>
                    <w:rPr>
                      <w:rFonts w:hint="eastAsia" w:eastAsia="等线"/>
                      <w:sz w:val="18"/>
                      <w:szCs w:val="18"/>
                    </w:rPr>
                    <w:t>0.23</w:t>
                  </w:r>
                </w:p>
              </w:tc>
              <w:tc>
                <w:tcPr>
                  <w:tcW w:w="752" w:type="dxa"/>
                  <w:shd w:val="clear" w:color="auto" w:fill="auto"/>
                  <w:noWrap/>
                  <w:vAlign w:val="bottom"/>
                </w:tcPr>
                <w:p>
                  <w:pPr>
                    <w:jc w:val="center"/>
                    <w:rPr>
                      <w:rFonts w:eastAsia="等线"/>
                      <w:sz w:val="18"/>
                      <w:szCs w:val="18"/>
                    </w:rPr>
                  </w:pPr>
                  <w:r>
                    <w:rPr>
                      <w:rFonts w:hint="eastAsia" w:eastAsia="等线"/>
                      <w:sz w:val="18"/>
                      <w:szCs w:val="18"/>
                    </w:rPr>
                    <w:t>0.37</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0.22</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16</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0.27</w:t>
                  </w:r>
                </w:p>
              </w:tc>
              <w:tc>
                <w:tcPr>
                  <w:tcW w:w="752" w:type="dxa"/>
                  <w:shd w:val="clear" w:color="auto" w:fill="auto"/>
                  <w:noWrap/>
                  <w:vAlign w:val="bottom"/>
                </w:tcPr>
                <w:p>
                  <w:pPr>
                    <w:jc w:val="center"/>
                    <w:rPr>
                      <w:rFonts w:eastAsia="等线"/>
                      <w:sz w:val="18"/>
                      <w:szCs w:val="18"/>
                    </w:rPr>
                  </w:pPr>
                  <w:r>
                    <w:rPr>
                      <w:rFonts w:hint="eastAsia" w:eastAsia="等线"/>
                      <w:sz w:val="18"/>
                      <w:szCs w:val="18"/>
                    </w:rPr>
                    <w:t>0.09</w:t>
                  </w:r>
                </w:p>
              </w:tc>
              <w:tc>
                <w:tcPr>
                  <w:tcW w:w="752" w:type="dxa"/>
                  <w:shd w:val="clear" w:color="auto" w:fill="auto"/>
                  <w:noWrap/>
                  <w:vAlign w:val="bottom"/>
                </w:tcPr>
                <w:p>
                  <w:pPr>
                    <w:jc w:val="center"/>
                    <w:rPr>
                      <w:rFonts w:eastAsia="等线"/>
                      <w:sz w:val="18"/>
                      <w:szCs w:val="18"/>
                    </w:rPr>
                  </w:pPr>
                  <w:r>
                    <w:rPr>
                      <w:rFonts w:hint="eastAsia" w:eastAsia="等线"/>
                      <w:sz w:val="18"/>
                      <w:szCs w:val="18"/>
                    </w:rPr>
                    <w:t>0.09</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0.17</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45" w:type="dxa"/>
                  <w:vAlign w:val="center"/>
                </w:tcPr>
                <w:p>
                  <w:pPr>
                    <w:jc w:val="center"/>
                    <w:rPr>
                      <w:rFonts w:eastAsia="等线"/>
                      <w:sz w:val="18"/>
                      <w:szCs w:val="18"/>
                    </w:rPr>
                  </w:pPr>
                  <w:r>
                    <w:rPr>
                      <w:rFonts w:hint="eastAsia"/>
                      <w:b/>
                      <w:bCs/>
                      <w:sz w:val="18"/>
                      <w:szCs w:val="18"/>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17</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0.03</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0.13</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17</w:t>
                  </w:r>
                </w:p>
              </w:tc>
              <w:tc>
                <w:tcPr>
                  <w:tcW w:w="838" w:type="dxa"/>
                  <w:shd w:val="clear" w:color="auto" w:fill="auto"/>
                  <w:noWrap/>
                  <w:vAlign w:val="bottom"/>
                </w:tcPr>
                <w:p>
                  <w:pPr>
                    <w:jc w:val="center"/>
                    <w:rPr>
                      <w:sz w:val="18"/>
                      <w:szCs w:val="18"/>
                    </w:rPr>
                  </w:pPr>
                  <w:r>
                    <w:rPr>
                      <w:rFonts w:eastAsia="楷体"/>
                      <w:sz w:val="18"/>
                      <w:szCs w:val="18"/>
                    </w:rPr>
                    <w:t>底层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0.03</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52" w:type="dxa"/>
                  <w:shd w:val="clear" w:color="auto" w:fill="auto"/>
                  <w:noWrap/>
                  <w:vAlign w:val="bottom"/>
                </w:tcPr>
                <w:p>
                  <w:pPr>
                    <w:jc w:val="center"/>
                    <w:rPr>
                      <w:rFonts w:eastAsia="等线"/>
                      <w:sz w:val="18"/>
                      <w:szCs w:val="18"/>
                    </w:rPr>
                  </w:pPr>
                  <w:r>
                    <w:rPr>
                      <w:rFonts w:hint="eastAsia" w:eastAsia="等线"/>
                      <w:sz w:val="18"/>
                      <w:szCs w:val="18"/>
                    </w:rPr>
                    <w:t>0.10</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18</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0.74</w:t>
                  </w:r>
                </w:p>
              </w:tc>
              <w:tc>
                <w:tcPr>
                  <w:tcW w:w="752" w:type="dxa"/>
                  <w:shd w:val="clear" w:color="auto" w:fill="auto"/>
                  <w:noWrap/>
                  <w:vAlign w:val="bottom"/>
                </w:tcPr>
                <w:p>
                  <w:pPr>
                    <w:jc w:val="center"/>
                    <w:rPr>
                      <w:rFonts w:eastAsia="等线"/>
                      <w:sz w:val="18"/>
                      <w:szCs w:val="18"/>
                    </w:rPr>
                  </w:pPr>
                  <w:r>
                    <w:rPr>
                      <w:rFonts w:hint="eastAsia" w:eastAsia="等线"/>
                      <w:sz w:val="18"/>
                      <w:szCs w:val="18"/>
                    </w:rPr>
                    <w:t>0.38</w:t>
                  </w:r>
                </w:p>
              </w:tc>
              <w:tc>
                <w:tcPr>
                  <w:tcW w:w="752" w:type="dxa"/>
                  <w:shd w:val="clear" w:color="auto" w:fill="auto"/>
                  <w:noWrap/>
                  <w:vAlign w:val="bottom"/>
                </w:tcPr>
                <w:p>
                  <w:pPr>
                    <w:jc w:val="center"/>
                    <w:rPr>
                      <w:rFonts w:eastAsia="等线"/>
                      <w:sz w:val="18"/>
                      <w:szCs w:val="18"/>
                    </w:rPr>
                  </w:pPr>
                  <w:r>
                    <w:rPr>
                      <w:rFonts w:hint="eastAsia" w:eastAsia="等线"/>
                      <w:sz w:val="18"/>
                      <w:szCs w:val="18"/>
                    </w:rPr>
                    <w:t>0.26</w:t>
                  </w:r>
                </w:p>
              </w:tc>
              <w:tc>
                <w:tcPr>
                  <w:tcW w:w="752" w:type="dxa"/>
                  <w:shd w:val="clear" w:color="auto" w:fill="auto"/>
                  <w:noWrap/>
                  <w:vAlign w:val="bottom"/>
                </w:tcPr>
                <w:p>
                  <w:pPr>
                    <w:jc w:val="center"/>
                    <w:rPr>
                      <w:rFonts w:eastAsia="等线"/>
                      <w:sz w:val="18"/>
                      <w:szCs w:val="18"/>
                    </w:rPr>
                  </w:pPr>
                  <w:r>
                    <w:rPr>
                      <w:rFonts w:hint="eastAsia" w:eastAsia="等线"/>
                      <w:sz w:val="18"/>
                      <w:szCs w:val="18"/>
                    </w:rPr>
                    <w:t>0.49</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0.16</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53" w:hRule="atLeast"/>
                <w:jc w:val="center"/>
              </w:trPr>
              <w:tc>
                <w:tcPr>
                  <w:tcW w:w="661" w:type="dxa"/>
                  <w:shd w:val="clear" w:color="auto" w:fill="auto"/>
                  <w:noWrap/>
                  <w:vAlign w:val="bottom"/>
                </w:tcPr>
                <w:p>
                  <w:pPr>
                    <w:jc w:val="center"/>
                    <w:rPr>
                      <w:sz w:val="18"/>
                      <w:szCs w:val="18"/>
                    </w:rPr>
                  </w:pPr>
                  <w:r>
                    <w:rPr>
                      <w:rFonts w:eastAsia="楷体"/>
                      <w:sz w:val="18"/>
                      <w:szCs w:val="18"/>
                    </w:rPr>
                    <w:t>18</w:t>
                  </w:r>
                </w:p>
              </w:tc>
              <w:tc>
                <w:tcPr>
                  <w:tcW w:w="838" w:type="dxa"/>
                  <w:shd w:val="clear" w:color="auto" w:fill="auto"/>
                  <w:noWrap/>
                  <w:vAlign w:val="bottom"/>
                </w:tcPr>
                <w:p>
                  <w:pPr>
                    <w:jc w:val="center"/>
                    <w:rPr>
                      <w:sz w:val="18"/>
                      <w:szCs w:val="18"/>
                    </w:rPr>
                  </w:pPr>
                  <w:r>
                    <w:rPr>
                      <w:rFonts w:eastAsia="楷体"/>
                      <w:sz w:val="18"/>
                      <w:szCs w:val="18"/>
                    </w:rPr>
                    <w:t>底层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0.51</w:t>
                  </w:r>
                </w:p>
              </w:tc>
              <w:tc>
                <w:tcPr>
                  <w:tcW w:w="752" w:type="dxa"/>
                  <w:shd w:val="clear" w:color="auto" w:fill="auto"/>
                  <w:noWrap/>
                  <w:vAlign w:val="bottom"/>
                </w:tcPr>
                <w:p>
                  <w:pPr>
                    <w:jc w:val="center"/>
                    <w:rPr>
                      <w:rFonts w:eastAsia="等线"/>
                      <w:sz w:val="18"/>
                      <w:szCs w:val="18"/>
                    </w:rPr>
                  </w:pPr>
                  <w:r>
                    <w:rPr>
                      <w:rFonts w:hint="eastAsia" w:eastAsia="等线"/>
                      <w:sz w:val="18"/>
                      <w:szCs w:val="18"/>
                    </w:rPr>
                    <w:t>0.33</w:t>
                  </w:r>
                </w:p>
              </w:tc>
              <w:tc>
                <w:tcPr>
                  <w:tcW w:w="752" w:type="dxa"/>
                  <w:shd w:val="clear" w:color="auto" w:fill="auto"/>
                  <w:noWrap/>
                  <w:vAlign w:val="bottom"/>
                </w:tcPr>
                <w:p>
                  <w:pPr>
                    <w:jc w:val="center"/>
                    <w:rPr>
                      <w:rFonts w:eastAsia="等线"/>
                      <w:sz w:val="18"/>
                      <w:szCs w:val="18"/>
                    </w:rPr>
                  </w:pPr>
                  <w:r>
                    <w:rPr>
                      <w:rFonts w:hint="eastAsia" w:eastAsia="等线"/>
                      <w:sz w:val="18"/>
                      <w:szCs w:val="18"/>
                    </w:rPr>
                    <w:t>0.18</w:t>
                  </w:r>
                </w:p>
              </w:tc>
              <w:tc>
                <w:tcPr>
                  <w:tcW w:w="752" w:type="dxa"/>
                  <w:shd w:val="clear" w:color="auto" w:fill="auto"/>
                  <w:noWrap/>
                  <w:vAlign w:val="bottom"/>
                </w:tcPr>
                <w:p>
                  <w:pPr>
                    <w:jc w:val="center"/>
                    <w:rPr>
                      <w:rFonts w:eastAsia="等线"/>
                      <w:sz w:val="18"/>
                      <w:szCs w:val="18"/>
                    </w:rPr>
                  </w:pPr>
                  <w:r>
                    <w:rPr>
                      <w:rFonts w:hint="eastAsia" w:eastAsia="等线"/>
                      <w:sz w:val="18"/>
                      <w:szCs w:val="18"/>
                    </w:rPr>
                    <w:t>0.51</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0.18</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19</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0.56</w:t>
                  </w:r>
                </w:p>
              </w:tc>
              <w:tc>
                <w:tcPr>
                  <w:tcW w:w="752" w:type="dxa"/>
                  <w:shd w:val="clear" w:color="auto" w:fill="auto"/>
                  <w:noWrap/>
                  <w:vAlign w:val="bottom"/>
                </w:tcPr>
                <w:p>
                  <w:pPr>
                    <w:jc w:val="center"/>
                    <w:rPr>
                      <w:rFonts w:eastAsia="等线"/>
                      <w:sz w:val="18"/>
                      <w:szCs w:val="18"/>
                    </w:rPr>
                  </w:pPr>
                  <w:r>
                    <w:rPr>
                      <w:rFonts w:hint="eastAsia" w:eastAsia="等线"/>
                      <w:sz w:val="18"/>
                      <w:szCs w:val="18"/>
                    </w:rPr>
                    <w:t>0.38</w:t>
                  </w:r>
                </w:p>
              </w:tc>
              <w:tc>
                <w:tcPr>
                  <w:tcW w:w="752" w:type="dxa"/>
                  <w:shd w:val="clear" w:color="auto" w:fill="auto"/>
                  <w:noWrap/>
                  <w:vAlign w:val="bottom"/>
                </w:tcPr>
                <w:p>
                  <w:pPr>
                    <w:jc w:val="center"/>
                    <w:rPr>
                      <w:rFonts w:eastAsia="等线"/>
                      <w:sz w:val="18"/>
                      <w:szCs w:val="18"/>
                    </w:rPr>
                  </w:pPr>
                  <w:r>
                    <w:rPr>
                      <w:rFonts w:hint="eastAsia" w:eastAsia="等线"/>
                      <w:sz w:val="18"/>
                      <w:szCs w:val="18"/>
                    </w:rPr>
                    <w:t>0.21</w:t>
                  </w:r>
                </w:p>
              </w:tc>
              <w:tc>
                <w:tcPr>
                  <w:tcW w:w="752" w:type="dxa"/>
                  <w:shd w:val="clear" w:color="auto" w:fill="auto"/>
                  <w:noWrap/>
                  <w:vAlign w:val="bottom"/>
                </w:tcPr>
                <w:p>
                  <w:pPr>
                    <w:jc w:val="center"/>
                    <w:rPr>
                      <w:rFonts w:eastAsia="等线"/>
                      <w:sz w:val="18"/>
                      <w:szCs w:val="18"/>
                    </w:rPr>
                  </w:pPr>
                  <w:r>
                    <w:rPr>
                      <w:rFonts w:hint="eastAsia" w:eastAsia="等线"/>
                      <w:sz w:val="18"/>
                      <w:szCs w:val="18"/>
                    </w:rPr>
                    <w:t>0.44</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52" w:type="dxa"/>
                  <w:shd w:val="clear" w:color="auto" w:fill="auto"/>
                  <w:noWrap/>
                  <w:vAlign w:val="bottom"/>
                </w:tcPr>
                <w:p>
                  <w:pPr>
                    <w:jc w:val="center"/>
                    <w:rPr>
                      <w:rFonts w:eastAsia="等线"/>
                      <w:sz w:val="18"/>
                      <w:szCs w:val="18"/>
                    </w:rPr>
                  </w:pPr>
                  <w:r>
                    <w:rPr>
                      <w:rFonts w:hint="eastAsia" w:eastAsia="等线"/>
                      <w:sz w:val="18"/>
                      <w:szCs w:val="18"/>
                    </w:rPr>
                    <w:t>0.24</w:t>
                  </w:r>
                </w:p>
              </w:tc>
              <w:tc>
                <w:tcPr>
                  <w:tcW w:w="752" w:type="dxa"/>
                  <w:shd w:val="clear" w:color="auto" w:fill="auto"/>
                  <w:noWrap/>
                  <w:vAlign w:val="bottom"/>
                </w:tcPr>
                <w:p>
                  <w:pPr>
                    <w:jc w:val="center"/>
                    <w:rPr>
                      <w:rFonts w:eastAsia="等线"/>
                      <w:sz w:val="18"/>
                      <w:szCs w:val="18"/>
                    </w:rPr>
                  </w:pPr>
                  <w:r>
                    <w:rPr>
                      <w:rFonts w:hint="eastAsia" w:eastAsia="等线"/>
                      <w:sz w:val="18"/>
                      <w:szCs w:val="18"/>
                    </w:rPr>
                    <w:t>0.09</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19</w:t>
                  </w:r>
                </w:p>
              </w:tc>
              <w:tc>
                <w:tcPr>
                  <w:tcW w:w="838" w:type="dxa"/>
                  <w:shd w:val="clear" w:color="auto" w:fill="auto"/>
                  <w:noWrap/>
                  <w:vAlign w:val="bottom"/>
                </w:tcPr>
                <w:p>
                  <w:pPr>
                    <w:jc w:val="center"/>
                    <w:rPr>
                      <w:sz w:val="18"/>
                      <w:szCs w:val="18"/>
                    </w:rPr>
                  </w:pPr>
                  <w:r>
                    <w:rPr>
                      <w:rFonts w:eastAsia="楷体"/>
                      <w:sz w:val="18"/>
                      <w:szCs w:val="18"/>
                    </w:rPr>
                    <w:t>底层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0.82</w:t>
                  </w:r>
                </w:p>
              </w:tc>
              <w:tc>
                <w:tcPr>
                  <w:tcW w:w="752" w:type="dxa"/>
                  <w:shd w:val="clear" w:color="auto" w:fill="auto"/>
                  <w:noWrap/>
                  <w:vAlign w:val="bottom"/>
                </w:tcPr>
                <w:p>
                  <w:pPr>
                    <w:jc w:val="center"/>
                    <w:rPr>
                      <w:rFonts w:eastAsia="等线"/>
                      <w:sz w:val="18"/>
                      <w:szCs w:val="18"/>
                    </w:rPr>
                  </w:pPr>
                  <w:r>
                    <w:rPr>
                      <w:rFonts w:hint="eastAsia" w:eastAsia="等线"/>
                      <w:sz w:val="18"/>
                      <w:szCs w:val="18"/>
                    </w:rPr>
                    <w:t>0.54</w:t>
                  </w:r>
                </w:p>
              </w:tc>
              <w:tc>
                <w:tcPr>
                  <w:tcW w:w="752" w:type="dxa"/>
                  <w:shd w:val="clear" w:color="auto" w:fill="auto"/>
                  <w:noWrap/>
                  <w:vAlign w:val="bottom"/>
                </w:tcPr>
                <w:p>
                  <w:pPr>
                    <w:jc w:val="center"/>
                    <w:rPr>
                      <w:rFonts w:eastAsia="等线"/>
                      <w:sz w:val="18"/>
                      <w:szCs w:val="18"/>
                    </w:rPr>
                  </w:pPr>
                  <w:r>
                    <w:rPr>
                      <w:rFonts w:hint="eastAsia" w:eastAsia="等线"/>
                      <w:sz w:val="18"/>
                      <w:szCs w:val="18"/>
                    </w:rPr>
                    <w:t>0.31</w:t>
                  </w:r>
                </w:p>
              </w:tc>
              <w:tc>
                <w:tcPr>
                  <w:tcW w:w="752" w:type="dxa"/>
                  <w:shd w:val="clear" w:color="auto" w:fill="auto"/>
                  <w:noWrap/>
                  <w:vAlign w:val="bottom"/>
                </w:tcPr>
                <w:p>
                  <w:pPr>
                    <w:jc w:val="center"/>
                    <w:rPr>
                      <w:rFonts w:eastAsia="等线"/>
                      <w:sz w:val="18"/>
                      <w:szCs w:val="18"/>
                    </w:rPr>
                  </w:pPr>
                  <w:r>
                    <w:rPr>
                      <w:rFonts w:hint="eastAsia" w:eastAsia="等线"/>
                      <w:sz w:val="18"/>
                      <w:szCs w:val="18"/>
                    </w:rPr>
                    <w:t>0.34</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52" w:type="dxa"/>
                  <w:shd w:val="clear" w:color="auto" w:fill="auto"/>
                  <w:noWrap/>
                  <w:vAlign w:val="bottom"/>
                </w:tcPr>
                <w:p>
                  <w:pPr>
                    <w:jc w:val="center"/>
                    <w:rPr>
                      <w:rFonts w:eastAsia="等线"/>
                      <w:sz w:val="18"/>
                      <w:szCs w:val="18"/>
                    </w:rPr>
                  </w:pPr>
                  <w:r>
                    <w:rPr>
                      <w:rFonts w:hint="eastAsia" w:eastAsia="等线"/>
                      <w:sz w:val="18"/>
                      <w:szCs w:val="18"/>
                    </w:rPr>
                    <w:t>0.19</w:t>
                  </w:r>
                </w:p>
              </w:tc>
              <w:tc>
                <w:tcPr>
                  <w:tcW w:w="752" w:type="dxa"/>
                  <w:shd w:val="clear" w:color="auto" w:fill="auto"/>
                  <w:noWrap/>
                  <w:vAlign w:val="bottom"/>
                </w:tcPr>
                <w:p>
                  <w:pPr>
                    <w:jc w:val="center"/>
                    <w:rPr>
                      <w:rFonts w:eastAsia="等线"/>
                      <w:sz w:val="18"/>
                      <w:szCs w:val="18"/>
                    </w:rPr>
                  </w:pPr>
                  <w:r>
                    <w:rPr>
                      <w:rFonts w:hint="eastAsia" w:eastAsia="等线"/>
                      <w:sz w:val="18"/>
                      <w:szCs w:val="18"/>
                    </w:rPr>
                    <w:t>0.07</w:t>
                  </w:r>
                </w:p>
              </w:tc>
              <w:tc>
                <w:tcPr>
                  <w:tcW w:w="745" w:type="dxa"/>
                  <w:vAlign w:val="center"/>
                </w:tcPr>
                <w:p>
                  <w:pPr>
                    <w:jc w:val="center"/>
                    <w:rPr>
                      <w:rFonts w:eastAsia="等线"/>
                      <w:sz w:val="18"/>
                      <w:szCs w:val="18"/>
                    </w:rPr>
                  </w:pPr>
                  <w:r>
                    <w:rPr>
                      <w:rFonts w:hint="eastAsia"/>
                      <w:b/>
                      <w:bCs/>
                      <w:sz w:val="18"/>
                      <w:szCs w:val="18"/>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20</w:t>
                  </w:r>
                </w:p>
              </w:tc>
              <w:tc>
                <w:tcPr>
                  <w:tcW w:w="838" w:type="dxa"/>
                  <w:shd w:val="clear" w:color="auto" w:fill="auto"/>
                  <w:noWrap/>
                  <w:vAlign w:val="bottom"/>
                </w:tcPr>
                <w:p>
                  <w:pPr>
                    <w:jc w:val="center"/>
                    <w:rPr>
                      <w:sz w:val="18"/>
                      <w:szCs w:val="18"/>
                    </w:rPr>
                  </w:pPr>
                  <w:r>
                    <w:rPr>
                      <w:rFonts w:eastAsia="楷体"/>
                      <w:sz w:val="18"/>
                      <w:szCs w:val="18"/>
                    </w:rPr>
                    <w:t>表层</w:t>
                  </w:r>
                </w:p>
              </w:tc>
              <w:tc>
                <w:tcPr>
                  <w:tcW w:w="751" w:type="dxa"/>
                  <w:shd w:val="clear" w:color="auto" w:fill="auto"/>
                  <w:noWrap/>
                  <w:vAlign w:val="bottom"/>
                </w:tcPr>
                <w:p>
                  <w:pPr>
                    <w:jc w:val="center"/>
                    <w:rPr>
                      <w:rFonts w:eastAsia="等线"/>
                      <w:sz w:val="18"/>
                      <w:szCs w:val="18"/>
                    </w:rPr>
                  </w:pPr>
                  <w:r>
                    <w:rPr>
                      <w:rFonts w:hint="eastAsia" w:eastAsia="等线"/>
                      <w:sz w:val="18"/>
                      <w:szCs w:val="18"/>
                    </w:rPr>
                    <w:t>0.03</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0.06</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0.08</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45" w:type="dxa"/>
                  <w:vAlign w:val="center"/>
                </w:tcPr>
                <w:p>
                  <w:pPr>
                    <w:jc w:val="center"/>
                    <w:rPr>
                      <w:rFonts w:eastAsia="等线"/>
                      <w:sz w:val="18"/>
                      <w:szCs w:val="18"/>
                    </w:rPr>
                  </w:pPr>
                  <w:r>
                    <w:rPr>
                      <w:rFonts w:hint="eastAsia"/>
                      <w:b/>
                      <w:bCs/>
                      <w:sz w:val="18"/>
                      <w:szCs w:val="18"/>
                    </w:rPr>
                    <w:t>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jc w:val="center"/>
              </w:trPr>
              <w:tc>
                <w:tcPr>
                  <w:tcW w:w="661" w:type="dxa"/>
                  <w:shd w:val="clear" w:color="auto" w:fill="auto"/>
                  <w:noWrap/>
                  <w:vAlign w:val="bottom"/>
                </w:tcPr>
                <w:p>
                  <w:pPr>
                    <w:jc w:val="center"/>
                    <w:rPr>
                      <w:sz w:val="18"/>
                      <w:szCs w:val="18"/>
                    </w:rPr>
                  </w:pPr>
                  <w:r>
                    <w:rPr>
                      <w:rFonts w:eastAsia="楷体"/>
                      <w:sz w:val="18"/>
                      <w:szCs w:val="18"/>
                    </w:rPr>
                    <w:t>20</w:t>
                  </w:r>
                </w:p>
              </w:tc>
              <w:tc>
                <w:tcPr>
                  <w:tcW w:w="838" w:type="dxa"/>
                  <w:shd w:val="clear" w:color="auto" w:fill="auto"/>
                  <w:noWrap/>
                  <w:vAlign w:val="bottom"/>
                </w:tcPr>
                <w:p>
                  <w:pPr>
                    <w:jc w:val="center"/>
                    <w:rPr>
                      <w:sz w:val="18"/>
                      <w:szCs w:val="18"/>
                    </w:rPr>
                  </w:pPr>
                  <w:r>
                    <w:rPr>
                      <w:rFonts w:eastAsia="楷体"/>
                      <w:sz w:val="18"/>
                      <w:szCs w:val="18"/>
                    </w:rPr>
                    <w:t>底层</w:t>
                  </w:r>
                </w:p>
              </w:tc>
              <w:tc>
                <w:tcPr>
                  <w:tcW w:w="751" w:type="dxa"/>
                  <w:shd w:val="clear" w:color="auto" w:fill="auto"/>
                  <w:noWrap/>
                  <w:vAlign w:val="bottom"/>
                </w:tcPr>
                <w:p>
                  <w:pPr>
                    <w:jc w:val="center"/>
                    <w:rPr>
                      <w:rFonts w:eastAsia="等线"/>
                      <w:sz w:val="18"/>
                      <w:szCs w:val="18"/>
                    </w:rPr>
                  </w:pPr>
                  <w:r>
                    <w:rPr>
                      <w:rFonts w:hint="eastAsia" w:eastAsia="等线"/>
                      <w:sz w:val="18"/>
                      <w:szCs w:val="18"/>
                    </w:rPr>
                    <w:t>0.41</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0.04</w:t>
                  </w:r>
                </w:p>
              </w:tc>
              <w:tc>
                <w:tcPr>
                  <w:tcW w:w="752" w:type="dxa"/>
                  <w:shd w:val="clear" w:color="auto" w:fill="auto"/>
                  <w:noWrap/>
                  <w:vAlign w:val="bottom"/>
                </w:tcPr>
                <w:p>
                  <w:pPr>
                    <w:jc w:val="center"/>
                    <w:rPr>
                      <w:rFonts w:eastAsia="等线"/>
                      <w:sz w:val="18"/>
                      <w:szCs w:val="18"/>
                    </w:rPr>
                  </w:pPr>
                  <w:r>
                    <w:rPr>
                      <w:rFonts w:hint="eastAsia" w:eastAsia="等线"/>
                      <w:sz w:val="18"/>
                      <w:szCs w:val="18"/>
                    </w:rPr>
                    <w:t>0.05</w:t>
                  </w:r>
                </w:p>
              </w:tc>
              <w:tc>
                <w:tcPr>
                  <w:tcW w:w="752" w:type="dxa"/>
                  <w:shd w:val="clear" w:color="auto" w:fill="auto"/>
                  <w:noWrap/>
                  <w:vAlign w:val="bottom"/>
                </w:tcPr>
                <w:p>
                  <w:pPr>
                    <w:jc w:val="center"/>
                    <w:rPr>
                      <w:rFonts w:eastAsia="等线"/>
                      <w:sz w:val="18"/>
                      <w:szCs w:val="18"/>
                    </w:rPr>
                  </w:pPr>
                  <w:r>
                    <w:rPr>
                      <w:rFonts w:hint="eastAsia" w:eastAsia="等线"/>
                      <w:sz w:val="18"/>
                      <w:szCs w:val="18"/>
                    </w:rPr>
                    <w:t>0.01</w:t>
                  </w:r>
                </w:p>
              </w:tc>
              <w:tc>
                <w:tcPr>
                  <w:tcW w:w="752" w:type="dxa"/>
                  <w:shd w:val="clear" w:color="auto" w:fill="auto"/>
                  <w:noWrap/>
                  <w:vAlign w:val="bottom"/>
                </w:tcPr>
                <w:p>
                  <w:pPr>
                    <w:jc w:val="center"/>
                    <w:rPr>
                      <w:rFonts w:eastAsia="等线"/>
                      <w:sz w:val="18"/>
                      <w:szCs w:val="18"/>
                    </w:rPr>
                  </w:pPr>
                  <w:r>
                    <w:rPr>
                      <w:rFonts w:hint="eastAsia" w:eastAsia="等线"/>
                      <w:sz w:val="18"/>
                      <w:szCs w:val="18"/>
                    </w:rPr>
                    <w:t>0.10</w:t>
                  </w:r>
                </w:p>
              </w:tc>
              <w:tc>
                <w:tcPr>
                  <w:tcW w:w="752" w:type="dxa"/>
                  <w:shd w:val="clear" w:color="auto" w:fill="auto"/>
                  <w:noWrap/>
                  <w:vAlign w:val="bottom"/>
                </w:tcPr>
                <w:p>
                  <w:pPr>
                    <w:jc w:val="center"/>
                    <w:rPr>
                      <w:rFonts w:eastAsia="等线"/>
                      <w:sz w:val="18"/>
                      <w:szCs w:val="18"/>
                    </w:rPr>
                  </w:pPr>
                  <w:r>
                    <w:rPr>
                      <w:rFonts w:hint="eastAsia" w:eastAsia="等线"/>
                      <w:sz w:val="18"/>
                      <w:szCs w:val="18"/>
                    </w:rPr>
                    <w:t>0.02</w:t>
                  </w:r>
                </w:p>
              </w:tc>
              <w:tc>
                <w:tcPr>
                  <w:tcW w:w="745" w:type="dxa"/>
                  <w:vAlign w:val="center"/>
                </w:tcPr>
                <w:p>
                  <w:pPr>
                    <w:jc w:val="center"/>
                    <w:rPr>
                      <w:rFonts w:eastAsia="等线"/>
                      <w:sz w:val="18"/>
                      <w:szCs w:val="18"/>
                    </w:rPr>
                  </w:pPr>
                  <w:r>
                    <w:rPr>
                      <w:rFonts w:hint="eastAsia"/>
                      <w:b/>
                      <w:bCs/>
                      <w:sz w:val="18"/>
                      <w:szCs w:val="18"/>
                    </w:rPr>
                    <w:t>三类</w:t>
                  </w:r>
                </w:p>
              </w:tc>
            </w:tr>
          </w:tbl>
          <w:p>
            <w:pPr>
              <w:pStyle w:val="39"/>
              <w:adjustRightInd w:val="0"/>
              <w:snapToGrid w:val="0"/>
              <w:spacing w:line="360" w:lineRule="auto"/>
              <w:ind w:left="0" w:firstLine="482" w:firstLineChars="200"/>
              <w:rPr>
                <w:b/>
              </w:rPr>
            </w:pPr>
            <w:r>
              <w:rPr>
                <w:rFonts w:hint="eastAsia"/>
                <w:b/>
              </w:rPr>
              <w:t>4.1</w:t>
            </w:r>
            <w:r>
              <w:rPr>
                <w:b/>
              </w:rPr>
              <w:t>.2 沉积物现状调查与评价</w:t>
            </w:r>
          </w:p>
          <w:p>
            <w:pPr>
              <w:pStyle w:val="39"/>
              <w:adjustRightInd w:val="0"/>
              <w:snapToGrid w:val="0"/>
              <w:spacing w:line="360" w:lineRule="auto"/>
              <w:ind w:left="0" w:firstLine="482" w:firstLineChars="200"/>
              <w:rPr>
                <w:b/>
              </w:rPr>
            </w:pPr>
            <w:r>
              <w:rPr>
                <w:rFonts w:hint="eastAsia"/>
                <w:b/>
              </w:rPr>
              <w:t>4.1</w:t>
            </w:r>
            <w:r>
              <w:rPr>
                <w:b/>
              </w:rPr>
              <w:t>.2.1 调查时间与站位布设</w:t>
            </w:r>
          </w:p>
          <w:p>
            <w:pPr>
              <w:pStyle w:val="39"/>
              <w:adjustRightInd w:val="0"/>
              <w:snapToGrid w:val="0"/>
              <w:spacing w:line="360" w:lineRule="auto"/>
              <w:ind w:left="0" w:firstLine="480" w:firstLineChars="200"/>
            </w:pPr>
            <w:r>
              <w:rPr>
                <w:rFonts w:hint="eastAsia"/>
              </w:rPr>
              <w:t>于</w:t>
            </w:r>
            <w:r>
              <w:t>20</w:t>
            </w:r>
            <w:r>
              <w:rPr>
                <w:rFonts w:hint="eastAsia"/>
              </w:rPr>
              <w:t>20</w:t>
            </w:r>
            <w:r>
              <w:t>年</w:t>
            </w:r>
            <w:r>
              <w:rPr>
                <w:rFonts w:hint="eastAsia"/>
              </w:rPr>
              <w:t>08</w:t>
            </w:r>
            <w:r>
              <w:t>月</w:t>
            </w:r>
            <w:r>
              <w:rPr>
                <w:rFonts w:hint="eastAsia"/>
              </w:rPr>
              <w:t>02日，在威海市刘公岛附近</w:t>
            </w:r>
            <w:r>
              <w:t>海域布设了10个沉积物调查站位，采样点位置详见图</w:t>
            </w:r>
            <w:r>
              <w:rPr>
                <w:rFonts w:hint="eastAsia"/>
              </w:rPr>
              <w:t>4</w:t>
            </w:r>
            <w:r>
              <w:t>.</w:t>
            </w:r>
            <w:r>
              <w:rPr>
                <w:rFonts w:hint="eastAsia"/>
              </w:rPr>
              <w:t>1.</w:t>
            </w:r>
            <w:r>
              <w:t>1-1及表</w:t>
            </w:r>
            <w:r>
              <w:rPr>
                <w:rFonts w:hint="eastAsia"/>
              </w:rPr>
              <w:t>4</w:t>
            </w:r>
            <w:r>
              <w:t>.</w:t>
            </w:r>
            <w:r>
              <w:rPr>
                <w:rFonts w:hint="eastAsia"/>
              </w:rPr>
              <w:t>1.</w:t>
            </w:r>
            <w:r>
              <w:t>1-1。</w:t>
            </w:r>
          </w:p>
          <w:p>
            <w:pPr>
              <w:pStyle w:val="39"/>
              <w:adjustRightInd w:val="0"/>
              <w:snapToGrid w:val="0"/>
              <w:spacing w:line="360" w:lineRule="auto"/>
              <w:ind w:left="0" w:firstLine="482" w:firstLineChars="200"/>
              <w:rPr>
                <w:b/>
              </w:rPr>
            </w:pPr>
            <w:r>
              <w:rPr>
                <w:rFonts w:hint="eastAsia"/>
                <w:b/>
              </w:rPr>
              <w:t>4.1</w:t>
            </w:r>
            <w:r>
              <w:rPr>
                <w:b/>
              </w:rPr>
              <w:t>.2.2 调查项目与分析方法</w:t>
            </w:r>
          </w:p>
          <w:p>
            <w:pPr>
              <w:pStyle w:val="39"/>
              <w:adjustRightInd w:val="0"/>
              <w:snapToGrid w:val="0"/>
              <w:spacing w:line="360" w:lineRule="auto"/>
              <w:ind w:left="0" w:firstLine="480" w:firstLineChars="200"/>
            </w:pPr>
            <w:r>
              <w:t>（1）调查项目</w:t>
            </w:r>
          </w:p>
          <w:p>
            <w:pPr>
              <w:pStyle w:val="39"/>
              <w:adjustRightInd w:val="0"/>
              <w:snapToGrid w:val="0"/>
              <w:spacing w:line="360" w:lineRule="auto"/>
              <w:ind w:left="0" w:firstLine="480" w:firstLineChars="200"/>
            </w:pPr>
            <w:r>
              <w:t>沉积物监测内容包括有机碳、硫化物、石油类和重金属（铜、镉、铅、锌、汞、铬和砷）共10项指标。</w:t>
            </w:r>
          </w:p>
          <w:p>
            <w:pPr>
              <w:pStyle w:val="39"/>
              <w:adjustRightInd w:val="0"/>
              <w:snapToGrid w:val="0"/>
              <w:spacing w:line="360" w:lineRule="auto"/>
              <w:ind w:left="0" w:firstLine="480" w:firstLineChars="200"/>
            </w:pPr>
            <w:r>
              <w:t>（2）采样和分析方法</w:t>
            </w:r>
          </w:p>
          <w:p>
            <w:pPr>
              <w:pStyle w:val="39"/>
              <w:adjustRightInd w:val="0"/>
              <w:snapToGrid w:val="0"/>
              <w:spacing w:line="360" w:lineRule="auto"/>
              <w:ind w:left="0" w:firstLine="480" w:firstLineChars="200"/>
            </w:pPr>
            <w:r>
              <w:t>a、沉积物采样方法</w:t>
            </w:r>
          </w:p>
          <w:p>
            <w:pPr>
              <w:pStyle w:val="39"/>
              <w:adjustRightInd w:val="0"/>
              <w:snapToGrid w:val="0"/>
              <w:spacing w:line="360" w:lineRule="auto"/>
              <w:ind w:left="0" w:firstLine="480" w:firstLineChars="200"/>
            </w:pPr>
            <w:r>
              <w:t>以箱式采样器取沉积的样品。样品取上甲板后，观察其颜色、嗅和厚度，参照GB/T12763.8辨别颜色，嗅觉鉴别有无油味、硫化氢味及其气味的轻重，观测浅色薄层的厚度。以棕色广口玻璃瓶盛装硫化物样品，充氮避光低温保存，尽快分析；有机碳、石油类和重金属样品以广口玻璃瓶避光低温保存，尽快分析。</w:t>
            </w:r>
          </w:p>
          <w:p>
            <w:pPr>
              <w:pStyle w:val="39"/>
              <w:adjustRightInd w:val="0"/>
              <w:snapToGrid w:val="0"/>
              <w:spacing w:line="360" w:lineRule="auto"/>
              <w:ind w:left="0" w:firstLine="480" w:firstLineChars="200"/>
            </w:pPr>
            <w:r>
              <w:t>b、沉积物分析方法</w:t>
            </w:r>
          </w:p>
          <w:p>
            <w:pPr>
              <w:pStyle w:val="39"/>
              <w:adjustRightInd w:val="0"/>
              <w:snapToGrid w:val="0"/>
              <w:spacing w:line="360" w:lineRule="auto"/>
              <w:ind w:left="0" w:firstLine="480" w:firstLineChars="200"/>
            </w:pPr>
            <w:r>
              <w:t>样品经自然风干、研磨和过筛（80目）后，按照表</w:t>
            </w:r>
            <w:r>
              <w:rPr>
                <w:rFonts w:hint="eastAsia"/>
              </w:rPr>
              <w:t>4.1.</w:t>
            </w:r>
            <w:r>
              <w:t>2-1的方法进行分析。</w:t>
            </w:r>
          </w:p>
          <w:p>
            <w:pPr>
              <w:pStyle w:val="279"/>
              <w:snapToGrid w:val="0"/>
              <w:ind w:firstLine="480"/>
            </w:pPr>
            <w:r>
              <w:t>表</w:t>
            </w:r>
            <w:r>
              <w:rPr>
                <w:rFonts w:hint="eastAsia"/>
              </w:rPr>
              <w:t>4.1</w:t>
            </w:r>
            <w:r>
              <w:t>.2-1 海洋沉积物分析方法</w:t>
            </w:r>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51"/>
              <w:gridCol w:w="3382"/>
              <w:gridCol w:w="2091"/>
              <w:gridCol w:w="153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PrEx>
              <w:trPr>
                <w:trHeight w:val="283" w:hRule="atLeast"/>
                <w:jc w:val="center"/>
              </w:trPr>
              <w:tc>
                <w:tcPr>
                  <w:tcW w:w="1251" w:type="dxa"/>
                  <w:vAlign w:val="center"/>
                </w:tcPr>
                <w:p>
                  <w:pPr>
                    <w:jc w:val="center"/>
                    <w:rPr>
                      <w:b/>
                      <w:sz w:val="18"/>
                      <w:szCs w:val="18"/>
                    </w:rPr>
                  </w:pPr>
                  <w:r>
                    <w:rPr>
                      <w:b/>
                      <w:sz w:val="18"/>
                      <w:szCs w:val="18"/>
                    </w:rPr>
                    <w:t>监测项目</w:t>
                  </w:r>
                </w:p>
              </w:tc>
              <w:tc>
                <w:tcPr>
                  <w:tcW w:w="3382" w:type="dxa"/>
                  <w:vAlign w:val="center"/>
                </w:tcPr>
                <w:p>
                  <w:pPr>
                    <w:jc w:val="center"/>
                    <w:rPr>
                      <w:b/>
                      <w:sz w:val="18"/>
                      <w:szCs w:val="18"/>
                    </w:rPr>
                  </w:pPr>
                  <w:r>
                    <w:rPr>
                      <w:b/>
                      <w:sz w:val="18"/>
                      <w:szCs w:val="18"/>
                    </w:rPr>
                    <w:t>分析方法</w:t>
                  </w:r>
                </w:p>
              </w:tc>
              <w:tc>
                <w:tcPr>
                  <w:tcW w:w="2091" w:type="dxa"/>
                  <w:vAlign w:val="center"/>
                </w:tcPr>
                <w:p>
                  <w:pPr>
                    <w:jc w:val="center"/>
                    <w:rPr>
                      <w:b/>
                      <w:sz w:val="18"/>
                      <w:szCs w:val="18"/>
                    </w:rPr>
                  </w:pPr>
                  <w:r>
                    <w:rPr>
                      <w:b/>
                      <w:sz w:val="18"/>
                      <w:szCs w:val="18"/>
                    </w:rPr>
                    <w:t>引用标准</w:t>
                  </w:r>
                </w:p>
              </w:tc>
              <w:tc>
                <w:tcPr>
                  <w:tcW w:w="1535" w:type="dxa"/>
                  <w:vAlign w:val="center"/>
                </w:tcPr>
                <w:p>
                  <w:pPr>
                    <w:jc w:val="center"/>
                    <w:rPr>
                      <w:b/>
                      <w:sz w:val="18"/>
                      <w:szCs w:val="18"/>
                    </w:rPr>
                  </w:pPr>
                  <w:r>
                    <w:rPr>
                      <w:b/>
                      <w:sz w:val="18"/>
                      <w:szCs w:val="18"/>
                    </w:rPr>
                    <w:t>检出限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r>
                    <w:rPr>
                      <w:sz w:val="18"/>
                      <w:szCs w:val="18"/>
                    </w:rPr>
                    <w:t>有机碳</w:t>
                  </w:r>
                </w:p>
              </w:tc>
              <w:tc>
                <w:tcPr>
                  <w:tcW w:w="3382" w:type="dxa"/>
                  <w:vAlign w:val="center"/>
                </w:tcPr>
                <w:p>
                  <w:pPr>
                    <w:jc w:val="center"/>
                    <w:rPr>
                      <w:sz w:val="18"/>
                      <w:szCs w:val="18"/>
                    </w:rPr>
                  </w:pPr>
                  <w:r>
                    <w:rPr>
                      <w:sz w:val="18"/>
                      <w:szCs w:val="18"/>
                    </w:rPr>
                    <w:t>重铬酸钾容量法</w:t>
                  </w:r>
                </w:p>
              </w:tc>
              <w:tc>
                <w:tcPr>
                  <w:tcW w:w="2091" w:type="dxa"/>
                  <w:vAlign w:val="center"/>
                </w:tcPr>
                <w:p>
                  <w:pPr>
                    <w:jc w:val="center"/>
                    <w:rPr>
                      <w:sz w:val="18"/>
                      <w:szCs w:val="18"/>
                    </w:rPr>
                  </w:pPr>
                  <w:r>
                    <w:rPr>
                      <w:sz w:val="18"/>
                      <w:szCs w:val="18"/>
                    </w:rPr>
                    <w:t>GB17378.4-2007</w:t>
                  </w:r>
                </w:p>
              </w:tc>
              <w:tc>
                <w:tcPr>
                  <w:tcW w:w="1535" w:type="dxa"/>
                  <w:vAlign w:val="center"/>
                </w:tcPr>
                <w:p>
                  <w:pPr>
                    <w:jc w:val="center"/>
                    <w:rPr>
                      <w:sz w:val="18"/>
                      <w:szCs w:val="18"/>
                    </w:rPr>
                  </w:pPr>
                  <w:r>
                    <w:rPr>
                      <w:sz w:val="18"/>
                      <w:szCs w:val="18"/>
                    </w:rPr>
                    <w:t>0.03×10</w:t>
                  </w:r>
                  <w:r>
                    <w:rPr>
                      <w:sz w:val="18"/>
                      <w:szCs w:val="18"/>
                      <w:vertAlign w:val="superscript"/>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r>
                    <w:rPr>
                      <w:sz w:val="18"/>
                      <w:szCs w:val="18"/>
                    </w:rPr>
                    <w:t>硫化物</w:t>
                  </w:r>
                </w:p>
              </w:tc>
              <w:tc>
                <w:tcPr>
                  <w:tcW w:w="3382" w:type="dxa"/>
                  <w:vAlign w:val="center"/>
                </w:tcPr>
                <w:p>
                  <w:pPr>
                    <w:jc w:val="center"/>
                    <w:rPr>
                      <w:sz w:val="18"/>
                      <w:szCs w:val="18"/>
                    </w:rPr>
                  </w:pPr>
                  <w:r>
                    <w:rPr>
                      <w:sz w:val="18"/>
                      <w:szCs w:val="18"/>
                    </w:rPr>
                    <w:t>离子选择电极法</w:t>
                  </w:r>
                </w:p>
              </w:tc>
              <w:tc>
                <w:tcPr>
                  <w:tcW w:w="2091" w:type="dxa"/>
                  <w:vAlign w:val="center"/>
                </w:tcPr>
                <w:p>
                  <w:pPr>
                    <w:jc w:val="center"/>
                    <w:rPr>
                      <w:sz w:val="18"/>
                      <w:szCs w:val="18"/>
                    </w:rPr>
                  </w:pPr>
                  <w:r>
                    <w:rPr>
                      <w:sz w:val="18"/>
                      <w:szCs w:val="18"/>
                    </w:rPr>
                    <w:t>GB17378.4-2007</w:t>
                  </w:r>
                </w:p>
              </w:tc>
              <w:tc>
                <w:tcPr>
                  <w:tcW w:w="1535" w:type="dxa"/>
                  <w:vAlign w:val="center"/>
                </w:tcPr>
                <w:p>
                  <w:pPr>
                    <w:jc w:val="center"/>
                    <w:rPr>
                      <w:sz w:val="18"/>
                      <w:szCs w:val="18"/>
                    </w:rPr>
                  </w:pPr>
                  <w:r>
                    <w:rPr>
                      <w:sz w:val="18"/>
                      <w:szCs w:val="18"/>
                    </w:rPr>
                    <w:t>0.2×10</w:t>
                  </w:r>
                  <w:r>
                    <w:rPr>
                      <w:sz w:val="18"/>
                      <w:szCs w:val="18"/>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r>
                    <w:rPr>
                      <w:sz w:val="18"/>
                      <w:szCs w:val="18"/>
                    </w:rPr>
                    <w:t>石油类</w:t>
                  </w:r>
                </w:p>
              </w:tc>
              <w:tc>
                <w:tcPr>
                  <w:tcW w:w="3382" w:type="dxa"/>
                  <w:vAlign w:val="center"/>
                </w:tcPr>
                <w:p>
                  <w:pPr>
                    <w:jc w:val="center"/>
                    <w:rPr>
                      <w:sz w:val="18"/>
                      <w:szCs w:val="18"/>
                    </w:rPr>
                  </w:pPr>
                  <w:r>
                    <w:rPr>
                      <w:sz w:val="18"/>
                      <w:szCs w:val="18"/>
                    </w:rPr>
                    <w:t>紫外分光光度法</w:t>
                  </w:r>
                </w:p>
              </w:tc>
              <w:tc>
                <w:tcPr>
                  <w:tcW w:w="2091" w:type="dxa"/>
                  <w:vAlign w:val="center"/>
                </w:tcPr>
                <w:p>
                  <w:pPr>
                    <w:jc w:val="center"/>
                    <w:rPr>
                      <w:sz w:val="18"/>
                      <w:szCs w:val="18"/>
                    </w:rPr>
                  </w:pPr>
                  <w:r>
                    <w:rPr>
                      <w:sz w:val="18"/>
                      <w:szCs w:val="18"/>
                    </w:rPr>
                    <w:t>GB17378.4-2007</w:t>
                  </w:r>
                </w:p>
              </w:tc>
              <w:tc>
                <w:tcPr>
                  <w:tcW w:w="1535" w:type="dxa"/>
                  <w:vAlign w:val="center"/>
                </w:tcPr>
                <w:p>
                  <w:pPr>
                    <w:jc w:val="center"/>
                    <w:rPr>
                      <w:sz w:val="18"/>
                      <w:szCs w:val="18"/>
                    </w:rPr>
                  </w:pPr>
                  <w:r>
                    <w:rPr>
                      <w:sz w:val="18"/>
                      <w:szCs w:val="18"/>
                    </w:rPr>
                    <w:t>3.0×10</w:t>
                  </w:r>
                  <w:r>
                    <w:rPr>
                      <w:sz w:val="18"/>
                      <w:szCs w:val="18"/>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r>
                    <w:rPr>
                      <w:sz w:val="18"/>
                      <w:szCs w:val="18"/>
                    </w:rPr>
                    <w:t>铅</w:t>
                  </w:r>
                </w:p>
              </w:tc>
              <w:tc>
                <w:tcPr>
                  <w:tcW w:w="3382" w:type="dxa"/>
                  <w:vAlign w:val="center"/>
                </w:tcPr>
                <w:p>
                  <w:pPr>
                    <w:ind w:left="94" w:leftChars="45"/>
                    <w:jc w:val="center"/>
                    <w:rPr>
                      <w:sz w:val="18"/>
                      <w:szCs w:val="18"/>
                    </w:rPr>
                  </w:pPr>
                  <w:r>
                    <w:rPr>
                      <w:sz w:val="18"/>
                      <w:szCs w:val="18"/>
                    </w:rPr>
                    <w:t>无火焰原子吸收分光光度法</w:t>
                  </w:r>
                </w:p>
              </w:tc>
              <w:tc>
                <w:tcPr>
                  <w:tcW w:w="2091" w:type="dxa"/>
                  <w:vAlign w:val="center"/>
                </w:tcPr>
                <w:p>
                  <w:pPr>
                    <w:ind w:left="94" w:leftChars="45"/>
                    <w:jc w:val="center"/>
                    <w:rPr>
                      <w:sz w:val="18"/>
                      <w:szCs w:val="18"/>
                    </w:rPr>
                  </w:pPr>
                  <w:r>
                    <w:rPr>
                      <w:sz w:val="18"/>
                      <w:szCs w:val="18"/>
                    </w:rPr>
                    <w:t>GB17378.4-2007</w:t>
                  </w:r>
                </w:p>
              </w:tc>
              <w:tc>
                <w:tcPr>
                  <w:tcW w:w="1535" w:type="dxa"/>
                  <w:vAlign w:val="center"/>
                </w:tcPr>
                <w:p>
                  <w:pPr>
                    <w:ind w:left="94" w:leftChars="45"/>
                    <w:jc w:val="center"/>
                    <w:rPr>
                      <w:sz w:val="18"/>
                      <w:szCs w:val="18"/>
                    </w:rPr>
                  </w:pPr>
                  <w:r>
                    <w:rPr>
                      <w:sz w:val="18"/>
                      <w:szCs w:val="18"/>
                    </w:rPr>
                    <w:t>1.0×10</w:t>
                  </w:r>
                  <w:r>
                    <w:rPr>
                      <w:sz w:val="18"/>
                      <w:szCs w:val="18"/>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r>
                    <w:rPr>
                      <w:sz w:val="18"/>
                      <w:szCs w:val="18"/>
                    </w:rPr>
                    <w:t>镉</w:t>
                  </w:r>
                </w:p>
              </w:tc>
              <w:tc>
                <w:tcPr>
                  <w:tcW w:w="3382" w:type="dxa"/>
                  <w:vAlign w:val="center"/>
                </w:tcPr>
                <w:p>
                  <w:pPr>
                    <w:ind w:left="94" w:leftChars="45"/>
                    <w:jc w:val="center"/>
                    <w:rPr>
                      <w:sz w:val="18"/>
                      <w:szCs w:val="18"/>
                    </w:rPr>
                  </w:pPr>
                  <w:r>
                    <w:rPr>
                      <w:sz w:val="18"/>
                      <w:szCs w:val="18"/>
                    </w:rPr>
                    <w:t>无火焰原子吸收分光光度法</w:t>
                  </w:r>
                </w:p>
              </w:tc>
              <w:tc>
                <w:tcPr>
                  <w:tcW w:w="2091" w:type="dxa"/>
                  <w:vAlign w:val="center"/>
                </w:tcPr>
                <w:p>
                  <w:pPr>
                    <w:ind w:left="94" w:leftChars="45"/>
                    <w:jc w:val="center"/>
                    <w:rPr>
                      <w:sz w:val="18"/>
                      <w:szCs w:val="18"/>
                    </w:rPr>
                  </w:pPr>
                  <w:r>
                    <w:rPr>
                      <w:sz w:val="18"/>
                      <w:szCs w:val="18"/>
                    </w:rPr>
                    <w:t>GB17378.4-2007</w:t>
                  </w:r>
                </w:p>
              </w:tc>
              <w:tc>
                <w:tcPr>
                  <w:tcW w:w="1535" w:type="dxa"/>
                  <w:vAlign w:val="center"/>
                </w:tcPr>
                <w:p>
                  <w:pPr>
                    <w:ind w:left="94" w:leftChars="45"/>
                    <w:jc w:val="center"/>
                    <w:rPr>
                      <w:sz w:val="18"/>
                      <w:szCs w:val="18"/>
                    </w:rPr>
                  </w:pPr>
                  <w:r>
                    <w:rPr>
                      <w:sz w:val="18"/>
                      <w:szCs w:val="18"/>
                    </w:rPr>
                    <w:t>0.04×10</w:t>
                  </w:r>
                  <w:r>
                    <w:rPr>
                      <w:sz w:val="18"/>
                      <w:szCs w:val="18"/>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r>
                    <w:rPr>
                      <w:sz w:val="18"/>
                      <w:szCs w:val="18"/>
                    </w:rPr>
                    <w:t>铬</w:t>
                  </w:r>
                </w:p>
              </w:tc>
              <w:tc>
                <w:tcPr>
                  <w:tcW w:w="3382" w:type="dxa"/>
                  <w:vAlign w:val="center"/>
                </w:tcPr>
                <w:p>
                  <w:pPr>
                    <w:ind w:left="94" w:leftChars="45"/>
                    <w:jc w:val="center"/>
                    <w:rPr>
                      <w:sz w:val="18"/>
                      <w:szCs w:val="18"/>
                    </w:rPr>
                  </w:pPr>
                  <w:r>
                    <w:rPr>
                      <w:sz w:val="18"/>
                      <w:szCs w:val="18"/>
                    </w:rPr>
                    <w:t>无火焰原子吸收分光光度法</w:t>
                  </w:r>
                </w:p>
              </w:tc>
              <w:tc>
                <w:tcPr>
                  <w:tcW w:w="2091" w:type="dxa"/>
                  <w:vAlign w:val="center"/>
                </w:tcPr>
                <w:p>
                  <w:pPr>
                    <w:ind w:left="94" w:leftChars="45"/>
                    <w:jc w:val="center"/>
                    <w:rPr>
                      <w:sz w:val="18"/>
                      <w:szCs w:val="18"/>
                    </w:rPr>
                  </w:pPr>
                  <w:r>
                    <w:rPr>
                      <w:sz w:val="18"/>
                      <w:szCs w:val="18"/>
                    </w:rPr>
                    <w:t>GB17378.4-2007</w:t>
                  </w:r>
                </w:p>
              </w:tc>
              <w:tc>
                <w:tcPr>
                  <w:tcW w:w="1535" w:type="dxa"/>
                  <w:vAlign w:val="center"/>
                </w:tcPr>
                <w:p>
                  <w:pPr>
                    <w:ind w:left="94" w:leftChars="45"/>
                    <w:jc w:val="center"/>
                    <w:rPr>
                      <w:sz w:val="18"/>
                      <w:szCs w:val="18"/>
                    </w:rPr>
                  </w:pPr>
                  <w:r>
                    <w:rPr>
                      <w:sz w:val="18"/>
                      <w:szCs w:val="18"/>
                    </w:rPr>
                    <w:t>2.0×10</w:t>
                  </w:r>
                  <w:r>
                    <w:rPr>
                      <w:sz w:val="18"/>
                      <w:szCs w:val="18"/>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r>
                    <w:rPr>
                      <w:sz w:val="18"/>
                      <w:szCs w:val="18"/>
                    </w:rPr>
                    <w:t>锌</w:t>
                  </w:r>
                </w:p>
              </w:tc>
              <w:tc>
                <w:tcPr>
                  <w:tcW w:w="3382" w:type="dxa"/>
                  <w:vAlign w:val="center"/>
                </w:tcPr>
                <w:p>
                  <w:pPr>
                    <w:ind w:left="94" w:leftChars="45"/>
                    <w:jc w:val="center"/>
                    <w:rPr>
                      <w:sz w:val="18"/>
                      <w:szCs w:val="18"/>
                    </w:rPr>
                  </w:pPr>
                  <w:r>
                    <w:rPr>
                      <w:sz w:val="18"/>
                      <w:szCs w:val="18"/>
                    </w:rPr>
                    <w:t>火焰原子吸收分光光度法</w:t>
                  </w:r>
                </w:p>
              </w:tc>
              <w:tc>
                <w:tcPr>
                  <w:tcW w:w="2091" w:type="dxa"/>
                  <w:vAlign w:val="center"/>
                </w:tcPr>
                <w:p>
                  <w:pPr>
                    <w:ind w:left="94" w:leftChars="45"/>
                    <w:jc w:val="center"/>
                    <w:rPr>
                      <w:sz w:val="18"/>
                      <w:szCs w:val="18"/>
                    </w:rPr>
                  </w:pPr>
                  <w:r>
                    <w:rPr>
                      <w:sz w:val="18"/>
                      <w:szCs w:val="18"/>
                    </w:rPr>
                    <w:t>GB17378.4-2007</w:t>
                  </w:r>
                </w:p>
              </w:tc>
              <w:tc>
                <w:tcPr>
                  <w:tcW w:w="1535" w:type="dxa"/>
                  <w:vAlign w:val="center"/>
                </w:tcPr>
                <w:p>
                  <w:pPr>
                    <w:ind w:left="94" w:leftChars="45"/>
                    <w:jc w:val="center"/>
                    <w:rPr>
                      <w:sz w:val="18"/>
                      <w:szCs w:val="18"/>
                    </w:rPr>
                  </w:pPr>
                  <w:r>
                    <w:rPr>
                      <w:sz w:val="18"/>
                      <w:szCs w:val="18"/>
                    </w:rPr>
                    <w:t>6.0×10</w:t>
                  </w:r>
                  <w:r>
                    <w:rPr>
                      <w:sz w:val="18"/>
                      <w:szCs w:val="18"/>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r>
                    <w:rPr>
                      <w:sz w:val="18"/>
                      <w:szCs w:val="18"/>
                    </w:rPr>
                    <w:t>铜</w:t>
                  </w:r>
                </w:p>
              </w:tc>
              <w:tc>
                <w:tcPr>
                  <w:tcW w:w="3382" w:type="dxa"/>
                  <w:vAlign w:val="center"/>
                </w:tcPr>
                <w:p>
                  <w:pPr>
                    <w:ind w:left="94" w:leftChars="45"/>
                    <w:jc w:val="center"/>
                    <w:rPr>
                      <w:sz w:val="18"/>
                      <w:szCs w:val="18"/>
                    </w:rPr>
                  </w:pPr>
                  <w:r>
                    <w:rPr>
                      <w:sz w:val="18"/>
                      <w:szCs w:val="18"/>
                    </w:rPr>
                    <w:t>火焰原子吸收分光光度法</w:t>
                  </w:r>
                </w:p>
              </w:tc>
              <w:tc>
                <w:tcPr>
                  <w:tcW w:w="2091" w:type="dxa"/>
                  <w:vAlign w:val="center"/>
                </w:tcPr>
                <w:p>
                  <w:pPr>
                    <w:ind w:left="94" w:leftChars="45"/>
                    <w:jc w:val="center"/>
                    <w:rPr>
                      <w:sz w:val="18"/>
                      <w:szCs w:val="18"/>
                    </w:rPr>
                  </w:pPr>
                  <w:r>
                    <w:rPr>
                      <w:sz w:val="18"/>
                      <w:szCs w:val="18"/>
                    </w:rPr>
                    <w:t>GB17378.4-2007</w:t>
                  </w:r>
                </w:p>
              </w:tc>
              <w:tc>
                <w:tcPr>
                  <w:tcW w:w="1535" w:type="dxa"/>
                  <w:vAlign w:val="center"/>
                </w:tcPr>
                <w:p>
                  <w:pPr>
                    <w:ind w:left="94" w:leftChars="45"/>
                    <w:jc w:val="center"/>
                    <w:rPr>
                      <w:sz w:val="18"/>
                      <w:szCs w:val="18"/>
                    </w:rPr>
                  </w:pPr>
                  <w:r>
                    <w:rPr>
                      <w:sz w:val="18"/>
                      <w:szCs w:val="18"/>
                    </w:rPr>
                    <w:t>0.5×10</w:t>
                  </w:r>
                  <w:r>
                    <w:rPr>
                      <w:sz w:val="18"/>
                      <w:szCs w:val="18"/>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r>
                    <w:rPr>
                      <w:sz w:val="18"/>
                      <w:szCs w:val="18"/>
                    </w:rPr>
                    <w:t>砷</w:t>
                  </w:r>
                </w:p>
              </w:tc>
              <w:tc>
                <w:tcPr>
                  <w:tcW w:w="3382" w:type="dxa"/>
                  <w:vAlign w:val="center"/>
                </w:tcPr>
                <w:p>
                  <w:pPr>
                    <w:ind w:left="94" w:leftChars="45"/>
                    <w:jc w:val="center"/>
                    <w:rPr>
                      <w:sz w:val="18"/>
                      <w:szCs w:val="18"/>
                    </w:rPr>
                  </w:pPr>
                  <w:r>
                    <w:rPr>
                      <w:sz w:val="18"/>
                      <w:szCs w:val="18"/>
                    </w:rPr>
                    <w:t>氢化物-原子吸收分光光度法</w:t>
                  </w:r>
                </w:p>
              </w:tc>
              <w:tc>
                <w:tcPr>
                  <w:tcW w:w="2091" w:type="dxa"/>
                  <w:vAlign w:val="center"/>
                </w:tcPr>
                <w:p>
                  <w:pPr>
                    <w:ind w:left="94" w:leftChars="45"/>
                    <w:jc w:val="center"/>
                    <w:rPr>
                      <w:sz w:val="18"/>
                      <w:szCs w:val="18"/>
                    </w:rPr>
                  </w:pPr>
                  <w:r>
                    <w:rPr>
                      <w:sz w:val="18"/>
                      <w:szCs w:val="18"/>
                    </w:rPr>
                    <w:t>GB17378.4-2007</w:t>
                  </w:r>
                </w:p>
              </w:tc>
              <w:tc>
                <w:tcPr>
                  <w:tcW w:w="1535" w:type="dxa"/>
                  <w:vAlign w:val="center"/>
                </w:tcPr>
                <w:p>
                  <w:pPr>
                    <w:ind w:left="94" w:leftChars="45"/>
                    <w:jc w:val="center"/>
                    <w:rPr>
                      <w:sz w:val="18"/>
                      <w:szCs w:val="18"/>
                    </w:rPr>
                  </w:pPr>
                  <w:r>
                    <w:rPr>
                      <w:sz w:val="18"/>
                      <w:szCs w:val="18"/>
                    </w:rPr>
                    <w:t>3.0×10</w:t>
                  </w:r>
                  <w:r>
                    <w:rPr>
                      <w:sz w:val="18"/>
                      <w:szCs w:val="18"/>
                      <w:vertAlign w:val="superscript"/>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251" w:type="dxa"/>
                  <w:vAlign w:val="center"/>
                </w:tcPr>
                <w:p>
                  <w:pPr>
                    <w:jc w:val="center"/>
                    <w:rPr>
                      <w:sz w:val="18"/>
                      <w:szCs w:val="18"/>
                    </w:rPr>
                  </w:pPr>
                  <w:bookmarkStart w:id="6" w:name="OLE_LINK61"/>
                  <w:bookmarkStart w:id="7" w:name="OLE_LINK62"/>
                  <w:r>
                    <w:rPr>
                      <w:sz w:val="18"/>
                      <w:szCs w:val="18"/>
                    </w:rPr>
                    <w:t>汞</w:t>
                  </w:r>
                </w:p>
              </w:tc>
              <w:tc>
                <w:tcPr>
                  <w:tcW w:w="3382" w:type="dxa"/>
                  <w:vAlign w:val="center"/>
                </w:tcPr>
                <w:p>
                  <w:pPr>
                    <w:jc w:val="center"/>
                    <w:rPr>
                      <w:sz w:val="18"/>
                      <w:szCs w:val="18"/>
                    </w:rPr>
                  </w:pPr>
                  <w:r>
                    <w:rPr>
                      <w:sz w:val="18"/>
                      <w:szCs w:val="18"/>
                    </w:rPr>
                    <w:t>冷原子吸收光度法</w:t>
                  </w:r>
                </w:p>
              </w:tc>
              <w:tc>
                <w:tcPr>
                  <w:tcW w:w="2091" w:type="dxa"/>
                  <w:vAlign w:val="center"/>
                </w:tcPr>
                <w:p>
                  <w:pPr>
                    <w:ind w:left="94" w:leftChars="45"/>
                    <w:jc w:val="center"/>
                    <w:rPr>
                      <w:sz w:val="18"/>
                      <w:szCs w:val="18"/>
                    </w:rPr>
                  </w:pPr>
                  <w:r>
                    <w:rPr>
                      <w:sz w:val="18"/>
                      <w:szCs w:val="18"/>
                    </w:rPr>
                    <w:t>GB17378.4-2007</w:t>
                  </w:r>
                </w:p>
              </w:tc>
              <w:tc>
                <w:tcPr>
                  <w:tcW w:w="1535" w:type="dxa"/>
                  <w:vAlign w:val="center"/>
                </w:tcPr>
                <w:p>
                  <w:pPr>
                    <w:jc w:val="center"/>
                    <w:rPr>
                      <w:sz w:val="18"/>
                      <w:szCs w:val="18"/>
                    </w:rPr>
                  </w:pPr>
                  <w:r>
                    <w:rPr>
                      <w:sz w:val="18"/>
                      <w:szCs w:val="18"/>
                    </w:rPr>
                    <w:t>5×10</w:t>
                  </w:r>
                  <w:r>
                    <w:rPr>
                      <w:sz w:val="18"/>
                      <w:szCs w:val="18"/>
                      <w:vertAlign w:val="superscript"/>
                    </w:rPr>
                    <w:t>-9</w:t>
                  </w:r>
                </w:p>
              </w:tc>
            </w:tr>
            <w:bookmarkEnd w:id="6"/>
            <w:bookmarkEnd w:id="7"/>
          </w:tbl>
          <w:p>
            <w:pPr>
              <w:pStyle w:val="39"/>
              <w:adjustRightInd w:val="0"/>
              <w:snapToGrid w:val="0"/>
              <w:spacing w:line="360" w:lineRule="auto"/>
              <w:ind w:left="0" w:firstLine="482" w:firstLineChars="200"/>
              <w:rPr>
                <w:b/>
              </w:rPr>
            </w:pPr>
            <w:r>
              <w:rPr>
                <w:rFonts w:hint="eastAsia"/>
                <w:b/>
              </w:rPr>
              <w:t>4.1</w:t>
            </w:r>
            <w:r>
              <w:rPr>
                <w:b/>
              </w:rPr>
              <w:t>.2.3评价标准与评价方法</w:t>
            </w:r>
          </w:p>
          <w:p>
            <w:pPr>
              <w:pStyle w:val="39"/>
              <w:adjustRightInd w:val="0"/>
              <w:snapToGrid w:val="0"/>
              <w:spacing w:line="360" w:lineRule="auto"/>
              <w:ind w:left="0" w:firstLine="480" w:firstLineChars="200"/>
            </w:pPr>
            <w:r>
              <w:t>评价标准：调查点位中，站位</w:t>
            </w:r>
            <w:r>
              <w:rPr>
                <w:rFonts w:hint="eastAsia"/>
              </w:rPr>
              <w:t>1、4</w:t>
            </w:r>
            <w:r>
              <w:t>位于海洋功能区划中的</w:t>
            </w:r>
            <w:r>
              <w:rPr>
                <w:rFonts w:hint="eastAsia"/>
              </w:rPr>
              <w:t>旅游休闲娱乐</w:t>
            </w:r>
            <w:r>
              <w:t>区，海洋沉积物执行《海</w:t>
            </w:r>
            <w:r>
              <w:rPr>
                <w:rFonts w:hint="eastAsia"/>
              </w:rPr>
              <w:t>洋沉积物质量</w:t>
            </w:r>
            <w:r>
              <w:t>》（GB18668-2002）中的第</w:t>
            </w:r>
            <w:r>
              <w:rPr>
                <w:rFonts w:hint="eastAsia"/>
              </w:rPr>
              <w:t>一</w:t>
            </w:r>
            <w:r>
              <w:t>类标准；站位</w:t>
            </w:r>
            <w:r>
              <w:rPr>
                <w:rFonts w:hint="eastAsia"/>
              </w:rPr>
              <w:t>9、12、17、20</w:t>
            </w:r>
            <w:r>
              <w:t>位于</w:t>
            </w:r>
            <w:r>
              <w:rPr>
                <w:rFonts w:hint="eastAsia"/>
              </w:rPr>
              <w:t>港口航运</w:t>
            </w:r>
            <w:r>
              <w:t>区，海洋沉积物执行《海</w:t>
            </w:r>
            <w:r>
              <w:rPr>
                <w:rFonts w:hint="eastAsia"/>
              </w:rPr>
              <w:t>洋沉积物质量</w:t>
            </w:r>
            <w:r>
              <w:t>》（GB18668-2002）中的第</w:t>
            </w:r>
            <w:r>
              <w:rPr>
                <w:rFonts w:hint="eastAsia"/>
              </w:rPr>
              <w:t>二</w:t>
            </w:r>
            <w:r>
              <w:t>类标准；站位</w:t>
            </w:r>
            <w:r>
              <w:rPr>
                <w:rFonts w:hint="eastAsia"/>
              </w:rPr>
              <w:t>16</w:t>
            </w:r>
            <w:r>
              <w:t>位于</w:t>
            </w:r>
            <w:r>
              <w:rPr>
                <w:rFonts w:hint="eastAsia"/>
              </w:rPr>
              <w:t>海洋保护区</w:t>
            </w:r>
            <w:r>
              <w:t>，海洋沉积物执行《海</w:t>
            </w:r>
            <w:r>
              <w:rPr>
                <w:rFonts w:hint="eastAsia"/>
              </w:rPr>
              <w:t>洋沉积物质量</w:t>
            </w:r>
            <w:r>
              <w:t>》（GB18668-2002）中的第一类标准</w:t>
            </w:r>
            <w:r>
              <w:rPr>
                <w:rFonts w:hint="eastAsia"/>
              </w:rPr>
              <w:t>；</w:t>
            </w:r>
            <w:r>
              <w:t>站位</w:t>
            </w:r>
            <w:r>
              <w:rPr>
                <w:rFonts w:hint="eastAsia"/>
              </w:rPr>
              <w:t>7、15、19</w:t>
            </w:r>
            <w:r>
              <w:t>位于农渔业区，海洋沉积物执行《海</w:t>
            </w:r>
            <w:r>
              <w:rPr>
                <w:rFonts w:hint="eastAsia"/>
              </w:rPr>
              <w:t>洋沉积物质量</w:t>
            </w:r>
            <w:r>
              <w:t>》（GB18668-2002）中的第一类标准。</w:t>
            </w:r>
          </w:p>
          <w:p>
            <w:pPr>
              <w:pStyle w:val="39"/>
              <w:adjustRightInd w:val="0"/>
              <w:snapToGrid w:val="0"/>
              <w:spacing w:line="360" w:lineRule="auto"/>
              <w:ind w:left="0" w:firstLine="480" w:firstLineChars="200"/>
            </w:pPr>
            <w:r>
              <w:t>评价因子：评价因子选取有机碳、硫化物、石油类和重金属（铜、镉、铅、锌、铬、砷、总汞）10项。</w:t>
            </w:r>
          </w:p>
          <w:p>
            <w:pPr>
              <w:pStyle w:val="39"/>
              <w:adjustRightInd w:val="0"/>
              <w:snapToGrid w:val="0"/>
              <w:spacing w:line="360" w:lineRule="auto"/>
              <w:ind w:left="0" w:firstLine="480" w:firstLineChars="200"/>
            </w:pPr>
            <w:r>
              <w:t>沉积物各化学要素采用单因子评价方法，计算公式为：</w:t>
            </w:r>
          </w:p>
          <w:p>
            <w:pPr>
              <w:pStyle w:val="39"/>
              <w:adjustRightInd w:val="0"/>
              <w:snapToGrid w:val="0"/>
              <w:spacing w:line="360" w:lineRule="auto"/>
              <w:ind w:left="0" w:firstLine="480" w:firstLineChars="200"/>
            </w:pPr>
            <w:r>
              <w:object>
                <v:shape id="_x0000_i1038" o:spt="75" type="#_x0000_t75" style="height:24pt;width:60pt;" o:ole="t" filled="f" o:preferrelative="t" stroked="f" coordsize="21600,21600">
                  <v:path/>
                  <v:fill on="f" focussize="0,0"/>
                  <v:stroke on="f" joinstyle="miter"/>
                  <v:imagedata r:id="rId48" o:title=""/>
                  <o:lock v:ext="edit" aspectratio="t"/>
                  <w10:wrap type="none"/>
                  <w10:anchorlock/>
                </v:shape>
                <o:OLEObject Type="Embed" ProgID="Equation.3" ShapeID="_x0000_i1038" DrawAspect="Content" ObjectID="_1468075738" r:id="rId47">
                  <o:LockedField>false</o:LockedField>
                </o:OLEObject>
              </w:object>
            </w:r>
          </w:p>
          <w:p>
            <w:pPr>
              <w:pStyle w:val="39"/>
              <w:adjustRightInd w:val="0"/>
              <w:snapToGrid w:val="0"/>
              <w:spacing w:line="360" w:lineRule="auto"/>
              <w:ind w:left="0" w:firstLine="480" w:firstLineChars="200"/>
            </w:pPr>
            <w:r>
              <w:t>式中： Pi——污染物的污染指数；</w:t>
            </w:r>
          </w:p>
          <w:p>
            <w:pPr>
              <w:pStyle w:val="39"/>
              <w:adjustRightInd w:val="0"/>
              <w:snapToGrid w:val="0"/>
              <w:spacing w:line="360" w:lineRule="auto"/>
              <w:ind w:left="0" w:firstLine="480" w:firstLineChars="200"/>
            </w:pPr>
            <w:r>
              <w:t>Mi——污染物的浓度，10-6；</w:t>
            </w:r>
          </w:p>
          <w:p>
            <w:pPr>
              <w:pStyle w:val="39"/>
              <w:adjustRightInd w:val="0"/>
              <w:snapToGrid w:val="0"/>
              <w:spacing w:line="360" w:lineRule="auto"/>
              <w:ind w:left="0" w:firstLine="480" w:firstLineChars="200"/>
            </w:pPr>
            <w:r>
              <w:t>Si——污染物的沉积物质量标准，10-6。</w:t>
            </w:r>
          </w:p>
          <w:p>
            <w:pPr>
              <w:pStyle w:val="39"/>
              <w:adjustRightInd w:val="0"/>
              <w:snapToGrid w:val="0"/>
              <w:spacing w:line="360" w:lineRule="auto"/>
              <w:ind w:left="0" w:firstLine="480" w:firstLineChars="200"/>
            </w:pPr>
            <w:r>
              <w:t>评价因子的标准指数＞1，则表明该项沉积物质量已超过了规定的标准。</w:t>
            </w:r>
          </w:p>
          <w:p>
            <w:pPr>
              <w:pStyle w:val="39"/>
              <w:adjustRightInd w:val="0"/>
              <w:snapToGrid w:val="0"/>
              <w:spacing w:line="360" w:lineRule="auto"/>
              <w:ind w:left="0" w:firstLine="482" w:firstLineChars="200"/>
              <w:rPr>
                <w:b/>
              </w:rPr>
            </w:pPr>
            <w:r>
              <w:rPr>
                <w:rFonts w:hint="eastAsia"/>
                <w:b/>
              </w:rPr>
              <w:t>4.1</w:t>
            </w:r>
            <w:r>
              <w:rPr>
                <w:b/>
              </w:rPr>
              <w:t>.2.4沉积物监测与评价结果</w:t>
            </w:r>
          </w:p>
          <w:p>
            <w:pPr>
              <w:pStyle w:val="39"/>
              <w:adjustRightInd w:val="0"/>
              <w:snapToGrid w:val="0"/>
              <w:spacing w:line="360" w:lineRule="auto"/>
              <w:ind w:left="0" w:firstLine="480" w:firstLineChars="200"/>
            </w:pPr>
            <w:r>
              <w:t>20</w:t>
            </w:r>
            <w:r>
              <w:rPr>
                <w:rFonts w:hint="eastAsia"/>
              </w:rPr>
              <w:t>20</w:t>
            </w:r>
            <w:r>
              <w:t>年</w:t>
            </w:r>
            <w:r>
              <w:rPr>
                <w:rFonts w:hint="eastAsia"/>
              </w:rPr>
              <w:t>08</w:t>
            </w:r>
            <w:r>
              <w:t>月评价海域沉积物质量现状调查结果见表</w:t>
            </w:r>
            <w:r>
              <w:rPr>
                <w:rFonts w:hint="eastAsia"/>
              </w:rPr>
              <w:t>4.1</w:t>
            </w:r>
            <w:r>
              <w:t>.2-2，评价结果见表</w:t>
            </w:r>
            <w:r>
              <w:rPr>
                <w:rFonts w:hint="eastAsia"/>
              </w:rPr>
              <w:t>4.1</w:t>
            </w:r>
            <w:r>
              <w:t>.2-3 。</w:t>
            </w:r>
          </w:p>
          <w:p>
            <w:pPr>
              <w:pStyle w:val="39"/>
              <w:adjustRightInd w:val="0"/>
              <w:snapToGrid w:val="0"/>
              <w:spacing w:line="360" w:lineRule="auto"/>
              <w:ind w:left="0" w:firstLine="480" w:firstLineChars="200"/>
              <w:rPr>
                <w:b/>
              </w:rPr>
            </w:pPr>
            <w:r>
              <w:t>评价海域沉积物现状评价结果表明：现状调查全部站位沉积物样品的所有检测项目(有机碳、硫化物、石油类、铜、镉、铅、锌、铬、砷以及总汞）的评价因子均小于1，全部符合《海洋沉积物质量》（GB18668-2002）中标准</w:t>
            </w:r>
            <w:r>
              <w:rPr>
                <w:rFonts w:hint="eastAsia"/>
              </w:rPr>
              <w:t>要求</w:t>
            </w:r>
            <w:r>
              <w:t>，满足海域使用功能要求，评价海域的沉积物质量状况良好。</w:t>
            </w:r>
          </w:p>
          <w:p>
            <w:pPr>
              <w:pStyle w:val="279"/>
              <w:snapToGrid w:val="0"/>
              <w:spacing w:beforeLines="50" w:line="360" w:lineRule="auto"/>
              <w:ind w:firstLine="480"/>
            </w:pPr>
            <w:bookmarkStart w:id="8" w:name="_Ref533079006"/>
            <w:r>
              <w:t>表</w:t>
            </w:r>
            <w:r>
              <w:rPr>
                <w:rFonts w:hint="eastAsia"/>
              </w:rPr>
              <w:t>4.1</w:t>
            </w:r>
            <w:r>
              <w:t>.</w:t>
            </w:r>
            <w:bookmarkEnd w:id="8"/>
            <w:r>
              <w:t>2-2调查海域沉积物监测结果</w:t>
            </w:r>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74"/>
              <w:gridCol w:w="851"/>
              <w:gridCol w:w="709"/>
              <w:gridCol w:w="709"/>
              <w:gridCol w:w="709"/>
              <w:gridCol w:w="674"/>
              <w:gridCol w:w="743"/>
              <w:gridCol w:w="804"/>
              <w:gridCol w:w="842"/>
              <w:gridCol w:w="846"/>
              <w:gridCol w:w="79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b/>
                      <w:sz w:val="18"/>
                      <w:szCs w:val="18"/>
                    </w:rPr>
                  </w:pPr>
                  <w:r>
                    <w:rPr>
                      <w:b/>
                      <w:sz w:val="18"/>
                      <w:szCs w:val="18"/>
                    </w:rPr>
                    <w:t>站位</w:t>
                  </w:r>
                </w:p>
              </w:tc>
              <w:tc>
                <w:tcPr>
                  <w:tcW w:w="851" w:type="dxa"/>
                  <w:shd w:val="clear" w:color="auto" w:fill="auto"/>
                  <w:noWrap/>
                  <w:vAlign w:val="center"/>
                </w:tcPr>
                <w:p>
                  <w:pPr>
                    <w:rPr>
                      <w:b/>
                      <w:sz w:val="18"/>
                      <w:szCs w:val="18"/>
                    </w:rPr>
                  </w:pPr>
                  <w:r>
                    <w:rPr>
                      <w:b/>
                      <w:sz w:val="18"/>
                      <w:szCs w:val="18"/>
                    </w:rPr>
                    <w:t>石油类</w:t>
                  </w:r>
                </w:p>
                <w:p>
                  <w:pPr>
                    <w:ind w:left="94" w:leftChars="45"/>
                    <w:rPr>
                      <w:b/>
                      <w:sz w:val="18"/>
                      <w:szCs w:val="18"/>
                    </w:rPr>
                  </w:pPr>
                  <w:r>
                    <w:rPr>
                      <w:b/>
                      <w:sz w:val="18"/>
                      <w:szCs w:val="18"/>
                    </w:rPr>
                    <w:t>(10</w:t>
                  </w:r>
                  <w:r>
                    <w:rPr>
                      <w:b/>
                      <w:sz w:val="18"/>
                      <w:szCs w:val="18"/>
                      <w:vertAlign w:val="superscript"/>
                    </w:rPr>
                    <w:t>-6</w:t>
                  </w:r>
                  <w:r>
                    <w:rPr>
                      <w:b/>
                      <w:sz w:val="18"/>
                      <w:szCs w:val="18"/>
                    </w:rPr>
                    <w:t>)</w:t>
                  </w:r>
                </w:p>
              </w:tc>
              <w:tc>
                <w:tcPr>
                  <w:tcW w:w="709" w:type="dxa"/>
                  <w:shd w:val="clear" w:color="auto" w:fill="auto"/>
                  <w:noWrap/>
                  <w:vAlign w:val="center"/>
                </w:tcPr>
                <w:p>
                  <w:pPr>
                    <w:ind w:left="94" w:leftChars="45"/>
                    <w:rPr>
                      <w:b/>
                      <w:sz w:val="18"/>
                      <w:szCs w:val="18"/>
                    </w:rPr>
                  </w:pPr>
                  <w:r>
                    <w:rPr>
                      <w:b/>
                      <w:sz w:val="18"/>
                      <w:szCs w:val="18"/>
                    </w:rPr>
                    <w:t>铜</w:t>
                  </w:r>
                </w:p>
                <w:p>
                  <w:pPr>
                    <w:rPr>
                      <w:b/>
                      <w:sz w:val="18"/>
                      <w:szCs w:val="18"/>
                    </w:rPr>
                  </w:pPr>
                  <w:r>
                    <w:rPr>
                      <w:b/>
                      <w:sz w:val="18"/>
                      <w:szCs w:val="18"/>
                    </w:rPr>
                    <w:t>(10</w:t>
                  </w:r>
                  <w:r>
                    <w:rPr>
                      <w:b/>
                      <w:sz w:val="18"/>
                      <w:szCs w:val="18"/>
                      <w:vertAlign w:val="superscript"/>
                    </w:rPr>
                    <w:t>-6</w:t>
                  </w:r>
                  <w:r>
                    <w:rPr>
                      <w:b/>
                      <w:sz w:val="18"/>
                      <w:szCs w:val="18"/>
                    </w:rPr>
                    <w:t>)</w:t>
                  </w:r>
                </w:p>
              </w:tc>
              <w:tc>
                <w:tcPr>
                  <w:tcW w:w="709" w:type="dxa"/>
                  <w:shd w:val="clear" w:color="auto" w:fill="auto"/>
                  <w:noWrap/>
                  <w:vAlign w:val="center"/>
                </w:tcPr>
                <w:p>
                  <w:pPr>
                    <w:rPr>
                      <w:b/>
                      <w:sz w:val="18"/>
                      <w:szCs w:val="18"/>
                    </w:rPr>
                  </w:pPr>
                  <w:r>
                    <w:rPr>
                      <w:b/>
                      <w:sz w:val="18"/>
                      <w:szCs w:val="18"/>
                    </w:rPr>
                    <w:t>锌</w:t>
                  </w:r>
                </w:p>
                <w:p>
                  <w:pPr>
                    <w:rPr>
                      <w:b/>
                      <w:sz w:val="18"/>
                      <w:szCs w:val="18"/>
                    </w:rPr>
                  </w:pPr>
                  <w:r>
                    <w:rPr>
                      <w:b/>
                      <w:sz w:val="18"/>
                      <w:szCs w:val="18"/>
                    </w:rPr>
                    <w:t>(10</w:t>
                  </w:r>
                  <w:r>
                    <w:rPr>
                      <w:b/>
                      <w:sz w:val="18"/>
                      <w:szCs w:val="18"/>
                      <w:vertAlign w:val="superscript"/>
                    </w:rPr>
                    <w:t>-6</w:t>
                  </w:r>
                  <w:r>
                    <w:rPr>
                      <w:b/>
                      <w:sz w:val="18"/>
                      <w:szCs w:val="18"/>
                    </w:rPr>
                    <w:t>)</w:t>
                  </w:r>
                </w:p>
              </w:tc>
              <w:tc>
                <w:tcPr>
                  <w:tcW w:w="709" w:type="dxa"/>
                  <w:shd w:val="clear" w:color="auto" w:fill="auto"/>
                  <w:noWrap/>
                  <w:vAlign w:val="center"/>
                </w:tcPr>
                <w:p>
                  <w:pPr>
                    <w:rPr>
                      <w:b/>
                      <w:sz w:val="18"/>
                      <w:szCs w:val="18"/>
                    </w:rPr>
                  </w:pPr>
                  <w:r>
                    <w:rPr>
                      <w:b/>
                      <w:sz w:val="18"/>
                      <w:szCs w:val="18"/>
                    </w:rPr>
                    <w:t>铅</w:t>
                  </w:r>
                </w:p>
                <w:p>
                  <w:pPr>
                    <w:rPr>
                      <w:b/>
                      <w:sz w:val="18"/>
                      <w:szCs w:val="18"/>
                    </w:rPr>
                  </w:pPr>
                  <w:r>
                    <w:rPr>
                      <w:b/>
                      <w:sz w:val="18"/>
                      <w:szCs w:val="18"/>
                    </w:rPr>
                    <w:t>(10</w:t>
                  </w:r>
                  <w:r>
                    <w:rPr>
                      <w:b/>
                      <w:sz w:val="18"/>
                      <w:szCs w:val="18"/>
                      <w:vertAlign w:val="superscript"/>
                    </w:rPr>
                    <w:t>-6</w:t>
                  </w:r>
                  <w:r>
                    <w:rPr>
                      <w:b/>
                      <w:sz w:val="18"/>
                      <w:szCs w:val="18"/>
                    </w:rPr>
                    <w:t>)</w:t>
                  </w:r>
                </w:p>
              </w:tc>
              <w:tc>
                <w:tcPr>
                  <w:tcW w:w="674" w:type="dxa"/>
                  <w:shd w:val="clear" w:color="auto" w:fill="auto"/>
                  <w:noWrap/>
                  <w:vAlign w:val="center"/>
                </w:tcPr>
                <w:p>
                  <w:pPr>
                    <w:rPr>
                      <w:b/>
                      <w:sz w:val="18"/>
                      <w:szCs w:val="18"/>
                    </w:rPr>
                  </w:pPr>
                  <w:r>
                    <w:rPr>
                      <w:b/>
                      <w:sz w:val="18"/>
                      <w:szCs w:val="18"/>
                    </w:rPr>
                    <w:t>镉</w:t>
                  </w:r>
                </w:p>
                <w:p>
                  <w:pPr>
                    <w:rPr>
                      <w:b/>
                      <w:sz w:val="18"/>
                      <w:szCs w:val="18"/>
                    </w:rPr>
                  </w:pPr>
                  <w:r>
                    <w:rPr>
                      <w:b/>
                      <w:sz w:val="18"/>
                      <w:szCs w:val="18"/>
                    </w:rPr>
                    <w:t>(10</w:t>
                  </w:r>
                  <w:r>
                    <w:rPr>
                      <w:b/>
                      <w:sz w:val="18"/>
                      <w:szCs w:val="18"/>
                      <w:vertAlign w:val="superscript"/>
                    </w:rPr>
                    <w:t>-6</w:t>
                  </w:r>
                  <w:r>
                    <w:rPr>
                      <w:b/>
                      <w:sz w:val="18"/>
                      <w:szCs w:val="18"/>
                    </w:rPr>
                    <w:t>)</w:t>
                  </w:r>
                </w:p>
              </w:tc>
              <w:tc>
                <w:tcPr>
                  <w:tcW w:w="743" w:type="dxa"/>
                  <w:shd w:val="clear" w:color="auto" w:fill="auto"/>
                  <w:noWrap/>
                  <w:vAlign w:val="center"/>
                </w:tcPr>
                <w:p>
                  <w:pPr>
                    <w:ind w:left="94" w:leftChars="45"/>
                    <w:jc w:val="center"/>
                    <w:rPr>
                      <w:b/>
                      <w:sz w:val="18"/>
                      <w:szCs w:val="18"/>
                    </w:rPr>
                  </w:pPr>
                  <w:r>
                    <w:rPr>
                      <w:b/>
                      <w:sz w:val="18"/>
                      <w:szCs w:val="18"/>
                    </w:rPr>
                    <w:t>总汞</w:t>
                  </w:r>
                </w:p>
                <w:p>
                  <w:pPr>
                    <w:ind w:left="94" w:leftChars="45"/>
                    <w:jc w:val="center"/>
                    <w:rPr>
                      <w:b/>
                      <w:sz w:val="18"/>
                      <w:szCs w:val="18"/>
                    </w:rPr>
                  </w:pPr>
                  <w:r>
                    <w:rPr>
                      <w:b/>
                      <w:sz w:val="18"/>
                      <w:szCs w:val="18"/>
                    </w:rPr>
                    <w:t>(10</w:t>
                  </w:r>
                  <w:r>
                    <w:rPr>
                      <w:b/>
                      <w:sz w:val="18"/>
                      <w:szCs w:val="18"/>
                      <w:vertAlign w:val="superscript"/>
                    </w:rPr>
                    <w:t>-6</w:t>
                  </w:r>
                  <w:r>
                    <w:rPr>
                      <w:b/>
                      <w:sz w:val="18"/>
                      <w:szCs w:val="18"/>
                    </w:rPr>
                    <w:t>)</w:t>
                  </w:r>
                </w:p>
              </w:tc>
              <w:tc>
                <w:tcPr>
                  <w:tcW w:w="804" w:type="dxa"/>
                  <w:shd w:val="clear" w:color="auto" w:fill="auto"/>
                  <w:noWrap/>
                  <w:vAlign w:val="center"/>
                </w:tcPr>
                <w:p>
                  <w:pPr>
                    <w:ind w:left="94" w:leftChars="45"/>
                    <w:jc w:val="center"/>
                    <w:rPr>
                      <w:b/>
                      <w:sz w:val="18"/>
                      <w:szCs w:val="18"/>
                    </w:rPr>
                  </w:pPr>
                  <w:r>
                    <w:rPr>
                      <w:b/>
                      <w:sz w:val="18"/>
                      <w:szCs w:val="18"/>
                    </w:rPr>
                    <w:t>铬</w:t>
                  </w:r>
                </w:p>
                <w:p>
                  <w:pPr>
                    <w:ind w:left="94" w:leftChars="45"/>
                    <w:jc w:val="center"/>
                    <w:rPr>
                      <w:b/>
                      <w:sz w:val="18"/>
                      <w:szCs w:val="18"/>
                    </w:rPr>
                  </w:pPr>
                  <w:r>
                    <w:rPr>
                      <w:b/>
                      <w:sz w:val="18"/>
                      <w:szCs w:val="18"/>
                    </w:rPr>
                    <w:t>(10</w:t>
                  </w:r>
                  <w:r>
                    <w:rPr>
                      <w:b/>
                      <w:sz w:val="18"/>
                      <w:szCs w:val="18"/>
                      <w:vertAlign w:val="superscript"/>
                    </w:rPr>
                    <w:t>-6</w:t>
                  </w:r>
                  <w:r>
                    <w:rPr>
                      <w:b/>
                      <w:sz w:val="18"/>
                      <w:szCs w:val="18"/>
                    </w:rPr>
                    <w:t>)</w:t>
                  </w:r>
                </w:p>
              </w:tc>
              <w:tc>
                <w:tcPr>
                  <w:tcW w:w="842" w:type="dxa"/>
                  <w:shd w:val="clear" w:color="auto" w:fill="auto"/>
                  <w:noWrap/>
                  <w:vAlign w:val="center"/>
                </w:tcPr>
                <w:p>
                  <w:pPr>
                    <w:ind w:left="94" w:leftChars="45"/>
                    <w:jc w:val="center"/>
                    <w:rPr>
                      <w:b/>
                      <w:sz w:val="18"/>
                      <w:szCs w:val="18"/>
                    </w:rPr>
                  </w:pPr>
                  <w:r>
                    <w:rPr>
                      <w:b/>
                      <w:sz w:val="18"/>
                      <w:szCs w:val="18"/>
                    </w:rPr>
                    <w:t>砷</w:t>
                  </w:r>
                </w:p>
                <w:p>
                  <w:pPr>
                    <w:ind w:left="94" w:leftChars="45"/>
                    <w:jc w:val="center"/>
                    <w:rPr>
                      <w:b/>
                      <w:sz w:val="18"/>
                      <w:szCs w:val="18"/>
                    </w:rPr>
                  </w:pPr>
                  <w:r>
                    <w:rPr>
                      <w:b/>
                      <w:sz w:val="18"/>
                      <w:szCs w:val="18"/>
                    </w:rPr>
                    <w:t>(10</w:t>
                  </w:r>
                  <w:r>
                    <w:rPr>
                      <w:b/>
                      <w:sz w:val="18"/>
                      <w:szCs w:val="18"/>
                      <w:vertAlign w:val="superscript"/>
                    </w:rPr>
                    <w:t>-6</w:t>
                  </w:r>
                  <w:r>
                    <w:rPr>
                      <w:b/>
                      <w:sz w:val="18"/>
                      <w:szCs w:val="18"/>
                    </w:rPr>
                    <w:t>)</w:t>
                  </w:r>
                </w:p>
              </w:tc>
              <w:tc>
                <w:tcPr>
                  <w:tcW w:w="846" w:type="dxa"/>
                  <w:shd w:val="clear" w:color="auto" w:fill="auto"/>
                  <w:noWrap/>
                  <w:vAlign w:val="center"/>
                </w:tcPr>
                <w:p>
                  <w:pPr>
                    <w:rPr>
                      <w:b/>
                      <w:sz w:val="18"/>
                      <w:szCs w:val="18"/>
                    </w:rPr>
                  </w:pPr>
                  <w:r>
                    <w:rPr>
                      <w:b/>
                      <w:sz w:val="18"/>
                      <w:szCs w:val="18"/>
                    </w:rPr>
                    <w:t>有机碳</w:t>
                  </w:r>
                </w:p>
                <w:p>
                  <w:pPr>
                    <w:rPr>
                      <w:b/>
                      <w:sz w:val="18"/>
                      <w:szCs w:val="18"/>
                    </w:rPr>
                  </w:pPr>
                  <w:r>
                    <w:rPr>
                      <w:b/>
                      <w:sz w:val="18"/>
                      <w:szCs w:val="18"/>
                    </w:rPr>
                    <w:t>(10</w:t>
                  </w:r>
                  <w:r>
                    <w:rPr>
                      <w:b/>
                      <w:sz w:val="18"/>
                      <w:szCs w:val="18"/>
                      <w:vertAlign w:val="superscript"/>
                    </w:rPr>
                    <w:t>-</w:t>
                  </w:r>
                  <w:r>
                    <w:rPr>
                      <w:rFonts w:hint="eastAsia"/>
                      <w:b/>
                      <w:sz w:val="18"/>
                      <w:szCs w:val="18"/>
                      <w:vertAlign w:val="superscript"/>
                    </w:rPr>
                    <w:t>2</w:t>
                  </w:r>
                  <w:r>
                    <w:rPr>
                      <w:b/>
                      <w:sz w:val="18"/>
                      <w:szCs w:val="18"/>
                    </w:rPr>
                    <w:t>)</w:t>
                  </w:r>
                </w:p>
              </w:tc>
              <w:tc>
                <w:tcPr>
                  <w:tcW w:w="798" w:type="dxa"/>
                  <w:vAlign w:val="center"/>
                </w:tcPr>
                <w:p>
                  <w:pPr>
                    <w:rPr>
                      <w:b/>
                      <w:sz w:val="18"/>
                      <w:szCs w:val="18"/>
                    </w:rPr>
                  </w:pPr>
                  <w:r>
                    <w:rPr>
                      <w:b/>
                      <w:sz w:val="18"/>
                      <w:szCs w:val="18"/>
                    </w:rPr>
                    <w:t>硫化物</w:t>
                  </w:r>
                </w:p>
                <w:p>
                  <w:pPr>
                    <w:ind w:left="94" w:leftChars="45"/>
                    <w:jc w:val="center"/>
                    <w:rPr>
                      <w:b/>
                      <w:sz w:val="18"/>
                      <w:szCs w:val="18"/>
                    </w:rPr>
                  </w:pPr>
                  <w:r>
                    <w:rPr>
                      <w:b/>
                      <w:sz w:val="18"/>
                      <w:szCs w:val="18"/>
                    </w:rPr>
                    <w:t>(10</w:t>
                  </w:r>
                  <w:r>
                    <w:rPr>
                      <w:b/>
                      <w:sz w:val="18"/>
                      <w:szCs w:val="18"/>
                      <w:vertAlign w:val="superscript"/>
                    </w:rPr>
                    <w:t>-6</w:t>
                  </w:r>
                  <w:r>
                    <w:rPr>
                      <w:b/>
                      <w:sz w:val="18"/>
                      <w:szCs w:val="18"/>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1</w:t>
                  </w:r>
                </w:p>
              </w:tc>
              <w:tc>
                <w:tcPr>
                  <w:tcW w:w="851" w:type="dxa"/>
                  <w:shd w:val="clear" w:color="auto" w:fill="auto"/>
                  <w:vAlign w:val="center"/>
                </w:tcPr>
                <w:p>
                  <w:pPr>
                    <w:ind w:left="94" w:leftChars="45"/>
                    <w:jc w:val="center"/>
                    <w:rPr>
                      <w:sz w:val="18"/>
                      <w:szCs w:val="18"/>
                    </w:rPr>
                  </w:pPr>
                  <w:r>
                    <w:rPr>
                      <w:rFonts w:eastAsia="等线"/>
                      <w:sz w:val="18"/>
                      <w:szCs w:val="18"/>
                    </w:rPr>
                    <w:t>15.32</w:t>
                  </w:r>
                </w:p>
              </w:tc>
              <w:tc>
                <w:tcPr>
                  <w:tcW w:w="709" w:type="dxa"/>
                  <w:shd w:val="clear" w:color="auto" w:fill="auto"/>
                  <w:vAlign w:val="center"/>
                </w:tcPr>
                <w:p>
                  <w:pPr>
                    <w:ind w:left="94" w:leftChars="45"/>
                    <w:jc w:val="center"/>
                    <w:rPr>
                      <w:sz w:val="18"/>
                      <w:szCs w:val="18"/>
                    </w:rPr>
                  </w:pPr>
                  <w:r>
                    <w:rPr>
                      <w:rFonts w:eastAsia="等线"/>
                      <w:sz w:val="18"/>
                      <w:szCs w:val="18"/>
                    </w:rPr>
                    <w:t>9.54</w:t>
                  </w:r>
                </w:p>
              </w:tc>
              <w:tc>
                <w:tcPr>
                  <w:tcW w:w="709" w:type="dxa"/>
                  <w:shd w:val="clear" w:color="auto" w:fill="auto"/>
                  <w:vAlign w:val="center"/>
                </w:tcPr>
                <w:p>
                  <w:pPr>
                    <w:rPr>
                      <w:sz w:val="18"/>
                      <w:szCs w:val="18"/>
                    </w:rPr>
                  </w:pPr>
                  <w:r>
                    <w:rPr>
                      <w:rFonts w:eastAsia="等线"/>
                      <w:sz w:val="18"/>
                      <w:szCs w:val="18"/>
                    </w:rPr>
                    <w:t>22.13</w:t>
                  </w:r>
                </w:p>
              </w:tc>
              <w:tc>
                <w:tcPr>
                  <w:tcW w:w="709" w:type="dxa"/>
                  <w:shd w:val="clear" w:color="auto" w:fill="auto"/>
                  <w:vAlign w:val="center"/>
                </w:tcPr>
                <w:p>
                  <w:pPr>
                    <w:ind w:left="94" w:leftChars="45"/>
                    <w:jc w:val="center"/>
                    <w:rPr>
                      <w:sz w:val="18"/>
                      <w:szCs w:val="18"/>
                    </w:rPr>
                  </w:pPr>
                  <w:r>
                    <w:rPr>
                      <w:rFonts w:eastAsia="等线"/>
                      <w:sz w:val="18"/>
                      <w:szCs w:val="18"/>
                    </w:rPr>
                    <w:t>7.45</w:t>
                  </w:r>
                </w:p>
              </w:tc>
              <w:tc>
                <w:tcPr>
                  <w:tcW w:w="674" w:type="dxa"/>
                  <w:shd w:val="clear" w:color="auto" w:fill="auto"/>
                  <w:vAlign w:val="center"/>
                </w:tcPr>
                <w:p>
                  <w:pPr>
                    <w:ind w:left="94" w:leftChars="45"/>
                    <w:jc w:val="center"/>
                    <w:rPr>
                      <w:sz w:val="18"/>
                      <w:szCs w:val="18"/>
                    </w:rPr>
                  </w:pPr>
                  <w:r>
                    <w:rPr>
                      <w:rFonts w:eastAsia="等线"/>
                      <w:sz w:val="18"/>
                      <w:szCs w:val="18"/>
                    </w:rPr>
                    <w:t>0.03</w:t>
                  </w:r>
                </w:p>
              </w:tc>
              <w:tc>
                <w:tcPr>
                  <w:tcW w:w="743" w:type="dxa"/>
                  <w:shd w:val="clear" w:color="auto" w:fill="auto"/>
                  <w:vAlign w:val="center"/>
                </w:tcPr>
                <w:p>
                  <w:pPr>
                    <w:ind w:left="94" w:leftChars="45"/>
                    <w:jc w:val="center"/>
                    <w:rPr>
                      <w:sz w:val="18"/>
                      <w:szCs w:val="18"/>
                    </w:rPr>
                  </w:pPr>
                  <w:r>
                    <w:rPr>
                      <w:rFonts w:eastAsia="等线"/>
                      <w:sz w:val="18"/>
                      <w:szCs w:val="18"/>
                    </w:rPr>
                    <w:t>0.021</w:t>
                  </w:r>
                </w:p>
              </w:tc>
              <w:tc>
                <w:tcPr>
                  <w:tcW w:w="804" w:type="dxa"/>
                  <w:shd w:val="clear" w:color="auto" w:fill="auto"/>
                  <w:vAlign w:val="center"/>
                </w:tcPr>
                <w:p>
                  <w:pPr>
                    <w:ind w:left="94" w:leftChars="45"/>
                    <w:jc w:val="center"/>
                    <w:rPr>
                      <w:sz w:val="18"/>
                      <w:szCs w:val="18"/>
                    </w:rPr>
                  </w:pPr>
                  <w:r>
                    <w:rPr>
                      <w:rFonts w:eastAsia="等线"/>
                      <w:sz w:val="18"/>
                      <w:szCs w:val="18"/>
                    </w:rPr>
                    <w:t>16.43</w:t>
                  </w:r>
                </w:p>
              </w:tc>
              <w:tc>
                <w:tcPr>
                  <w:tcW w:w="842" w:type="dxa"/>
                  <w:shd w:val="clear" w:color="auto" w:fill="auto"/>
                  <w:vAlign w:val="center"/>
                </w:tcPr>
                <w:p>
                  <w:pPr>
                    <w:ind w:left="94" w:leftChars="45"/>
                    <w:jc w:val="center"/>
                    <w:rPr>
                      <w:sz w:val="18"/>
                      <w:szCs w:val="18"/>
                    </w:rPr>
                  </w:pPr>
                  <w:r>
                    <w:rPr>
                      <w:rFonts w:eastAsia="等线"/>
                      <w:sz w:val="18"/>
                      <w:szCs w:val="18"/>
                    </w:rPr>
                    <w:t>5.32</w:t>
                  </w:r>
                </w:p>
              </w:tc>
              <w:tc>
                <w:tcPr>
                  <w:tcW w:w="846" w:type="dxa"/>
                  <w:shd w:val="clear" w:color="auto" w:fill="auto"/>
                  <w:vAlign w:val="center"/>
                </w:tcPr>
                <w:p>
                  <w:pPr>
                    <w:ind w:left="94" w:leftChars="45"/>
                    <w:jc w:val="center"/>
                    <w:rPr>
                      <w:sz w:val="18"/>
                      <w:szCs w:val="18"/>
                    </w:rPr>
                  </w:pPr>
                  <w:r>
                    <w:rPr>
                      <w:rFonts w:eastAsia="等线"/>
                      <w:sz w:val="18"/>
                      <w:szCs w:val="18"/>
                    </w:rPr>
                    <w:t>0.45</w:t>
                  </w:r>
                </w:p>
              </w:tc>
              <w:tc>
                <w:tcPr>
                  <w:tcW w:w="798" w:type="dxa"/>
                  <w:vAlign w:val="center"/>
                </w:tcPr>
                <w:p>
                  <w:pPr>
                    <w:ind w:left="94" w:leftChars="45"/>
                    <w:jc w:val="center"/>
                    <w:rPr>
                      <w:sz w:val="18"/>
                      <w:szCs w:val="18"/>
                    </w:rPr>
                  </w:pPr>
                  <w:r>
                    <w:rPr>
                      <w:rFonts w:eastAsia="等线"/>
                      <w:sz w:val="18"/>
                      <w:szCs w:val="18"/>
                    </w:rPr>
                    <w:t>16.4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4</w:t>
                  </w:r>
                </w:p>
              </w:tc>
              <w:tc>
                <w:tcPr>
                  <w:tcW w:w="851" w:type="dxa"/>
                  <w:shd w:val="clear" w:color="auto" w:fill="auto"/>
                  <w:vAlign w:val="center"/>
                </w:tcPr>
                <w:p>
                  <w:pPr>
                    <w:ind w:left="94" w:leftChars="45"/>
                    <w:jc w:val="center"/>
                    <w:rPr>
                      <w:sz w:val="18"/>
                      <w:szCs w:val="18"/>
                    </w:rPr>
                  </w:pPr>
                  <w:r>
                    <w:rPr>
                      <w:rFonts w:eastAsia="等线"/>
                      <w:sz w:val="18"/>
                      <w:szCs w:val="18"/>
                    </w:rPr>
                    <w:t>21.21</w:t>
                  </w:r>
                </w:p>
              </w:tc>
              <w:tc>
                <w:tcPr>
                  <w:tcW w:w="709" w:type="dxa"/>
                  <w:shd w:val="clear" w:color="auto" w:fill="auto"/>
                  <w:vAlign w:val="center"/>
                </w:tcPr>
                <w:p>
                  <w:pPr>
                    <w:ind w:left="94" w:leftChars="45"/>
                    <w:jc w:val="center"/>
                    <w:rPr>
                      <w:sz w:val="18"/>
                      <w:szCs w:val="18"/>
                    </w:rPr>
                  </w:pPr>
                  <w:r>
                    <w:rPr>
                      <w:rFonts w:eastAsia="等线"/>
                      <w:sz w:val="18"/>
                      <w:szCs w:val="18"/>
                    </w:rPr>
                    <w:t>6.37</w:t>
                  </w:r>
                </w:p>
              </w:tc>
              <w:tc>
                <w:tcPr>
                  <w:tcW w:w="709" w:type="dxa"/>
                  <w:shd w:val="clear" w:color="auto" w:fill="auto"/>
                  <w:vAlign w:val="center"/>
                </w:tcPr>
                <w:p>
                  <w:pPr>
                    <w:rPr>
                      <w:sz w:val="18"/>
                      <w:szCs w:val="18"/>
                    </w:rPr>
                  </w:pPr>
                  <w:r>
                    <w:rPr>
                      <w:rFonts w:eastAsia="等线"/>
                      <w:sz w:val="18"/>
                      <w:szCs w:val="18"/>
                    </w:rPr>
                    <w:t>16.74</w:t>
                  </w:r>
                </w:p>
              </w:tc>
              <w:tc>
                <w:tcPr>
                  <w:tcW w:w="709" w:type="dxa"/>
                  <w:shd w:val="clear" w:color="auto" w:fill="auto"/>
                  <w:vAlign w:val="center"/>
                </w:tcPr>
                <w:p>
                  <w:pPr>
                    <w:ind w:left="94" w:leftChars="45"/>
                    <w:jc w:val="center"/>
                    <w:rPr>
                      <w:sz w:val="18"/>
                      <w:szCs w:val="18"/>
                    </w:rPr>
                  </w:pPr>
                  <w:r>
                    <w:rPr>
                      <w:rFonts w:eastAsia="等线"/>
                      <w:sz w:val="18"/>
                      <w:szCs w:val="18"/>
                    </w:rPr>
                    <w:t>8.12</w:t>
                  </w:r>
                </w:p>
              </w:tc>
              <w:tc>
                <w:tcPr>
                  <w:tcW w:w="674" w:type="dxa"/>
                  <w:shd w:val="clear" w:color="auto" w:fill="auto"/>
                  <w:vAlign w:val="center"/>
                </w:tcPr>
                <w:p>
                  <w:pPr>
                    <w:ind w:left="94" w:leftChars="45"/>
                    <w:jc w:val="center"/>
                    <w:rPr>
                      <w:sz w:val="18"/>
                      <w:szCs w:val="18"/>
                    </w:rPr>
                  </w:pPr>
                  <w:r>
                    <w:rPr>
                      <w:rFonts w:eastAsia="等线"/>
                      <w:sz w:val="18"/>
                      <w:szCs w:val="18"/>
                    </w:rPr>
                    <w:t>0.03</w:t>
                  </w:r>
                </w:p>
              </w:tc>
              <w:tc>
                <w:tcPr>
                  <w:tcW w:w="743" w:type="dxa"/>
                  <w:shd w:val="clear" w:color="auto" w:fill="auto"/>
                  <w:vAlign w:val="center"/>
                </w:tcPr>
                <w:p>
                  <w:pPr>
                    <w:ind w:left="94" w:leftChars="45"/>
                    <w:jc w:val="center"/>
                    <w:rPr>
                      <w:sz w:val="18"/>
                      <w:szCs w:val="18"/>
                    </w:rPr>
                  </w:pPr>
                  <w:r>
                    <w:rPr>
                      <w:rFonts w:eastAsia="等线"/>
                      <w:sz w:val="18"/>
                      <w:szCs w:val="18"/>
                    </w:rPr>
                    <w:t>0.036</w:t>
                  </w:r>
                </w:p>
              </w:tc>
              <w:tc>
                <w:tcPr>
                  <w:tcW w:w="804" w:type="dxa"/>
                  <w:shd w:val="clear" w:color="auto" w:fill="auto"/>
                  <w:vAlign w:val="center"/>
                </w:tcPr>
                <w:p>
                  <w:pPr>
                    <w:ind w:left="94" w:leftChars="45"/>
                    <w:jc w:val="center"/>
                    <w:rPr>
                      <w:sz w:val="18"/>
                      <w:szCs w:val="18"/>
                    </w:rPr>
                  </w:pPr>
                  <w:r>
                    <w:rPr>
                      <w:rFonts w:eastAsia="等线"/>
                      <w:sz w:val="18"/>
                      <w:szCs w:val="18"/>
                    </w:rPr>
                    <w:t>14.35</w:t>
                  </w:r>
                </w:p>
              </w:tc>
              <w:tc>
                <w:tcPr>
                  <w:tcW w:w="842" w:type="dxa"/>
                  <w:shd w:val="clear" w:color="auto" w:fill="auto"/>
                  <w:vAlign w:val="center"/>
                </w:tcPr>
                <w:p>
                  <w:pPr>
                    <w:ind w:left="94" w:leftChars="45"/>
                    <w:jc w:val="center"/>
                    <w:rPr>
                      <w:sz w:val="18"/>
                      <w:szCs w:val="18"/>
                    </w:rPr>
                  </w:pPr>
                  <w:r>
                    <w:rPr>
                      <w:rFonts w:eastAsia="等线"/>
                      <w:sz w:val="18"/>
                      <w:szCs w:val="18"/>
                    </w:rPr>
                    <w:t>4.35</w:t>
                  </w:r>
                </w:p>
              </w:tc>
              <w:tc>
                <w:tcPr>
                  <w:tcW w:w="846" w:type="dxa"/>
                  <w:shd w:val="clear" w:color="auto" w:fill="auto"/>
                  <w:vAlign w:val="center"/>
                </w:tcPr>
                <w:p>
                  <w:pPr>
                    <w:ind w:left="94" w:leftChars="45"/>
                    <w:jc w:val="center"/>
                    <w:rPr>
                      <w:sz w:val="18"/>
                      <w:szCs w:val="18"/>
                    </w:rPr>
                  </w:pPr>
                  <w:r>
                    <w:rPr>
                      <w:rFonts w:eastAsia="等线"/>
                      <w:sz w:val="18"/>
                      <w:szCs w:val="18"/>
                    </w:rPr>
                    <w:t>0.36</w:t>
                  </w:r>
                </w:p>
              </w:tc>
              <w:tc>
                <w:tcPr>
                  <w:tcW w:w="798" w:type="dxa"/>
                  <w:vAlign w:val="center"/>
                </w:tcPr>
                <w:p>
                  <w:pPr>
                    <w:ind w:left="94" w:leftChars="45"/>
                    <w:jc w:val="center"/>
                    <w:rPr>
                      <w:sz w:val="18"/>
                      <w:szCs w:val="18"/>
                    </w:rPr>
                  </w:pPr>
                  <w:r>
                    <w:rPr>
                      <w:rFonts w:eastAsia="等线"/>
                      <w:sz w:val="18"/>
                      <w:szCs w:val="18"/>
                    </w:rPr>
                    <w:t>14.6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7</w:t>
                  </w:r>
                </w:p>
              </w:tc>
              <w:tc>
                <w:tcPr>
                  <w:tcW w:w="851" w:type="dxa"/>
                  <w:shd w:val="clear" w:color="auto" w:fill="auto"/>
                  <w:vAlign w:val="center"/>
                </w:tcPr>
                <w:p>
                  <w:pPr>
                    <w:ind w:left="94" w:leftChars="45"/>
                    <w:jc w:val="center"/>
                    <w:rPr>
                      <w:sz w:val="18"/>
                      <w:szCs w:val="18"/>
                    </w:rPr>
                  </w:pPr>
                  <w:r>
                    <w:rPr>
                      <w:rFonts w:eastAsia="等线"/>
                      <w:sz w:val="18"/>
                      <w:szCs w:val="18"/>
                    </w:rPr>
                    <w:t>10.56</w:t>
                  </w:r>
                </w:p>
              </w:tc>
              <w:tc>
                <w:tcPr>
                  <w:tcW w:w="709" w:type="dxa"/>
                  <w:shd w:val="clear" w:color="auto" w:fill="auto"/>
                  <w:vAlign w:val="center"/>
                </w:tcPr>
                <w:p>
                  <w:pPr>
                    <w:ind w:left="94" w:leftChars="45"/>
                    <w:jc w:val="center"/>
                    <w:rPr>
                      <w:sz w:val="18"/>
                      <w:szCs w:val="18"/>
                    </w:rPr>
                  </w:pPr>
                  <w:r>
                    <w:rPr>
                      <w:rFonts w:eastAsia="等线"/>
                      <w:sz w:val="18"/>
                      <w:szCs w:val="18"/>
                    </w:rPr>
                    <w:t>4.53</w:t>
                  </w:r>
                </w:p>
              </w:tc>
              <w:tc>
                <w:tcPr>
                  <w:tcW w:w="709" w:type="dxa"/>
                  <w:shd w:val="clear" w:color="auto" w:fill="auto"/>
                  <w:vAlign w:val="center"/>
                </w:tcPr>
                <w:p>
                  <w:pPr>
                    <w:rPr>
                      <w:sz w:val="18"/>
                      <w:szCs w:val="18"/>
                    </w:rPr>
                  </w:pPr>
                  <w:r>
                    <w:rPr>
                      <w:rFonts w:eastAsia="等线"/>
                      <w:sz w:val="18"/>
                      <w:szCs w:val="18"/>
                    </w:rPr>
                    <w:t>21.56</w:t>
                  </w:r>
                </w:p>
              </w:tc>
              <w:tc>
                <w:tcPr>
                  <w:tcW w:w="709" w:type="dxa"/>
                  <w:shd w:val="clear" w:color="auto" w:fill="auto"/>
                  <w:vAlign w:val="center"/>
                </w:tcPr>
                <w:p>
                  <w:pPr>
                    <w:ind w:left="94" w:leftChars="45"/>
                    <w:jc w:val="center"/>
                    <w:rPr>
                      <w:sz w:val="18"/>
                      <w:szCs w:val="18"/>
                    </w:rPr>
                  </w:pPr>
                  <w:r>
                    <w:rPr>
                      <w:rFonts w:eastAsia="等线"/>
                      <w:sz w:val="18"/>
                      <w:szCs w:val="18"/>
                    </w:rPr>
                    <w:t>5.68</w:t>
                  </w:r>
                </w:p>
              </w:tc>
              <w:tc>
                <w:tcPr>
                  <w:tcW w:w="674" w:type="dxa"/>
                  <w:shd w:val="clear" w:color="auto" w:fill="auto"/>
                  <w:vAlign w:val="center"/>
                </w:tcPr>
                <w:p>
                  <w:pPr>
                    <w:ind w:left="94" w:leftChars="45"/>
                    <w:jc w:val="center"/>
                    <w:rPr>
                      <w:sz w:val="18"/>
                      <w:szCs w:val="18"/>
                    </w:rPr>
                  </w:pPr>
                  <w:r>
                    <w:rPr>
                      <w:rFonts w:eastAsia="等线"/>
                      <w:sz w:val="18"/>
                      <w:szCs w:val="18"/>
                    </w:rPr>
                    <w:t>0.07</w:t>
                  </w:r>
                </w:p>
              </w:tc>
              <w:tc>
                <w:tcPr>
                  <w:tcW w:w="743" w:type="dxa"/>
                  <w:shd w:val="clear" w:color="auto" w:fill="auto"/>
                  <w:vAlign w:val="center"/>
                </w:tcPr>
                <w:p>
                  <w:pPr>
                    <w:ind w:left="94" w:leftChars="45"/>
                    <w:jc w:val="center"/>
                    <w:rPr>
                      <w:sz w:val="18"/>
                      <w:szCs w:val="18"/>
                    </w:rPr>
                  </w:pPr>
                  <w:r>
                    <w:rPr>
                      <w:rFonts w:eastAsia="等线"/>
                      <w:sz w:val="18"/>
                      <w:szCs w:val="18"/>
                    </w:rPr>
                    <w:t>0.025</w:t>
                  </w:r>
                </w:p>
              </w:tc>
              <w:tc>
                <w:tcPr>
                  <w:tcW w:w="804" w:type="dxa"/>
                  <w:shd w:val="clear" w:color="auto" w:fill="auto"/>
                  <w:vAlign w:val="center"/>
                </w:tcPr>
                <w:p>
                  <w:pPr>
                    <w:ind w:left="94" w:leftChars="45"/>
                    <w:jc w:val="center"/>
                    <w:rPr>
                      <w:sz w:val="18"/>
                      <w:szCs w:val="18"/>
                    </w:rPr>
                  </w:pPr>
                  <w:r>
                    <w:rPr>
                      <w:rFonts w:eastAsia="等线"/>
                      <w:sz w:val="18"/>
                      <w:szCs w:val="18"/>
                    </w:rPr>
                    <w:t>17.65</w:t>
                  </w:r>
                </w:p>
              </w:tc>
              <w:tc>
                <w:tcPr>
                  <w:tcW w:w="842" w:type="dxa"/>
                  <w:shd w:val="clear" w:color="auto" w:fill="auto"/>
                  <w:vAlign w:val="center"/>
                </w:tcPr>
                <w:p>
                  <w:pPr>
                    <w:ind w:left="94" w:leftChars="45"/>
                    <w:jc w:val="center"/>
                    <w:rPr>
                      <w:sz w:val="18"/>
                      <w:szCs w:val="18"/>
                    </w:rPr>
                  </w:pPr>
                  <w:r>
                    <w:rPr>
                      <w:rFonts w:eastAsia="等线"/>
                      <w:sz w:val="18"/>
                      <w:szCs w:val="18"/>
                    </w:rPr>
                    <w:t>4.28</w:t>
                  </w:r>
                </w:p>
              </w:tc>
              <w:tc>
                <w:tcPr>
                  <w:tcW w:w="846" w:type="dxa"/>
                  <w:shd w:val="clear" w:color="auto" w:fill="auto"/>
                  <w:vAlign w:val="center"/>
                </w:tcPr>
                <w:p>
                  <w:pPr>
                    <w:ind w:left="94" w:leftChars="45"/>
                    <w:jc w:val="center"/>
                    <w:rPr>
                      <w:sz w:val="18"/>
                      <w:szCs w:val="18"/>
                    </w:rPr>
                  </w:pPr>
                  <w:r>
                    <w:rPr>
                      <w:rFonts w:eastAsia="等线"/>
                      <w:sz w:val="18"/>
                      <w:szCs w:val="18"/>
                    </w:rPr>
                    <w:t>0.41</w:t>
                  </w:r>
                </w:p>
              </w:tc>
              <w:tc>
                <w:tcPr>
                  <w:tcW w:w="798" w:type="dxa"/>
                  <w:vAlign w:val="center"/>
                </w:tcPr>
                <w:p>
                  <w:pPr>
                    <w:ind w:left="94" w:leftChars="45"/>
                    <w:jc w:val="center"/>
                    <w:rPr>
                      <w:sz w:val="18"/>
                      <w:szCs w:val="18"/>
                    </w:rPr>
                  </w:pPr>
                  <w:r>
                    <w:rPr>
                      <w:rFonts w:eastAsia="等线"/>
                      <w:sz w:val="18"/>
                      <w:szCs w:val="18"/>
                    </w:rPr>
                    <w:t>21.2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9</w:t>
                  </w:r>
                </w:p>
              </w:tc>
              <w:tc>
                <w:tcPr>
                  <w:tcW w:w="851" w:type="dxa"/>
                  <w:shd w:val="clear" w:color="auto" w:fill="auto"/>
                  <w:vAlign w:val="center"/>
                </w:tcPr>
                <w:p>
                  <w:pPr>
                    <w:ind w:left="94" w:leftChars="45"/>
                    <w:jc w:val="center"/>
                    <w:rPr>
                      <w:sz w:val="18"/>
                      <w:szCs w:val="18"/>
                    </w:rPr>
                  </w:pPr>
                  <w:r>
                    <w:rPr>
                      <w:rFonts w:eastAsia="等线"/>
                      <w:sz w:val="18"/>
                      <w:szCs w:val="18"/>
                    </w:rPr>
                    <w:t>11.1</w:t>
                  </w:r>
                  <w:r>
                    <w:rPr>
                      <w:rFonts w:hint="eastAsia" w:eastAsia="等线"/>
                      <w:sz w:val="18"/>
                      <w:szCs w:val="18"/>
                    </w:rPr>
                    <w:t>0</w:t>
                  </w:r>
                </w:p>
              </w:tc>
              <w:tc>
                <w:tcPr>
                  <w:tcW w:w="709" w:type="dxa"/>
                  <w:shd w:val="clear" w:color="auto" w:fill="auto"/>
                  <w:vAlign w:val="center"/>
                </w:tcPr>
                <w:p>
                  <w:pPr>
                    <w:ind w:left="94" w:leftChars="45"/>
                    <w:jc w:val="center"/>
                    <w:rPr>
                      <w:sz w:val="18"/>
                      <w:szCs w:val="18"/>
                    </w:rPr>
                  </w:pPr>
                  <w:r>
                    <w:rPr>
                      <w:rFonts w:eastAsia="等线"/>
                      <w:sz w:val="18"/>
                      <w:szCs w:val="18"/>
                    </w:rPr>
                    <w:t>10.1</w:t>
                  </w:r>
                </w:p>
              </w:tc>
              <w:tc>
                <w:tcPr>
                  <w:tcW w:w="709" w:type="dxa"/>
                  <w:shd w:val="clear" w:color="auto" w:fill="auto"/>
                  <w:vAlign w:val="center"/>
                </w:tcPr>
                <w:p>
                  <w:pPr>
                    <w:rPr>
                      <w:sz w:val="18"/>
                      <w:szCs w:val="18"/>
                    </w:rPr>
                  </w:pPr>
                  <w:r>
                    <w:rPr>
                      <w:rFonts w:eastAsia="等线"/>
                      <w:sz w:val="18"/>
                      <w:szCs w:val="18"/>
                    </w:rPr>
                    <w:t>18.54</w:t>
                  </w:r>
                </w:p>
              </w:tc>
              <w:tc>
                <w:tcPr>
                  <w:tcW w:w="709" w:type="dxa"/>
                  <w:shd w:val="clear" w:color="auto" w:fill="auto"/>
                  <w:vAlign w:val="center"/>
                </w:tcPr>
                <w:p>
                  <w:pPr>
                    <w:ind w:left="94" w:leftChars="45"/>
                    <w:jc w:val="center"/>
                    <w:rPr>
                      <w:sz w:val="18"/>
                      <w:szCs w:val="18"/>
                    </w:rPr>
                  </w:pPr>
                  <w:r>
                    <w:rPr>
                      <w:rFonts w:eastAsia="等线"/>
                      <w:sz w:val="18"/>
                      <w:szCs w:val="18"/>
                    </w:rPr>
                    <w:t>10.1</w:t>
                  </w:r>
                </w:p>
              </w:tc>
              <w:tc>
                <w:tcPr>
                  <w:tcW w:w="674" w:type="dxa"/>
                  <w:shd w:val="clear" w:color="auto" w:fill="auto"/>
                  <w:vAlign w:val="center"/>
                </w:tcPr>
                <w:p>
                  <w:pPr>
                    <w:ind w:left="94" w:leftChars="45"/>
                    <w:jc w:val="center"/>
                    <w:rPr>
                      <w:sz w:val="18"/>
                      <w:szCs w:val="18"/>
                    </w:rPr>
                  </w:pPr>
                  <w:r>
                    <w:rPr>
                      <w:rFonts w:eastAsia="等线"/>
                      <w:sz w:val="18"/>
                      <w:szCs w:val="18"/>
                    </w:rPr>
                    <w:t>0.06</w:t>
                  </w:r>
                </w:p>
              </w:tc>
              <w:tc>
                <w:tcPr>
                  <w:tcW w:w="743" w:type="dxa"/>
                  <w:shd w:val="clear" w:color="auto" w:fill="auto"/>
                  <w:vAlign w:val="center"/>
                </w:tcPr>
                <w:p>
                  <w:pPr>
                    <w:ind w:left="94" w:leftChars="45"/>
                    <w:jc w:val="center"/>
                    <w:rPr>
                      <w:sz w:val="18"/>
                      <w:szCs w:val="18"/>
                    </w:rPr>
                  </w:pPr>
                  <w:r>
                    <w:rPr>
                      <w:rFonts w:eastAsia="等线"/>
                      <w:sz w:val="18"/>
                      <w:szCs w:val="18"/>
                    </w:rPr>
                    <w:t>0.031</w:t>
                  </w:r>
                </w:p>
              </w:tc>
              <w:tc>
                <w:tcPr>
                  <w:tcW w:w="804" w:type="dxa"/>
                  <w:shd w:val="clear" w:color="auto" w:fill="auto"/>
                  <w:vAlign w:val="center"/>
                </w:tcPr>
                <w:p>
                  <w:pPr>
                    <w:ind w:left="94" w:leftChars="45"/>
                    <w:jc w:val="center"/>
                    <w:rPr>
                      <w:sz w:val="18"/>
                      <w:szCs w:val="18"/>
                    </w:rPr>
                  </w:pPr>
                  <w:r>
                    <w:rPr>
                      <w:rFonts w:eastAsia="等线"/>
                      <w:sz w:val="18"/>
                      <w:szCs w:val="18"/>
                    </w:rPr>
                    <w:t>22.41</w:t>
                  </w:r>
                </w:p>
              </w:tc>
              <w:tc>
                <w:tcPr>
                  <w:tcW w:w="842" w:type="dxa"/>
                  <w:shd w:val="clear" w:color="auto" w:fill="auto"/>
                  <w:vAlign w:val="center"/>
                </w:tcPr>
                <w:p>
                  <w:pPr>
                    <w:ind w:left="94" w:leftChars="45"/>
                    <w:jc w:val="center"/>
                    <w:rPr>
                      <w:sz w:val="18"/>
                      <w:szCs w:val="18"/>
                    </w:rPr>
                  </w:pPr>
                  <w:r>
                    <w:rPr>
                      <w:rFonts w:eastAsia="等线"/>
                      <w:sz w:val="18"/>
                      <w:szCs w:val="18"/>
                    </w:rPr>
                    <w:t>3.81</w:t>
                  </w:r>
                </w:p>
              </w:tc>
              <w:tc>
                <w:tcPr>
                  <w:tcW w:w="846" w:type="dxa"/>
                  <w:shd w:val="clear" w:color="auto" w:fill="auto"/>
                  <w:vAlign w:val="center"/>
                </w:tcPr>
                <w:p>
                  <w:pPr>
                    <w:ind w:left="94" w:leftChars="45"/>
                    <w:jc w:val="center"/>
                    <w:rPr>
                      <w:sz w:val="18"/>
                      <w:szCs w:val="18"/>
                    </w:rPr>
                  </w:pPr>
                  <w:r>
                    <w:rPr>
                      <w:rFonts w:eastAsia="等线"/>
                      <w:sz w:val="18"/>
                      <w:szCs w:val="18"/>
                    </w:rPr>
                    <w:t>0.28</w:t>
                  </w:r>
                </w:p>
              </w:tc>
              <w:tc>
                <w:tcPr>
                  <w:tcW w:w="798" w:type="dxa"/>
                  <w:vAlign w:val="center"/>
                </w:tcPr>
                <w:p>
                  <w:pPr>
                    <w:ind w:left="94" w:leftChars="45"/>
                    <w:jc w:val="center"/>
                    <w:rPr>
                      <w:sz w:val="18"/>
                      <w:szCs w:val="18"/>
                    </w:rPr>
                  </w:pPr>
                  <w:r>
                    <w:rPr>
                      <w:rFonts w:eastAsia="等线"/>
                      <w:sz w:val="18"/>
                      <w:szCs w:val="18"/>
                    </w:rPr>
                    <w:t>16.5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12</w:t>
                  </w:r>
                </w:p>
              </w:tc>
              <w:tc>
                <w:tcPr>
                  <w:tcW w:w="851" w:type="dxa"/>
                  <w:shd w:val="clear" w:color="auto" w:fill="auto"/>
                  <w:vAlign w:val="center"/>
                </w:tcPr>
                <w:p>
                  <w:pPr>
                    <w:ind w:left="94" w:leftChars="45"/>
                    <w:jc w:val="center"/>
                    <w:rPr>
                      <w:sz w:val="18"/>
                      <w:szCs w:val="18"/>
                    </w:rPr>
                  </w:pPr>
                  <w:r>
                    <w:rPr>
                      <w:rFonts w:eastAsia="等线"/>
                      <w:sz w:val="18"/>
                      <w:szCs w:val="18"/>
                    </w:rPr>
                    <w:t>16.73</w:t>
                  </w:r>
                </w:p>
              </w:tc>
              <w:tc>
                <w:tcPr>
                  <w:tcW w:w="709" w:type="dxa"/>
                  <w:shd w:val="clear" w:color="auto" w:fill="auto"/>
                  <w:vAlign w:val="center"/>
                </w:tcPr>
                <w:p>
                  <w:pPr>
                    <w:ind w:left="94" w:leftChars="45"/>
                    <w:jc w:val="center"/>
                    <w:rPr>
                      <w:sz w:val="18"/>
                      <w:szCs w:val="18"/>
                    </w:rPr>
                  </w:pPr>
                  <w:r>
                    <w:rPr>
                      <w:rFonts w:eastAsia="等线"/>
                      <w:sz w:val="18"/>
                      <w:szCs w:val="18"/>
                    </w:rPr>
                    <w:t>6.38</w:t>
                  </w:r>
                </w:p>
              </w:tc>
              <w:tc>
                <w:tcPr>
                  <w:tcW w:w="709" w:type="dxa"/>
                  <w:shd w:val="clear" w:color="auto" w:fill="auto"/>
                  <w:vAlign w:val="center"/>
                </w:tcPr>
                <w:p>
                  <w:pPr>
                    <w:rPr>
                      <w:sz w:val="18"/>
                      <w:szCs w:val="18"/>
                    </w:rPr>
                  </w:pPr>
                  <w:r>
                    <w:rPr>
                      <w:rFonts w:eastAsia="等线"/>
                      <w:sz w:val="18"/>
                      <w:szCs w:val="18"/>
                    </w:rPr>
                    <w:t>16.79</w:t>
                  </w:r>
                </w:p>
              </w:tc>
              <w:tc>
                <w:tcPr>
                  <w:tcW w:w="709" w:type="dxa"/>
                  <w:shd w:val="clear" w:color="auto" w:fill="auto"/>
                  <w:vAlign w:val="center"/>
                </w:tcPr>
                <w:p>
                  <w:pPr>
                    <w:ind w:left="94" w:leftChars="45"/>
                    <w:jc w:val="center"/>
                    <w:rPr>
                      <w:sz w:val="18"/>
                      <w:szCs w:val="18"/>
                    </w:rPr>
                  </w:pPr>
                  <w:r>
                    <w:rPr>
                      <w:rFonts w:eastAsia="等线"/>
                      <w:sz w:val="18"/>
                      <w:szCs w:val="18"/>
                    </w:rPr>
                    <w:t>6.43</w:t>
                  </w:r>
                </w:p>
              </w:tc>
              <w:tc>
                <w:tcPr>
                  <w:tcW w:w="674" w:type="dxa"/>
                  <w:shd w:val="clear" w:color="auto" w:fill="auto"/>
                  <w:vAlign w:val="center"/>
                </w:tcPr>
                <w:p>
                  <w:pPr>
                    <w:ind w:left="94" w:leftChars="45"/>
                    <w:jc w:val="center"/>
                    <w:rPr>
                      <w:sz w:val="18"/>
                      <w:szCs w:val="18"/>
                    </w:rPr>
                  </w:pPr>
                  <w:r>
                    <w:rPr>
                      <w:rFonts w:eastAsia="等线"/>
                      <w:sz w:val="18"/>
                      <w:szCs w:val="18"/>
                    </w:rPr>
                    <w:t>0.07</w:t>
                  </w:r>
                </w:p>
              </w:tc>
              <w:tc>
                <w:tcPr>
                  <w:tcW w:w="743" w:type="dxa"/>
                  <w:shd w:val="clear" w:color="auto" w:fill="auto"/>
                  <w:vAlign w:val="center"/>
                </w:tcPr>
                <w:p>
                  <w:pPr>
                    <w:ind w:left="94" w:leftChars="45"/>
                    <w:jc w:val="center"/>
                    <w:rPr>
                      <w:sz w:val="18"/>
                      <w:szCs w:val="18"/>
                    </w:rPr>
                  </w:pPr>
                  <w:r>
                    <w:rPr>
                      <w:rFonts w:eastAsia="等线"/>
                      <w:sz w:val="18"/>
                      <w:szCs w:val="18"/>
                    </w:rPr>
                    <w:t>0.028</w:t>
                  </w:r>
                </w:p>
              </w:tc>
              <w:tc>
                <w:tcPr>
                  <w:tcW w:w="804" w:type="dxa"/>
                  <w:shd w:val="clear" w:color="auto" w:fill="auto"/>
                  <w:vAlign w:val="center"/>
                </w:tcPr>
                <w:p>
                  <w:pPr>
                    <w:ind w:left="94" w:leftChars="45"/>
                    <w:jc w:val="center"/>
                    <w:rPr>
                      <w:sz w:val="18"/>
                      <w:szCs w:val="18"/>
                    </w:rPr>
                  </w:pPr>
                  <w:r>
                    <w:rPr>
                      <w:rFonts w:eastAsia="等线"/>
                      <w:sz w:val="18"/>
                      <w:szCs w:val="18"/>
                    </w:rPr>
                    <w:t>16.32</w:t>
                  </w:r>
                </w:p>
              </w:tc>
              <w:tc>
                <w:tcPr>
                  <w:tcW w:w="842" w:type="dxa"/>
                  <w:shd w:val="clear" w:color="auto" w:fill="auto"/>
                  <w:vAlign w:val="center"/>
                </w:tcPr>
                <w:p>
                  <w:pPr>
                    <w:ind w:left="94" w:leftChars="45"/>
                    <w:jc w:val="center"/>
                    <w:rPr>
                      <w:sz w:val="18"/>
                      <w:szCs w:val="18"/>
                    </w:rPr>
                  </w:pPr>
                  <w:r>
                    <w:rPr>
                      <w:rFonts w:eastAsia="等线"/>
                      <w:sz w:val="18"/>
                      <w:szCs w:val="18"/>
                    </w:rPr>
                    <w:t>2.69</w:t>
                  </w:r>
                </w:p>
              </w:tc>
              <w:tc>
                <w:tcPr>
                  <w:tcW w:w="846" w:type="dxa"/>
                  <w:shd w:val="clear" w:color="auto" w:fill="auto"/>
                  <w:vAlign w:val="center"/>
                </w:tcPr>
                <w:p>
                  <w:pPr>
                    <w:ind w:left="94" w:leftChars="45"/>
                    <w:jc w:val="center"/>
                    <w:rPr>
                      <w:sz w:val="18"/>
                      <w:szCs w:val="18"/>
                    </w:rPr>
                  </w:pPr>
                  <w:r>
                    <w:rPr>
                      <w:rFonts w:eastAsia="等线"/>
                      <w:sz w:val="18"/>
                      <w:szCs w:val="18"/>
                    </w:rPr>
                    <w:t>0.32</w:t>
                  </w:r>
                </w:p>
              </w:tc>
              <w:tc>
                <w:tcPr>
                  <w:tcW w:w="798" w:type="dxa"/>
                  <w:vAlign w:val="center"/>
                </w:tcPr>
                <w:p>
                  <w:pPr>
                    <w:ind w:left="94" w:leftChars="45"/>
                    <w:jc w:val="center"/>
                    <w:rPr>
                      <w:sz w:val="18"/>
                      <w:szCs w:val="18"/>
                    </w:rPr>
                  </w:pPr>
                  <w:r>
                    <w:rPr>
                      <w:rFonts w:eastAsia="等线"/>
                      <w:sz w:val="18"/>
                      <w:szCs w:val="18"/>
                    </w:rPr>
                    <w:t>17.4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15</w:t>
                  </w:r>
                </w:p>
              </w:tc>
              <w:tc>
                <w:tcPr>
                  <w:tcW w:w="851" w:type="dxa"/>
                  <w:shd w:val="clear" w:color="auto" w:fill="auto"/>
                  <w:vAlign w:val="center"/>
                </w:tcPr>
                <w:p>
                  <w:pPr>
                    <w:ind w:left="94" w:leftChars="45"/>
                    <w:jc w:val="center"/>
                    <w:rPr>
                      <w:sz w:val="18"/>
                      <w:szCs w:val="18"/>
                    </w:rPr>
                  </w:pPr>
                  <w:r>
                    <w:rPr>
                      <w:rFonts w:eastAsia="等线"/>
                      <w:sz w:val="18"/>
                      <w:szCs w:val="18"/>
                    </w:rPr>
                    <w:t>14.85</w:t>
                  </w:r>
                </w:p>
              </w:tc>
              <w:tc>
                <w:tcPr>
                  <w:tcW w:w="709" w:type="dxa"/>
                  <w:shd w:val="clear" w:color="auto" w:fill="auto"/>
                  <w:vAlign w:val="center"/>
                </w:tcPr>
                <w:p>
                  <w:pPr>
                    <w:ind w:left="94" w:leftChars="45"/>
                    <w:jc w:val="center"/>
                    <w:rPr>
                      <w:sz w:val="18"/>
                      <w:szCs w:val="18"/>
                    </w:rPr>
                  </w:pPr>
                  <w:r>
                    <w:rPr>
                      <w:rFonts w:eastAsia="等线"/>
                      <w:sz w:val="18"/>
                      <w:szCs w:val="18"/>
                    </w:rPr>
                    <w:t>5.64</w:t>
                  </w:r>
                </w:p>
              </w:tc>
              <w:tc>
                <w:tcPr>
                  <w:tcW w:w="709" w:type="dxa"/>
                  <w:shd w:val="clear" w:color="auto" w:fill="auto"/>
                  <w:vAlign w:val="center"/>
                </w:tcPr>
                <w:p>
                  <w:pPr>
                    <w:rPr>
                      <w:sz w:val="18"/>
                      <w:szCs w:val="18"/>
                    </w:rPr>
                  </w:pPr>
                  <w:r>
                    <w:rPr>
                      <w:rFonts w:eastAsia="等线"/>
                      <w:sz w:val="18"/>
                      <w:szCs w:val="18"/>
                    </w:rPr>
                    <w:t>16.14</w:t>
                  </w:r>
                </w:p>
              </w:tc>
              <w:tc>
                <w:tcPr>
                  <w:tcW w:w="709" w:type="dxa"/>
                  <w:shd w:val="clear" w:color="auto" w:fill="auto"/>
                  <w:vAlign w:val="center"/>
                </w:tcPr>
                <w:p>
                  <w:pPr>
                    <w:ind w:left="94" w:leftChars="45"/>
                    <w:jc w:val="center"/>
                    <w:rPr>
                      <w:sz w:val="18"/>
                      <w:szCs w:val="18"/>
                    </w:rPr>
                  </w:pPr>
                  <w:r>
                    <w:rPr>
                      <w:rFonts w:eastAsia="等线"/>
                      <w:sz w:val="18"/>
                      <w:szCs w:val="18"/>
                    </w:rPr>
                    <w:t>7.32</w:t>
                  </w:r>
                </w:p>
              </w:tc>
              <w:tc>
                <w:tcPr>
                  <w:tcW w:w="674" w:type="dxa"/>
                  <w:shd w:val="clear" w:color="auto" w:fill="auto"/>
                  <w:vAlign w:val="center"/>
                </w:tcPr>
                <w:p>
                  <w:pPr>
                    <w:ind w:left="94" w:leftChars="45"/>
                    <w:jc w:val="center"/>
                    <w:rPr>
                      <w:sz w:val="18"/>
                      <w:szCs w:val="18"/>
                    </w:rPr>
                  </w:pPr>
                  <w:r>
                    <w:rPr>
                      <w:rFonts w:eastAsia="等线"/>
                      <w:sz w:val="18"/>
                      <w:szCs w:val="18"/>
                    </w:rPr>
                    <w:t>0.09</w:t>
                  </w:r>
                </w:p>
              </w:tc>
              <w:tc>
                <w:tcPr>
                  <w:tcW w:w="743" w:type="dxa"/>
                  <w:shd w:val="clear" w:color="auto" w:fill="auto"/>
                  <w:vAlign w:val="center"/>
                </w:tcPr>
                <w:p>
                  <w:pPr>
                    <w:ind w:left="94" w:leftChars="45"/>
                    <w:jc w:val="center"/>
                    <w:rPr>
                      <w:sz w:val="18"/>
                      <w:szCs w:val="18"/>
                    </w:rPr>
                  </w:pPr>
                  <w:r>
                    <w:rPr>
                      <w:rFonts w:eastAsia="等线"/>
                      <w:sz w:val="18"/>
                      <w:szCs w:val="18"/>
                    </w:rPr>
                    <w:t>0.041</w:t>
                  </w:r>
                </w:p>
              </w:tc>
              <w:tc>
                <w:tcPr>
                  <w:tcW w:w="804" w:type="dxa"/>
                  <w:shd w:val="clear" w:color="auto" w:fill="auto"/>
                  <w:vAlign w:val="center"/>
                </w:tcPr>
                <w:p>
                  <w:pPr>
                    <w:ind w:left="94" w:leftChars="45"/>
                    <w:jc w:val="center"/>
                    <w:rPr>
                      <w:sz w:val="18"/>
                      <w:szCs w:val="18"/>
                    </w:rPr>
                  </w:pPr>
                  <w:r>
                    <w:rPr>
                      <w:rFonts w:eastAsia="等线"/>
                      <w:sz w:val="18"/>
                      <w:szCs w:val="18"/>
                    </w:rPr>
                    <w:t>31.42</w:t>
                  </w:r>
                </w:p>
              </w:tc>
              <w:tc>
                <w:tcPr>
                  <w:tcW w:w="842" w:type="dxa"/>
                  <w:shd w:val="clear" w:color="auto" w:fill="auto"/>
                  <w:vAlign w:val="center"/>
                </w:tcPr>
                <w:p>
                  <w:pPr>
                    <w:ind w:left="94" w:leftChars="45"/>
                    <w:jc w:val="center"/>
                    <w:rPr>
                      <w:sz w:val="18"/>
                      <w:szCs w:val="18"/>
                    </w:rPr>
                  </w:pPr>
                  <w:r>
                    <w:rPr>
                      <w:rFonts w:eastAsia="等线"/>
                      <w:sz w:val="18"/>
                      <w:szCs w:val="18"/>
                    </w:rPr>
                    <w:t>4.32</w:t>
                  </w:r>
                </w:p>
              </w:tc>
              <w:tc>
                <w:tcPr>
                  <w:tcW w:w="846" w:type="dxa"/>
                  <w:shd w:val="clear" w:color="auto" w:fill="auto"/>
                  <w:vAlign w:val="center"/>
                </w:tcPr>
                <w:p>
                  <w:pPr>
                    <w:ind w:left="94" w:leftChars="45"/>
                    <w:jc w:val="center"/>
                    <w:rPr>
                      <w:sz w:val="18"/>
                      <w:szCs w:val="18"/>
                    </w:rPr>
                  </w:pPr>
                  <w:r>
                    <w:rPr>
                      <w:rFonts w:eastAsia="等线"/>
                      <w:sz w:val="18"/>
                      <w:szCs w:val="18"/>
                    </w:rPr>
                    <w:t>0.34</w:t>
                  </w:r>
                </w:p>
              </w:tc>
              <w:tc>
                <w:tcPr>
                  <w:tcW w:w="798" w:type="dxa"/>
                  <w:vAlign w:val="center"/>
                </w:tcPr>
                <w:p>
                  <w:pPr>
                    <w:ind w:left="94" w:leftChars="45"/>
                    <w:jc w:val="center"/>
                    <w:rPr>
                      <w:sz w:val="18"/>
                      <w:szCs w:val="18"/>
                    </w:rPr>
                  </w:pPr>
                  <w:r>
                    <w:rPr>
                      <w:rFonts w:eastAsia="等线"/>
                      <w:sz w:val="18"/>
                      <w:szCs w:val="18"/>
                    </w:rPr>
                    <w:t>13.4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16</w:t>
                  </w:r>
                </w:p>
              </w:tc>
              <w:tc>
                <w:tcPr>
                  <w:tcW w:w="851" w:type="dxa"/>
                  <w:shd w:val="clear" w:color="auto" w:fill="auto"/>
                  <w:vAlign w:val="center"/>
                </w:tcPr>
                <w:p>
                  <w:pPr>
                    <w:ind w:left="94" w:leftChars="45"/>
                    <w:jc w:val="center"/>
                    <w:rPr>
                      <w:sz w:val="18"/>
                      <w:szCs w:val="18"/>
                    </w:rPr>
                  </w:pPr>
                  <w:r>
                    <w:rPr>
                      <w:rFonts w:eastAsia="等线"/>
                      <w:sz w:val="18"/>
                      <w:szCs w:val="18"/>
                    </w:rPr>
                    <w:t>26.63</w:t>
                  </w:r>
                </w:p>
              </w:tc>
              <w:tc>
                <w:tcPr>
                  <w:tcW w:w="709" w:type="dxa"/>
                  <w:shd w:val="clear" w:color="auto" w:fill="auto"/>
                  <w:vAlign w:val="center"/>
                </w:tcPr>
                <w:p>
                  <w:pPr>
                    <w:ind w:left="94" w:leftChars="45"/>
                    <w:jc w:val="center"/>
                    <w:rPr>
                      <w:sz w:val="18"/>
                      <w:szCs w:val="18"/>
                    </w:rPr>
                  </w:pPr>
                  <w:r>
                    <w:rPr>
                      <w:rFonts w:eastAsia="等线"/>
                      <w:sz w:val="18"/>
                      <w:szCs w:val="18"/>
                    </w:rPr>
                    <w:t>7.45</w:t>
                  </w:r>
                </w:p>
              </w:tc>
              <w:tc>
                <w:tcPr>
                  <w:tcW w:w="709" w:type="dxa"/>
                  <w:shd w:val="clear" w:color="auto" w:fill="auto"/>
                  <w:vAlign w:val="center"/>
                </w:tcPr>
                <w:p>
                  <w:pPr>
                    <w:rPr>
                      <w:sz w:val="18"/>
                      <w:szCs w:val="18"/>
                    </w:rPr>
                  </w:pPr>
                  <w:r>
                    <w:rPr>
                      <w:rFonts w:eastAsia="等线"/>
                      <w:sz w:val="18"/>
                      <w:szCs w:val="18"/>
                    </w:rPr>
                    <w:t>26.4</w:t>
                  </w:r>
                </w:p>
              </w:tc>
              <w:tc>
                <w:tcPr>
                  <w:tcW w:w="709" w:type="dxa"/>
                  <w:shd w:val="clear" w:color="auto" w:fill="auto"/>
                  <w:vAlign w:val="center"/>
                </w:tcPr>
                <w:p>
                  <w:pPr>
                    <w:ind w:left="94" w:leftChars="45"/>
                    <w:jc w:val="center"/>
                    <w:rPr>
                      <w:sz w:val="18"/>
                      <w:szCs w:val="18"/>
                    </w:rPr>
                  </w:pPr>
                  <w:r>
                    <w:rPr>
                      <w:rFonts w:eastAsia="等线"/>
                      <w:sz w:val="18"/>
                      <w:szCs w:val="18"/>
                    </w:rPr>
                    <w:t>4.61</w:t>
                  </w:r>
                </w:p>
              </w:tc>
              <w:tc>
                <w:tcPr>
                  <w:tcW w:w="674" w:type="dxa"/>
                  <w:shd w:val="clear" w:color="auto" w:fill="auto"/>
                  <w:vAlign w:val="center"/>
                </w:tcPr>
                <w:p>
                  <w:pPr>
                    <w:ind w:left="94" w:leftChars="45"/>
                    <w:jc w:val="center"/>
                    <w:rPr>
                      <w:sz w:val="18"/>
                      <w:szCs w:val="18"/>
                    </w:rPr>
                  </w:pPr>
                  <w:r>
                    <w:rPr>
                      <w:rFonts w:eastAsia="等线"/>
                      <w:sz w:val="18"/>
                      <w:szCs w:val="18"/>
                    </w:rPr>
                    <w:t>0.06</w:t>
                  </w:r>
                </w:p>
              </w:tc>
              <w:tc>
                <w:tcPr>
                  <w:tcW w:w="743" w:type="dxa"/>
                  <w:shd w:val="clear" w:color="auto" w:fill="auto"/>
                  <w:vAlign w:val="center"/>
                </w:tcPr>
                <w:p>
                  <w:pPr>
                    <w:ind w:left="94" w:leftChars="45"/>
                    <w:jc w:val="center"/>
                    <w:rPr>
                      <w:sz w:val="18"/>
                      <w:szCs w:val="18"/>
                    </w:rPr>
                  </w:pPr>
                  <w:r>
                    <w:rPr>
                      <w:rFonts w:eastAsia="等线"/>
                      <w:sz w:val="18"/>
                      <w:szCs w:val="18"/>
                    </w:rPr>
                    <w:t>0.035</w:t>
                  </w:r>
                </w:p>
              </w:tc>
              <w:tc>
                <w:tcPr>
                  <w:tcW w:w="804" w:type="dxa"/>
                  <w:shd w:val="clear" w:color="auto" w:fill="auto"/>
                  <w:vAlign w:val="center"/>
                </w:tcPr>
                <w:p>
                  <w:pPr>
                    <w:ind w:left="94" w:leftChars="45"/>
                    <w:jc w:val="center"/>
                    <w:rPr>
                      <w:sz w:val="18"/>
                      <w:szCs w:val="18"/>
                    </w:rPr>
                  </w:pPr>
                  <w:r>
                    <w:rPr>
                      <w:rFonts w:eastAsia="等线"/>
                      <w:sz w:val="18"/>
                      <w:szCs w:val="18"/>
                    </w:rPr>
                    <w:t>16.73</w:t>
                  </w:r>
                </w:p>
              </w:tc>
              <w:tc>
                <w:tcPr>
                  <w:tcW w:w="842" w:type="dxa"/>
                  <w:shd w:val="clear" w:color="auto" w:fill="auto"/>
                  <w:vAlign w:val="center"/>
                </w:tcPr>
                <w:p>
                  <w:pPr>
                    <w:ind w:left="94" w:leftChars="45"/>
                    <w:jc w:val="center"/>
                    <w:rPr>
                      <w:sz w:val="18"/>
                      <w:szCs w:val="18"/>
                    </w:rPr>
                  </w:pPr>
                  <w:r>
                    <w:rPr>
                      <w:rFonts w:eastAsia="等线"/>
                      <w:sz w:val="18"/>
                      <w:szCs w:val="18"/>
                    </w:rPr>
                    <w:t>3.67</w:t>
                  </w:r>
                </w:p>
              </w:tc>
              <w:tc>
                <w:tcPr>
                  <w:tcW w:w="846" w:type="dxa"/>
                  <w:shd w:val="clear" w:color="auto" w:fill="auto"/>
                  <w:vAlign w:val="center"/>
                </w:tcPr>
                <w:p>
                  <w:pPr>
                    <w:ind w:left="94" w:leftChars="45"/>
                    <w:jc w:val="center"/>
                    <w:rPr>
                      <w:sz w:val="18"/>
                      <w:szCs w:val="18"/>
                    </w:rPr>
                  </w:pPr>
                  <w:r>
                    <w:rPr>
                      <w:rFonts w:eastAsia="等线"/>
                      <w:sz w:val="18"/>
                      <w:szCs w:val="18"/>
                    </w:rPr>
                    <w:t>0.61</w:t>
                  </w:r>
                </w:p>
              </w:tc>
              <w:tc>
                <w:tcPr>
                  <w:tcW w:w="798" w:type="dxa"/>
                  <w:vAlign w:val="center"/>
                </w:tcPr>
                <w:p>
                  <w:pPr>
                    <w:ind w:left="94" w:leftChars="45"/>
                    <w:jc w:val="center"/>
                    <w:rPr>
                      <w:sz w:val="18"/>
                      <w:szCs w:val="18"/>
                    </w:rPr>
                  </w:pPr>
                  <w:r>
                    <w:rPr>
                      <w:rFonts w:eastAsia="等线"/>
                      <w:sz w:val="18"/>
                      <w:szCs w:val="18"/>
                    </w:rPr>
                    <w:t>13.2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17</w:t>
                  </w:r>
                </w:p>
              </w:tc>
              <w:tc>
                <w:tcPr>
                  <w:tcW w:w="851" w:type="dxa"/>
                  <w:shd w:val="clear" w:color="auto" w:fill="auto"/>
                  <w:vAlign w:val="center"/>
                </w:tcPr>
                <w:p>
                  <w:pPr>
                    <w:ind w:left="94" w:leftChars="45"/>
                    <w:jc w:val="center"/>
                    <w:rPr>
                      <w:sz w:val="18"/>
                      <w:szCs w:val="18"/>
                    </w:rPr>
                  </w:pPr>
                  <w:r>
                    <w:rPr>
                      <w:rFonts w:eastAsia="等线"/>
                      <w:sz w:val="18"/>
                      <w:szCs w:val="18"/>
                    </w:rPr>
                    <w:t>18.34</w:t>
                  </w:r>
                </w:p>
              </w:tc>
              <w:tc>
                <w:tcPr>
                  <w:tcW w:w="709" w:type="dxa"/>
                  <w:shd w:val="clear" w:color="auto" w:fill="auto"/>
                  <w:vAlign w:val="center"/>
                </w:tcPr>
                <w:p>
                  <w:pPr>
                    <w:ind w:left="94" w:leftChars="45"/>
                    <w:jc w:val="center"/>
                    <w:rPr>
                      <w:sz w:val="18"/>
                      <w:szCs w:val="18"/>
                    </w:rPr>
                  </w:pPr>
                  <w:r>
                    <w:rPr>
                      <w:rFonts w:eastAsia="等线"/>
                      <w:sz w:val="18"/>
                      <w:szCs w:val="18"/>
                    </w:rPr>
                    <w:t>5.94</w:t>
                  </w:r>
                </w:p>
              </w:tc>
              <w:tc>
                <w:tcPr>
                  <w:tcW w:w="709" w:type="dxa"/>
                  <w:shd w:val="clear" w:color="auto" w:fill="auto"/>
                  <w:vAlign w:val="center"/>
                </w:tcPr>
                <w:p>
                  <w:pPr>
                    <w:rPr>
                      <w:sz w:val="18"/>
                      <w:szCs w:val="18"/>
                    </w:rPr>
                  </w:pPr>
                  <w:r>
                    <w:rPr>
                      <w:rFonts w:eastAsia="等线"/>
                      <w:sz w:val="18"/>
                      <w:szCs w:val="18"/>
                    </w:rPr>
                    <w:t>18.56</w:t>
                  </w:r>
                </w:p>
              </w:tc>
              <w:tc>
                <w:tcPr>
                  <w:tcW w:w="709" w:type="dxa"/>
                  <w:shd w:val="clear" w:color="auto" w:fill="auto"/>
                  <w:vAlign w:val="center"/>
                </w:tcPr>
                <w:p>
                  <w:pPr>
                    <w:ind w:left="94" w:leftChars="45"/>
                    <w:jc w:val="center"/>
                    <w:rPr>
                      <w:sz w:val="18"/>
                      <w:szCs w:val="18"/>
                    </w:rPr>
                  </w:pPr>
                  <w:r>
                    <w:rPr>
                      <w:rFonts w:eastAsia="等线"/>
                      <w:sz w:val="18"/>
                      <w:szCs w:val="18"/>
                    </w:rPr>
                    <w:t>3.79</w:t>
                  </w:r>
                </w:p>
              </w:tc>
              <w:tc>
                <w:tcPr>
                  <w:tcW w:w="674" w:type="dxa"/>
                  <w:shd w:val="clear" w:color="auto" w:fill="auto"/>
                  <w:vAlign w:val="center"/>
                </w:tcPr>
                <w:p>
                  <w:pPr>
                    <w:ind w:left="94" w:leftChars="45"/>
                    <w:jc w:val="center"/>
                    <w:rPr>
                      <w:sz w:val="18"/>
                      <w:szCs w:val="18"/>
                    </w:rPr>
                  </w:pPr>
                  <w:r>
                    <w:rPr>
                      <w:rFonts w:eastAsia="等线"/>
                      <w:sz w:val="18"/>
                      <w:szCs w:val="18"/>
                    </w:rPr>
                    <w:t>0.07</w:t>
                  </w:r>
                </w:p>
              </w:tc>
              <w:tc>
                <w:tcPr>
                  <w:tcW w:w="743" w:type="dxa"/>
                  <w:shd w:val="clear" w:color="auto" w:fill="auto"/>
                  <w:vAlign w:val="center"/>
                </w:tcPr>
                <w:p>
                  <w:pPr>
                    <w:ind w:left="94" w:leftChars="45"/>
                    <w:jc w:val="center"/>
                    <w:rPr>
                      <w:sz w:val="18"/>
                      <w:szCs w:val="18"/>
                    </w:rPr>
                  </w:pPr>
                  <w:r>
                    <w:rPr>
                      <w:rFonts w:eastAsia="等线"/>
                      <w:sz w:val="18"/>
                      <w:szCs w:val="18"/>
                    </w:rPr>
                    <w:t>0.027</w:t>
                  </w:r>
                </w:p>
              </w:tc>
              <w:tc>
                <w:tcPr>
                  <w:tcW w:w="804" w:type="dxa"/>
                  <w:shd w:val="clear" w:color="auto" w:fill="auto"/>
                  <w:vAlign w:val="center"/>
                </w:tcPr>
                <w:p>
                  <w:pPr>
                    <w:ind w:left="94" w:leftChars="45"/>
                    <w:jc w:val="center"/>
                    <w:rPr>
                      <w:sz w:val="18"/>
                      <w:szCs w:val="18"/>
                    </w:rPr>
                  </w:pPr>
                  <w:r>
                    <w:rPr>
                      <w:rFonts w:eastAsia="等线"/>
                      <w:sz w:val="18"/>
                      <w:szCs w:val="18"/>
                    </w:rPr>
                    <w:t>18.65</w:t>
                  </w:r>
                </w:p>
              </w:tc>
              <w:tc>
                <w:tcPr>
                  <w:tcW w:w="842" w:type="dxa"/>
                  <w:shd w:val="clear" w:color="auto" w:fill="auto"/>
                  <w:vAlign w:val="center"/>
                </w:tcPr>
                <w:p>
                  <w:pPr>
                    <w:ind w:left="94" w:leftChars="45"/>
                    <w:jc w:val="center"/>
                    <w:rPr>
                      <w:sz w:val="18"/>
                      <w:szCs w:val="18"/>
                    </w:rPr>
                  </w:pPr>
                  <w:r>
                    <w:rPr>
                      <w:rFonts w:eastAsia="等线"/>
                      <w:sz w:val="18"/>
                      <w:szCs w:val="18"/>
                    </w:rPr>
                    <w:t>2.74</w:t>
                  </w:r>
                </w:p>
              </w:tc>
              <w:tc>
                <w:tcPr>
                  <w:tcW w:w="846" w:type="dxa"/>
                  <w:shd w:val="clear" w:color="auto" w:fill="auto"/>
                  <w:vAlign w:val="center"/>
                </w:tcPr>
                <w:p>
                  <w:pPr>
                    <w:ind w:left="94" w:leftChars="45"/>
                    <w:jc w:val="center"/>
                    <w:rPr>
                      <w:sz w:val="18"/>
                      <w:szCs w:val="18"/>
                    </w:rPr>
                  </w:pPr>
                  <w:r>
                    <w:rPr>
                      <w:rFonts w:eastAsia="等线"/>
                      <w:sz w:val="18"/>
                      <w:szCs w:val="18"/>
                    </w:rPr>
                    <w:t>0.52</w:t>
                  </w:r>
                </w:p>
              </w:tc>
              <w:tc>
                <w:tcPr>
                  <w:tcW w:w="798" w:type="dxa"/>
                  <w:vAlign w:val="center"/>
                </w:tcPr>
                <w:p>
                  <w:pPr>
                    <w:ind w:left="94" w:leftChars="45"/>
                    <w:jc w:val="center"/>
                    <w:rPr>
                      <w:sz w:val="18"/>
                      <w:szCs w:val="18"/>
                    </w:rPr>
                  </w:pPr>
                  <w:r>
                    <w:rPr>
                      <w:rFonts w:eastAsia="等线"/>
                      <w:sz w:val="18"/>
                      <w:szCs w:val="18"/>
                    </w:rPr>
                    <w:t>12.8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19</w:t>
                  </w:r>
                </w:p>
              </w:tc>
              <w:tc>
                <w:tcPr>
                  <w:tcW w:w="851" w:type="dxa"/>
                  <w:shd w:val="clear" w:color="auto" w:fill="auto"/>
                  <w:vAlign w:val="center"/>
                </w:tcPr>
                <w:p>
                  <w:pPr>
                    <w:ind w:left="94" w:leftChars="45"/>
                    <w:jc w:val="center"/>
                    <w:rPr>
                      <w:sz w:val="18"/>
                      <w:szCs w:val="18"/>
                    </w:rPr>
                  </w:pPr>
                  <w:r>
                    <w:rPr>
                      <w:rFonts w:eastAsia="等线"/>
                      <w:sz w:val="18"/>
                      <w:szCs w:val="18"/>
                    </w:rPr>
                    <w:t>14.64</w:t>
                  </w:r>
                </w:p>
              </w:tc>
              <w:tc>
                <w:tcPr>
                  <w:tcW w:w="709" w:type="dxa"/>
                  <w:shd w:val="clear" w:color="auto" w:fill="auto"/>
                  <w:vAlign w:val="center"/>
                </w:tcPr>
                <w:p>
                  <w:pPr>
                    <w:ind w:left="94" w:leftChars="45"/>
                    <w:jc w:val="center"/>
                    <w:rPr>
                      <w:sz w:val="18"/>
                      <w:szCs w:val="18"/>
                    </w:rPr>
                  </w:pPr>
                  <w:r>
                    <w:rPr>
                      <w:rFonts w:eastAsia="等线"/>
                      <w:sz w:val="18"/>
                      <w:szCs w:val="18"/>
                    </w:rPr>
                    <w:t>10.6</w:t>
                  </w:r>
                </w:p>
              </w:tc>
              <w:tc>
                <w:tcPr>
                  <w:tcW w:w="709" w:type="dxa"/>
                  <w:shd w:val="clear" w:color="auto" w:fill="auto"/>
                  <w:vAlign w:val="center"/>
                </w:tcPr>
                <w:p>
                  <w:pPr>
                    <w:rPr>
                      <w:sz w:val="18"/>
                      <w:szCs w:val="18"/>
                    </w:rPr>
                  </w:pPr>
                  <w:r>
                    <w:rPr>
                      <w:rFonts w:eastAsia="等线"/>
                      <w:sz w:val="18"/>
                      <w:szCs w:val="18"/>
                    </w:rPr>
                    <w:t>26.48</w:t>
                  </w:r>
                </w:p>
              </w:tc>
              <w:tc>
                <w:tcPr>
                  <w:tcW w:w="709" w:type="dxa"/>
                  <w:shd w:val="clear" w:color="auto" w:fill="auto"/>
                  <w:vAlign w:val="center"/>
                </w:tcPr>
                <w:p>
                  <w:pPr>
                    <w:ind w:left="94" w:leftChars="45"/>
                    <w:jc w:val="center"/>
                    <w:rPr>
                      <w:sz w:val="18"/>
                      <w:szCs w:val="18"/>
                    </w:rPr>
                  </w:pPr>
                  <w:r>
                    <w:rPr>
                      <w:rFonts w:eastAsia="等线"/>
                      <w:sz w:val="18"/>
                      <w:szCs w:val="18"/>
                    </w:rPr>
                    <w:t>4.52</w:t>
                  </w:r>
                </w:p>
              </w:tc>
              <w:tc>
                <w:tcPr>
                  <w:tcW w:w="674" w:type="dxa"/>
                  <w:shd w:val="clear" w:color="auto" w:fill="auto"/>
                  <w:vAlign w:val="center"/>
                </w:tcPr>
                <w:p>
                  <w:pPr>
                    <w:ind w:left="94" w:leftChars="45"/>
                    <w:jc w:val="center"/>
                    <w:rPr>
                      <w:sz w:val="18"/>
                      <w:szCs w:val="18"/>
                    </w:rPr>
                  </w:pPr>
                  <w:r>
                    <w:rPr>
                      <w:rFonts w:eastAsia="等线"/>
                      <w:sz w:val="18"/>
                      <w:szCs w:val="18"/>
                    </w:rPr>
                    <w:t>0.09</w:t>
                  </w:r>
                </w:p>
              </w:tc>
              <w:tc>
                <w:tcPr>
                  <w:tcW w:w="743" w:type="dxa"/>
                  <w:shd w:val="clear" w:color="auto" w:fill="auto"/>
                  <w:vAlign w:val="center"/>
                </w:tcPr>
                <w:p>
                  <w:pPr>
                    <w:ind w:left="94" w:leftChars="45"/>
                    <w:jc w:val="center"/>
                    <w:rPr>
                      <w:sz w:val="18"/>
                      <w:szCs w:val="18"/>
                    </w:rPr>
                  </w:pPr>
                  <w:r>
                    <w:rPr>
                      <w:rFonts w:eastAsia="等线"/>
                      <w:sz w:val="18"/>
                      <w:szCs w:val="18"/>
                    </w:rPr>
                    <w:t>0.032</w:t>
                  </w:r>
                </w:p>
              </w:tc>
              <w:tc>
                <w:tcPr>
                  <w:tcW w:w="804" w:type="dxa"/>
                  <w:shd w:val="clear" w:color="auto" w:fill="auto"/>
                  <w:vAlign w:val="center"/>
                </w:tcPr>
                <w:p>
                  <w:pPr>
                    <w:ind w:left="94" w:leftChars="45"/>
                    <w:jc w:val="center"/>
                    <w:rPr>
                      <w:sz w:val="18"/>
                      <w:szCs w:val="18"/>
                    </w:rPr>
                  </w:pPr>
                  <w:r>
                    <w:rPr>
                      <w:rFonts w:eastAsia="等线"/>
                      <w:sz w:val="18"/>
                      <w:szCs w:val="18"/>
                    </w:rPr>
                    <w:t>21.56</w:t>
                  </w:r>
                </w:p>
              </w:tc>
              <w:tc>
                <w:tcPr>
                  <w:tcW w:w="842" w:type="dxa"/>
                  <w:shd w:val="clear" w:color="auto" w:fill="auto"/>
                  <w:vAlign w:val="center"/>
                </w:tcPr>
                <w:p>
                  <w:pPr>
                    <w:ind w:left="94" w:leftChars="45"/>
                    <w:jc w:val="center"/>
                    <w:rPr>
                      <w:sz w:val="18"/>
                      <w:szCs w:val="18"/>
                    </w:rPr>
                  </w:pPr>
                  <w:r>
                    <w:rPr>
                      <w:rFonts w:eastAsia="等线"/>
                      <w:sz w:val="18"/>
                      <w:szCs w:val="18"/>
                    </w:rPr>
                    <w:t>3.81</w:t>
                  </w:r>
                </w:p>
              </w:tc>
              <w:tc>
                <w:tcPr>
                  <w:tcW w:w="846" w:type="dxa"/>
                  <w:shd w:val="clear" w:color="auto" w:fill="auto"/>
                  <w:vAlign w:val="center"/>
                </w:tcPr>
                <w:p>
                  <w:pPr>
                    <w:ind w:left="94" w:leftChars="45"/>
                    <w:jc w:val="center"/>
                    <w:rPr>
                      <w:sz w:val="18"/>
                      <w:szCs w:val="18"/>
                    </w:rPr>
                  </w:pPr>
                  <w:r>
                    <w:rPr>
                      <w:rFonts w:eastAsia="等线"/>
                      <w:sz w:val="18"/>
                      <w:szCs w:val="18"/>
                    </w:rPr>
                    <w:t>0.43</w:t>
                  </w:r>
                </w:p>
              </w:tc>
              <w:tc>
                <w:tcPr>
                  <w:tcW w:w="798" w:type="dxa"/>
                  <w:vAlign w:val="center"/>
                </w:tcPr>
                <w:p>
                  <w:pPr>
                    <w:ind w:left="94" w:leftChars="45"/>
                    <w:jc w:val="center"/>
                    <w:rPr>
                      <w:sz w:val="18"/>
                      <w:szCs w:val="18"/>
                    </w:rPr>
                  </w:pPr>
                  <w:r>
                    <w:rPr>
                      <w:rFonts w:eastAsia="等线"/>
                      <w:sz w:val="18"/>
                      <w:szCs w:val="18"/>
                    </w:rPr>
                    <w:t>13.2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574" w:type="dxa"/>
                  <w:shd w:val="clear" w:color="auto" w:fill="auto"/>
                  <w:noWrap/>
                  <w:vAlign w:val="center"/>
                </w:tcPr>
                <w:p>
                  <w:pPr>
                    <w:ind w:left="94" w:leftChars="45"/>
                    <w:jc w:val="center"/>
                    <w:rPr>
                      <w:sz w:val="18"/>
                      <w:szCs w:val="18"/>
                    </w:rPr>
                  </w:pPr>
                  <w:r>
                    <w:rPr>
                      <w:rFonts w:eastAsia="等线"/>
                      <w:sz w:val="18"/>
                      <w:szCs w:val="18"/>
                    </w:rPr>
                    <w:t>20</w:t>
                  </w:r>
                </w:p>
              </w:tc>
              <w:tc>
                <w:tcPr>
                  <w:tcW w:w="851" w:type="dxa"/>
                  <w:shd w:val="clear" w:color="auto" w:fill="auto"/>
                  <w:vAlign w:val="center"/>
                </w:tcPr>
                <w:p>
                  <w:pPr>
                    <w:ind w:left="94" w:leftChars="45"/>
                    <w:jc w:val="center"/>
                    <w:rPr>
                      <w:sz w:val="18"/>
                      <w:szCs w:val="18"/>
                    </w:rPr>
                  </w:pPr>
                  <w:r>
                    <w:rPr>
                      <w:rFonts w:eastAsia="等线"/>
                      <w:sz w:val="18"/>
                      <w:szCs w:val="18"/>
                    </w:rPr>
                    <w:t>11.73</w:t>
                  </w:r>
                </w:p>
              </w:tc>
              <w:tc>
                <w:tcPr>
                  <w:tcW w:w="709" w:type="dxa"/>
                  <w:shd w:val="clear" w:color="auto" w:fill="auto"/>
                  <w:vAlign w:val="center"/>
                </w:tcPr>
                <w:p>
                  <w:pPr>
                    <w:ind w:left="94" w:leftChars="45"/>
                    <w:jc w:val="center"/>
                    <w:rPr>
                      <w:sz w:val="18"/>
                      <w:szCs w:val="18"/>
                    </w:rPr>
                  </w:pPr>
                  <w:r>
                    <w:rPr>
                      <w:rFonts w:eastAsia="等线"/>
                      <w:sz w:val="18"/>
                      <w:szCs w:val="18"/>
                    </w:rPr>
                    <w:t>12.5</w:t>
                  </w:r>
                </w:p>
              </w:tc>
              <w:tc>
                <w:tcPr>
                  <w:tcW w:w="709" w:type="dxa"/>
                  <w:shd w:val="clear" w:color="auto" w:fill="auto"/>
                  <w:vAlign w:val="center"/>
                </w:tcPr>
                <w:p>
                  <w:pPr>
                    <w:rPr>
                      <w:sz w:val="18"/>
                      <w:szCs w:val="18"/>
                    </w:rPr>
                  </w:pPr>
                  <w:r>
                    <w:rPr>
                      <w:rFonts w:eastAsia="等线"/>
                      <w:sz w:val="18"/>
                      <w:szCs w:val="18"/>
                    </w:rPr>
                    <w:t>21.6</w:t>
                  </w:r>
                  <w:r>
                    <w:rPr>
                      <w:rFonts w:hint="eastAsia" w:eastAsia="等线"/>
                      <w:sz w:val="18"/>
                      <w:szCs w:val="18"/>
                    </w:rPr>
                    <w:t>0</w:t>
                  </w:r>
                </w:p>
              </w:tc>
              <w:tc>
                <w:tcPr>
                  <w:tcW w:w="709" w:type="dxa"/>
                  <w:shd w:val="clear" w:color="auto" w:fill="auto"/>
                  <w:vAlign w:val="center"/>
                </w:tcPr>
                <w:p>
                  <w:pPr>
                    <w:ind w:left="94" w:leftChars="45"/>
                    <w:jc w:val="center"/>
                    <w:rPr>
                      <w:sz w:val="18"/>
                      <w:szCs w:val="18"/>
                    </w:rPr>
                  </w:pPr>
                  <w:r>
                    <w:rPr>
                      <w:rFonts w:eastAsia="等线"/>
                      <w:sz w:val="18"/>
                      <w:szCs w:val="18"/>
                    </w:rPr>
                    <w:t>4.82</w:t>
                  </w:r>
                </w:p>
              </w:tc>
              <w:tc>
                <w:tcPr>
                  <w:tcW w:w="674" w:type="dxa"/>
                  <w:shd w:val="clear" w:color="auto" w:fill="auto"/>
                  <w:vAlign w:val="center"/>
                </w:tcPr>
                <w:p>
                  <w:pPr>
                    <w:ind w:left="94" w:leftChars="45"/>
                    <w:jc w:val="center"/>
                    <w:rPr>
                      <w:sz w:val="18"/>
                      <w:szCs w:val="18"/>
                    </w:rPr>
                  </w:pPr>
                  <w:r>
                    <w:rPr>
                      <w:rFonts w:eastAsia="等线"/>
                      <w:sz w:val="18"/>
                      <w:szCs w:val="18"/>
                    </w:rPr>
                    <w:t>0.1</w:t>
                  </w:r>
                  <w:r>
                    <w:rPr>
                      <w:rFonts w:hint="eastAsia" w:eastAsia="等线"/>
                      <w:sz w:val="18"/>
                      <w:szCs w:val="18"/>
                    </w:rPr>
                    <w:t>0</w:t>
                  </w:r>
                </w:p>
              </w:tc>
              <w:tc>
                <w:tcPr>
                  <w:tcW w:w="743" w:type="dxa"/>
                  <w:shd w:val="clear" w:color="auto" w:fill="auto"/>
                  <w:vAlign w:val="center"/>
                </w:tcPr>
                <w:p>
                  <w:pPr>
                    <w:ind w:left="94" w:leftChars="45"/>
                    <w:jc w:val="center"/>
                    <w:rPr>
                      <w:sz w:val="18"/>
                      <w:szCs w:val="18"/>
                    </w:rPr>
                  </w:pPr>
                  <w:r>
                    <w:rPr>
                      <w:rFonts w:eastAsia="等线"/>
                      <w:sz w:val="18"/>
                      <w:szCs w:val="18"/>
                    </w:rPr>
                    <w:t>0.026</w:t>
                  </w:r>
                </w:p>
              </w:tc>
              <w:tc>
                <w:tcPr>
                  <w:tcW w:w="804" w:type="dxa"/>
                  <w:shd w:val="clear" w:color="auto" w:fill="auto"/>
                  <w:vAlign w:val="center"/>
                </w:tcPr>
                <w:p>
                  <w:pPr>
                    <w:ind w:left="94" w:leftChars="45"/>
                    <w:jc w:val="center"/>
                    <w:rPr>
                      <w:sz w:val="18"/>
                      <w:szCs w:val="18"/>
                    </w:rPr>
                  </w:pPr>
                  <w:r>
                    <w:rPr>
                      <w:rFonts w:eastAsia="等线"/>
                      <w:sz w:val="18"/>
                      <w:szCs w:val="18"/>
                    </w:rPr>
                    <w:t>25.62</w:t>
                  </w:r>
                </w:p>
              </w:tc>
              <w:tc>
                <w:tcPr>
                  <w:tcW w:w="842" w:type="dxa"/>
                  <w:shd w:val="clear" w:color="auto" w:fill="auto"/>
                  <w:vAlign w:val="center"/>
                </w:tcPr>
                <w:p>
                  <w:pPr>
                    <w:ind w:left="94" w:leftChars="45"/>
                    <w:jc w:val="center"/>
                    <w:rPr>
                      <w:sz w:val="18"/>
                      <w:szCs w:val="18"/>
                    </w:rPr>
                  </w:pPr>
                  <w:r>
                    <w:rPr>
                      <w:rFonts w:eastAsia="等线"/>
                      <w:sz w:val="18"/>
                      <w:szCs w:val="18"/>
                    </w:rPr>
                    <w:t>5.32</w:t>
                  </w:r>
                </w:p>
              </w:tc>
              <w:tc>
                <w:tcPr>
                  <w:tcW w:w="846" w:type="dxa"/>
                  <w:shd w:val="clear" w:color="auto" w:fill="auto"/>
                  <w:vAlign w:val="center"/>
                </w:tcPr>
                <w:p>
                  <w:pPr>
                    <w:ind w:left="94" w:leftChars="45"/>
                    <w:jc w:val="center"/>
                    <w:rPr>
                      <w:sz w:val="18"/>
                      <w:szCs w:val="18"/>
                    </w:rPr>
                  </w:pPr>
                  <w:r>
                    <w:rPr>
                      <w:rFonts w:eastAsia="等线"/>
                      <w:sz w:val="18"/>
                      <w:szCs w:val="18"/>
                    </w:rPr>
                    <w:t>0.38</w:t>
                  </w:r>
                </w:p>
              </w:tc>
              <w:tc>
                <w:tcPr>
                  <w:tcW w:w="798" w:type="dxa"/>
                  <w:vAlign w:val="center"/>
                </w:tcPr>
                <w:p>
                  <w:pPr>
                    <w:ind w:left="94" w:leftChars="45"/>
                    <w:jc w:val="center"/>
                    <w:rPr>
                      <w:sz w:val="18"/>
                      <w:szCs w:val="18"/>
                    </w:rPr>
                  </w:pPr>
                  <w:r>
                    <w:rPr>
                      <w:rFonts w:eastAsia="等线"/>
                      <w:sz w:val="18"/>
                      <w:szCs w:val="18"/>
                    </w:rPr>
                    <w:t>16.3</w:t>
                  </w:r>
                </w:p>
              </w:tc>
            </w:tr>
          </w:tbl>
          <w:p>
            <w:pPr>
              <w:pStyle w:val="279"/>
              <w:snapToGrid w:val="0"/>
              <w:ind w:firstLine="480"/>
              <w:rPr>
                <w:szCs w:val="21"/>
              </w:rPr>
            </w:pPr>
            <w:bookmarkStart w:id="9" w:name="_Ref533085129"/>
            <w:r>
              <w:rPr>
                <w:szCs w:val="21"/>
              </w:rPr>
              <w:t>表</w:t>
            </w:r>
            <w:r>
              <w:rPr>
                <w:rFonts w:hint="eastAsia"/>
                <w:szCs w:val="21"/>
              </w:rPr>
              <w:t>4.1</w:t>
            </w:r>
            <w:r>
              <w:rPr>
                <w:szCs w:val="21"/>
              </w:rPr>
              <w:t>.</w:t>
            </w:r>
            <w:bookmarkEnd w:id="9"/>
            <w:r>
              <w:rPr>
                <w:szCs w:val="21"/>
              </w:rPr>
              <w:t>2-3 调查海域沉积物质量评价指数</w:t>
            </w:r>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27"/>
              <w:gridCol w:w="836"/>
              <w:gridCol w:w="651"/>
              <w:gridCol w:w="667"/>
              <w:gridCol w:w="661"/>
              <w:gridCol w:w="661"/>
              <w:gridCol w:w="661"/>
              <w:gridCol w:w="661"/>
              <w:gridCol w:w="661"/>
              <w:gridCol w:w="740"/>
              <w:gridCol w:w="695"/>
              <w:gridCol w:w="73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jc w:val="center"/>
                    <w:rPr>
                      <w:rFonts w:eastAsia="楷体"/>
                      <w:sz w:val="18"/>
                      <w:szCs w:val="18"/>
                    </w:rPr>
                  </w:pPr>
                  <w:r>
                    <w:rPr>
                      <w:rFonts w:eastAsia="楷体"/>
                      <w:sz w:val="18"/>
                      <w:szCs w:val="18"/>
                    </w:rPr>
                    <w:t>站位</w:t>
                  </w:r>
                </w:p>
              </w:tc>
              <w:tc>
                <w:tcPr>
                  <w:tcW w:w="836" w:type="dxa"/>
                  <w:shd w:val="clear" w:color="auto" w:fill="auto"/>
                  <w:noWrap/>
                  <w:vAlign w:val="center"/>
                </w:tcPr>
                <w:p>
                  <w:pPr>
                    <w:jc w:val="center"/>
                    <w:rPr>
                      <w:rFonts w:eastAsia="楷体"/>
                      <w:sz w:val="18"/>
                      <w:szCs w:val="18"/>
                    </w:rPr>
                  </w:pPr>
                  <w:r>
                    <w:rPr>
                      <w:rFonts w:eastAsia="楷体"/>
                      <w:sz w:val="18"/>
                      <w:szCs w:val="18"/>
                    </w:rPr>
                    <w:t>石油类</w:t>
                  </w:r>
                </w:p>
              </w:tc>
              <w:tc>
                <w:tcPr>
                  <w:tcW w:w="651" w:type="dxa"/>
                  <w:shd w:val="clear" w:color="auto" w:fill="auto"/>
                  <w:noWrap/>
                  <w:vAlign w:val="center"/>
                </w:tcPr>
                <w:p>
                  <w:pPr>
                    <w:jc w:val="center"/>
                    <w:rPr>
                      <w:rFonts w:eastAsia="楷体"/>
                      <w:sz w:val="18"/>
                      <w:szCs w:val="18"/>
                    </w:rPr>
                  </w:pPr>
                  <w:r>
                    <w:rPr>
                      <w:rFonts w:eastAsia="楷体"/>
                      <w:sz w:val="18"/>
                      <w:szCs w:val="18"/>
                    </w:rPr>
                    <w:t>铜</w:t>
                  </w:r>
                </w:p>
              </w:tc>
              <w:tc>
                <w:tcPr>
                  <w:tcW w:w="667" w:type="dxa"/>
                  <w:shd w:val="clear" w:color="auto" w:fill="auto"/>
                  <w:noWrap/>
                  <w:vAlign w:val="center"/>
                </w:tcPr>
                <w:p>
                  <w:pPr>
                    <w:jc w:val="center"/>
                    <w:rPr>
                      <w:rFonts w:eastAsia="楷体"/>
                      <w:sz w:val="18"/>
                      <w:szCs w:val="18"/>
                    </w:rPr>
                  </w:pPr>
                  <w:r>
                    <w:rPr>
                      <w:rFonts w:eastAsia="楷体"/>
                      <w:sz w:val="18"/>
                      <w:szCs w:val="18"/>
                    </w:rPr>
                    <w:t>锌</w:t>
                  </w:r>
                </w:p>
              </w:tc>
              <w:tc>
                <w:tcPr>
                  <w:tcW w:w="661" w:type="dxa"/>
                  <w:shd w:val="clear" w:color="auto" w:fill="auto"/>
                  <w:noWrap/>
                  <w:vAlign w:val="center"/>
                </w:tcPr>
                <w:p>
                  <w:pPr>
                    <w:jc w:val="center"/>
                    <w:rPr>
                      <w:rFonts w:eastAsia="楷体"/>
                      <w:sz w:val="18"/>
                      <w:szCs w:val="18"/>
                    </w:rPr>
                  </w:pPr>
                  <w:r>
                    <w:rPr>
                      <w:rFonts w:eastAsia="楷体"/>
                      <w:sz w:val="18"/>
                      <w:szCs w:val="18"/>
                    </w:rPr>
                    <w:t>铅</w:t>
                  </w:r>
                </w:p>
              </w:tc>
              <w:tc>
                <w:tcPr>
                  <w:tcW w:w="661" w:type="dxa"/>
                  <w:shd w:val="clear" w:color="auto" w:fill="auto"/>
                  <w:noWrap/>
                  <w:vAlign w:val="center"/>
                </w:tcPr>
                <w:p>
                  <w:pPr>
                    <w:jc w:val="center"/>
                    <w:rPr>
                      <w:rFonts w:eastAsia="楷体"/>
                      <w:sz w:val="18"/>
                      <w:szCs w:val="18"/>
                    </w:rPr>
                  </w:pPr>
                  <w:r>
                    <w:rPr>
                      <w:rFonts w:eastAsia="楷体"/>
                      <w:sz w:val="18"/>
                      <w:szCs w:val="18"/>
                    </w:rPr>
                    <w:t>镉</w:t>
                  </w:r>
                </w:p>
              </w:tc>
              <w:tc>
                <w:tcPr>
                  <w:tcW w:w="661" w:type="dxa"/>
                  <w:shd w:val="clear" w:color="auto" w:fill="auto"/>
                  <w:noWrap/>
                  <w:vAlign w:val="center"/>
                </w:tcPr>
                <w:p>
                  <w:pPr>
                    <w:jc w:val="center"/>
                    <w:rPr>
                      <w:rFonts w:eastAsia="楷体"/>
                      <w:sz w:val="18"/>
                      <w:szCs w:val="18"/>
                    </w:rPr>
                  </w:pPr>
                  <w:r>
                    <w:rPr>
                      <w:rFonts w:eastAsia="楷体"/>
                      <w:sz w:val="18"/>
                      <w:szCs w:val="18"/>
                    </w:rPr>
                    <w:t>总汞</w:t>
                  </w:r>
                </w:p>
              </w:tc>
              <w:tc>
                <w:tcPr>
                  <w:tcW w:w="661" w:type="dxa"/>
                  <w:shd w:val="clear" w:color="auto" w:fill="auto"/>
                  <w:noWrap/>
                  <w:vAlign w:val="center"/>
                </w:tcPr>
                <w:p>
                  <w:pPr>
                    <w:jc w:val="center"/>
                    <w:rPr>
                      <w:rFonts w:eastAsia="楷体"/>
                      <w:sz w:val="18"/>
                      <w:szCs w:val="18"/>
                    </w:rPr>
                  </w:pPr>
                  <w:r>
                    <w:rPr>
                      <w:rFonts w:eastAsia="楷体"/>
                      <w:sz w:val="18"/>
                      <w:szCs w:val="18"/>
                    </w:rPr>
                    <w:t>铬</w:t>
                  </w:r>
                </w:p>
              </w:tc>
              <w:tc>
                <w:tcPr>
                  <w:tcW w:w="661" w:type="dxa"/>
                  <w:shd w:val="clear" w:color="auto" w:fill="auto"/>
                  <w:noWrap/>
                  <w:vAlign w:val="center"/>
                </w:tcPr>
                <w:p>
                  <w:pPr>
                    <w:jc w:val="center"/>
                    <w:rPr>
                      <w:rFonts w:eastAsia="楷体"/>
                      <w:sz w:val="18"/>
                      <w:szCs w:val="18"/>
                    </w:rPr>
                  </w:pPr>
                  <w:r>
                    <w:rPr>
                      <w:rFonts w:eastAsia="楷体"/>
                      <w:sz w:val="18"/>
                      <w:szCs w:val="18"/>
                    </w:rPr>
                    <w:t>砷</w:t>
                  </w:r>
                </w:p>
              </w:tc>
              <w:tc>
                <w:tcPr>
                  <w:tcW w:w="740" w:type="dxa"/>
                  <w:shd w:val="clear" w:color="auto" w:fill="auto"/>
                  <w:noWrap/>
                  <w:vAlign w:val="center"/>
                </w:tcPr>
                <w:p>
                  <w:pPr>
                    <w:jc w:val="center"/>
                    <w:rPr>
                      <w:rFonts w:eastAsia="楷体"/>
                      <w:sz w:val="18"/>
                      <w:szCs w:val="18"/>
                    </w:rPr>
                  </w:pPr>
                  <w:r>
                    <w:rPr>
                      <w:rFonts w:eastAsia="楷体"/>
                      <w:sz w:val="18"/>
                      <w:szCs w:val="18"/>
                    </w:rPr>
                    <w:t>有机碳</w:t>
                  </w:r>
                </w:p>
              </w:tc>
              <w:tc>
                <w:tcPr>
                  <w:tcW w:w="695" w:type="dxa"/>
                  <w:vAlign w:val="center"/>
                </w:tcPr>
                <w:p>
                  <w:pPr>
                    <w:jc w:val="center"/>
                    <w:rPr>
                      <w:rFonts w:eastAsia="楷体"/>
                      <w:sz w:val="18"/>
                      <w:szCs w:val="18"/>
                    </w:rPr>
                  </w:pPr>
                  <w:r>
                    <w:rPr>
                      <w:rFonts w:eastAsia="楷体"/>
                      <w:sz w:val="18"/>
                      <w:szCs w:val="18"/>
                    </w:rPr>
                    <w:t>硫化物</w:t>
                  </w:r>
                </w:p>
              </w:tc>
              <w:tc>
                <w:tcPr>
                  <w:tcW w:w="738" w:type="dxa"/>
                </w:tcPr>
                <w:p>
                  <w:pPr>
                    <w:jc w:val="center"/>
                    <w:rPr>
                      <w:rFonts w:eastAsia="楷体"/>
                      <w:sz w:val="18"/>
                      <w:szCs w:val="18"/>
                    </w:rPr>
                  </w:pPr>
                  <w:r>
                    <w:rPr>
                      <w:rFonts w:hint="eastAsia" w:eastAsia="楷体"/>
                      <w:sz w:val="18"/>
                      <w:szCs w:val="18"/>
                    </w:rPr>
                    <w:t>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1</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0.03</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0.27</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0.15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0.12</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0.06</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0.11</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0.21</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0.27</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0.23</w:t>
                  </w:r>
                </w:p>
              </w:tc>
              <w:tc>
                <w:tcPr>
                  <w:tcW w:w="695" w:type="dxa"/>
                  <w:vAlign w:val="bottom"/>
                </w:tcPr>
                <w:p>
                  <w:pPr>
                    <w:ind w:left="94" w:leftChars="45"/>
                    <w:jc w:val="center"/>
                    <w:rPr>
                      <w:rFonts w:eastAsia="等线"/>
                      <w:sz w:val="18"/>
                      <w:szCs w:val="18"/>
                    </w:rPr>
                  </w:pPr>
                  <w:r>
                    <w:rPr>
                      <w:rFonts w:hint="eastAsia" w:eastAsia="等线"/>
                      <w:sz w:val="18"/>
                      <w:szCs w:val="18"/>
                    </w:rPr>
                    <w:t>0.05</w:t>
                  </w:r>
                </w:p>
              </w:tc>
              <w:tc>
                <w:tcPr>
                  <w:tcW w:w="738" w:type="dxa"/>
                  <w:vAlign w:val="bottom"/>
                </w:tcPr>
                <w:p>
                  <w:pPr>
                    <w:ind w:left="94" w:leftChars="45"/>
                    <w:jc w:val="center"/>
                    <w:rPr>
                      <w:rFonts w:ascii="楷体" w:hAnsi="楷体" w:eastAsia="楷体"/>
                      <w:szCs w:val="21"/>
                    </w:rPr>
                  </w:pPr>
                  <w:r>
                    <w:rPr>
                      <w:rFonts w:hint="eastAsia"/>
                      <w:szCs w:val="21"/>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4</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0.04</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0.11</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0.14</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0.06</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0.22</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695" w:type="dxa"/>
                  <w:vAlign w:val="bottom"/>
                </w:tcPr>
                <w:p>
                  <w:pPr>
                    <w:ind w:left="94" w:leftChars="45"/>
                    <w:jc w:val="center"/>
                    <w:rPr>
                      <w:rFonts w:eastAsia="等线"/>
                      <w:sz w:val="18"/>
                      <w:szCs w:val="18"/>
                    </w:rPr>
                  </w:pPr>
                  <w:r>
                    <w:rPr>
                      <w:rFonts w:hint="eastAsia" w:eastAsia="等线"/>
                      <w:sz w:val="18"/>
                      <w:szCs w:val="18"/>
                    </w:rPr>
                    <w:t>0.05</w:t>
                  </w:r>
                </w:p>
              </w:tc>
              <w:tc>
                <w:tcPr>
                  <w:tcW w:w="738" w:type="dxa"/>
                  <w:vAlign w:val="bottom"/>
                </w:tcPr>
                <w:p>
                  <w:pPr>
                    <w:ind w:left="94" w:leftChars="45"/>
                    <w:jc w:val="center"/>
                    <w:rPr>
                      <w:rFonts w:ascii="楷体" w:hAnsi="楷体" w:eastAsia="楷体"/>
                      <w:szCs w:val="21"/>
                    </w:rPr>
                  </w:pPr>
                  <w:r>
                    <w:rPr>
                      <w:rFonts w:hint="eastAsia"/>
                      <w:szCs w:val="21"/>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7</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0.02</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0.13</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0.14</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0.09</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0.14</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0.13</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0.22</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0.21</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0.21</w:t>
                  </w:r>
                </w:p>
              </w:tc>
              <w:tc>
                <w:tcPr>
                  <w:tcW w:w="695" w:type="dxa"/>
                  <w:vAlign w:val="bottom"/>
                </w:tcPr>
                <w:p>
                  <w:pPr>
                    <w:ind w:left="94" w:leftChars="45"/>
                    <w:jc w:val="center"/>
                    <w:rPr>
                      <w:rFonts w:eastAsia="等线"/>
                      <w:sz w:val="18"/>
                      <w:szCs w:val="18"/>
                    </w:rPr>
                  </w:pPr>
                  <w:r>
                    <w:rPr>
                      <w:rFonts w:hint="eastAsia" w:eastAsia="等线"/>
                      <w:sz w:val="18"/>
                      <w:szCs w:val="18"/>
                    </w:rPr>
                    <w:t>0.07</w:t>
                  </w:r>
                </w:p>
              </w:tc>
              <w:tc>
                <w:tcPr>
                  <w:tcW w:w="738" w:type="dxa"/>
                  <w:vAlign w:val="bottom"/>
                </w:tcPr>
                <w:p>
                  <w:pPr>
                    <w:ind w:left="94" w:leftChars="45"/>
                    <w:jc w:val="center"/>
                    <w:rPr>
                      <w:rFonts w:ascii="楷体" w:hAnsi="楷体" w:eastAsia="楷体"/>
                      <w:szCs w:val="21"/>
                    </w:rPr>
                  </w:pPr>
                  <w:r>
                    <w:rPr>
                      <w:rFonts w:hint="eastAsia"/>
                      <w:szCs w:val="21"/>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9</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0.01</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0.10</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0.05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0.04</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0.06</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0.06</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0.09</w:t>
                  </w:r>
                </w:p>
              </w:tc>
              <w:tc>
                <w:tcPr>
                  <w:tcW w:w="695" w:type="dxa"/>
                  <w:vAlign w:val="bottom"/>
                </w:tcPr>
                <w:p>
                  <w:pPr>
                    <w:ind w:left="94" w:leftChars="45"/>
                    <w:jc w:val="center"/>
                    <w:rPr>
                      <w:rFonts w:eastAsia="等线"/>
                      <w:sz w:val="18"/>
                      <w:szCs w:val="18"/>
                    </w:rPr>
                  </w:pPr>
                  <w:r>
                    <w:rPr>
                      <w:rFonts w:hint="eastAsia" w:eastAsia="等线"/>
                      <w:sz w:val="18"/>
                      <w:szCs w:val="18"/>
                    </w:rPr>
                    <w:t>0.03</w:t>
                  </w:r>
                </w:p>
              </w:tc>
              <w:tc>
                <w:tcPr>
                  <w:tcW w:w="738" w:type="dxa"/>
                  <w:vAlign w:val="bottom"/>
                </w:tcPr>
                <w:p>
                  <w:pPr>
                    <w:ind w:left="94" w:leftChars="45"/>
                    <w:jc w:val="center"/>
                    <w:rPr>
                      <w:rFonts w:ascii="楷体" w:hAnsi="楷体" w:eastAsia="楷体"/>
                      <w:szCs w:val="21"/>
                    </w:rPr>
                  </w:pPr>
                  <w:r>
                    <w:rPr>
                      <w:rFonts w:hint="eastAsia"/>
                      <w:szCs w:val="21"/>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12</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0.02</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0.06</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0.05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0.06</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0.11</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0.04</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0.11</w:t>
                  </w:r>
                </w:p>
              </w:tc>
              <w:tc>
                <w:tcPr>
                  <w:tcW w:w="695" w:type="dxa"/>
                  <w:vAlign w:val="bottom"/>
                </w:tcPr>
                <w:p>
                  <w:pPr>
                    <w:ind w:left="94" w:leftChars="45"/>
                    <w:jc w:val="center"/>
                    <w:rPr>
                      <w:rFonts w:eastAsia="等线"/>
                      <w:sz w:val="18"/>
                      <w:szCs w:val="18"/>
                    </w:rPr>
                  </w:pPr>
                  <w:r>
                    <w:rPr>
                      <w:rFonts w:hint="eastAsia" w:eastAsia="等线"/>
                      <w:sz w:val="18"/>
                      <w:szCs w:val="18"/>
                    </w:rPr>
                    <w:t>0.03</w:t>
                  </w:r>
                </w:p>
              </w:tc>
              <w:tc>
                <w:tcPr>
                  <w:tcW w:w="738" w:type="dxa"/>
                  <w:vAlign w:val="bottom"/>
                </w:tcPr>
                <w:p>
                  <w:pPr>
                    <w:ind w:left="94" w:leftChars="45"/>
                    <w:jc w:val="center"/>
                    <w:rPr>
                      <w:rFonts w:ascii="楷体" w:hAnsi="楷体" w:eastAsia="楷体"/>
                      <w:szCs w:val="21"/>
                    </w:rPr>
                  </w:pPr>
                  <w:r>
                    <w:rPr>
                      <w:rFonts w:hint="eastAsia"/>
                      <w:szCs w:val="21"/>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15</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0.03</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0.16</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0.11</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0.12</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0.21</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0.39</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0.22</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0.17</w:t>
                  </w:r>
                </w:p>
              </w:tc>
              <w:tc>
                <w:tcPr>
                  <w:tcW w:w="695" w:type="dxa"/>
                  <w:vAlign w:val="bottom"/>
                </w:tcPr>
                <w:p>
                  <w:pPr>
                    <w:ind w:left="94" w:leftChars="45"/>
                    <w:jc w:val="center"/>
                    <w:rPr>
                      <w:rFonts w:eastAsia="等线"/>
                      <w:sz w:val="18"/>
                      <w:szCs w:val="18"/>
                    </w:rPr>
                  </w:pPr>
                  <w:r>
                    <w:rPr>
                      <w:rFonts w:hint="eastAsia" w:eastAsia="等线"/>
                      <w:sz w:val="18"/>
                      <w:szCs w:val="18"/>
                    </w:rPr>
                    <w:t>0.04</w:t>
                  </w:r>
                </w:p>
              </w:tc>
              <w:tc>
                <w:tcPr>
                  <w:tcW w:w="738" w:type="dxa"/>
                  <w:vAlign w:val="bottom"/>
                </w:tcPr>
                <w:p>
                  <w:pPr>
                    <w:ind w:left="94" w:leftChars="45"/>
                    <w:jc w:val="center"/>
                    <w:rPr>
                      <w:rFonts w:ascii="楷体" w:hAnsi="楷体" w:eastAsia="楷体"/>
                      <w:szCs w:val="21"/>
                    </w:rPr>
                  </w:pPr>
                  <w:r>
                    <w:rPr>
                      <w:rFonts w:hint="eastAsia"/>
                      <w:szCs w:val="21"/>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16</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0.05</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0.21</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0.12</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0.21</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0.31</w:t>
                  </w:r>
                </w:p>
              </w:tc>
              <w:tc>
                <w:tcPr>
                  <w:tcW w:w="695" w:type="dxa"/>
                  <w:vAlign w:val="bottom"/>
                </w:tcPr>
                <w:p>
                  <w:pPr>
                    <w:ind w:left="94" w:leftChars="45"/>
                    <w:jc w:val="center"/>
                    <w:rPr>
                      <w:rFonts w:eastAsia="等线"/>
                      <w:sz w:val="18"/>
                      <w:szCs w:val="18"/>
                    </w:rPr>
                  </w:pPr>
                  <w:r>
                    <w:rPr>
                      <w:rFonts w:hint="eastAsia" w:eastAsia="等线"/>
                      <w:sz w:val="18"/>
                      <w:szCs w:val="18"/>
                    </w:rPr>
                    <w:t>0.04</w:t>
                  </w:r>
                </w:p>
              </w:tc>
              <w:tc>
                <w:tcPr>
                  <w:tcW w:w="738" w:type="dxa"/>
                  <w:vAlign w:val="bottom"/>
                </w:tcPr>
                <w:p>
                  <w:pPr>
                    <w:ind w:left="94" w:leftChars="45"/>
                    <w:jc w:val="center"/>
                    <w:rPr>
                      <w:rFonts w:ascii="楷体" w:hAnsi="楷体" w:eastAsia="楷体"/>
                      <w:szCs w:val="21"/>
                    </w:rPr>
                  </w:pPr>
                  <w:r>
                    <w:rPr>
                      <w:rFonts w:hint="eastAsia"/>
                      <w:szCs w:val="21"/>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17</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0.02</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0.06</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0.05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0.03</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0.12</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0.04</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0.17</w:t>
                  </w:r>
                </w:p>
              </w:tc>
              <w:tc>
                <w:tcPr>
                  <w:tcW w:w="695" w:type="dxa"/>
                  <w:vAlign w:val="bottom"/>
                </w:tcPr>
                <w:p>
                  <w:pPr>
                    <w:ind w:left="94" w:leftChars="45"/>
                    <w:jc w:val="center"/>
                    <w:rPr>
                      <w:rFonts w:eastAsia="等线"/>
                      <w:sz w:val="18"/>
                      <w:szCs w:val="18"/>
                    </w:rPr>
                  </w:pPr>
                  <w:r>
                    <w:rPr>
                      <w:rFonts w:hint="eastAsia" w:eastAsia="等线"/>
                      <w:sz w:val="18"/>
                      <w:szCs w:val="18"/>
                    </w:rPr>
                    <w:t>0.03</w:t>
                  </w:r>
                </w:p>
              </w:tc>
              <w:tc>
                <w:tcPr>
                  <w:tcW w:w="738" w:type="dxa"/>
                  <w:vAlign w:val="bottom"/>
                </w:tcPr>
                <w:p>
                  <w:pPr>
                    <w:ind w:left="94" w:leftChars="45"/>
                    <w:jc w:val="center"/>
                    <w:rPr>
                      <w:rFonts w:ascii="楷体" w:hAnsi="楷体" w:eastAsia="楷体"/>
                      <w:szCs w:val="21"/>
                    </w:rPr>
                  </w:pPr>
                  <w:r>
                    <w:rPr>
                      <w:rFonts w:hint="eastAsia"/>
                      <w:szCs w:val="21"/>
                    </w:rPr>
                    <w:t>二类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19</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0.03</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0.30</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0.18</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0.16</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0.27</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0.19</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0.22</w:t>
                  </w:r>
                </w:p>
              </w:tc>
              <w:tc>
                <w:tcPr>
                  <w:tcW w:w="695" w:type="dxa"/>
                  <w:vAlign w:val="bottom"/>
                </w:tcPr>
                <w:p>
                  <w:pPr>
                    <w:ind w:left="94" w:leftChars="45"/>
                    <w:jc w:val="center"/>
                    <w:rPr>
                      <w:rFonts w:eastAsia="等线"/>
                      <w:sz w:val="18"/>
                      <w:szCs w:val="18"/>
                    </w:rPr>
                  </w:pPr>
                  <w:r>
                    <w:rPr>
                      <w:rFonts w:hint="eastAsia" w:eastAsia="等线"/>
                      <w:sz w:val="18"/>
                      <w:szCs w:val="18"/>
                    </w:rPr>
                    <w:t>0.04</w:t>
                  </w:r>
                </w:p>
              </w:tc>
              <w:tc>
                <w:tcPr>
                  <w:tcW w:w="738" w:type="dxa"/>
                  <w:vAlign w:val="bottom"/>
                </w:tcPr>
                <w:p>
                  <w:pPr>
                    <w:ind w:left="94" w:leftChars="45"/>
                    <w:jc w:val="center"/>
                    <w:rPr>
                      <w:rFonts w:ascii="楷体" w:hAnsi="楷体" w:eastAsia="楷体"/>
                      <w:szCs w:val="21"/>
                    </w:rPr>
                  </w:pPr>
                  <w:r>
                    <w:rPr>
                      <w:rFonts w:hint="eastAsia"/>
                      <w:szCs w:val="21"/>
                    </w:rPr>
                    <w:t>一类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627" w:type="dxa"/>
                  <w:shd w:val="clear" w:color="auto" w:fill="auto"/>
                  <w:noWrap/>
                  <w:vAlign w:val="center"/>
                </w:tcPr>
                <w:p>
                  <w:pPr>
                    <w:ind w:left="94" w:leftChars="45"/>
                    <w:jc w:val="center"/>
                    <w:rPr>
                      <w:sz w:val="18"/>
                      <w:szCs w:val="18"/>
                    </w:rPr>
                  </w:pPr>
                  <w:r>
                    <w:rPr>
                      <w:rFonts w:eastAsia="等线"/>
                      <w:sz w:val="18"/>
                      <w:szCs w:val="18"/>
                    </w:rPr>
                    <w:t>20</w:t>
                  </w:r>
                </w:p>
              </w:tc>
              <w:tc>
                <w:tcPr>
                  <w:tcW w:w="836" w:type="dxa"/>
                  <w:shd w:val="clear" w:color="auto" w:fill="auto"/>
                  <w:vAlign w:val="bottom"/>
                </w:tcPr>
                <w:p>
                  <w:pPr>
                    <w:ind w:left="94" w:leftChars="45"/>
                    <w:jc w:val="center"/>
                    <w:rPr>
                      <w:rFonts w:eastAsia="等线"/>
                      <w:sz w:val="18"/>
                      <w:szCs w:val="18"/>
                    </w:rPr>
                  </w:pPr>
                  <w:r>
                    <w:rPr>
                      <w:rFonts w:hint="eastAsia" w:eastAsia="等线"/>
                      <w:sz w:val="18"/>
                      <w:szCs w:val="18"/>
                    </w:rPr>
                    <w:t>0.01</w:t>
                  </w:r>
                </w:p>
              </w:tc>
              <w:tc>
                <w:tcPr>
                  <w:tcW w:w="651" w:type="dxa"/>
                  <w:shd w:val="clear" w:color="auto" w:fill="auto"/>
                  <w:vAlign w:val="bottom"/>
                </w:tcPr>
                <w:p>
                  <w:pPr>
                    <w:ind w:left="94" w:leftChars="45"/>
                    <w:jc w:val="center"/>
                    <w:rPr>
                      <w:rFonts w:eastAsia="等线"/>
                      <w:sz w:val="18"/>
                      <w:szCs w:val="18"/>
                    </w:rPr>
                  </w:pPr>
                  <w:r>
                    <w:rPr>
                      <w:rFonts w:hint="eastAsia" w:eastAsia="等线"/>
                      <w:sz w:val="18"/>
                      <w:szCs w:val="18"/>
                    </w:rPr>
                    <w:t>0.13</w:t>
                  </w:r>
                </w:p>
              </w:tc>
              <w:tc>
                <w:tcPr>
                  <w:tcW w:w="667" w:type="dxa"/>
                  <w:shd w:val="clear" w:color="auto" w:fill="auto"/>
                  <w:vAlign w:val="bottom"/>
                </w:tcPr>
                <w:p>
                  <w:pPr>
                    <w:ind w:left="94" w:leftChars="45"/>
                    <w:jc w:val="center"/>
                    <w:rPr>
                      <w:rFonts w:eastAsia="等线"/>
                      <w:sz w:val="18"/>
                      <w:szCs w:val="18"/>
                    </w:rPr>
                  </w:pPr>
                  <w:r>
                    <w:rPr>
                      <w:rFonts w:hint="eastAsia" w:eastAsia="等线"/>
                      <w:sz w:val="18"/>
                      <w:szCs w:val="18"/>
                    </w:rPr>
                    <w:t>0.06</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0.04</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0.07</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0.05</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0.17</w:t>
                  </w:r>
                </w:p>
              </w:tc>
              <w:tc>
                <w:tcPr>
                  <w:tcW w:w="661" w:type="dxa"/>
                  <w:shd w:val="clear" w:color="auto" w:fill="auto"/>
                  <w:vAlign w:val="bottom"/>
                </w:tcPr>
                <w:p>
                  <w:pPr>
                    <w:ind w:left="94" w:leftChars="45"/>
                    <w:jc w:val="center"/>
                    <w:rPr>
                      <w:rFonts w:eastAsia="等线"/>
                      <w:sz w:val="18"/>
                      <w:szCs w:val="18"/>
                    </w:rPr>
                  </w:pPr>
                  <w:r>
                    <w:rPr>
                      <w:rFonts w:hint="eastAsia" w:eastAsia="等线"/>
                      <w:sz w:val="18"/>
                      <w:szCs w:val="18"/>
                    </w:rPr>
                    <w:t>0.08</w:t>
                  </w:r>
                </w:p>
              </w:tc>
              <w:tc>
                <w:tcPr>
                  <w:tcW w:w="740" w:type="dxa"/>
                  <w:shd w:val="clear" w:color="auto" w:fill="auto"/>
                  <w:vAlign w:val="bottom"/>
                </w:tcPr>
                <w:p>
                  <w:pPr>
                    <w:ind w:left="94" w:leftChars="45"/>
                    <w:jc w:val="center"/>
                    <w:rPr>
                      <w:rFonts w:eastAsia="等线"/>
                      <w:sz w:val="18"/>
                      <w:szCs w:val="18"/>
                    </w:rPr>
                  </w:pPr>
                  <w:r>
                    <w:rPr>
                      <w:rFonts w:hint="eastAsia" w:eastAsia="等线"/>
                      <w:sz w:val="18"/>
                      <w:szCs w:val="18"/>
                    </w:rPr>
                    <w:t>0.13</w:t>
                  </w:r>
                </w:p>
              </w:tc>
              <w:tc>
                <w:tcPr>
                  <w:tcW w:w="695" w:type="dxa"/>
                  <w:vAlign w:val="bottom"/>
                </w:tcPr>
                <w:p>
                  <w:pPr>
                    <w:ind w:left="94" w:leftChars="45"/>
                    <w:jc w:val="center"/>
                    <w:rPr>
                      <w:rFonts w:eastAsia="等线"/>
                      <w:sz w:val="18"/>
                      <w:szCs w:val="18"/>
                    </w:rPr>
                  </w:pPr>
                  <w:r>
                    <w:rPr>
                      <w:rFonts w:hint="eastAsia" w:eastAsia="等线"/>
                      <w:sz w:val="18"/>
                      <w:szCs w:val="18"/>
                    </w:rPr>
                    <w:t>0.03</w:t>
                  </w:r>
                </w:p>
              </w:tc>
              <w:tc>
                <w:tcPr>
                  <w:tcW w:w="738" w:type="dxa"/>
                  <w:vAlign w:val="bottom"/>
                </w:tcPr>
                <w:p>
                  <w:pPr>
                    <w:ind w:left="94" w:leftChars="45"/>
                    <w:jc w:val="center"/>
                    <w:rPr>
                      <w:rFonts w:ascii="楷体" w:hAnsi="楷体" w:eastAsia="楷体"/>
                      <w:szCs w:val="21"/>
                    </w:rPr>
                  </w:pPr>
                  <w:r>
                    <w:rPr>
                      <w:rFonts w:hint="eastAsia"/>
                      <w:szCs w:val="21"/>
                    </w:rPr>
                    <w:t>二类</w:t>
                  </w:r>
                </w:p>
              </w:tc>
            </w:tr>
          </w:tbl>
          <w:p>
            <w:pPr>
              <w:pStyle w:val="39"/>
              <w:adjustRightInd w:val="0"/>
              <w:snapToGrid w:val="0"/>
              <w:spacing w:line="360" w:lineRule="auto"/>
              <w:ind w:left="0" w:firstLine="482" w:firstLineChars="200"/>
              <w:rPr>
                <w:b/>
              </w:rPr>
            </w:pPr>
            <w:r>
              <w:rPr>
                <w:rFonts w:hint="eastAsia"/>
                <w:b/>
              </w:rPr>
              <w:t>4.1</w:t>
            </w:r>
            <w:r>
              <w:rPr>
                <w:b/>
              </w:rPr>
              <w:t>.3 海洋生物质量现状调查与评价</w:t>
            </w:r>
          </w:p>
          <w:p>
            <w:pPr>
              <w:pStyle w:val="39"/>
              <w:adjustRightInd w:val="0"/>
              <w:snapToGrid w:val="0"/>
              <w:spacing w:line="360" w:lineRule="auto"/>
              <w:ind w:left="0" w:firstLine="482" w:firstLineChars="200"/>
              <w:rPr>
                <w:b/>
              </w:rPr>
            </w:pPr>
            <w:r>
              <w:rPr>
                <w:rFonts w:hint="eastAsia"/>
                <w:b/>
              </w:rPr>
              <w:t>4.1</w:t>
            </w:r>
            <w:r>
              <w:rPr>
                <w:b/>
              </w:rPr>
              <w:t>.3.1 调查时间与站位布设</w:t>
            </w:r>
          </w:p>
          <w:p>
            <w:pPr>
              <w:pStyle w:val="39"/>
              <w:adjustRightInd w:val="0"/>
              <w:snapToGrid w:val="0"/>
              <w:spacing w:line="360" w:lineRule="auto"/>
              <w:ind w:left="0" w:firstLine="480" w:firstLineChars="200"/>
            </w:pPr>
            <w:r>
              <w:rPr>
                <w:rFonts w:hint="eastAsia"/>
              </w:rPr>
              <w:t>2020</w:t>
            </w:r>
            <w:r>
              <w:t>年</w:t>
            </w:r>
            <w:r>
              <w:rPr>
                <w:rFonts w:hint="eastAsia"/>
              </w:rPr>
              <w:t>08</w:t>
            </w:r>
            <w:r>
              <w:t>月</w:t>
            </w:r>
            <w:r>
              <w:rPr>
                <w:rFonts w:hint="eastAsia"/>
              </w:rPr>
              <w:t>02日</w:t>
            </w:r>
            <w:r>
              <w:t>对评价海域进行生物质量现状调查，</w:t>
            </w:r>
            <w:r>
              <w:rPr>
                <w:rFonts w:hint="eastAsia"/>
              </w:rPr>
              <w:t>由于</w:t>
            </w:r>
            <w:r>
              <w:t>调查海域</w:t>
            </w:r>
            <w:r>
              <w:rPr>
                <w:rFonts w:hint="eastAsia"/>
              </w:rPr>
              <w:t>正处于禁渔期，因此本次调查选用调查海域周边个人和水产市场售卖的当地捕获的生物样品进行评价。选取小黄花鱼、黄鱼、乌鳢鱼、三疣梭子蟹、赤甲红蟹、鹰爪虾和红里扇贝作为本次海域生物质量评价的样品。</w:t>
            </w:r>
          </w:p>
          <w:p>
            <w:pPr>
              <w:pStyle w:val="39"/>
              <w:adjustRightInd w:val="0"/>
              <w:snapToGrid w:val="0"/>
              <w:spacing w:line="360" w:lineRule="auto"/>
              <w:ind w:left="0" w:firstLine="482" w:firstLineChars="200"/>
              <w:rPr>
                <w:b/>
              </w:rPr>
            </w:pPr>
            <w:bookmarkStart w:id="10" w:name="_Ref334083341"/>
            <w:r>
              <w:rPr>
                <w:rFonts w:hint="eastAsia"/>
                <w:b/>
              </w:rPr>
              <w:t>4.1</w:t>
            </w:r>
            <w:r>
              <w:rPr>
                <w:b/>
              </w:rPr>
              <w:t>.3.2 调查项目与分析方法</w:t>
            </w:r>
          </w:p>
          <w:p>
            <w:pPr>
              <w:pStyle w:val="39"/>
              <w:adjustRightInd w:val="0"/>
              <w:snapToGrid w:val="0"/>
              <w:spacing w:line="360" w:lineRule="auto"/>
              <w:ind w:left="0" w:firstLine="480" w:firstLineChars="200"/>
            </w:pPr>
            <w:r>
              <w:rPr>
                <w:rFonts w:hint="eastAsia"/>
              </w:rPr>
              <w:t>本次生物质量调查项目包括：石油类、铅、镉、铜、锌、砷，汞和总铬8项指标。样品的采集、保存、分析的原则与方法按《海洋调查规范》GB12763-2007和《海洋监测规范》GB17378-2007的要求进行，方法详情见表4.1</w:t>
            </w:r>
            <w:r>
              <w:t>.3-1</w:t>
            </w:r>
            <w:r>
              <w:rPr>
                <w:rFonts w:hint="eastAsia"/>
              </w:rPr>
              <w:t>。</w:t>
            </w:r>
          </w:p>
          <w:p>
            <w:pPr>
              <w:pStyle w:val="39"/>
              <w:adjustRightInd w:val="0"/>
              <w:snapToGrid w:val="0"/>
              <w:spacing w:line="360" w:lineRule="auto"/>
              <w:ind w:left="0" w:firstLine="480" w:firstLineChars="200"/>
            </w:pPr>
            <w:r>
              <w:t>样品采集、贮存和预处理方法参照《海洋检测规范》GB17378-2007有关规定执行。</w:t>
            </w:r>
            <w:r>
              <w:rPr>
                <w:rFonts w:hint="eastAsia"/>
              </w:rPr>
              <w:t>本次调查中，生物样品来源与当地水产市场。</w:t>
            </w:r>
          </w:p>
          <w:p>
            <w:pPr>
              <w:pStyle w:val="279"/>
              <w:snapToGrid w:val="0"/>
              <w:spacing w:line="360" w:lineRule="auto"/>
              <w:ind w:firstLine="480"/>
            </w:pPr>
            <w:r>
              <w:t>表</w:t>
            </w:r>
            <w:r>
              <w:rPr>
                <w:rFonts w:hint="eastAsia"/>
              </w:rPr>
              <w:t>4.1</w:t>
            </w:r>
            <w:r>
              <w:t>.3-1 海洋生物质量检测方法</w:t>
            </w:r>
            <w:bookmarkEnd w:id="10"/>
          </w:p>
          <w:tbl>
            <w:tblPr>
              <w:tblStyle w:val="88"/>
              <w:tblW w:w="826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85"/>
              <w:gridCol w:w="1911"/>
              <w:gridCol w:w="3301"/>
              <w:gridCol w:w="206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PrEx>
              <w:trPr>
                <w:trHeight w:val="263" w:hRule="atLeast"/>
              </w:trPr>
              <w:tc>
                <w:tcPr>
                  <w:tcW w:w="985" w:type="dxa"/>
                  <w:shd w:val="clear" w:color="auto" w:fill="auto"/>
                  <w:vAlign w:val="center"/>
                </w:tcPr>
                <w:p>
                  <w:pPr>
                    <w:pStyle w:val="938"/>
                    <w:jc w:val="center"/>
                    <w:rPr>
                      <w:rFonts w:ascii="Times New Roman" w:hAnsi="Times New Roman" w:eastAsiaTheme="minorEastAsia"/>
                      <w:b/>
                    </w:rPr>
                  </w:pPr>
                  <w:r>
                    <w:rPr>
                      <w:rFonts w:ascii="Times New Roman" w:hAnsi="Times New Roman" w:eastAsiaTheme="minorEastAsia"/>
                      <w:b/>
                    </w:rPr>
                    <w:t>序号</w:t>
                  </w:r>
                </w:p>
              </w:tc>
              <w:tc>
                <w:tcPr>
                  <w:tcW w:w="1911" w:type="dxa"/>
                  <w:shd w:val="clear" w:color="auto" w:fill="auto"/>
                  <w:vAlign w:val="center"/>
                </w:tcPr>
                <w:p>
                  <w:pPr>
                    <w:pStyle w:val="938"/>
                    <w:jc w:val="center"/>
                    <w:rPr>
                      <w:rFonts w:ascii="Times New Roman" w:hAnsi="Times New Roman" w:eastAsiaTheme="minorEastAsia"/>
                      <w:b/>
                    </w:rPr>
                  </w:pPr>
                  <w:r>
                    <w:rPr>
                      <w:rFonts w:ascii="Times New Roman" w:hAnsi="Times New Roman" w:eastAsiaTheme="minorEastAsia"/>
                      <w:b/>
                    </w:rPr>
                    <w:t>调查项目</w:t>
                  </w:r>
                </w:p>
              </w:tc>
              <w:tc>
                <w:tcPr>
                  <w:tcW w:w="3301" w:type="dxa"/>
                  <w:shd w:val="clear" w:color="auto" w:fill="auto"/>
                  <w:vAlign w:val="center"/>
                </w:tcPr>
                <w:p>
                  <w:pPr>
                    <w:pStyle w:val="938"/>
                    <w:jc w:val="center"/>
                    <w:rPr>
                      <w:rFonts w:ascii="Times New Roman" w:hAnsi="Times New Roman" w:eastAsiaTheme="minorEastAsia"/>
                      <w:b/>
                    </w:rPr>
                  </w:pPr>
                  <w:r>
                    <w:rPr>
                      <w:rFonts w:ascii="Times New Roman" w:hAnsi="Times New Roman" w:eastAsiaTheme="minorEastAsia"/>
                      <w:b/>
                    </w:rPr>
                    <w:t>分析方法</w:t>
                  </w:r>
                </w:p>
              </w:tc>
              <w:tc>
                <w:tcPr>
                  <w:tcW w:w="2066" w:type="dxa"/>
                  <w:shd w:val="clear" w:color="auto" w:fill="auto"/>
                  <w:vAlign w:val="center"/>
                </w:tcPr>
                <w:p>
                  <w:pPr>
                    <w:pStyle w:val="938"/>
                    <w:jc w:val="center"/>
                    <w:rPr>
                      <w:rFonts w:ascii="Times New Roman" w:hAnsi="Times New Roman" w:eastAsiaTheme="minorEastAsia"/>
                      <w:b/>
                    </w:rPr>
                  </w:pPr>
                  <w:r>
                    <w:rPr>
                      <w:rFonts w:ascii="Times New Roman" w:hAnsi="Times New Roman" w:eastAsiaTheme="minorEastAsia"/>
                      <w:b/>
                    </w:rPr>
                    <w:t>引用标准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63" w:hRule="atLeast"/>
              </w:trPr>
              <w:tc>
                <w:tcPr>
                  <w:tcW w:w="985"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1</w:t>
                  </w:r>
                </w:p>
              </w:tc>
              <w:tc>
                <w:tcPr>
                  <w:tcW w:w="191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石油烃</w:t>
                  </w:r>
                </w:p>
              </w:tc>
              <w:tc>
                <w:tcPr>
                  <w:tcW w:w="330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分子荧光光度法</w:t>
                  </w:r>
                </w:p>
              </w:tc>
              <w:tc>
                <w:tcPr>
                  <w:tcW w:w="2066"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GB 17378.6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63" w:hRule="atLeast"/>
              </w:trPr>
              <w:tc>
                <w:tcPr>
                  <w:tcW w:w="985"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2</w:t>
                  </w:r>
                </w:p>
              </w:tc>
              <w:tc>
                <w:tcPr>
                  <w:tcW w:w="191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总汞</w:t>
                  </w:r>
                </w:p>
              </w:tc>
              <w:tc>
                <w:tcPr>
                  <w:tcW w:w="330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原子荧光法</w:t>
                  </w:r>
                </w:p>
              </w:tc>
              <w:tc>
                <w:tcPr>
                  <w:tcW w:w="2066"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GB 17378.6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63" w:hRule="atLeast"/>
              </w:trPr>
              <w:tc>
                <w:tcPr>
                  <w:tcW w:w="985"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3</w:t>
                  </w:r>
                </w:p>
              </w:tc>
              <w:tc>
                <w:tcPr>
                  <w:tcW w:w="191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镉</w:t>
                  </w:r>
                </w:p>
              </w:tc>
              <w:tc>
                <w:tcPr>
                  <w:tcW w:w="330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无火焰原子吸收分光光度法</w:t>
                  </w:r>
                </w:p>
              </w:tc>
              <w:tc>
                <w:tcPr>
                  <w:tcW w:w="2066"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GB 17378.6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63" w:hRule="atLeast"/>
              </w:trPr>
              <w:tc>
                <w:tcPr>
                  <w:tcW w:w="985"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4</w:t>
                  </w:r>
                </w:p>
              </w:tc>
              <w:tc>
                <w:tcPr>
                  <w:tcW w:w="191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铅</w:t>
                  </w:r>
                </w:p>
              </w:tc>
              <w:tc>
                <w:tcPr>
                  <w:tcW w:w="330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无火焰原子吸收分光光度法</w:t>
                  </w:r>
                </w:p>
              </w:tc>
              <w:tc>
                <w:tcPr>
                  <w:tcW w:w="2066"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GB 17378.6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63" w:hRule="atLeast"/>
              </w:trPr>
              <w:tc>
                <w:tcPr>
                  <w:tcW w:w="985"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5</w:t>
                  </w:r>
                </w:p>
              </w:tc>
              <w:tc>
                <w:tcPr>
                  <w:tcW w:w="191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铜</w:t>
                  </w:r>
                </w:p>
              </w:tc>
              <w:tc>
                <w:tcPr>
                  <w:tcW w:w="330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无火焰原子吸收分光光度法</w:t>
                  </w:r>
                </w:p>
              </w:tc>
              <w:tc>
                <w:tcPr>
                  <w:tcW w:w="2066"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GB 17378.6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63" w:hRule="atLeast"/>
              </w:trPr>
              <w:tc>
                <w:tcPr>
                  <w:tcW w:w="985"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6</w:t>
                  </w:r>
                </w:p>
              </w:tc>
              <w:tc>
                <w:tcPr>
                  <w:tcW w:w="191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锌</w:t>
                  </w:r>
                </w:p>
              </w:tc>
              <w:tc>
                <w:tcPr>
                  <w:tcW w:w="330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火焰原子吸收分光光度法</w:t>
                  </w:r>
                </w:p>
              </w:tc>
              <w:tc>
                <w:tcPr>
                  <w:tcW w:w="2066"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GB 17378.6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63" w:hRule="atLeast"/>
              </w:trPr>
              <w:tc>
                <w:tcPr>
                  <w:tcW w:w="985"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7</w:t>
                  </w:r>
                </w:p>
              </w:tc>
              <w:tc>
                <w:tcPr>
                  <w:tcW w:w="191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铬</w:t>
                  </w:r>
                </w:p>
              </w:tc>
              <w:tc>
                <w:tcPr>
                  <w:tcW w:w="330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无火焰原子吸收分光光度法</w:t>
                  </w:r>
                </w:p>
              </w:tc>
              <w:tc>
                <w:tcPr>
                  <w:tcW w:w="2066"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GB 17378.6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63" w:hRule="atLeast"/>
              </w:trPr>
              <w:tc>
                <w:tcPr>
                  <w:tcW w:w="985"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8</w:t>
                  </w:r>
                </w:p>
              </w:tc>
              <w:tc>
                <w:tcPr>
                  <w:tcW w:w="191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砷</w:t>
                  </w:r>
                </w:p>
              </w:tc>
              <w:tc>
                <w:tcPr>
                  <w:tcW w:w="3301"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原子荧光法</w:t>
                  </w:r>
                </w:p>
              </w:tc>
              <w:tc>
                <w:tcPr>
                  <w:tcW w:w="2066" w:type="dxa"/>
                  <w:shd w:val="clear" w:color="auto" w:fill="auto"/>
                  <w:vAlign w:val="center"/>
                </w:tcPr>
                <w:p>
                  <w:pPr>
                    <w:pStyle w:val="938"/>
                    <w:jc w:val="center"/>
                    <w:rPr>
                      <w:rFonts w:ascii="Times New Roman" w:hAnsi="Times New Roman" w:eastAsiaTheme="minorEastAsia"/>
                    </w:rPr>
                  </w:pPr>
                  <w:r>
                    <w:rPr>
                      <w:rFonts w:ascii="Times New Roman" w:hAnsi="Times New Roman" w:eastAsiaTheme="minorEastAsia"/>
                    </w:rPr>
                    <w:t>GB 17378.6</w:t>
                  </w:r>
                </w:p>
              </w:tc>
            </w:tr>
          </w:tbl>
          <w:p>
            <w:pPr>
              <w:pStyle w:val="39"/>
              <w:adjustRightInd w:val="0"/>
              <w:snapToGrid w:val="0"/>
              <w:spacing w:line="360" w:lineRule="auto"/>
              <w:ind w:left="0" w:firstLine="482" w:firstLineChars="200"/>
              <w:rPr>
                <w:b/>
              </w:rPr>
            </w:pPr>
            <w:r>
              <w:rPr>
                <w:rFonts w:hint="eastAsia"/>
                <w:b/>
              </w:rPr>
              <w:t>4.1</w:t>
            </w:r>
            <w:r>
              <w:rPr>
                <w:b/>
              </w:rPr>
              <w:t>.3.3 评价标准与评价方法</w:t>
            </w:r>
          </w:p>
          <w:p>
            <w:pPr>
              <w:pStyle w:val="39"/>
              <w:adjustRightInd w:val="0"/>
              <w:snapToGrid w:val="0"/>
              <w:spacing w:line="360" w:lineRule="auto"/>
              <w:ind w:left="0" w:firstLine="480" w:firstLineChars="200"/>
            </w:pPr>
            <w:r>
              <w:t>（1）评价标准</w:t>
            </w:r>
          </w:p>
          <w:p>
            <w:pPr>
              <w:pStyle w:val="39"/>
              <w:adjustRightInd w:val="0"/>
              <w:snapToGrid w:val="0"/>
              <w:spacing w:line="360" w:lineRule="auto"/>
              <w:ind w:left="0" w:firstLine="480" w:firstLineChars="200"/>
            </w:pPr>
            <w:r>
              <w:rPr>
                <w:rFonts w:hint="eastAsia"/>
              </w:rPr>
              <w:t>评价海域海洋生物质量，以贝类、鱼类、甲壳类为环境监测生物，其中双壳贝类生物质量执行《海洋生物质量》（GB18241-2001）标准，具体见表4.1</w:t>
            </w:r>
            <w:r>
              <w:t>.3-2</w:t>
            </w:r>
            <w:r>
              <w:rPr>
                <w:rFonts w:hint="eastAsia"/>
              </w:rPr>
              <w:t>。因为《海洋生物质量》（GB18241-2001）仅适用于海洋双壳贝类，因此对鱼类、甲壳类生物参照《全国海岛资源综合调查简明教程》进行评价，具体标准见表4.1</w:t>
            </w:r>
            <w:r>
              <w:t>.3-3</w:t>
            </w:r>
            <w:r>
              <w:rPr>
                <w:rFonts w:hint="eastAsia"/>
              </w:rPr>
              <w:t>。</w:t>
            </w:r>
          </w:p>
          <w:p>
            <w:pPr>
              <w:pStyle w:val="39"/>
              <w:adjustRightInd w:val="0"/>
              <w:snapToGrid w:val="0"/>
              <w:spacing w:line="360" w:lineRule="auto"/>
              <w:ind w:left="0" w:firstLine="480" w:firstLineChars="200"/>
            </w:pPr>
            <w:r>
              <w:t>（2）评价方法</w:t>
            </w:r>
          </w:p>
          <w:p>
            <w:pPr>
              <w:pStyle w:val="39"/>
              <w:adjustRightInd w:val="0"/>
              <w:snapToGrid w:val="0"/>
              <w:spacing w:line="360" w:lineRule="auto"/>
              <w:ind w:left="0" w:firstLine="480" w:firstLineChars="200"/>
            </w:pPr>
            <w:r>
              <w:t>海洋生物质量评价方法采用单因子污染指数评价法，如下式计算。</w:t>
            </w:r>
          </w:p>
          <w:p>
            <w:pPr>
              <w:pStyle w:val="39"/>
              <w:adjustRightInd w:val="0"/>
              <w:snapToGrid w:val="0"/>
              <w:spacing w:line="360" w:lineRule="auto"/>
              <w:ind w:left="0" w:firstLine="480" w:firstLineChars="200"/>
            </w:pPr>
            <w:r>
              <w:object>
                <v:shape id="_x0000_i1039" o:spt="75" type="#_x0000_t75" style="height:18pt;width:60pt;" o:ole="t" filled="f" o:preferrelative="t" stroked="f" coordsize="21600,21600">
                  <v:path/>
                  <v:fill on="f" focussize="0,0"/>
                  <v:stroke on="f" joinstyle="miter"/>
                  <v:imagedata r:id="rId50" o:title=""/>
                  <o:lock v:ext="edit" aspectratio="t"/>
                  <w10:wrap type="none"/>
                  <w10:anchorlock/>
                </v:shape>
                <o:OLEObject Type="Embed" ProgID="Equation.3" ShapeID="_x0000_i1039" DrawAspect="Content" ObjectID="_1468075739" r:id="rId49">
                  <o:LockedField>false</o:LockedField>
                </o:OLEObject>
              </w:object>
            </w:r>
          </w:p>
          <w:p>
            <w:pPr>
              <w:pStyle w:val="39"/>
              <w:adjustRightInd w:val="0"/>
              <w:snapToGrid w:val="0"/>
              <w:spacing w:line="360" w:lineRule="auto"/>
              <w:ind w:left="0" w:firstLine="480" w:firstLineChars="200"/>
            </w:pPr>
            <w:r>
              <w:rPr>
                <w:rFonts w:hint="eastAsia"/>
              </w:rPr>
              <w:t>式中： Ii——i测项的污染指数；</w:t>
            </w:r>
          </w:p>
          <w:p>
            <w:pPr>
              <w:pStyle w:val="39"/>
              <w:adjustRightInd w:val="0"/>
              <w:snapToGrid w:val="0"/>
              <w:spacing w:line="360" w:lineRule="auto"/>
              <w:ind w:left="0" w:firstLine="480" w:firstLineChars="200"/>
            </w:pPr>
            <w:r>
              <w:rPr>
                <w:rFonts w:hint="eastAsia"/>
              </w:rPr>
              <w:t>Ci——i测项的实测浓度或指标值；</w:t>
            </w:r>
          </w:p>
          <w:p>
            <w:pPr>
              <w:pStyle w:val="39"/>
              <w:adjustRightInd w:val="0"/>
              <w:snapToGrid w:val="0"/>
              <w:spacing w:line="360" w:lineRule="auto"/>
              <w:ind w:left="0" w:firstLine="480" w:firstLineChars="200"/>
            </w:pPr>
            <w:r>
              <w:rPr>
                <w:rFonts w:hint="eastAsia"/>
              </w:rPr>
              <w:t>Sij——i测项的j类生物质量标准值。</w:t>
            </w:r>
          </w:p>
          <w:p>
            <w:pPr>
              <w:pStyle w:val="279"/>
              <w:snapToGrid w:val="0"/>
              <w:spacing w:line="360" w:lineRule="auto"/>
              <w:ind w:firstLine="480"/>
            </w:pPr>
            <w:r>
              <w:t>表</w:t>
            </w:r>
            <w:r>
              <w:rPr>
                <w:rFonts w:hint="eastAsia"/>
              </w:rPr>
              <w:t>4.1</w:t>
            </w:r>
            <w:r>
              <w:t>.3-2 海洋生物质量（GB1842-2001）（单位：mg/kg）</w:t>
            </w:r>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08"/>
              <w:gridCol w:w="1591"/>
              <w:gridCol w:w="1591"/>
              <w:gridCol w:w="32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tblHeader/>
                <w:jc w:val="center"/>
              </w:trPr>
              <w:tc>
                <w:tcPr>
                  <w:tcW w:w="1808" w:type="dxa"/>
                  <w:vAlign w:val="center"/>
                </w:tcPr>
                <w:p>
                  <w:pPr>
                    <w:jc w:val="center"/>
                    <w:textAlignment w:val="center"/>
                    <w:rPr>
                      <w:b/>
                      <w:sz w:val="18"/>
                      <w:szCs w:val="18"/>
                    </w:rPr>
                  </w:pPr>
                  <w:r>
                    <w:rPr>
                      <w:b/>
                      <w:sz w:val="18"/>
                      <w:szCs w:val="18"/>
                    </w:rPr>
                    <w:t>项目</w:t>
                  </w:r>
                </w:p>
              </w:tc>
              <w:tc>
                <w:tcPr>
                  <w:tcW w:w="1591" w:type="dxa"/>
                  <w:vAlign w:val="center"/>
                </w:tcPr>
                <w:p>
                  <w:pPr>
                    <w:jc w:val="center"/>
                    <w:textAlignment w:val="center"/>
                    <w:rPr>
                      <w:b/>
                      <w:sz w:val="18"/>
                      <w:szCs w:val="18"/>
                    </w:rPr>
                  </w:pPr>
                  <w:r>
                    <w:rPr>
                      <w:b/>
                      <w:sz w:val="18"/>
                      <w:szCs w:val="18"/>
                    </w:rPr>
                    <w:t>第一类</w:t>
                  </w:r>
                </w:p>
              </w:tc>
              <w:tc>
                <w:tcPr>
                  <w:tcW w:w="1591" w:type="dxa"/>
                  <w:vAlign w:val="center"/>
                </w:tcPr>
                <w:p>
                  <w:pPr>
                    <w:jc w:val="center"/>
                    <w:textAlignment w:val="center"/>
                    <w:rPr>
                      <w:b/>
                      <w:sz w:val="18"/>
                      <w:szCs w:val="18"/>
                    </w:rPr>
                  </w:pPr>
                  <w:r>
                    <w:rPr>
                      <w:b/>
                      <w:sz w:val="18"/>
                      <w:szCs w:val="18"/>
                    </w:rPr>
                    <w:t>第二类</w:t>
                  </w:r>
                </w:p>
              </w:tc>
              <w:tc>
                <w:tcPr>
                  <w:tcW w:w="3269" w:type="dxa"/>
                  <w:vAlign w:val="center"/>
                </w:tcPr>
                <w:p>
                  <w:pPr>
                    <w:jc w:val="center"/>
                    <w:textAlignment w:val="center"/>
                    <w:rPr>
                      <w:b/>
                      <w:sz w:val="18"/>
                      <w:szCs w:val="18"/>
                    </w:rPr>
                  </w:pPr>
                  <w:r>
                    <w:rPr>
                      <w:b/>
                      <w:sz w:val="18"/>
                      <w:szCs w:val="18"/>
                    </w:rPr>
                    <w:t>第三类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808" w:type="dxa"/>
                  <w:vAlign w:val="center"/>
                </w:tcPr>
                <w:p>
                  <w:pPr>
                    <w:jc w:val="center"/>
                    <w:textAlignment w:val="center"/>
                    <w:rPr>
                      <w:sz w:val="18"/>
                      <w:szCs w:val="18"/>
                    </w:rPr>
                  </w:pPr>
                  <w:r>
                    <w:rPr>
                      <w:sz w:val="18"/>
                      <w:szCs w:val="18"/>
                    </w:rPr>
                    <w:t>镉≤</w:t>
                  </w:r>
                </w:p>
              </w:tc>
              <w:tc>
                <w:tcPr>
                  <w:tcW w:w="1591" w:type="dxa"/>
                  <w:vAlign w:val="center"/>
                </w:tcPr>
                <w:p>
                  <w:pPr>
                    <w:jc w:val="center"/>
                    <w:textAlignment w:val="center"/>
                    <w:rPr>
                      <w:sz w:val="18"/>
                      <w:szCs w:val="18"/>
                    </w:rPr>
                  </w:pPr>
                  <w:r>
                    <w:rPr>
                      <w:sz w:val="18"/>
                      <w:szCs w:val="18"/>
                    </w:rPr>
                    <w:t>0.2</w:t>
                  </w:r>
                </w:p>
              </w:tc>
              <w:tc>
                <w:tcPr>
                  <w:tcW w:w="1591" w:type="dxa"/>
                  <w:vAlign w:val="center"/>
                </w:tcPr>
                <w:p>
                  <w:pPr>
                    <w:jc w:val="center"/>
                    <w:textAlignment w:val="center"/>
                    <w:rPr>
                      <w:sz w:val="18"/>
                      <w:szCs w:val="18"/>
                    </w:rPr>
                  </w:pPr>
                  <w:r>
                    <w:rPr>
                      <w:sz w:val="18"/>
                      <w:szCs w:val="18"/>
                    </w:rPr>
                    <w:t>2.0</w:t>
                  </w:r>
                </w:p>
              </w:tc>
              <w:tc>
                <w:tcPr>
                  <w:tcW w:w="3269" w:type="dxa"/>
                  <w:vAlign w:val="center"/>
                </w:tcPr>
                <w:p>
                  <w:pPr>
                    <w:jc w:val="center"/>
                    <w:textAlignment w:val="center"/>
                    <w:rPr>
                      <w:sz w:val="18"/>
                      <w:szCs w:val="18"/>
                    </w:rPr>
                  </w:pPr>
                  <w:r>
                    <w:rPr>
                      <w:sz w:val="18"/>
                      <w:szCs w:val="18"/>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808" w:type="dxa"/>
                  <w:vAlign w:val="center"/>
                </w:tcPr>
                <w:p>
                  <w:pPr>
                    <w:jc w:val="center"/>
                    <w:textAlignment w:val="center"/>
                    <w:rPr>
                      <w:sz w:val="18"/>
                      <w:szCs w:val="18"/>
                    </w:rPr>
                  </w:pPr>
                  <w:r>
                    <w:rPr>
                      <w:sz w:val="18"/>
                      <w:szCs w:val="18"/>
                    </w:rPr>
                    <w:t>铅≤</w:t>
                  </w:r>
                </w:p>
              </w:tc>
              <w:tc>
                <w:tcPr>
                  <w:tcW w:w="1591" w:type="dxa"/>
                  <w:vAlign w:val="center"/>
                </w:tcPr>
                <w:p>
                  <w:pPr>
                    <w:jc w:val="center"/>
                    <w:textAlignment w:val="center"/>
                    <w:rPr>
                      <w:sz w:val="18"/>
                      <w:szCs w:val="18"/>
                    </w:rPr>
                  </w:pPr>
                  <w:r>
                    <w:rPr>
                      <w:sz w:val="18"/>
                      <w:szCs w:val="18"/>
                    </w:rPr>
                    <w:t>0.1</w:t>
                  </w:r>
                </w:p>
              </w:tc>
              <w:tc>
                <w:tcPr>
                  <w:tcW w:w="1591" w:type="dxa"/>
                  <w:vAlign w:val="center"/>
                </w:tcPr>
                <w:p>
                  <w:pPr>
                    <w:jc w:val="center"/>
                    <w:textAlignment w:val="center"/>
                    <w:rPr>
                      <w:sz w:val="18"/>
                      <w:szCs w:val="18"/>
                    </w:rPr>
                  </w:pPr>
                  <w:r>
                    <w:rPr>
                      <w:sz w:val="18"/>
                      <w:szCs w:val="18"/>
                    </w:rPr>
                    <w:t>2.0</w:t>
                  </w:r>
                </w:p>
              </w:tc>
              <w:tc>
                <w:tcPr>
                  <w:tcW w:w="3269" w:type="dxa"/>
                  <w:vAlign w:val="center"/>
                </w:tcPr>
                <w:p>
                  <w:pPr>
                    <w:jc w:val="center"/>
                    <w:textAlignment w:val="center"/>
                    <w:rPr>
                      <w:sz w:val="18"/>
                      <w:szCs w:val="18"/>
                    </w:rPr>
                  </w:pPr>
                  <w:r>
                    <w:rPr>
                      <w:sz w:val="18"/>
                      <w:szCs w:val="18"/>
                    </w:rPr>
                    <w:t>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808" w:type="dxa"/>
                  <w:vAlign w:val="center"/>
                </w:tcPr>
                <w:p>
                  <w:pPr>
                    <w:jc w:val="center"/>
                    <w:textAlignment w:val="center"/>
                    <w:rPr>
                      <w:sz w:val="18"/>
                      <w:szCs w:val="18"/>
                    </w:rPr>
                  </w:pPr>
                  <w:r>
                    <w:rPr>
                      <w:sz w:val="18"/>
                      <w:szCs w:val="18"/>
                    </w:rPr>
                    <w:t>铬≤</w:t>
                  </w:r>
                </w:p>
              </w:tc>
              <w:tc>
                <w:tcPr>
                  <w:tcW w:w="1591" w:type="dxa"/>
                  <w:vAlign w:val="center"/>
                </w:tcPr>
                <w:p>
                  <w:pPr>
                    <w:jc w:val="center"/>
                    <w:textAlignment w:val="center"/>
                    <w:rPr>
                      <w:sz w:val="18"/>
                      <w:szCs w:val="18"/>
                    </w:rPr>
                  </w:pPr>
                  <w:r>
                    <w:rPr>
                      <w:sz w:val="18"/>
                      <w:szCs w:val="18"/>
                    </w:rPr>
                    <w:t>0.5</w:t>
                  </w:r>
                </w:p>
              </w:tc>
              <w:tc>
                <w:tcPr>
                  <w:tcW w:w="1591" w:type="dxa"/>
                  <w:vAlign w:val="center"/>
                </w:tcPr>
                <w:p>
                  <w:pPr>
                    <w:jc w:val="center"/>
                    <w:textAlignment w:val="center"/>
                    <w:rPr>
                      <w:sz w:val="18"/>
                      <w:szCs w:val="18"/>
                    </w:rPr>
                  </w:pPr>
                  <w:r>
                    <w:rPr>
                      <w:sz w:val="18"/>
                      <w:szCs w:val="18"/>
                    </w:rPr>
                    <w:t>2.0</w:t>
                  </w:r>
                </w:p>
              </w:tc>
              <w:tc>
                <w:tcPr>
                  <w:tcW w:w="3269" w:type="dxa"/>
                  <w:vAlign w:val="center"/>
                </w:tcPr>
                <w:p>
                  <w:pPr>
                    <w:jc w:val="center"/>
                    <w:textAlignment w:val="center"/>
                    <w:rPr>
                      <w:sz w:val="18"/>
                      <w:szCs w:val="18"/>
                    </w:rPr>
                  </w:pPr>
                  <w:r>
                    <w:rPr>
                      <w:sz w:val="18"/>
                      <w:szCs w:val="18"/>
                    </w:rPr>
                    <w:t>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808" w:type="dxa"/>
                  <w:vAlign w:val="center"/>
                </w:tcPr>
                <w:p>
                  <w:pPr>
                    <w:jc w:val="center"/>
                    <w:textAlignment w:val="center"/>
                    <w:rPr>
                      <w:sz w:val="18"/>
                      <w:szCs w:val="18"/>
                    </w:rPr>
                  </w:pPr>
                  <w:r>
                    <w:rPr>
                      <w:sz w:val="18"/>
                      <w:szCs w:val="18"/>
                    </w:rPr>
                    <w:t>砷≤</w:t>
                  </w:r>
                </w:p>
              </w:tc>
              <w:tc>
                <w:tcPr>
                  <w:tcW w:w="1591" w:type="dxa"/>
                  <w:vAlign w:val="center"/>
                </w:tcPr>
                <w:p>
                  <w:pPr>
                    <w:jc w:val="center"/>
                    <w:textAlignment w:val="center"/>
                    <w:rPr>
                      <w:sz w:val="18"/>
                      <w:szCs w:val="18"/>
                    </w:rPr>
                  </w:pPr>
                  <w:r>
                    <w:rPr>
                      <w:sz w:val="18"/>
                      <w:szCs w:val="18"/>
                    </w:rPr>
                    <w:t>1.0</w:t>
                  </w:r>
                </w:p>
              </w:tc>
              <w:tc>
                <w:tcPr>
                  <w:tcW w:w="1591" w:type="dxa"/>
                  <w:vAlign w:val="center"/>
                </w:tcPr>
                <w:p>
                  <w:pPr>
                    <w:jc w:val="center"/>
                    <w:textAlignment w:val="center"/>
                    <w:rPr>
                      <w:sz w:val="18"/>
                      <w:szCs w:val="18"/>
                    </w:rPr>
                  </w:pPr>
                  <w:r>
                    <w:rPr>
                      <w:sz w:val="18"/>
                      <w:szCs w:val="18"/>
                    </w:rPr>
                    <w:t>5.0</w:t>
                  </w:r>
                </w:p>
              </w:tc>
              <w:tc>
                <w:tcPr>
                  <w:tcW w:w="3269" w:type="dxa"/>
                  <w:vAlign w:val="center"/>
                </w:tcPr>
                <w:p>
                  <w:pPr>
                    <w:jc w:val="center"/>
                    <w:textAlignment w:val="center"/>
                    <w:rPr>
                      <w:sz w:val="18"/>
                      <w:szCs w:val="18"/>
                    </w:rPr>
                  </w:pPr>
                  <w:r>
                    <w:rPr>
                      <w:sz w:val="18"/>
                      <w:szCs w:val="18"/>
                    </w:rPr>
                    <w:t>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808" w:type="dxa"/>
                  <w:vAlign w:val="center"/>
                </w:tcPr>
                <w:p>
                  <w:pPr>
                    <w:jc w:val="center"/>
                    <w:textAlignment w:val="center"/>
                    <w:rPr>
                      <w:sz w:val="18"/>
                      <w:szCs w:val="18"/>
                    </w:rPr>
                  </w:pPr>
                  <w:r>
                    <w:rPr>
                      <w:sz w:val="18"/>
                      <w:szCs w:val="18"/>
                    </w:rPr>
                    <w:t>铜≤</w:t>
                  </w:r>
                </w:p>
              </w:tc>
              <w:tc>
                <w:tcPr>
                  <w:tcW w:w="1591" w:type="dxa"/>
                  <w:vAlign w:val="center"/>
                </w:tcPr>
                <w:p>
                  <w:pPr>
                    <w:jc w:val="center"/>
                    <w:textAlignment w:val="center"/>
                    <w:rPr>
                      <w:sz w:val="18"/>
                      <w:szCs w:val="18"/>
                    </w:rPr>
                  </w:pPr>
                  <w:r>
                    <w:rPr>
                      <w:sz w:val="18"/>
                      <w:szCs w:val="18"/>
                    </w:rPr>
                    <w:t>10</w:t>
                  </w:r>
                </w:p>
              </w:tc>
              <w:tc>
                <w:tcPr>
                  <w:tcW w:w="1591" w:type="dxa"/>
                  <w:vAlign w:val="center"/>
                </w:tcPr>
                <w:p>
                  <w:pPr>
                    <w:jc w:val="center"/>
                    <w:textAlignment w:val="center"/>
                    <w:rPr>
                      <w:sz w:val="18"/>
                      <w:szCs w:val="18"/>
                    </w:rPr>
                  </w:pPr>
                  <w:r>
                    <w:rPr>
                      <w:sz w:val="18"/>
                      <w:szCs w:val="18"/>
                    </w:rPr>
                    <w:t>25</w:t>
                  </w:r>
                </w:p>
              </w:tc>
              <w:tc>
                <w:tcPr>
                  <w:tcW w:w="3269" w:type="dxa"/>
                  <w:vAlign w:val="center"/>
                </w:tcPr>
                <w:p>
                  <w:pPr>
                    <w:jc w:val="center"/>
                    <w:textAlignment w:val="center"/>
                    <w:rPr>
                      <w:sz w:val="18"/>
                      <w:szCs w:val="18"/>
                    </w:rPr>
                  </w:pPr>
                  <w:r>
                    <w:rPr>
                      <w:sz w:val="18"/>
                      <w:szCs w:val="18"/>
                    </w:rPr>
                    <w:t>50（牡蛎100）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808" w:type="dxa"/>
                  <w:vAlign w:val="center"/>
                </w:tcPr>
                <w:p>
                  <w:pPr>
                    <w:jc w:val="center"/>
                    <w:textAlignment w:val="center"/>
                    <w:rPr>
                      <w:sz w:val="18"/>
                      <w:szCs w:val="18"/>
                    </w:rPr>
                  </w:pPr>
                  <w:r>
                    <w:rPr>
                      <w:sz w:val="18"/>
                      <w:szCs w:val="18"/>
                    </w:rPr>
                    <w:t>锌≤</w:t>
                  </w:r>
                </w:p>
              </w:tc>
              <w:tc>
                <w:tcPr>
                  <w:tcW w:w="1591" w:type="dxa"/>
                  <w:vAlign w:val="center"/>
                </w:tcPr>
                <w:p>
                  <w:pPr>
                    <w:jc w:val="center"/>
                    <w:textAlignment w:val="center"/>
                    <w:rPr>
                      <w:sz w:val="18"/>
                      <w:szCs w:val="18"/>
                    </w:rPr>
                  </w:pPr>
                  <w:r>
                    <w:rPr>
                      <w:sz w:val="18"/>
                      <w:szCs w:val="18"/>
                    </w:rPr>
                    <w:t>20</w:t>
                  </w:r>
                </w:p>
              </w:tc>
              <w:tc>
                <w:tcPr>
                  <w:tcW w:w="1591" w:type="dxa"/>
                  <w:vAlign w:val="center"/>
                </w:tcPr>
                <w:p>
                  <w:pPr>
                    <w:jc w:val="center"/>
                    <w:textAlignment w:val="center"/>
                    <w:rPr>
                      <w:sz w:val="18"/>
                      <w:szCs w:val="18"/>
                    </w:rPr>
                  </w:pPr>
                  <w:r>
                    <w:rPr>
                      <w:sz w:val="18"/>
                      <w:szCs w:val="18"/>
                    </w:rPr>
                    <w:t>50</w:t>
                  </w:r>
                </w:p>
              </w:tc>
              <w:tc>
                <w:tcPr>
                  <w:tcW w:w="3269" w:type="dxa"/>
                  <w:vAlign w:val="center"/>
                </w:tcPr>
                <w:p>
                  <w:pPr>
                    <w:jc w:val="center"/>
                    <w:textAlignment w:val="center"/>
                    <w:rPr>
                      <w:sz w:val="18"/>
                      <w:szCs w:val="18"/>
                    </w:rPr>
                  </w:pPr>
                  <w:r>
                    <w:rPr>
                      <w:sz w:val="18"/>
                      <w:szCs w:val="18"/>
                    </w:rPr>
                    <w:t>100（牡蛎500）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808" w:type="dxa"/>
                  <w:vAlign w:val="center"/>
                </w:tcPr>
                <w:p>
                  <w:pPr>
                    <w:jc w:val="center"/>
                    <w:textAlignment w:val="center"/>
                    <w:rPr>
                      <w:sz w:val="18"/>
                      <w:szCs w:val="18"/>
                    </w:rPr>
                  </w:pPr>
                  <w:r>
                    <w:rPr>
                      <w:sz w:val="18"/>
                      <w:szCs w:val="18"/>
                    </w:rPr>
                    <w:t>总汞≤</w:t>
                  </w:r>
                </w:p>
              </w:tc>
              <w:tc>
                <w:tcPr>
                  <w:tcW w:w="1591" w:type="dxa"/>
                  <w:vAlign w:val="center"/>
                </w:tcPr>
                <w:p>
                  <w:pPr>
                    <w:jc w:val="center"/>
                    <w:textAlignment w:val="center"/>
                    <w:rPr>
                      <w:sz w:val="18"/>
                      <w:szCs w:val="18"/>
                    </w:rPr>
                  </w:pPr>
                  <w:r>
                    <w:rPr>
                      <w:sz w:val="18"/>
                      <w:szCs w:val="18"/>
                    </w:rPr>
                    <w:t>0.05</w:t>
                  </w:r>
                </w:p>
              </w:tc>
              <w:tc>
                <w:tcPr>
                  <w:tcW w:w="1591" w:type="dxa"/>
                  <w:vAlign w:val="center"/>
                </w:tcPr>
                <w:p>
                  <w:pPr>
                    <w:jc w:val="center"/>
                    <w:textAlignment w:val="center"/>
                    <w:rPr>
                      <w:sz w:val="18"/>
                      <w:szCs w:val="18"/>
                    </w:rPr>
                  </w:pPr>
                  <w:r>
                    <w:rPr>
                      <w:sz w:val="18"/>
                      <w:szCs w:val="18"/>
                    </w:rPr>
                    <w:t>0.1</w:t>
                  </w:r>
                </w:p>
              </w:tc>
              <w:tc>
                <w:tcPr>
                  <w:tcW w:w="3269" w:type="dxa"/>
                  <w:vAlign w:val="center"/>
                </w:tcPr>
                <w:p>
                  <w:pPr>
                    <w:jc w:val="center"/>
                    <w:textAlignment w:val="center"/>
                    <w:rPr>
                      <w:sz w:val="18"/>
                      <w:szCs w:val="18"/>
                    </w:rPr>
                  </w:pPr>
                  <w:r>
                    <w:rPr>
                      <w:sz w:val="18"/>
                      <w:szCs w:val="18"/>
                    </w:rPr>
                    <w:t>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1808" w:type="dxa"/>
                  <w:vAlign w:val="center"/>
                </w:tcPr>
                <w:p>
                  <w:pPr>
                    <w:jc w:val="center"/>
                    <w:textAlignment w:val="center"/>
                    <w:rPr>
                      <w:sz w:val="18"/>
                      <w:szCs w:val="18"/>
                    </w:rPr>
                  </w:pPr>
                  <w:r>
                    <w:rPr>
                      <w:sz w:val="18"/>
                      <w:szCs w:val="18"/>
                    </w:rPr>
                    <w:t>石油烃≤</w:t>
                  </w:r>
                </w:p>
              </w:tc>
              <w:tc>
                <w:tcPr>
                  <w:tcW w:w="1591" w:type="dxa"/>
                  <w:vAlign w:val="center"/>
                </w:tcPr>
                <w:p>
                  <w:pPr>
                    <w:jc w:val="center"/>
                    <w:textAlignment w:val="center"/>
                    <w:rPr>
                      <w:sz w:val="18"/>
                      <w:szCs w:val="18"/>
                    </w:rPr>
                  </w:pPr>
                  <w:r>
                    <w:rPr>
                      <w:sz w:val="18"/>
                      <w:szCs w:val="18"/>
                    </w:rPr>
                    <w:t>15</w:t>
                  </w:r>
                </w:p>
              </w:tc>
              <w:tc>
                <w:tcPr>
                  <w:tcW w:w="1591" w:type="dxa"/>
                  <w:vAlign w:val="center"/>
                </w:tcPr>
                <w:p>
                  <w:pPr>
                    <w:jc w:val="center"/>
                    <w:textAlignment w:val="center"/>
                    <w:rPr>
                      <w:sz w:val="18"/>
                      <w:szCs w:val="18"/>
                    </w:rPr>
                  </w:pPr>
                  <w:r>
                    <w:rPr>
                      <w:sz w:val="18"/>
                      <w:szCs w:val="18"/>
                    </w:rPr>
                    <w:t>50</w:t>
                  </w:r>
                </w:p>
              </w:tc>
              <w:tc>
                <w:tcPr>
                  <w:tcW w:w="3269" w:type="dxa"/>
                  <w:vAlign w:val="center"/>
                </w:tcPr>
                <w:p>
                  <w:pPr>
                    <w:jc w:val="center"/>
                    <w:textAlignment w:val="center"/>
                    <w:rPr>
                      <w:sz w:val="18"/>
                      <w:szCs w:val="18"/>
                    </w:rPr>
                  </w:pPr>
                  <w:r>
                    <w:rPr>
                      <w:sz w:val="18"/>
                      <w:szCs w:val="18"/>
                    </w:rPr>
                    <w:t>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exact"/>
                <w:jc w:val="center"/>
              </w:trPr>
              <w:tc>
                <w:tcPr>
                  <w:tcW w:w="8259" w:type="dxa"/>
                  <w:gridSpan w:val="4"/>
                  <w:vAlign w:val="center"/>
                </w:tcPr>
                <w:p>
                  <w:pPr>
                    <w:jc w:val="center"/>
                    <w:textAlignment w:val="center"/>
                    <w:rPr>
                      <w:sz w:val="18"/>
                      <w:szCs w:val="18"/>
                    </w:rPr>
                  </w:pPr>
                  <w:r>
                    <w:rPr>
                      <w:sz w:val="18"/>
                      <w:szCs w:val="18"/>
                    </w:rPr>
                    <w:t>注：以贝类去壳部分的鲜重计。</w:t>
                  </w:r>
                </w:p>
              </w:tc>
            </w:tr>
          </w:tbl>
          <w:p>
            <w:pPr>
              <w:pStyle w:val="279"/>
              <w:snapToGrid w:val="0"/>
              <w:ind w:firstLine="480"/>
              <w:rPr>
                <w:b/>
              </w:rPr>
            </w:pPr>
            <w:r>
              <w:rPr>
                <w:rFonts w:hint="eastAsia"/>
                <w:szCs w:val="21"/>
              </w:rPr>
              <w:t>表4.1</w:t>
            </w:r>
            <w:r>
              <w:rPr>
                <w:szCs w:val="21"/>
              </w:rPr>
              <w:t>.3-3</w:t>
            </w:r>
            <w:r>
              <w:rPr>
                <w:rFonts w:hint="eastAsia"/>
                <w:szCs w:val="21"/>
              </w:rPr>
              <w:t xml:space="preserve"> 海洋生物体内污染物评价标准</w:t>
            </w:r>
            <w:r>
              <w:rPr>
                <w:szCs w:val="21"/>
              </w:rPr>
              <w:t>（单位：mg/kg）</w:t>
            </w:r>
          </w:p>
          <w:tbl>
            <w:tblPr>
              <w:tblStyle w:val="88"/>
              <w:tblW w:w="8259"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18"/>
              <w:gridCol w:w="919"/>
              <w:gridCol w:w="918"/>
              <w:gridCol w:w="918"/>
              <w:gridCol w:w="920"/>
              <w:gridCol w:w="920"/>
              <w:gridCol w:w="920"/>
              <w:gridCol w:w="913"/>
              <w:gridCol w:w="91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4" w:hRule="exact"/>
              </w:trPr>
              <w:tc>
                <w:tcPr>
                  <w:tcW w:w="918" w:type="dxa"/>
                  <w:shd w:val="clear" w:color="auto" w:fill="auto"/>
                  <w:vAlign w:val="center"/>
                </w:tcPr>
                <w:p>
                  <w:pPr>
                    <w:jc w:val="center"/>
                    <w:textAlignment w:val="center"/>
                    <w:rPr>
                      <w:b/>
                      <w:sz w:val="18"/>
                      <w:szCs w:val="18"/>
                    </w:rPr>
                  </w:pPr>
                  <w:r>
                    <w:rPr>
                      <w:b/>
                      <w:sz w:val="18"/>
                      <w:szCs w:val="18"/>
                    </w:rPr>
                    <w:t>生物种类</w:t>
                  </w:r>
                </w:p>
              </w:tc>
              <w:tc>
                <w:tcPr>
                  <w:tcW w:w="919" w:type="dxa"/>
                  <w:shd w:val="clear" w:color="auto" w:fill="auto"/>
                  <w:vAlign w:val="center"/>
                </w:tcPr>
                <w:p>
                  <w:pPr>
                    <w:jc w:val="center"/>
                    <w:textAlignment w:val="center"/>
                    <w:rPr>
                      <w:b/>
                      <w:sz w:val="18"/>
                      <w:szCs w:val="18"/>
                    </w:rPr>
                  </w:pPr>
                  <w:r>
                    <w:rPr>
                      <w:b/>
                      <w:sz w:val="18"/>
                      <w:szCs w:val="18"/>
                    </w:rPr>
                    <w:t>铜≤</w:t>
                  </w:r>
                </w:p>
              </w:tc>
              <w:tc>
                <w:tcPr>
                  <w:tcW w:w="918" w:type="dxa"/>
                  <w:shd w:val="clear" w:color="auto" w:fill="auto"/>
                  <w:vAlign w:val="center"/>
                </w:tcPr>
                <w:p>
                  <w:pPr>
                    <w:jc w:val="center"/>
                    <w:textAlignment w:val="center"/>
                    <w:rPr>
                      <w:b/>
                      <w:sz w:val="18"/>
                      <w:szCs w:val="18"/>
                    </w:rPr>
                  </w:pPr>
                  <w:r>
                    <w:rPr>
                      <w:b/>
                      <w:sz w:val="18"/>
                      <w:szCs w:val="18"/>
                    </w:rPr>
                    <w:t>锌≤</w:t>
                  </w:r>
                </w:p>
              </w:tc>
              <w:tc>
                <w:tcPr>
                  <w:tcW w:w="918" w:type="dxa"/>
                  <w:shd w:val="clear" w:color="auto" w:fill="auto"/>
                  <w:vAlign w:val="center"/>
                </w:tcPr>
                <w:p>
                  <w:pPr>
                    <w:jc w:val="center"/>
                    <w:textAlignment w:val="center"/>
                    <w:rPr>
                      <w:b/>
                      <w:sz w:val="18"/>
                      <w:szCs w:val="18"/>
                    </w:rPr>
                  </w:pPr>
                  <w:r>
                    <w:rPr>
                      <w:b/>
                      <w:sz w:val="18"/>
                      <w:szCs w:val="18"/>
                    </w:rPr>
                    <w:t>铅≤</w:t>
                  </w:r>
                </w:p>
              </w:tc>
              <w:tc>
                <w:tcPr>
                  <w:tcW w:w="920" w:type="dxa"/>
                  <w:shd w:val="clear" w:color="auto" w:fill="auto"/>
                  <w:vAlign w:val="center"/>
                </w:tcPr>
                <w:p>
                  <w:pPr>
                    <w:jc w:val="center"/>
                    <w:textAlignment w:val="center"/>
                    <w:rPr>
                      <w:b/>
                      <w:sz w:val="18"/>
                      <w:szCs w:val="18"/>
                    </w:rPr>
                  </w:pPr>
                  <w:r>
                    <w:rPr>
                      <w:b/>
                      <w:sz w:val="18"/>
                      <w:szCs w:val="18"/>
                    </w:rPr>
                    <w:t>镉≤</w:t>
                  </w:r>
                </w:p>
              </w:tc>
              <w:tc>
                <w:tcPr>
                  <w:tcW w:w="920" w:type="dxa"/>
                  <w:vAlign w:val="center"/>
                </w:tcPr>
                <w:p>
                  <w:pPr>
                    <w:jc w:val="center"/>
                    <w:textAlignment w:val="center"/>
                    <w:rPr>
                      <w:b/>
                      <w:sz w:val="18"/>
                      <w:szCs w:val="18"/>
                    </w:rPr>
                  </w:pPr>
                  <w:r>
                    <w:rPr>
                      <w:b/>
                      <w:sz w:val="18"/>
                      <w:szCs w:val="18"/>
                    </w:rPr>
                    <w:t>铬≤</w:t>
                  </w:r>
                </w:p>
              </w:tc>
              <w:tc>
                <w:tcPr>
                  <w:tcW w:w="920" w:type="dxa"/>
                  <w:vAlign w:val="center"/>
                </w:tcPr>
                <w:p>
                  <w:pPr>
                    <w:jc w:val="center"/>
                    <w:textAlignment w:val="center"/>
                    <w:rPr>
                      <w:b/>
                      <w:sz w:val="18"/>
                      <w:szCs w:val="18"/>
                    </w:rPr>
                  </w:pPr>
                  <w:r>
                    <w:rPr>
                      <w:b/>
                      <w:sz w:val="18"/>
                      <w:szCs w:val="18"/>
                    </w:rPr>
                    <w:t>砷≤</w:t>
                  </w:r>
                </w:p>
              </w:tc>
              <w:tc>
                <w:tcPr>
                  <w:tcW w:w="913" w:type="dxa"/>
                  <w:shd w:val="clear" w:color="auto" w:fill="auto"/>
                  <w:vAlign w:val="center"/>
                </w:tcPr>
                <w:p>
                  <w:pPr>
                    <w:jc w:val="center"/>
                    <w:textAlignment w:val="center"/>
                    <w:rPr>
                      <w:b/>
                      <w:sz w:val="18"/>
                      <w:szCs w:val="18"/>
                    </w:rPr>
                  </w:pPr>
                  <w:r>
                    <w:rPr>
                      <w:rFonts w:hint="eastAsia"/>
                      <w:b/>
                      <w:sz w:val="18"/>
                      <w:szCs w:val="18"/>
                    </w:rPr>
                    <w:t>总</w:t>
                  </w:r>
                  <w:r>
                    <w:rPr>
                      <w:b/>
                      <w:sz w:val="18"/>
                      <w:szCs w:val="18"/>
                    </w:rPr>
                    <w:t>汞≤</w:t>
                  </w:r>
                </w:p>
              </w:tc>
              <w:tc>
                <w:tcPr>
                  <w:tcW w:w="913" w:type="dxa"/>
                </w:tcPr>
                <w:p>
                  <w:pPr>
                    <w:jc w:val="center"/>
                    <w:textAlignment w:val="center"/>
                    <w:rPr>
                      <w:b/>
                      <w:sz w:val="18"/>
                      <w:szCs w:val="18"/>
                    </w:rPr>
                  </w:pPr>
                  <w:r>
                    <w:rPr>
                      <w:rFonts w:hint="eastAsia"/>
                      <w:b/>
                      <w:sz w:val="18"/>
                      <w:szCs w:val="18"/>
                    </w:rPr>
                    <w:t>石油烃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4" w:hRule="exact"/>
              </w:trPr>
              <w:tc>
                <w:tcPr>
                  <w:tcW w:w="918" w:type="dxa"/>
                  <w:shd w:val="clear" w:color="auto" w:fill="auto"/>
                  <w:vAlign w:val="center"/>
                </w:tcPr>
                <w:p>
                  <w:pPr>
                    <w:jc w:val="center"/>
                    <w:textAlignment w:val="center"/>
                    <w:rPr>
                      <w:sz w:val="18"/>
                      <w:szCs w:val="18"/>
                    </w:rPr>
                  </w:pPr>
                  <w:r>
                    <w:rPr>
                      <w:sz w:val="18"/>
                      <w:szCs w:val="18"/>
                    </w:rPr>
                    <w:t>鱼类</w:t>
                  </w:r>
                </w:p>
              </w:tc>
              <w:tc>
                <w:tcPr>
                  <w:tcW w:w="919" w:type="dxa"/>
                  <w:shd w:val="clear" w:color="auto" w:fill="auto"/>
                  <w:vAlign w:val="center"/>
                </w:tcPr>
                <w:p>
                  <w:pPr>
                    <w:jc w:val="center"/>
                    <w:textAlignment w:val="center"/>
                    <w:rPr>
                      <w:sz w:val="18"/>
                      <w:szCs w:val="18"/>
                    </w:rPr>
                  </w:pPr>
                  <w:r>
                    <w:rPr>
                      <w:sz w:val="18"/>
                      <w:szCs w:val="18"/>
                    </w:rPr>
                    <w:t>20</w:t>
                  </w:r>
                </w:p>
              </w:tc>
              <w:tc>
                <w:tcPr>
                  <w:tcW w:w="918" w:type="dxa"/>
                  <w:shd w:val="clear" w:color="auto" w:fill="auto"/>
                  <w:vAlign w:val="center"/>
                </w:tcPr>
                <w:p>
                  <w:pPr>
                    <w:jc w:val="center"/>
                    <w:textAlignment w:val="center"/>
                    <w:rPr>
                      <w:sz w:val="18"/>
                      <w:szCs w:val="18"/>
                    </w:rPr>
                  </w:pPr>
                  <w:r>
                    <w:rPr>
                      <w:sz w:val="18"/>
                      <w:szCs w:val="18"/>
                    </w:rPr>
                    <w:t>40</w:t>
                  </w:r>
                </w:p>
              </w:tc>
              <w:tc>
                <w:tcPr>
                  <w:tcW w:w="918" w:type="dxa"/>
                  <w:shd w:val="clear" w:color="auto" w:fill="auto"/>
                  <w:vAlign w:val="center"/>
                </w:tcPr>
                <w:p>
                  <w:pPr>
                    <w:jc w:val="center"/>
                    <w:textAlignment w:val="center"/>
                    <w:rPr>
                      <w:sz w:val="18"/>
                      <w:szCs w:val="18"/>
                    </w:rPr>
                  </w:pPr>
                  <w:r>
                    <w:rPr>
                      <w:sz w:val="18"/>
                      <w:szCs w:val="18"/>
                    </w:rPr>
                    <w:t>2.0</w:t>
                  </w:r>
                </w:p>
              </w:tc>
              <w:tc>
                <w:tcPr>
                  <w:tcW w:w="920" w:type="dxa"/>
                  <w:shd w:val="clear" w:color="auto" w:fill="auto"/>
                  <w:vAlign w:val="center"/>
                </w:tcPr>
                <w:p>
                  <w:pPr>
                    <w:jc w:val="center"/>
                    <w:textAlignment w:val="center"/>
                    <w:rPr>
                      <w:sz w:val="18"/>
                      <w:szCs w:val="18"/>
                    </w:rPr>
                  </w:pPr>
                  <w:r>
                    <w:rPr>
                      <w:sz w:val="18"/>
                      <w:szCs w:val="18"/>
                    </w:rPr>
                    <w:t>0.6</w:t>
                  </w:r>
                </w:p>
              </w:tc>
              <w:tc>
                <w:tcPr>
                  <w:tcW w:w="920" w:type="dxa"/>
                  <w:vAlign w:val="center"/>
                </w:tcPr>
                <w:p>
                  <w:pPr>
                    <w:jc w:val="center"/>
                    <w:textAlignment w:val="center"/>
                    <w:rPr>
                      <w:sz w:val="18"/>
                      <w:szCs w:val="18"/>
                    </w:rPr>
                  </w:pPr>
                  <w:r>
                    <w:rPr>
                      <w:sz w:val="18"/>
                      <w:szCs w:val="18"/>
                    </w:rPr>
                    <w:t>1.5</w:t>
                  </w:r>
                </w:p>
              </w:tc>
              <w:tc>
                <w:tcPr>
                  <w:tcW w:w="920" w:type="dxa"/>
                  <w:vAlign w:val="center"/>
                </w:tcPr>
                <w:p>
                  <w:pPr>
                    <w:jc w:val="center"/>
                    <w:textAlignment w:val="center"/>
                    <w:rPr>
                      <w:sz w:val="18"/>
                      <w:szCs w:val="18"/>
                    </w:rPr>
                  </w:pPr>
                  <w:r>
                    <w:rPr>
                      <w:sz w:val="18"/>
                      <w:szCs w:val="18"/>
                    </w:rPr>
                    <w:t>5.0</w:t>
                  </w:r>
                </w:p>
              </w:tc>
              <w:tc>
                <w:tcPr>
                  <w:tcW w:w="913" w:type="dxa"/>
                  <w:shd w:val="clear" w:color="auto" w:fill="auto"/>
                  <w:vAlign w:val="center"/>
                </w:tcPr>
                <w:p>
                  <w:pPr>
                    <w:jc w:val="center"/>
                    <w:textAlignment w:val="center"/>
                    <w:rPr>
                      <w:sz w:val="18"/>
                      <w:szCs w:val="18"/>
                    </w:rPr>
                  </w:pPr>
                  <w:r>
                    <w:rPr>
                      <w:sz w:val="18"/>
                      <w:szCs w:val="18"/>
                    </w:rPr>
                    <w:t>0.3</w:t>
                  </w:r>
                </w:p>
              </w:tc>
              <w:tc>
                <w:tcPr>
                  <w:tcW w:w="913" w:type="dxa"/>
                </w:tcPr>
                <w:p>
                  <w:pPr>
                    <w:jc w:val="center"/>
                    <w:textAlignment w:val="center"/>
                    <w:rPr>
                      <w:sz w:val="18"/>
                      <w:szCs w:val="18"/>
                    </w:rPr>
                  </w:pPr>
                  <w:r>
                    <w:rPr>
                      <w:rFonts w:hint="eastAsia"/>
                      <w:sz w:val="18"/>
                      <w:szCs w:val="18"/>
                    </w:rPr>
                    <w:t>2</w:t>
                  </w:r>
                  <w:r>
                    <w:rPr>
                      <w:sz w:val="18"/>
                      <w:szCs w:val="18"/>
                    </w:rPr>
                    <w:t>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4" w:hRule="exact"/>
              </w:trPr>
              <w:tc>
                <w:tcPr>
                  <w:tcW w:w="918" w:type="dxa"/>
                  <w:shd w:val="clear" w:color="auto" w:fill="auto"/>
                  <w:vAlign w:val="center"/>
                </w:tcPr>
                <w:p>
                  <w:pPr>
                    <w:jc w:val="center"/>
                    <w:textAlignment w:val="center"/>
                    <w:rPr>
                      <w:sz w:val="18"/>
                      <w:szCs w:val="18"/>
                    </w:rPr>
                  </w:pPr>
                  <w:r>
                    <w:rPr>
                      <w:sz w:val="18"/>
                      <w:szCs w:val="18"/>
                    </w:rPr>
                    <w:t>甲壳类</w:t>
                  </w:r>
                </w:p>
              </w:tc>
              <w:tc>
                <w:tcPr>
                  <w:tcW w:w="919" w:type="dxa"/>
                  <w:shd w:val="clear" w:color="auto" w:fill="auto"/>
                  <w:vAlign w:val="center"/>
                </w:tcPr>
                <w:p>
                  <w:pPr>
                    <w:jc w:val="center"/>
                    <w:textAlignment w:val="center"/>
                    <w:rPr>
                      <w:sz w:val="18"/>
                      <w:szCs w:val="18"/>
                    </w:rPr>
                  </w:pPr>
                  <w:r>
                    <w:rPr>
                      <w:sz w:val="18"/>
                      <w:szCs w:val="18"/>
                    </w:rPr>
                    <w:t>100</w:t>
                  </w:r>
                </w:p>
              </w:tc>
              <w:tc>
                <w:tcPr>
                  <w:tcW w:w="918" w:type="dxa"/>
                  <w:shd w:val="clear" w:color="auto" w:fill="auto"/>
                  <w:vAlign w:val="center"/>
                </w:tcPr>
                <w:p>
                  <w:pPr>
                    <w:jc w:val="center"/>
                    <w:textAlignment w:val="center"/>
                    <w:rPr>
                      <w:sz w:val="18"/>
                      <w:szCs w:val="18"/>
                    </w:rPr>
                  </w:pPr>
                  <w:r>
                    <w:rPr>
                      <w:sz w:val="18"/>
                      <w:szCs w:val="18"/>
                    </w:rPr>
                    <w:t>150</w:t>
                  </w:r>
                </w:p>
              </w:tc>
              <w:tc>
                <w:tcPr>
                  <w:tcW w:w="918" w:type="dxa"/>
                  <w:shd w:val="clear" w:color="auto" w:fill="auto"/>
                  <w:vAlign w:val="center"/>
                </w:tcPr>
                <w:p>
                  <w:pPr>
                    <w:jc w:val="center"/>
                    <w:textAlignment w:val="center"/>
                    <w:rPr>
                      <w:sz w:val="18"/>
                      <w:szCs w:val="18"/>
                    </w:rPr>
                  </w:pPr>
                  <w:r>
                    <w:rPr>
                      <w:sz w:val="18"/>
                      <w:szCs w:val="18"/>
                    </w:rPr>
                    <w:t>2.0</w:t>
                  </w:r>
                </w:p>
              </w:tc>
              <w:tc>
                <w:tcPr>
                  <w:tcW w:w="920" w:type="dxa"/>
                  <w:shd w:val="clear" w:color="auto" w:fill="auto"/>
                  <w:vAlign w:val="center"/>
                </w:tcPr>
                <w:p>
                  <w:pPr>
                    <w:jc w:val="center"/>
                    <w:textAlignment w:val="center"/>
                    <w:rPr>
                      <w:sz w:val="18"/>
                      <w:szCs w:val="18"/>
                    </w:rPr>
                  </w:pPr>
                  <w:r>
                    <w:rPr>
                      <w:sz w:val="18"/>
                      <w:szCs w:val="18"/>
                    </w:rPr>
                    <w:t>2.0</w:t>
                  </w:r>
                </w:p>
              </w:tc>
              <w:tc>
                <w:tcPr>
                  <w:tcW w:w="920" w:type="dxa"/>
                  <w:vAlign w:val="center"/>
                </w:tcPr>
                <w:p>
                  <w:pPr>
                    <w:jc w:val="center"/>
                    <w:textAlignment w:val="center"/>
                    <w:rPr>
                      <w:sz w:val="18"/>
                      <w:szCs w:val="18"/>
                    </w:rPr>
                  </w:pPr>
                  <w:r>
                    <w:rPr>
                      <w:sz w:val="18"/>
                      <w:szCs w:val="18"/>
                    </w:rPr>
                    <w:t>1.5</w:t>
                  </w:r>
                </w:p>
              </w:tc>
              <w:tc>
                <w:tcPr>
                  <w:tcW w:w="920" w:type="dxa"/>
                  <w:vAlign w:val="center"/>
                </w:tcPr>
                <w:p>
                  <w:pPr>
                    <w:jc w:val="center"/>
                    <w:textAlignment w:val="center"/>
                    <w:rPr>
                      <w:sz w:val="18"/>
                      <w:szCs w:val="18"/>
                    </w:rPr>
                  </w:pPr>
                  <w:r>
                    <w:rPr>
                      <w:sz w:val="18"/>
                      <w:szCs w:val="18"/>
                    </w:rPr>
                    <w:t>8.0</w:t>
                  </w:r>
                </w:p>
              </w:tc>
              <w:tc>
                <w:tcPr>
                  <w:tcW w:w="913" w:type="dxa"/>
                  <w:shd w:val="clear" w:color="auto" w:fill="auto"/>
                  <w:vAlign w:val="center"/>
                </w:tcPr>
                <w:p>
                  <w:pPr>
                    <w:jc w:val="center"/>
                    <w:textAlignment w:val="center"/>
                    <w:rPr>
                      <w:sz w:val="18"/>
                      <w:szCs w:val="18"/>
                    </w:rPr>
                  </w:pPr>
                  <w:r>
                    <w:rPr>
                      <w:sz w:val="18"/>
                      <w:szCs w:val="18"/>
                    </w:rPr>
                    <w:t>0.2</w:t>
                  </w:r>
                </w:p>
              </w:tc>
              <w:tc>
                <w:tcPr>
                  <w:tcW w:w="913" w:type="dxa"/>
                </w:tcPr>
                <w:p>
                  <w:pPr>
                    <w:jc w:val="center"/>
                    <w:textAlignment w:val="center"/>
                    <w:rPr>
                      <w:sz w:val="18"/>
                      <w:szCs w:val="18"/>
                    </w:rPr>
                  </w:pPr>
                  <w:r>
                    <w:rPr>
                      <w:rFonts w:hint="eastAsia"/>
                      <w:sz w:val="18"/>
                      <w:szCs w:val="18"/>
                    </w:rPr>
                    <w:t>2</w:t>
                  </w:r>
                  <w:r>
                    <w:rPr>
                      <w:sz w:val="18"/>
                      <w:szCs w:val="18"/>
                    </w:rPr>
                    <w:t>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4" w:hRule="exact"/>
              </w:trPr>
              <w:tc>
                <w:tcPr>
                  <w:tcW w:w="918" w:type="dxa"/>
                  <w:shd w:val="clear" w:color="auto" w:fill="auto"/>
                  <w:vAlign w:val="center"/>
                </w:tcPr>
                <w:p>
                  <w:pPr>
                    <w:jc w:val="center"/>
                    <w:textAlignment w:val="center"/>
                    <w:rPr>
                      <w:sz w:val="18"/>
                      <w:szCs w:val="18"/>
                    </w:rPr>
                  </w:pPr>
                  <w:r>
                    <w:rPr>
                      <w:sz w:val="18"/>
                      <w:szCs w:val="18"/>
                    </w:rPr>
                    <w:t>软体动物</w:t>
                  </w:r>
                </w:p>
              </w:tc>
              <w:tc>
                <w:tcPr>
                  <w:tcW w:w="919" w:type="dxa"/>
                  <w:shd w:val="clear" w:color="auto" w:fill="auto"/>
                  <w:vAlign w:val="center"/>
                </w:tcPr>
                <w:p>
                  <w:pPr>
                    <w:jc w:val="center"/>
                    <w:textAlignment w:val="center"/>
                    <w:rPr>
                      <w:sz w:val="18"/>
                      <w:szCs w:val="18"/>
                    </w:rPr>
                  </w:pPr>
                  <w:r>
                    <w:rPr>
                      <w:sz w:val="18"/>
                      <w:szCs w:val="18"/>
                    </w:rPr>
                    <w:t>100</w:t>
                  </w:r>
                </w:p>
              </w:tc>
              <w:tc>
                <w:tcPr>
                  <w:tcW w:w="918" w:type="dxa"/>
                  <w:shd w:val="clear" w:color="auto" w:fill="auto"/>
                  <w:vAlign w:val="center"/>
                </w:tcPr>
                <w:p>
                  <w:pPr>
                    <w:jc w:val="center"/>
                    <w:textAlignment w:val="center"/>
                    <w:rPr>
                      <w:sz w:val="18"/>
                      <w:szCs w:val="18"/>
                    </w:rPr>
                  </w:pPr>
                  <w:r>
                    <w:rPr>
                      <w:sz w:val="18"/>
                      <w:szCs w:val="18"/>
                    </w:rPr>
                    <w:t>250</w:t>
                  </w:r>
                </w:p>
              </w:tc>
              <w:tc>
                <w:tcPr>
                  <w:tcW w:w="918" w:type="dxa"/>
                  <w:shd w:val="clear" w:color="auto" w:fill="auto"/>
                  <w:vAlign w:val="center"/>
                </w:tcPr>
                <w:p>
                  <w:pPr>
                    <w:jc w:val="center"/>
                    <w:textAlignment w:val="center"/>
                    <w:rPr>
                      <w:sz w:val="18"/>
                      <w:szCs w:val="18"/>
                    </w:rPr>
                  </w:pPr>
                  <w:r>
                    <w:rPr>
                      <w:sz w:val="18"/>
                      <w:szCs w:val="18"/>
                    </w:rPr>
                    <w:t>10.0</w:t>
                  </w:r>
                </w:p>
              </w:tc>
              <w:tc>
                <w:tcPr>
                  <w:tcW w:w="920" w:type="dxa"/>
                  <w:shd w:val="clear" w:color="auto" w:fill="auto"/>
                  <w:vAlign w:val="center"/>
                </w:tcPr>
                <w:p>
                  <w:pPr>
                    <w:jc w:val="center"/>
                    <w:textAlignment w:val="center"/>
                    <w:rPr>
                      <w:sz w:val="18"/>
                      <w:szCs w:val="18"/>
                    </w:rPr>
                  </w:pPr>
                  <w:r>
                    <w:rPr>
                      <w:sz w:val="18"/>
                      <w:szCs w:val="18"/>
                    </w:rPr>
                    <w:t>5.5</w:t>
                  </w:r>
                </w:p>
              </w:tc>
              <w:tc>
                <w:tcPr>
                  <w:tcW w:w="920" w:type="dxa"/>
                  <w:vAlign w:val="center"/>
                </w:tcPr>
                <w:p>
                  <w:pPr>
                    <w:jc w:val="center"/>
                    <w:textAlignment w:val="center"/>
                    <w:rPr>
                      <w:sz w:val="18"/>
                      <w:szCs w:val="18"/>
                    </w:rPr>
                  </w:pPr>
                  <w:r>
                    <w:rPr>
                      <w:sz w:val="18"/>
                      <w:szCs w:val="18"/>
                    </w:rPr>
                    <w:t>5.5</w:t>
                  </w:r>
                </w:p>
              </w:tc>
              <w:tc>
                <w:tcPr>
                  <w:tcW w:w="920" w:type="dxa"/>
                  <w:vAlign w:val="center"/>
                </w:tcPr>
                <w:p>
                  <w:pPr>
                    <w:jc w:val="center"/>
                    <w:textAlignment w:val="center"/>
                    <w:rPr>
                      <w:sz w:val="18"/>
                      <w:szCs w:val="18"/>
                    </w:rPr>
                  </w:pPr>
                  <w:r>
                    <w:rPr>
                      <w:sz w:val="18"/>
                      <w:szCs w:val="18"/>
                    </w:rPr>
                    <w:t>10</w:t>
                  </w:r>
                </w:p>
              </w:tc>
              <w:tc>
                <w:tcPr>
                  <w:tcW w:w="913" w:type="dxa"/>
                  <w:shd w:val="clear" w:color="auto" w:fill="auto"/>
                  <w:vAlign w:val="center"/>
                </w:tcPr>
                <w:p>
                  <w:pPr>
                    <w:jc w:val="center"/>
                    <w:textAlignment w:val="center"/>
                    <w:rPr>
                      <w:sz w:val="18"/>
                      <w:szCs w:val="18"/>
                    </w:rPr>
                  </w:pPr>
                  <w:r>
                    <w:rPr>
                      <w:sz w:val="18"/>
                      <w:szCs w:val="18"/>
                    </w:rPr>
                    <w:t>0.3</w:t>
                  </w:r>
                </w:p>
              </w:tc>
              <w:tc>
                <w:tcPr>
                  <w:tcW w:w="913" w:type="dxa"/>
                </w:tcPr>
                <w:p>
                  <w:pPr>
                    <w:jc w:val="center"/>
                    <w:textAlignment w:val="center"/>
                    <w:rPr>
                      <w:sz w:val="18"/>
                      <w:szCs w:val="18"/>
                    </w:rPr>
                  </w:pPr>
                  <w:r>
                    <w:rPr>
                      <w:rFonts w:hint="eastAsia"/>
                      <w:sz w:val="18"/>
                      <w:szCs w:val="18"/>
                    </w:rPr>
                    <w:t>2</w:t>
                  </w:r>
                  <w:r>
                    <w:rPr>
                      <w:sz w:val="18"/>
                      <w:szCs w:val="18"/>
                    </w:rPr>
                    <w:t>0</w:t>
                  </w:r>
                </w:p>
              </w:tc>
            </w:tr>
          </w:tbl>
          <w:p>
            <w:pPr>
              <w:pStyle w:val="39"/>
              <w:adjustRightInd w:val="0"/>
              <w:snapToGrid w:val="0"/>
              <w:spacing w:line="360" w:lineRule="auto"/>
              <w:ind w:left="0" w:firstLine="482" w:firstLineChars="200"/>
              <w:rPr>
                <w:b/>
                <w:szCs w:val="24"/>
              </w:rPr>
            </w:pPr>
            <w:r>
              <w:rPr>
                <w:rFonts w:hint="eastAsia"/>
                <w:b/>
                <w:szCs w:val="24"/>
              </w:rPr>
              <w:t>4.1</w:t>
            </w:r>
            <w:r>
              <w:rPr>
                <w:b/>
                <w:szCs w:val="24"/>
              </w:rPr>
              <w:t>.3.4 生物质量监测结果与评价</w:t>
            </w:r>
          </w:p>
          <w:p>
            <w:pPr>
              <w:pStyle w:val="39"/>
              <w:adjustRightInd w:val="0"/>
              <w:snapToGrid w:val="0"/>
              <w:spacing w:line="360" w:lineRule="auto"/>
              <w:ind w:left="0" w:firstLine="480" w:firstLineChars="200"/>
              <w:rPr>
                <w:szCs w:val="24"/>
              </w:rPr>
            </w:pPr>
            <w:r>
              <w:rPr>
                <w:szCs w:val="24"/>
              </w:rPr>
              <w:t>20</w:t>
            </w:r>
            <w:r>
              <w:rPr>
                <w:rFonts w:hint="eastAsia"/>
                <w:szCs w:val="24"/>
              </w:rPr>
              <w:t>20</w:t>
            </w:r>
            <w:r>
              <w:rPr>
                <w:szCs w:val="24"/>
              </w:rPr>
              <w:t>年</w:t>
            </w:r>
            <w:r>
              <w:rPr>
                <w:rFonts w:hint="eastAsia"/>
                <w:szCs w:val="24"/>
              </w:rPr>
              <w:t>08</w:t>
            </w:r>
            <w:r>
              <w:rPr>
                <w:szCs w:val="24"/>
              </w:rPr>
              <w:t>月评价海域海洋生物质量监测结果见表</w:t>
            </w:r>
            <w:r>
              <w:rPr>
                <w:rFonts w:hint="eastAsia"/>
                <w:szCs w:val="24"/>
              </w:rPr>
              <w:t>4.1</w:t>
            </w:r>
            <w:r>
              <w:rPr>
                <w:szCs w:val="24"/>
              </w:rPr>
              <w:t>.3-4，质量评价指数见表</w:t>
            </w:r>
            <w:r>
              <w:rPr>
                <w:rFonts w:hint="eastAsia"/>
                <w:szCs w:val="24"/>
              </w:rPr>
              <w:t>4.1</w:t>
            </w:r>
            <w:r>
              <w:rPr>
                <w:szCs w:val="24"/>
              </w:rPr>
              <w:t>.3-5。</w:t>
            </w:r>
          </w:p>
          <w:p>
            <w:pPr>
              <w:pStyle w:val="39"/>
              <w:adjustRightInd w:val="0"/>
              <w:snapToGrid w:val="0"/>
              <w:spacing w:line="360" w:lineRule="auto"/>
              <w:ind w:left="0" w:firstLine="480" w:firstLineChars="200"/>
              <w:rPr>
                <w:b/>
              </w:rPr>
            </w:pPr>
            <w:r>
              <w:rPr>
                <w:rFonts w:hint="eastAsia"/>
                <w:szCs w:val="24"/>
              </w:rPr>
              <w:t>调查结果表明，小黄花鱼、黄鱼、乌鳢鱼、三疣梭子蟹、赤甲红蟹和鹰爪虾生物样品中的镉、铅、总汞、铜、锌、砷、铬以及石油烃监测项目均符合《全国海岛资源综合调查简明教程》中标准要求；红里扇贝生物样品中镉、铅、总汞、铜、锌、砷、铬以及石油烃监测项目均符合《海洋生物质量》（GB18241-2001）中第一类标准。该调查海域生物质量状况良好。</w:t>
            </w:r>
          </w:p>
          <w:p>
            <w:pPr>
              <w:pStyle w:val="279"/>
              <w:snapToGrid w:val="0"/>
              <w:spacing w:line="360" w:lineRule="auto"/>
              <w:ind w:firstLine="480"/>
            </w:pPr>
            <w:r>
              <w:t>表</w:t>
            </w:r>
            <w:r>
              <w:rPr>
                <w:rFonts w:hint="eastAsia"/>
              </w:rPr>
              <w:t>4.1</w:t>
            </w:r>
            <w:r>
              <w:t>.3-4 调查海域海洋生物体肌肉组织重金属及石油烃含量</w:t>
            </w:r>
          </w:p>
          <w:tbl>
            <w:tblPr>
              <w:tblStyle w:val="88"/>
              <w:tblW w:w="77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12"/>
              <w:gridCol w:w="850"/>
              <w:gridCol w:w="708"/>
              <w:gridCol w:w="708"/>
              <w:gridCol w:w="709"/>
              <w:gridCol w:w="889"/>
              <w:gridCol w:w="719"/>
              <w:gridCol w:w="799"/>
              <w:gridCol w:w="106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5" w:hRule="atLeast"/>
                <w:jc w:val="center"/>
              </w:trPr>
              <w:tc>
                <w:tcPr>
                  <w:tcW w:w="1312" w:type="dxa"/>
                  <w:shd w:val="clear" w:color="auto" w:fill="auto"/>
                  <w:vAlign w:val="center"/>
                </w:tcPr>
                <w:p>
                  <w:pPr>
                    <w:widowControl/>
                    <w:jc w:val="center"/>
                    <w:rPr>
                      <w:b/>
                      <w:szCs w:val="21"/>
                    </w:rPr>
                  </w:pPr>
                  <w:r>
                    <w:rPr>
                      <w:rFonts w:hint="eastAsia"/>
                      <w:b/>
                      <w:szCs w:val="21"/>
                    </w:rPr>
                    <w:t>生物名称</w:t>
                  </w:r>
                </w:p>
              </w:tc>
              <w:tc>
                <w:tcPr>
                  <w:tcW w:w="850" w:type="dxa"/>
                  <w:shd w:val="clear" w:color="auto" w:fill="auto"/>
                  <w:vAlign w:val="center"/>
                </w:tcPr>
                <w:p>
                  <w:pPr>
                    <w:widowControl/>
                    <w:jc w:val="center"/>
                    <w:rPr>
                      <w:b/>
                      <w:szCs w:val="21"/>
                    </w:rPr>
                  </w:pPr>
                  <w:r>
                    <w:rPr>
                      <w:b/>
                      <w:szCs w:val="21"/>
                    </w:rPr>
                    <w:t>总汞</w:t>
                  </w:r>
                  <w:r>
                    <w:rPr>
                      <w:b/>
                      <w:bCs/>
                      <w:szCs w:val="21"/>
                    </w:rPr>
                    <w:t>(10</w:t>
                  </w:r>
                  <w:r>
                    <w:rPr>
                      <w:b/>
                      <w:bCs/>
                      <w:szCs w:val="21"/>
                      <w:vertAlign w:val="superscript"/>
                    </w:rPr>
                    <w:t>-6</w:t>
                  </w:r>
                  <w:r>
                    <w:rPr>
                      <w:b/>
                      <w:bCs/>
                      <w:szCs w:val="21"/>
                    </w:rPr>
                    <w:t>)</w:t>
                  </w:r>
                </w:p>
              </w:tc>
              <w:tc>
                <w:tcPr>
                  <w:tcW w:w="708" w:type="dxa"/>
                  <w:shd w:val="clear" w:color="auto" w:fill="auto"/>
                  <w:vAlign w:val="center"/>
                </w:tcPr>
                <w:p>
                  <w:pPr>
                    <w:jc w:val="center"/>
                    <w:rPr>
                      <w:b/>
                      <w:szCs w:val="21"/>
                    </w:rPr>
                  </w:pPr>
                  <w:r>
                    <w:rPr>
                      <w:b/>
                      <w:szCs w:val="21"/>
                    </w:rPr>
                    <w:t>镉</w:t>
                  </w:r>
                  <w:r>
                    <w:rPr>
                      <w:b/>
                      <w:bCs/>
                      <w:szCs w:val="21"/>
                    </w:rPr>
                    <w:t>(10</w:t>
                  </w:r>
                  <w:r>
                    <w:rPr>
                      <w:b/>
                      <w:bCs/>
                      <w:szCs w:val="21"/>
                      <w:vertAlign w:val="superscript"/>
                    </w:rPr>
                    <w:t>-6</w:t>
                  </w:r>
                  <w:r>
                    <w:rPr>
                      <w:b/>
                      <w:bCs/>
                      <w:szCs w:val="21"/>
                    </w:rPr>
                    <w:t>)</w:t>
                  </w:r>
                </w:p>
              </w:tc>
              <w:tc>
                <w:tcPr>
                  <w:tcW w:w="708" w:type="dxa"/>
                  <w:shd w:val="clear" w:color="auto" w:fill="auto"/>
                  <w:vAlign w:val="center"/>
                </w:tcPr>
                <w:p>
                  <w:pPr>
                    <w:jc w:val="center"/>
                    <w:rPr>
                      <w:b/>
                      <w:szCs w:val="21"/>
                    </w:rPr>
                  </w:pPr>
                  <w:r>
                    <w:rPr>
                      <w:b/>
                      <w:szCs w:val="21"/>
                    </w:rPr>
                    <w:t>铅</w:t>
                  </w:r>
                  <w:r>
                    <w:rPr>
                      <w:b/>
                      <w:bCs/>
                      <w:szCs w:val="21"/>
                    </w:rPr>
                    <w:t>(10</w:t>
                  </w:r>
                  <w:r>
                    <w:rPr>
                      <w:b/>
                      <w:bCs/>
                      <w:szCs w:val="21"/>
                      <w:vertAlign w:val="superscript"/>
                    </w:rPr>
                    <w:t>-6</w:t>
                  </w:r>
                  <w:r>
                    <w:rPr>
                      <w:b/>
                      <w:bCs/>
                      <w:szCs w:val="21"/>
                    </w:rPr>
                    <w:t>)</w:t>
                  </w:r>
                </w:p>
              </w:tc>
              <w:tc>
                <w:tcPr>
                  <w:tcW w:w="709" w:type="dxa"/>
                  <w:shd w:val="clear" w:color="auto" w:fill="auto"/>
                  <w:vAlign w:val="center"/>
                </w:tcPr>
                <w:p>
                  <w:pPr>
                    <w:jc w:val="center"/>
                    <w:rPr>
                      <w:b/>
                      <w:szCs w:val="21"/>
                    </w:rPr>
                  </w:pPr>
                  <w:r>
                    <w:rPr>
                      <w:b/>
                      <w:szCs w:val="21"/>
                    </w:rPr>
                    <w:t>铜</w:t>
                  </w:r>
                  <w:r>
                    <w:rPr>
                      <w:b/>
                      <w:bCs/>
                      <w:szCs w:val="21"/>
                    </w:rPr>
                    <w:t>(10</w:t>
                  </w:r>
                  <w:r>
                    <w:rPr>
                      <w:b/>
                      <w:bCs/>
                      <w:szCs w:val="21"/>
                      <w:vertAlign w:val="superscript"/>
                    </w:rPr>
                    <w:t>-6</w:t>
                  </w:r>
                  <w:r>
                    <w:rPr>
                      <w:b/>
                      <w:bCs/>
                      <w:szCs w:val="21"/>
                    </w:rPr>
                    <w:t>)</w:t>
                  </w:r>
                </w:p>
              </w:tc>
              <w:tc>
                <w:tcPr>
                  <w:tcW w:w="889" w:type="dxa"/>
                  <w:shd w:val="clear" w:color="auto" w:fill="auto"/>
                  <w:vAlign w:val="center"/>
                </w:tcPr>
                <w:p>
                  <w:pPr>
                    <w:jc w:val="center"/>
                    <w:rPr>
                      <w:b/>
                      <w:szCs w:val="21"/>
                    </w:rPr>
                  </w:pPr>
                  <w:r>
                    <w:rPr>
                      <w:b/>
                      <w:szCs w:val="21"/>
                    </w:rPr>
                    <w:t>砷</w:t>
                  </w:r>
                </w:p>
                <w:p>
                  <w:pPr>
                    <w:jc w:val="center"/>
                    <w:rPr>
                      <w:b/>
                      <w:szCs w:val="21"/>
                    </w:rPr>
                  </w:pPr>
                  <w:r>
                    <w:rPr>
                      <w:b/>
                      <w:bCs/>
                      <w:szCs w:val="21"/>
                    </w:rPr>
                    <w:t>(10</w:t>
                  </w:r>
                  <w:r>
                    <w:rPr>
                      <w:b/>
                      <w:bCs/>
                      <w:szCs w:val="21"/>
                      <w:vertAlign w:val="superscript"/>
                    </w:rPr>
                    <w:t>-6</w:t>
                  </w:r>
                  <w:r>
                    <w:rPr>
                      <w:b/>
                      <w:bCs/>
                      <w:szCs w:val="21"/>
                    </w:rPr>
                    <w:t>)</w:t>
                  </w:r>
                </w:p>
              </w:tc>
              <w:tc>
                <w:tcPr>
                  <w:tcW w:w="719" w:type="dxa"/>
                  <w:shd w:val="clear" w:color="auto" w:fill="auto"/>
                  <w:vAlign w:val="center"/>
                </w:tcPr>
                <w:p>
                  <w:pPr>
                    <w:jc w:val="center"/>
                    <w:rPr>
                      <w:b/>
                      <w:szCs w:val="21"/>
                    </w:rPr>
                  </w:pPr>
                  <w:r>
                    <w:rPr>
                      <w:b/>
                      <w:szCs w:val="21"/>
                    </w:rPr>
                    <w:t>铬</w:t>
                  </w:r>
                </w:p>
                <w:p>
                  <w:pPr>
                    <w:jc w:val="center"/>
                    <w:rPr>
                      <w:b/>
                      <w:szCs w:val="21"/>
                    </w:rPr>
                  </w:pPr>
                  <w:r>
                    <w:rPr>
                      <w:b/>
                      <w:bCs/>
                      <w:szCs w:val="21"/>
                    </w:rPr>
                    <w:t>(10</w:t>
                  </w:r>
                  <w:r>
                    <w:rPr>
                      <w:b/>
                      <w:bCs/>
                      <w:szCs w:val="21"/>
                      <w:vertAlign w:val="superscript"/>
                    </w:rPr>
                    <w:t>-6</w:t>
                  </w:r>
                  <w:r>
                    <w:rPr>
                      <w:b/>
                      <w:bCs/>
                      <w:szCs w:val="21"/>
                    </w:rPr>
                    <w:t>)</w:t>
                  </w:r>
                </w:p>
              </w:tc>
              <w:tc>
                <w:tcPr>
                  <w:tcW w:w="799" w:type="dxa"/>
                  <w:shd w:val="clear" w:color="auto" w:fill="auto"/>
                  <w:vAlign w:val="center"/>
                </w:tcPr>
                <w:p>
                  <w:pPr>
                    <w:jc w:val="center"/>
                    <w:rPr>
                      <w:b/>
                      <w:szCs w:val="21"/>
                    </w:rPr>
                  </w:pPr>
                  <w:r>
                    <w:rPr>
                      <w:b/>
                      <w:szCs w:val="21"/>
                    </w:rPr>
                    <w:t>锌</w:t>
                  </w:r>
                </w:p>
                <w:p>
                  <w:pPr>
                    <w:jc w:val="center"/>
                    <w:rPr>
                      <w:b/>
                      <w:szCs w:val="21"/>
                    </w:rPr>
                  </w:pPr>
                  <w:r>
                    <w:rPr>
                      <w:b/>
                      <w:bCs/>
                      <w:szCs w:val="21"/>
                    </w:rPr>
                    <w:t>(10</w:t>
                  </w:r>
                  <w:r>
                    <w:rPr>
                      <w:b/>
                      <w:bCs/>
                      <w:szCs w:val="21"/>
                      <w:vertAlign w:val="superscript"/>
                    </w:rPr>
                    <w:t>-6</w:t>
                  </w:r>
                  <w:r>
                    <w:rPr>
                      <w:b/>
                      <w:bCs/>
                      <w:szCs w:val="21"/>
                    </w:rPr>
                    <w:t>)</w:t>
                  </w:r>
                </w:p>
              </w:tc>
              <w:tc>
                <w:tcPr>
                  <w:tcW w:w="1066" w:type="dxa"/>
                  <w:shd w:val="clear" w:color="auto" w:fill="auto"/>
                  <w:vAlign w:val="center"/>
                </w:tcPr>
                <w:p>
                  <w:pPr>
                    <w:jc w:val="center"/>
                    <w:rPr>
                      <w:b/>
                      <w:szCs w:val="21"/>
                    </w:rPr>
                  </w:pPr>
                  <w:r>
                    <w:rPr>
                      <w:b/>
                      <w:szCs w:val="21"/>
                    </w:rPr>
                    <w:t>石油烃</w:t>
                  </w:r>
                </w:p>
                <w:p>
                  <w:pPr>
                    <w:jc w:val="center"/>
                    <w:rPr>
                      <w:b/>
                      <w:szCs w:val="21"/>
                    </w:rPr>
                  </w:pPr>
                  <w:r>
                    <w:rPr>
                      <w:b/>
                      <w:bCs/>
                      <w:szCs w:val="21"/>
                    </w:rPr>
                    <w:t>(10</w:t>
                  </w:r>
                  <w:r>
                    <w:rPr>
                      <w:b/>
                      <w:bCs/>
                      <w:szCs w:val="21"/>
                      <w:vertAlign w:val="superscript"/>
                    </w:rPr>
                    <w:t>-6</w:t>
                  </w:r>
                  <w:r>
                    <w:rPr>
                      <w:b/>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5" w:hRule="atLeast"/>
                <w:jc w:val="center"/>
              </w:trPr>
              <w:tc>
                <w:tcPr>
                  <w:tcW w:w="1312" w:type="dxa"/>
                  <w:shd w:val="clear" w:color="auto" w:fill="auto"/>
                  <w:vAlign w:val="center"/>
                </w:tcPr>
                <w:p>
                  <w:pPr>
                    <w:jc w:val="center"/>
                    <w:rPr>
                      <w:szCs w:val="21"/>
                    </w:rPr>
                  </w:pPr>
                  <w:r>
                    <w:rPr>
                      <w:rFonts w:hint="eastAsia"/>
                      <w:szCs w:val="21"/>
                    </w:rPr>
                    <w:t>小黄花鱼</w:t>
                  </w:r>
                </w:p>
              </w:tc>
              <w:tc>
                <w:tcPr>
                  <w:tcW w:w="850" w:type="dxa"/>
                  <w:shd w:val="clear" w:color="auto" w:fill="auto"/>
                  <w:vAlign w:val="center"/>
                </w:tcPr>
                <w:p>
                  <w:pPr>
                    <w:jc w:val="center"/>
                    <w:rPr>
                      <w:szCs w:val="21"/>
                    </w:rPr>
                  </w:pPr>
                  <w:r>
                    <w:rPr>
                      <w:szCs w:val="21"/>
                    </w:rPr>
                    <w:t>0.0</w:t>
                  </w:r>
                  <w:r>
                    <w:rPr>
                      <w:rFonts w:hint="eastAsia"/>
                      <w:szCs w:val="21"/>
                    </w:rPr>
                    <w:t>17</w:t>
                  </w:r>
                </w:p>
              </w:tc>
              <w:tc>
                <w:tcPr>
                  <w:tcW w:w="708" w:type="dxa"/>
                  <w:shd w:val="clear" w:color="auto" w:fill="auto"/>
                  <w:vAlign w:val="center"/>
                </w:tcPr>
                <w:p>
                  <w:pPr>
                    <w:jc w:val="center"/>
                    <w:rPr>
                      <w:szCs w:val="21"/>
                    </w:rPr>
                  </w:pPr>
                  <w:r>
                    <w:rPr>
                      <w:szCs w:val="21"/>
                    </w:rPr>
                    <w:t>0.</w:t>
                  </w:r>
                  <w:r>
                    <w:rPr>
                      <w:rFonts w:hint="eastAsia"/>
                      <w:szCs w:val="21"/>
                    </w:rPr>
                    <w:t>18</w:t>
                  </w:r>
                </w:p>
              </w:tc>
              <w:tc>
                <w:tcPr>
                  <w:tcW w:w="708" w:type="dxa"/>
                  <w:shd w:val="clear" w:color="auto" w:fill="auto"/>
                  <w:vAlign w:val="center"/>
                </w:tcPr>
                <w:p>
                  <w:pPr>
                    <w:jc w:val="center"/>
                    <w:rPr>
                      <w:szCs w:val="21"/>
                    </w:rPr>
                  </w:pPr>
                  <w:r>
                    <w:rPr>
                      <w:szCs w:val="21"/>
                    </w:rPr>
                    <w:t>0.</w:t>
                  </w:r>
                  <w:r>
                    <w:rPr>
                      <w:rFonts w:hint="eastAsia"/>
                      <w:szCs w:val="21"/>
                    </w:rPr>
                    <w:t>15</w:t>
                  </w:r>
                </w:p>
              </w:tc>
              <w:tc>
                <w:tcPr>
                  <w:tcW w:w="709" w:type="dxa"/>
                  <w:shd w:val="clear" w:color="auto" w:fill="auto"/>
                  <w:vAlign w:val="center"/>
                </w:tcPr>
                <w:p>
                  <w:pPr>
                    <w:jc w:val="center"/>
                    <w:rPr>
                      <w:szCs w:val="21"/>
                    </w:rPr>
                  </w:pPr>
                  <w:r>
                    <w:rPr>
                      <w:rFonts w:hint="eastAsia"/>
                      <w:szCs w:val="21"/>
                    </w:rPr>
                    <w:t>2</w:t>
                  </w:r>
                  <w:r>
                    <w:rPr>
                      <w:szCs w:val="21"/>
                    </w:rPr>
                    <w:t>.46</w:t>
                  </w:r>
                </w:p>
              </w:tc>
              <w:tc>
                <w:tcPr>
                  <w:tcW w:w="889" w:type="dxa"/>
                  <w:shd w:val="clear" w:color="auto" w:fill="auto"/>
                  <w:vAlign w:val="center"/>
                </w:tcPr>
                <w:p>
                  <w:pPr>
                    <w:jc w:val="center"/>
                    <w:rPr>
                      <w:szCs w:val="21"/>
                    </w:rPr>
                  </w:pPr>
                  <w:r>
                    <w:rPr>
                      <w:szCs w:val="21"/>
                    </w:rPr>
                    <w:t>0.</w:t>
                  </w:r>
                  <w:r>
                    <w:rPr>
                      <w:rFonts w:hint="eastAsia"/>
                      <w:szCs w:val="21"/>
                    </w:rPr>
                    <w:t>9</w:t>
                  </w:r>
                  <w:r>
                    <w:rPr>
                      <w:szCs w:val="21"/>
                    </w:rPr>
                    <w:t>1</w:t>
                  </w:r>
                </w:p>
              </w:tc>
              <w:tc>
                <w:tcPr>
                  <w:tcW w:w="719" w:type="dxa"/>
                  <w:shd w:val="clear" w:color="auto" w:fill="auto"/>
                  <w:vAlign w:val="center"/>
                </w:tcPr>
                <w:p>
                  <w:pPr>
                    <w:jc w:val="center"/>
                    <w:rPr>
                      <w:szCs w:val="21"/>
                    </w:rPr>
                  </w:pPr>
                  <w:r>
                    <w:rPr>
                      <w:szCs w:val="21"/>
                    </w:rPr>
                    <w:t>0.</w:t>
                  </w:r>
                  <w:r>
                    <w:rPr>
                      <w:rFonts w:hint="eastAsia"/>
                      <w:szCs w:val="21"/>
                    </w:rPr>
                    <w:t>47</w:t>
                  </w:r>
                </w:p>
              </w:tc>
              <w:tc>
                <w:tcPr>
                  <w:tcW w:w="799" w:type="dxa"/>
                  <w:shd w:val="clear" w:color="auto" w:fill="auto"/>
                  <w:vAlign w:val="center"/>
                </w:tcPr>
                <w:p>
                  <w:pPr>
                    <w:jc w:val="center"/>
                    <w:rPr>
                      <w:szCs w:val="21"/>
                    </w:rPr>
                  </w:pPr>
                  <w:r>
                    <w:rPr>
                      <w:rFonts w:hint="eastAsia"/>
                      <w:szCs w:val="21"/>
                    </w:rPr>
                    <w:t>11</w:t>
                  </w:r>
                  <w:r>
                    <w:rPr>
                      <w:szCs w:val="21"/>
                    </w:rPr>
                    <w:t>.</w:t>
                  </w:r>
                  <w:r>
                    <w:rPr>
                      <w:rFonts w:hint="eastAsia"/>
                      <w:szCs w:val="21"/>
                    </w:rPr>
                    <w:t>4</w:t>
                  </w:r>
                  <w:r>
                    <w:rPr>
                      <w:szCs w:val="21"/>
                    </w:rPr>
                    <w:t>6</w:t>
                  </w:r>
                </w:p>
              </w:tc>
              <w:tc>
                <w:tcPr>
                  <w:tcW w:w="1066" w:type="dxa"/>
                  <w:shd w:val="clear" w:color="auto" w:fill="auto"/>
                  <w:vAlign w:val="center"/>
                </w:tcPr>
                <w:p>
                  <w:pPr>
                    <w:jc w:val="center"/>
                    <w:rPr>
                      <w:szCs w:val="21"/>
                    </w:rPr>
                  </w:pPr>
                  <w:r>
                    <w:rPr>
                      <w:rFonts w:hint="eastAsia"/>
                      <w:szCs w:val="21"/>
                    </w:rPr>
                    <w:t>8</w:t>
                  </w:r>
                  <w:r>
                    <w:rPr>
                      <w:szCs w:val="21"/>
                    </w:rPr>
                    <w:t>.5</w:t>
                  </w:r>
                  <w:r>
                    <w:rPr>
                      <w:rFonts w:hint="eastAsia"/>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5" w:hRule="atLeast"/>
                <w:jc w:val="center"/>
              </w:trPr>
              <w:tc>
                <w:tcPr>
                  <w:tcW w:w="1312" w:type="dxa"/>
                  <w:shd w:val="clear" w:color="auto" w:fill="auto"/>
                  <w:vAlign w:val="center"/>
                </w:tcPr>
                <w:p>
                  <w:pPr>
                    <w:jc w:val="center"/>
                    <w:rPr>
                      <w:szCs w:val="21"/>
                    </w:rPr>
                  </w:pPr>
                  <w:r>
                    <w:rPr>
                      <w:rFonts w:hint="eastAsia"/>
                      <w:szCs w:val="21"/>
                    </w:rPr>
                    <w:t>黄鱼</w:t>
                  </w:r>
                </w:p>
              </w:tc>
              <w:tc>
                <w:tcPr>
                  <w:tcW w:w="850" w:type="dxa"/>
                  <w:shd w:val="clear" w:color="auto" w:fill="auto"/>
                  <w:vAlign w:val="center"/>
                </w:tcPr>
                <w:p>
                  <w:pPr>
                    <w:jc w:val="center"/>
                    <w:rPr>
                      <w:szCs w:val="21"/>
                    </w:rPr>
                  </w:pPr>
                  <w:r>
                    <w:rPr>
                      <w:szCs w:val="21"/>
                    </w:rPr>
                    <w:t>0.0</w:t>
                  </w:r>
                  <w:r>
                    <w:rPr>
                      <w:rFonts w:hint="eastAsia"/>
                      <w:szCs w:val="21"/>
                    </w:rPr>
                    <w:t>14</w:t>
                  </w:r>
                </w:p>
              </w:tc>
              <w:tc>
                <w:tcPr>
                  <w:tcW w:w="708" w:type="dxa"/>
                  <w:shd w:val="clear" w:color="auto" w:fill="auto"/>
                  <w:vAlign w:val="center"/>
                </w:tcPr>
                <w:p>
                  <w:pPr>
                    <w:jc w:val="center"/>
                    <w:rPr>
                      <w:szCs w:val="21"/>
                    </w:rPr>
                  </w:pPr>
                  <w:r>
                    <w:rPr>
                      <w:szCs w:val="21"/>
                    </w:rPr>
                    <w:t>0.</w:t>
                  </w:r>
                  <w:r>
                    <w:rPr>
                      <w:rFonts w:hint="eastAsia"/>
                      <w:szCs w:val="21"/>
                    </w:rPr>
                    <w:t>11</w:t>
                  </w:r>
                </w:p>
              </w:tc>
              <w:tc>
                <w:tcPr>
                  <w:tcW w:w="708" w:type="dxa"/>
                  <w:shd w:val="clear" w:color="auto" w:fill="auto"/>
                  <w:vAlign w:val="center"/>
                </w:tcPr>
                <w:p>
                  <w:pPr>
                    <w:jc w:val="center"/>
                    <w:rPr>
                      <w:szCs w:val="21"/>
                    </w:rPr>
                  </w:pPr>
                  <w:r>
                    <w:rPr>
                      <w:szCs w:val="21"/>
                    </w:rPr>
                    <w:t>0.</w:t>
                  </w:r>
                  <w:r>
                    <w:rPr>
                      <w:rFonts w:hint="eastAsia"/>
                      <w:szCs w:val="21"/>
                    </w:rPr>
                    <w:t>18</w:t>
                  </w:r>
                </w:p>
              </w:tc>
              <w:tc>
                <w:tcPr>
                  <w:tcW w:w="709" w:type="dxa"/>
                  <w:shd w:val="clear" w:color="auto" w:fill="auto"/>
                  <w:vAlign w:val="center"/>
                </w:tcPr>
                <w:p>
                  <w:pPr>
                    <w:jc w:val="center"/>
                    <w:rPr>
                      <w:szCs w:val="21"/>
                    </w:rPr>
                  </w:pPr>
                  <w:r>
                    <w:rPr>
                      <w:rFonts w:hint="eastAsia"/>
                      <w:szCs w:val="21"/>
                    </w:rPr>
                    <w:t>4</w:t>
                  </w:r>
                  <w:r>
                    <w:rPr>
                      <w:szCs w:val="21"/>
                    </w:rPr>
                    <w:t>.8</w:t>
                  </w:r>
                  <w:r>
                    <w:rPr>
                      <w:rFonts w:hint="eastAsia"/>
                      <w:szCs w:val="21"/>
                    </w:rPr>
                    <w:t>6</w:t>
                  </w:r>
                </w:p>
              </w:tc>
              <w:tc>
                <w:tcPr>
                  <w:tcW w:w="889" w:type="dxa"/>
                  <w:shd w:val="clear" w:color="auto" w:fill="auto"/>
                  <w:vAlign w:val="center"/>
                </w:tcPr>
                <w:p>
                  <w:pPr>
                    <w:jc w:val="center"/>
                    <w:rPr>
                      <w:szCs w:val="21"/>
                    </w:rPr>
                  </w:pPr>
                  <w:r>
                    <w:rPr>
                      <w:rFonts w:hint="eastAsia"/>
                      <w:szCs w:val="21"/>
                    </w:rPr>
                    <w:t>1</w:t>
                  </w:r>
                  <w:r>
                    <w:rPr>
                      <w:szCs w:val="21"/>
                    </w:rPr>
                    <w:t>.</w:t>
                  </w:r>
                  <w:r>
                    <w:rPr>
                      <w:rFonts w:hint="eastAsia"/>
                      <w:szCs w:val="21"/>
                    </w:rPr>
                    <w:t>32</w:t>
                  </w:r>
                </w:p>
              </w:tc>
              <w:tc>
                <w:tcPr>
                  <w:tcW w:w="719" w:type="dxa"/>
                  <w:shd w:val="clear" w:color="auto" w:fill="auto"/>
                  <w:vAlign w:val="center"/>
                </w:tcPr>
                <w:p>
                  <w:pPr>
                    <w:jc w:val="center"/>
                    <w:rPr>
                      <w:szCs w:val="21"/>
                    </w:rPr>
                  </w:pPr>
                  <w:r>
                    <w:rPr>
                      <w:szCs w:val="21"/>
                    </w:rPr>
                    <w:t>0.</w:t>
                  </w:r>
                  <w:r>
                    <w:rPr>
                      <w:rFonts w:hint="eastAsia"/>
                      <w:szCs w:val="21"/>
                    </w:rPr>
                    <w:t>29</w:t>
                  </w:r>
                </w:p>
              </w:tc>
              <w:tc>
                <w:tcPr>
                  <w:tcW w:w="799" w:type="dxa"/>
                  <w:shd w:val="clear" w:color="auto" w:fill="auto"/>
                  <w:vAlign w:val="center"/>
                </w:tcPr>
                <w:p>
                  <w:pPr>
                    <w:jc w:val="center"/>
                    <w:rPr>
                      <w:szCs w:val="21"/>
                    </w:rPr>
                  </w:pPr>
                  <w:r>
                    <w:rPr>
                      <w:szCs w:val="21"/>
                    </w:rPr>
                    <w:t>1</w:t>
                  </w:r>
                  <w:r>
                    <w:rPr>
                      <w:rFonts w:hint="eastAsia"/>
                      <w:szCs w:val="21"/>
                    </w:rPr>
                    <w:t>7</w:t>
                  </w:r>
                  <w:r>
                    <w:rPr>
                      <w:szCs w:val="21"/>
                    </w:rPr>
                    <w:t>.</w:t>
                  </w:r>
                  <w:r>
                    <w:rPr>
                      <w:rFonts w:hint="eastAsia"/>
                      <w:szCs w:val="21"/>
                    </w:rPr>
                    <w:t>12</w:t>
                  </w:r>
                </w:p>
              </w:tc>
              <w:tc>
                <w:tcPr>
                  <w:tcW w:w="1066" w:type="dxa"/>
                  <w:shd w:val="clear" w:color="auto" w:fill="auto"/>
                  <w:vAlign w:val="center"/>
                </w:tcPr>
                <w:p>
                  <w:pPr>
                    <w:jc w:val="center"/>
                    <w:rPr>
                      <w:szCs w:val="21"/>
                    </w:rPr>
                  </w:pPr>
                  <w:r>
                    <w:rPr>
                      <w:rFonts w:hint="eastAsia"/>
                      <w:szCs w:val="21"/>
                    </w:rPr>
                    <w:t>5</w:t>
                  </w:r>
                  <w:r>
                    <w:rPr>
                      <w:szCs w:val="21"/>
                    </w:rPr>
                    <w:t>.6</w:t>
                  </w:r>
                  <w:r>
                    <w:rPr>
                      <w:rFonts w:hint="eastAsia"/>
                      <w:szCs w:val="21"/>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5" w:hRule="atLeast"/>
                <w:jc w:val="center"/>
              </w:trPr>
              <w:tc>
                <w:tcPr>
                  <w:tcW w:w="1312" w:type="dxa"/>
                  <w:shd w:val="clear" w:color="auto" w:fill="auto"/>
                  <w:vAlign w:val="center"/>
                </w:tcPr>
                <w:p>
                  <w:pPr>
                    <w:jc w:val="center"/>
                    <w:rPr>
                      <w:szCs w:val="21"/>
                    </w:rPr>
                  </w:pPr>
                  <w:r>
                    <w:rPr>
                      <w:rFonts w:hint="eastAsia"/>
                      <w:szCs w:val="21"/>
                    </w:rPr>
                    <w:t>乌鳢鱼</w:t>
                  </w:r>
                </w:p>
              </w:tc>
              <w:tc>
                <w:tcPr>
                  <w:tcW w:w="850" w:type="dxa"/>
                  <w:shd w:val="clear" w:color="auto" w:fill="auto"/>
                  <w:vAlign w:val="center"/>
                </w:tcPr>
                <w:p>
                  <w:pPr>
                    <w:jc w:val="center"/>
                    <w:rPr>
                      <w:szCs w:val="21"/>
                    </w:rPr>
                  </w:pPr>
                  <w:r>
                    <w:rPr>
                      <w:szCs w:val="21"/>
                    </w:rPr>
                    <w:t>0.0</w:t>
                  </w:r>
                  <w:r>
                    <w:rPr>
                      <w:rFonts w:hint="eastAsia"/>
                      <w:szCs w:val="21"/>
                    </w:rPr>
                    <w:t>25</w:t>
                  </w:r>
                </w:p>
              </w:tc>
              <w:tc>
                <w:tcPr>
                  <w:tcW w:w="708" w:type="dxa"/>
                  <w:shd w:val="clear" w:color="auto" w:fill="auto"/>
                  <w:vAlign w:val="center"/>
                </w:tcPr>
                <w:p>
                  <w:pPr>
                    <w:jc w:val="center"/>
                    <w:rPr>
                      <w:szCs w:val="21"/>
                    </w:rPr>
                  </w:pPr>
                  <w:r>
                    <w:rPr>
                      <w:szCs w:val="21"/>
                    </w:rPr>
                    <w:t>0.</w:t>
                  </w:r>
                  <w:r>
                    <w:rPr>
                      <w:rFonts w:hint="eastAsia"/>
                      <w:szCs w:val="21"/>
                    </w:rPr>
                    <w:t>29</w:t>
                  </w:r>
                </w:p>
              </w:tc>
              <w:tc>
                <w:tcPr>
                  <w:tcW w:w="708" w:type="dxa"/>
                  <w:shd w:val="clear" w:color="auto" w:fill="auto"/>
                  <w:vAlign w:val="center"/>
                </w:tcPr>
                <w:p>
                  <w:pPr>
                    <w:jc w:val="center"/>
                    <w:rPr>
                      <w:szCs w:val="21"/>
                    </w:rPr>
                  </w:pPr>
                  <w:r>
                    <w:rPr>
                      <w:szCs w:val="21"/>
                    </w:rPr>
                    <w:t>0.</w:t>
                  </w:r>
                  <w:r>
                    <w:rPr>
                      <w:rFonts w:hint="eastAsia"/>
                      <w:szCs w:val="21"/>
                    </w:rPr>
                    <w:t>23</w:t>
                  </w:r>
                </w:p>
              </w:tc>
              <w:tc>
                <w:tcPr>
                  <w:tcW w:w="709" w:type="dxa"/>
                  <w:shd w:val="clear" w:color="auto" w:fill="auto"/>
                  <w:vAlign w:val="center"/>
                </w:tcPr>
                <w:p>
                  <w:pPr>
                    <w:jc w:val="center"/>
                    <w:rPr>
                      <w:szCs w:val="21"/>
                    </w:rPr>
                  </w:pPr>
                  <w:r>
                    <w:rPr>
                      <w:rFonts w:hint="eastAsia"/>
                      <w:szCs w:val="21"/>
                    </w:rPr>
                    <w:t>3</w:t>
                  </w:r>
                  <w:r>
                    <w:rPr>
                      <w:szCs w:val="21"/>
                    </w:rPr>
                    <w:t>.5</w:t>
                  </w:r>
                  <w:r>
                    <w:rPr>
                      <w:rFonts w:hint="eastAsia"/>
                      <w:szCs w:val="21"/>
                    </w:rPr>
                    <w:t>7</w:t>
                  </w:r>
                </w:p>
              </w:tc>
              <w:tc>
                <w:tcPr>
                  <w:tcW w:w="889" w:type="dxa"/>
                  <w:shd w:val="clear" w:color="auto" w:fill="auto"/>
                  <w:vAlign w:val="center"/>
                </w:tcPr>
                <w:p>
                  <w:pPr>
                    <w:jc w:val="center"/>
                    <w:rPr>
                      <w:szCs w:val="21"/>
                    </w:rPr>
                  </w:pPr>
                  <w:r>
                    <w:rPr>
                      <w:rFonts w:hint="eastAsia"/>
                      <w:szCs w:val="21"/>
                    </w:rPr>
                    <w:t>1</w:t>
                  </w:r>
                  <w:r>
                    <w:rPr>
                      <w:szCs w:val="21"/>
                    </w:rPr>
                    <w:t>.</w:t>
                  </w:r>
                  <w:r>
                    <w:rPr>
                      <w:rFonts w:hint="eastAsia"/>
                      <w:szCs w:val="21"/>
                    </w:rPr>
                    <w:t>48</w:t>
                  </w:r>
                </w:p>
              </w:tc>
              <w:tc>
                <w:tcPr>
                  <w:tcW w:w="719" w:type="dxa"/>
                  <w:shd w:val="clear" w:color="auto" w:fill="auto"/>
                  <w:vAlign w:val="center"/>
                </w:tcPr>
                <w:p>
                  <w:pPr>
                    <w:jc w:val="center"/>
                    <w:rPr>
                      <w:szCs w:val="21"/>
                    </w:rPr>
                  </w:pPr>
                  <w:r>
                    <w:rPr>
                      <w:szCs w:val="21"/>
                    </w:rPr>
                    <w:t>0.</w:t>
                  </w:r>
                  <w:r>
                    <w:rPr>
                      <w:rFonts w:hint="eastAsia"/>
                      <w:szCs w:val="21"/>
                    </w:rPr>
                    <w:t>36</w:t>
                  </w:r>
                </w:p>
              </w:tc>
              <w:tc>
                <w:tcPr>
                  <w:tcW w:w="799" w:type="dxa"/>
                  <w:shd w:val="clear" w:color="auto" w:fill="auto"/>
                  <w:vAlign w:val="center"/>
                </w:tcPr>
                <w:p>
                  <w:pPr>
                    <w:jc w:val="center"/>
                    <w:rPr>
                      <w:szCs w:val="21"/>
                    </w:rPr>
                  </w:pPr>
                  <w:r>
                    <w:rPr>
                      <w:rFonts w:hint="eastAsia"/>
                      <w:szCs w:val="21"/>
                    </w:rPr>
                    <w:t>10</w:t>
                  </w:r>
                  <w:r>
                    <w:rPr>
                      <w:szCs w:val="21"/>
                    </w:rPr>
                    <w:t>.2</w:t>
                  </w:r>
                  <w:r>
                    <w:rPr>
                      <w:rFonts w:hint="eastAsia"/>
                      <w:szCs w:val="21"/>
                    </w:rPr>
                    <w:t>9</w:t>
                  </w:r>
                </w:p>
              </w:tc>
              <w:tc>
                <w:tcPr>
                  <w:tcW w:w="1066" w:type="dxa"/>
                  <w:shd w:val="clear" w:color="auto" w:fill="auto"/>
                  <w:vAlign w:val="center"/>
                </w:tcPr>
                <w:p>
                  <w:pPr>
                    <w:jc w:val="center"/>
                    <w:rPr>
                      <w:szCs w:val="21"/>
                    </w:rPr>
                  </w:pPr>
                  <w:r>
                    <w:rPr>
                      <w:rFonts w:hint="eastAsia"/>
                      <w:szCs w:val="21"/>
                    </w:rPr>
                    <w:t>7</w:t>
                  </w:r>
                  <w:r>
                    <w:rPr>
                      <w:szCs w:val="21"/>
                    </w:rPr>
                    <w:t>.5</w:t>
                  </w:r>
                  <w:r>
                    <w:rPr>
                      <w:rFonts w:hint="eastAsia"/>
                      <w:szCs w:val="21"/>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5" w:hRule="atLeast"/>
                <w:jc w:val="center"/>
              </w:trPr>
              <w:tc>
                <w:tcPr>
                  <w:tcW w:w="1312" w:type="dxa"/>
                  <w:shd w:val="clear" w:color="auto" w:fill="auto"/>
                  <w:vAlign w:val="center"/>
                </w:tcPr>
                <w:p>
                  <w:pPr>
                    <w:jc w:val="center"/>
                    <w:rPr>
                      <w:szCs w:val="21"/>
                    </w:rPr>
                  </w:pPr>
                  <w:r>
                    <w:rPr>
                      <w:rFonts w:hint="eastAsia"/>
                      <w:szCs w:val="21"/>
                    </w:rPr>
                    <w:t>三疣梭子蟹</w:t>
                  </w:r>
                </w:p>
              </w:tc>
              <w:tc>
                <w:tcPr>
                  <w:tcW w:w="850" w:type="dxa"/>
                  <w:shd w:val="clear" w:color="auto" w:fill="auto"/>
                  <w:vAlign w:val="center"/>
                </w:tcPr>
                <w:p>
                  <w:pPr>
                    <w:jc w:val="center"/>
                    <w:rPr>
                      <w:szCs w:val="21"/>
                    </w:rPr>
                  </w:pPr>
                  <w:r>
                    <w:rPr>
                      <w:szCs w:val="21"/>
                    </w:rPr>
                    <w:t>0.0</w:t>
                  </w:r>
                  <w:r>
                    <w:rPr>
                      <w:rFonts w:hint="eastAsia"/>
                      <w:szCs w:val="21"/>
                    </w:rPr>
                    <w:t>19</w:t>
                  </w:r>
                </w:p>
              </w:tc>
              <w:tc>
                <w:tcPr>
                  <w:tcW w:w="708" w:type="dxa"/>
                  <w:shd w:val="clear" w:color="auto" w:fill="auto"/>
                  <w:vAlign w:val="center"/>
                </w:tcPr>
                <w:p>
                  <w:pPr>
                    <w:jc w:val="center"/>
                    <w:rPr>
                      <w:szCs w:val="21"/>
                    </w:rPr>
                  </w:pPr>
                  <w:r>
                    <w:rPr>
                      <w:szCs w:val="21"/>
                    </w:rPr>
                    <w:t>0.</w:t>
                  </w:r>
                  <w:r>
                    <w:rPr>
                      <w:rFonts w:hint="eastAsia"/>
                      <w:szCs w:val="21"/>
                    </w:rPr>
                    <w:t>4</w:t>
                  </w:r>
                  <w:r>
                    <w:rPr>
                      <w:szCs w:val="21"/>
                    </w:rPr>
                    <w:t>3</w:t>
                  </w:r>
                </w:p>
              </w:tc>
              <w:tc>
                <w:tcPr>
                  <w:tcW w:w="708" w:type="dxa"/>
                  <w:shd w:val="clear" w:color="auto" w:fill="auto"/>
                  <w:vAlign w:val="center"/>
                </w:tcPr>
                <w:p>
                  <w:pPr>
                    <w:jc w:val="center"/>
                    <w:rPr>
                      <w:szCs w:val="21"/>
                    </w:rPr>
                  </w:pPr>
                  <w:r>
                    <w:rPr>
                      <w:szCs w:val="21"/>
                    </w:rPr>
                    <w:t>0.</w:t>
                  </w:r>
                  <w:r>
                    <w:rPr>
                      <w:rFonts w:hint="eastAsia"/>
                      <w:szCs w:val="21"/>
                    </w:rPr>
                    <w:t>35</w:t>
                  </w:r>
                </w:p>
              </w:tc>
              <w:tc>
                <w:tcPr>
                  <w:tcW w:w="709" w:type="dxa"/>
                  <w:shd w:val="clear" w:color="auto" w:fill="auto"/>
                  <w:vAlign w:val="center"/>
                </w:tcPr>
                <w:p>
                  <w:pPr>
                    <w:jc w:val="center"/>
                    <w:rPr>
                      <w:szCs w:val="21"/>
                    </w:rPr>
                  </w:pPr>
                  <w:r>
                    <w:rPr>
                      <w:szCs w:val="21"/>
                    </w:rPr>
                    <w:t>1</w:t>
                  </w:r>
                  <w:r>
                    <w:rPr>
                      <w:rFonts w:hint="eastAsia"/>
                      <w:szCs w:val="21"/>
                    </w:rPr>
                    <w:t>7</w:t>
                  </w:r>
                  <w:r>
                    <w:rPr>
                      <w:szCs w:val="21"/>
                    </w:rPr>
                    <w:t>.</w:t>
                  </w:r>
                  <w:r>
                    <w:rPr>
                      <w:rFonts w:hint="eastAsia"/>
                      <w:szCs w:val="21"/>
                    </w:rPr>
                    <w:t>1</w:t>
                  </w:r>
                </w:p>
              </w:tc>
              <w:tc>
                <w:tcPr>
                  <w:tcW w:w="889" w:type="dxa"/>
                  <w:shd w:val="clear" w:color="auto" w:fill="auto"/>
                  <w:vAlign w:val="center"/>
                </w:tcPr>
                <w:p>
                  <w:pPr>
                    <w:jc w:val="center"/>
                    <w:rPr>
                      <w:szCs w:val="21"/>
                    </w:rPr>
                  </w:pPr>
                  <w:r>
                    <w:rPr>
                      <w:rFonts w:hint="eastAsia"/>
                      <w:szCs w:val="21"/>
                    </w:rPr>
                    <w:t>2</w:t>
                  </w:r>
                  <w:r>
                    <w:rPr>
                      <w:szCs w:val="21"/>
                    </w:rPr>
                    <w:t>.</w:t>
                  </w:r>
                  <w:r>
                    <w:rPr>
                      <w:rFonts w:hint="eastAsia"/>
                      <w:szCs w:val="21"/>
                    </w:rPr>
                    <w:t>4</w:t>
                  </w:r>
                  <w:r>
                    <w:rPr>
                      <w:szCs w:val="21"/>
                    </w:rPr>
                    <w:t>6</w:t>
                  </w:r>
                </w:p>
              </w:tc>
              <w:tc>
                <w:tcPr>
                  <w:tcW w:w="719" w:type="dxa"/>
                  <w:shd w:val="clear" w:color="auto" w:fill="auto"/>
                  <w:vAlign w:val="center"/>
                </w:tcPr>
                <w:p>
                  <w:pPr>
                    <w:jc w:val="center"/>
                    <w:rPr>
                      <w:szCs w:val="21"/>
                    </w:rPr>
                  </w:pPr>
                  <w:r>
                    <w:rPr>
                      <w:rFonts w:hint="eastAsia"/>
                      <w:szCs w:val="21"/>
                    </w:rPr>
                    <w:t>1</w:t>
                  </w:r>
                  <w:r>
                    <w:rPr>
                      <w:szCs w:val="21"/>
                    </w:rPr>
                    <w:t>.</w:t>
                  </w:r>
                  <w:r>
                    <w:rPr>
                      <w:rFonts w:hint="eastAsia"/>
                      <w:szCs w:val="21"/>
                    </w:rPr>
                    <w:t>0</w:t>
                  </w:r>
                  <w:r>
                    <w:rPr>
                      <w:szCs w:val="21"/>
                    </w:rPr>
                    <w:t>6</w:t>
                  </w:r>
                </w:p>
              </w:tc>
              <w:tc>
                <w:tcPr>
                  <w:tcW w:w="799" w:type="dxa"/>
                  <w:shd w:val="clear" w:color="auto" w:fill="auto"/>
                  <w:vAlign w:val="center"/>
                </w:tcPr>
                <w:p>
                  <w:pPr>
                    <w:jc w:val="center"/>
                    <w:rPr>
                      <w:szCs w:val="21"/>
                    </w:rPr>
                  </w:pPr>
                  <w:r>
                    <w:rPr>
                      <w:rFonts w:hint="eastAsia"/>
                      <w:szCs w:val="21"/>
                    </w:rPr>
                    <w:t>38</w:t>
                  </w:r>
                  <w:r>
                    <w:rPr>
                      <w:szCs w:val="21"/>
                    </w:rPr>
                    <w:t>.5</w:t>
                  </w:r>
                  <w:r>
                    <w:rPr>
                      <w:rFonts w:hint="eastAsia"/>
                      <w:szCs w:val="21"/>
                    </w:rPr>
                    <w:t>1</w:t>
                  </w:r>
                </w:p>
              </w:tc>
              <w:tc>
                <w:tcPr>
                  <w:tcW w:w="1066" w:type="dxa"/>
                  <w:shd w:val="clear" w:color="auto" w:fill="auto"/>
                  <w:vAlign w:val="center"/>
                </w:tcPr>
                <w:p>
                  <w:pPr>
                    <w:jc w:val="center"/>
                    <w:rPr>
                      <w:szCs w:val="21"/>
                    </w:rPr>
                  </w:pPr>
                  <w:r>
                    <w:rPr>
                      <w:rFonts w:hint="eastAsia"/>
                      <w:szCs w:val="21"/>
                    </w:rPr>
                    <w:t>9</w:t>
                  </w:r>
                  <w:r>
                    <w:rPr>
                      <w:szCs w:val="21"/>
                    </w:rPr>
                    <w:t>.</w:t>
                  </w:r>
                  <w:r>
                    <w:rPr>
                      <w:rFonts w:hint="eastAsia"/>
                      <w:szCs w:val="21"/>
                    </w:rPr>
                    <w:t>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5" w:hRule="atLeast"/>
                <w:jc w:val="center"/>
              </w:trPr>
              <w:tc>
                <w:tcPr>
                  <w:tcW w:w="1312" w:type="dxa"/>
                  <w:shd w:val="clear" w:color="auto" w:fill="auto"/>
                  <w:vAlign w:val="center"/>
                </w:tcPr>
                <w:p>
                  <w:pPr>
                    <w:jc w:val="center"/>
                    <w:rPr>
                      <w:szCs w:val="21"/>
                    </w:rPr>
                  </w:pPr>
                  <w:r>
                    <w:rPr>
                      <w:rFonts w:hint="eastAsia"/>
                      <w:szCs w:val="21"/>
                    </w:rPr>
                    <w:t>赤甲红蟹</w:t>
                  </w:r>
                </w:p>
              </w:tc>
              <w:tc>
                <w:tcPr>
                  <w:tcW w:w="850" w:type="dxa"/>
                  <w:shd w:val="clear" w:color="auto" w:fill="auto"/>
                  <w:vAlign w:val="center"/>
                </w:tcPr>
                <w:p>
                  <w:pPr>
                    <w:jc w:val="center"/>
                    <w:rPr>
                      <w:szCs w:val="21"/>
                    </w:rPr>
                  </w:pPr>
                  <w:r>
                    <w:rPr>
                      <w:szCs w:val="21"/>
                    </w:rPr>
                    <w:t>0.0</w:t>
                  </w:r>
                  <w:r>
                    <w:rPr>
                      <w:rFonts w:hint="eastAsia"/>
                      <w:szCs w:val="21"/>
                    </w:rPr>
                    <w:t>21</w:t>
                  </w:r>
                </w:p>
              </w:tc>
              <w:tc>
                <w:tcPr>
                  <w:tcW w:w="708" w:type="dxa"/>
                  <w:shd w:val="clear" w:color="auto" w:fill="auto"/>
                  <w:vAlign w:val="center"/>
                </w:tcPr>
                <w:p>
                  <w:pPr>
                    <w:jc w:val="center"/>
                    <w:rPr>
                      <w:szCs w:val="21"/>
                    </w:rPr>
                  </w:pPr>
                  <w:r>
                    <w:rPr>
                      <w:szCs w:val="21"/>
                    </w:rPr>
                    <w:t>0.</w:t>
                  </w:r>
                  <w:r>
                    <w:rPr>
                      <w:rFonts w:hint="eastAsia"/>
                      <w:szCs w:val="21"/>
                    </w:rPr>
                    <w:t>39</w:t>
                  </w:r>
                </w:p>
              </w:tc>
              <w:tc>
                <w:tcPr>
                  <w:tcW w:w="708" w:type="dxa"/>
                  <w:shd w:val="clear" w:color="auto" w:fill="auto"/>
                  <w:vAlign w:val="center"/>
                </w:tcPr>
                <w:p>
                  <w:pPr>
                    <w:jc w:val="center"/>
                    <w:rPr>
                      <w:szCs w:val="21"/>
                    </w:rPr>
                  </w:pPr>
                  <w:r>
                    <w:rPr>
                      <w:szCs w:val="21"/>
                    </w:rPr>
                    <w:t>0.</w:t>
                  </w:r>
                  <w:r>
                    <w:rPr>
                      <w:rFonts w:hint="eastAsia"/>
                      <w:szCs w:val="21"/>
                    </w:rPr>
                    <w:t>29</w:t>
                  </w:r>
                </w:p>
              </w:tc>
              <w:tc>
                <w:tcPr>
                  <w:tcW w:w="709" w:type="dxa"/>
                  <w:shd w:val="clear" w:color="auto" w:fill="auto"/>
                  <w:vAlign w:val="center"/>
                </w:tcPr>
                <w:p>
                  <w:pPr>
                    <w:jc w:val="center"/>
                    <w:rPr>
                      <w:szCs w:val="21"/>
                    </w:rPr>
                  </w:pPr>
                  <w:r>
                    <w:rPr>
                      <w:rFonts w:hint="eastAsia"/>
                      <w:szCs w:val="21"/>
                    </w:rPr>
                    <w:t>7</w:t>
                  </w:r>
                  <w:r>
                    <w:rPr>
                      <w:szCs w:val="21"/>
                    </w:rPr>
                    <w:t>.</w:t>
                  </w:r>
                  <w:r>
                    <w:rPr>
                      <w:rFonts w:hint="eastAsia"/>
                      <w:szCs w:val="21"/>
                    </w:rPr>
                    <w:t>8</w:t>
                  </w:r>
                  <w:r>
                    <w:rPr>
                      <w:szCs w:val="21"/>
                    </w:rPr>
                    <w:t>9</w:t>
                  </w:r>
                </w:p>
              </w:tc>
              <w:tc>
                <w:tcPr>
                  <w:tcW w:w="889" w:type="dxa"/>
                  <w:shd w:val="clear" w:color="auto" w:fill="auto"/>
                  <w:vAlign w:val="center"/>
                </w:tcPr>
                <w:p>
                  <w:pPr>
                    <w:jc w:val="center"/>
                    <w:rPr>
                      <w:szCs w:val="21"/>
                    </w:rPr>
                  </w:pPr>
                  <w:r>
                    <w:rPr>
                      <w:rFonts w:hint="eastAsia"/>
                      <w:szCs w:val="21"/>
                    </w:rPr>
                    <w:t>1</w:t>
                  </w:r>
                  <w:r>
                    <w:rPr>
                      <w:szCs w:val="21"/>
                    </w:rPr>
                    <w:t>.</w:t>
                  </w:r>
                  <w:r>
                    <w:rPr>
                      <w:rFonts w:hint="eastAsia"/>
                      <w:szCs w:val="21"/>
                    </w:rPr>
                    <w:t>79</w:t>
                  </w:r>
                </w:p>
              </w:tc>
              <w:tc>
                <w:tcPr>
                  <w:tcW w:w="719" w:type="dxa"/>
                  <w:shd w:val="clear" w:color="auto" w:fill="auto"/>
                  <w:vAlign w:val="center"/>
                </w:tcPr>
                <w:p>
                  <w:pPr>
                    <w:jc w:val="center"/>
                    <w:rPr>
                      <w:szCs w:val="21"/>
                    </w:rPr>
                  </w:pPr>
                  <w:r>
                    <w:rPr>
                      <w:szCs w:val="21"/>
                    </w:rPr>
                    <w:t>0.8</w:t>
                  </w:r>
                  <w:r>
                    <w:rPr>
                      <w:rFonts w:hint="eastAsia"/>
                      <w:szCs w:val="21"/>
                    </w:rPr>
                    <w:t>4</w:t>
                  </w:r>
                </w:p>
              </w:tc>
              <w:tc>
                <w:tcPr>
                  <w:tcW w:w="799" w:type="dxa"/>
                  <w:shd w:val="clear" w:color="auto" w:fill="auto"/>
                  <w:vAlign w:val="center"/>
                </w:tcPr>
                <w:p>
                  <w:pPr>
                    <w:jc w:val="center"/>
                    <w:rPr>
                      <w:szCs w:val="21"/>
                    </w:rPr>
                  </w:pPr>
                  <w:r>
                    <w:rPr>
                      <w:rFonts w:hint="eastAsia"/>
                      <w:szCs w:val="21"/>
                    </w:rPr>
                    <w:t>25</w:t>
                  </w:r>
                  <w:r>
                    <w:rPr>
                      <w:szCs w:val="21"/>
                    </w:rPr>
                    <w:t>.4</w:t>
                  </w:r>
                  <w:r>
                    <w:rPr>
                      <w:rFonts w:hint="eastAsia"/>
                      <w:szCs w:val="21"/>
                    </w:rPr>
                    <w:t>2</w:t>
                  </w:r>
                </w:p>
              </w:tc>
              <w:tc>
                <w:tcPr>
                  <w:tcW w:w="1066" w:type="dxa"/>
                  <w:shd w:val="clear" w:color="auto" w:fill="auto"/>
                  <w:vAlign w:val="center"/>
                </w:tcPr>
                <w:p>
                  <w:pPr>
                    <w:jc w:val="center"/>
                    <w:rPr>
                      <w:szCs w:val="21"/>
                    </w:rPr>
                  </w:pPr>
                  <w:r>
                    <w:rPr>
                      <w:rFonts w:hint="eastAsia"/>
                      <w:szCs w:val="21"/>
                    </w:rPr>
                    <w:t>10</w:t>
                  </w:r>
                  <w:r>
                    <w:rPr>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5" w:hRule="atLeast"/>
                <w:jc w:val="center"/>
              </w:trPr>
              <w:tc>
                <w:tcPr>
                  <w:tcW w:w="1312" w:type="dxa"/>
                  <w:shd w:val="clear" w:color="auto" w:fill="auto"/>
                  <w:vAlign w:val="center"/>
                </w:tcPr>
                <w:p>
                  <w:pPr>
                    <w:jc w:val="center"/>
                    <w:rPr>
                      <w:szCs w:val="21"/>
                    </w:rPr>
                  </w:pPr>
                  <w:r>
                    <w:rPr>
                      <w:rFonts w:hint="eastAsia"/>
                      <w:szCs w:val="21"/>
                    </w:rPr>
                    <w:t>鹰爪虾</w:t>
                  </w:r>
                </w:p>
              </w:tc>
              <w:tc>
                <w:tcPr>
                  <w:tcW w:w="850" w:type="dxa"/>
                  <w:shd w:val="clear" w:color="auto" w:fill="auto"/>
                  <w:vAlign w:val="center"/>
                </w:tcPr>
                <w:p>
                  <w:pPr>
                    <w:jc w:val="center"/>
                    <w:rPr>
                      <w:szCs w:val="21"/>
                    </w:rPr>
                  </w:pPr>
                  <w:r>
                    <w:rPr>
                      <w:rFonts w:hint="eastAsia"/>
                      <w:szCs w:val="21"/>
                    </w:rPr>
                    <w:t>0.032</w:t>
                  </w:r>
                </w:p>
              </w:tc>
              <w:tc>
                <w:tcPr>
                  <w:tcW w:w="708" w:type="dxa"/>
                  <w:shd w:val="clear" w:color="auto" w:fill="auto"/>
                  <w:vAlign w:val="center"/>
                </w:tcPr>
                <w:p>
                  <w:pPr>
                    <w:jc w:val="center"/>
                    <w:rPr>
                      <w:szCs w:val="21"/>
                    </w:rPr>
                  </w:pPr>
                  <w:r>
                    <w:rPr>
                      <w:rFonts w:hint="eastAsia"/>
                      <w:szCs w:val="21"/>
                    </w:rPr>
                    <w:t>0.51</w:t>
                  </w:r>
                </w:p>
              </w:tc>
              <w:tc>
                <w:tcPr>
                  <w:tcW w:w="708" w:type="dxa"/>
                  <w:shd w:val="clear" w:color="auto" w:fill="auto"/>
                  <w:vAlign w:val="center"/>
                </w:tcPr>
                <w:p>
                  <w:pPr>
                    <w:jc w:val="center"/>
                    <w:rPr>
                      <w:szCs w:val="21"/>
                    </w:rPr>
                  </w:pPr>
                  <w:r>
                    <w:rPr>
                      <w:rFonts w:hint="eastAsia"/>
                      <w:szCs w:val="21"/>
                    </w:rPr>
                    <w:t>0.41</w:t>
                  </w:r>
                </w:p>
              </w:tc>
              <w:tc>
                <w:tcPr>
                  <w:tcW w:w="709" w:type="dxa"/>
                  <w:shd w:val="clear" w:color="auto" w:fill="auto"/>
                  <w:vAlign w:val="center"/>
                </w:tcPr>
                <w:p>
                  <w:pPr>
                    <w:jc w:val="center"/>
                    <w:rPr>
                      <w:szCs w:val="21"/>
                    </w:rPr>
                  </w:pPr>
                  <w:r>
                    <w:rPr>
                      <w:rFonts w:hint="eastAsia"/>
                      <w:szCs w:val="21"/>
                    </w:rPr>
                    <w:t>13.5</w:t>
                  </w:r>
                </w:p>
              </w:tc>
              <w:tc>
                <w:tcPr>
                  <w:tcW w:w="889" w:type="dxa"/>
                  <w:shd w:val="clear" w:color="auto" w:fill="auto"/>
                  <w:vAlign w:val="center"/>
                </w:tcPr>
                <w:p>
                  <w:pPr>
                    <w:jc w:val="center"/>
                    <w:rPr>
                      <w:szCs w:val="21"/>
                    </w:rPr>
                  </w:pPr>
                  <w:r>
                    <w:rPr>
                      <w:rFonts w:hint="eastAsia"/>
                      <w:szCs w:val="21"/>
                    </w:rPr>
                    <w:t>3.64</w:t>
                  </w:r>
                </w:p>
              </w:tc>
              <w:tc>
                <w:tcPr>
                  <w:tcW w:w="719" w:type="dxa"/>
                  <w:shd w:val="clear" w:color="auto" w:fill="auto"/>
                  <w:vAlign w:val="center"/>
                </w:tcPr>
                <w:p>
                  <w:pPr>
                    <w:jc w:val="center"/>
                    <w:rPr>
                      <w:szCs w:val="21"/>
                    </w:rPr>
                  </w:pPr>
                  <w:r>
                    <w:rPr>
                      <w:rFonts w:hint="eastAsia"/>
                      <w:szCs w:val="21"/>
                    </w:rPr>
                    <w:t>0.79</w:t>
                  </w:r>
                </w:p>
              </w:tc>
              <w:tc>
                <w:tcPr>
                  <w:tcW w:w="799" w:type="dxa"/>
                  <w:shd w:val="clear" w:color="auto" w:fill="auto"/>
                  <w:vAlign w:val="center"/>
                </w:tcPr>
                <w:p>
                  <w:pPr>
                    <w:jc w:val="center"/>
                    <w:rPr>
                      <w:szCs w:val="21"/>
                    </w:rPr>
                  </w:pPr>
                  <w:r>
                    <w:rPr>
                      <w:rFonts w:hint="eastAsia"/>
                      <w:szCs w:val="21"/>
                    </w:rPr>
                    <w:t>41.85</w:t>
                  </w:r>
                </w:p>
              </w:tc>
              <w:tc>
                <w:tcPr>
                  <w:tcW w:w="1066" w:type="dxa"/>
                  <w:shd w:val="clear" w:color="auto" w:fill="auto"/>
                  <w:vAlign w:val="center"/>
                </w:tcPr>
                <w:p>
                  <w:pPr>
                    <w:jc w:val="center"/>
                    <w:rPr>
                      <w:szCs w:val="21"/>
                    </w:rPr>
                  </w:pPr>
                  <w:r>
                    <w:rPr>
                      <w:rFonts w:hint="eastAsia"/>
                      <w:szCs w:val="21"/>
                    </w:rPr>
                    <w:t>11.7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5" w:hRule="atLeast"/>
                <w:jc w:val="center"/>
              </w:trPr>
              <w:tc>
                <w:tcPr>
                  <w:tcW w:w="1312" w:type="dxa"/>
                  <w:shd w:val="clear" w:color="auto" w:fill="auto"/>
                  <w:vAlign w:val="center"/>
                </w:tcPr>
                <w:p>
                  <w:pPr>
                    <w:jc w:val="center"/>
                    <w:rPr>
                      <w:szCs w:val="21"/>
                    </w:rPr>
                  </w:pPr>
                  <w:r>
                    <w:rPr>
                      <w:rFonts w:hint="eastAsia"/>
                      <w:szCs w:val="21"/>
                    </w:rPr>
                    <w:t>红里扇贝</w:t>
                  </w:r>
                </w:p>
              </w:tc>
              <w:tc>
                <w:tcPr>
                  <w:tcW w:w="850" w:type="dxa"/>
                  <w:shd w:val="clear" w:color="auto" w:fill="auto"/>
                  <w:vAlign w:val="center"/>
                </w:tcPr>
                <w:p>
                  <w:pPr>
                    <w:jc w:val="center"/>
                    <w:rPr>
                      <w:szCs w:val="21"/>
                    </w:rPr>
                  </w:pPr>
                  <w:r>
                    <w:rPr>
                      <w:rFonts w:hint="eastAsia"/>
                      <w:szCs w:val="21"/>
                    </w:rPr>
                    <w:t>0.011</w:t>
                  </w:r>
                </w:p>
              </w:tc>
              <w:tc>
                <w:tcPr>
                  <w:tcW w:w="708" w:type="dxa"/>
                  <w:shd w:val="clear" w:color="auto" w:fill="auto"/>
                  <w:vAlign w:val="center"/>
                </w:tcPr>
                <w:p>
                  <w:pPr>
                    <w:jc w:val="center"/>
                    <w:rPr>
                      <w:szCs w:val="21"/>
                    </w:rPr>
                  </w:pPr>
                  <w:r>
                    <w:rPr>
                      <w:rFonts w:hint="eastAsia"/>
                      <w:szCs w:val="21"/>
                    </w:rPr>
                    <w:t>0.13</w:t>
                  </w:r>
                </w:p>
              </w:tc>
              <w:tc>
                <w:tcPr>
                  <w:tcW w:w="708" w:type="dxa"/>
                  <w:shd w:val="clear" w:color="auto" w:fill="auto"/>
                  <w:vAlign w:val="center"/>
                </w:tcPr>
                <w:p>
                  <w:pPr>
                    <w:jc w:val="center"/>
                    <w:rPr>
                      <w:szCs w:val="21"/>
                    </w:rPr>
                  </w:pPr>
                  <w:r>
                    <w:rPr>
                      <w:rFonts w:hint="eastAsia"/>
                      <w:szCs w:val="21"/>
                    </w:rPr>
                    <w:t>0.08</w:t>
                  </w:r>
                </w:p>
              </w:tc>
              <w:tc>
                <w:tcPr>
                  <w:tcW w:w="709" w:type="dxa"/>
                  <w:shd w:val="clear" w:color="auto" w:fill="auto"/>
                  <w:vAlign w:val="center"/>
                </w:tcPr>
                <w:p>
                  <w:pPr>
                    <w:jc w:val="center"/>
                    <w:rPr>
                      <w:szCs w:val="21"/>
                    </w:rPr>
                  </w:pPr>
                  <w:r>
                    <w:rPr>
                      <w:rFonts w:hint="eastAsia"/>
                      <w:szCs w:val="21"/>
                    </w:rPr>
                    <w:t>3.65</w:t>
                  </w:r>
                </w:p>
              </w:tc>
              <w:tc>
                <w:tcPr>
                  <w:tcW w:w="889" w:type="dxa"/>
                  <w:shd w:val="clear" w:color="auto" w:fill="auto"/>
                  <w:vAlign w:val="center"/>
                </w:tcPr>
                <w:p>
                  <w:pPr>
                    <w:jc w:val="center"/>
                    <w:rPr>
                      <w:szCs w:val="21"/>
                    </w:rPr>
                  </w:pPr>
                  <w:r>
                    <w:rPr>
                      <w:rFonts w:hint="eastAsia"/>
                      <w:szCs w:val="21"/>
                    </w:rPr>
                    <w:t>0.82</w:t>
                  </w:r>
                </w:p>
              </w:tc>
              <w:tc>
                <w:tcPr>
                  <w:tcW w:w="719" w:type="dxa"/>
                  <w:shd w:val="clear" w:color="auto" w:fill="auto"/>
                  <w:vAlign w:val="center"/>
                </w:tcPr>
                <w:p>
                  <w:pPr>
                    <w:jc w:val="center"/>
                    <w:rPr>
                      <w:szCs w:val="21"/>
                    </w:rPr>
                  </w:pPr>
                  <w:r>
                    <w:rPr>
                      <w:rFonts w:hint="eastAsia"/>
                      <w:szCs w:val="21"/>
                    </w:rPr>
                    <w:t>0.21</w:t>
                  </w:r>
                </w:p>
              </w:tc>
              <w:tc>
                <w:tcPr>
                  <w:tcW w:w="799" w:type="dxa"/>
                  <w:shd w:val="clear" w:color="auto" w:fill="auto"/>
                  <w:vAlign w:val="center"/>
                </w:tcPr>
                <w:p>
                  <w:pPr>
                    <w:jc w:val="center"/>
                    <w:rPr>
                      <w:szCs w:val="21"/>
                    </w:rPr>
                  </w:pPr>
                  <w:r>
                    <w:rPr>
                      <w:rFonts w:hint="eastAsia"/>
                      <w:szCs w:val="21"/>
                    </w:rPr>
                    <w:t>10.62</w:t>
                  </w:r>
                </w:p>
              </w:tc>
              <w:tc>
                <w:tcPr>
                  <w:tcW w:w="1066" w:type="dxa"/>
                  <w:shd w:val="clear" w:color="auto" w:fill="auto"/>
                  <w:vAlign w:val="center"/>
                </w:tcPr>
                <w:p>
                  <w:pPr>
                    <w:jc w:val="center"/>
                    <w:rPr>
                      <w:szCs w:val="21"/>
                    </w:rPr>
                  </w:pPr>
                  <w:r>
                    <w:rPr>
                      <w:rFonts w:hint="eastAsia"/>
                      <w:szCs w:val="21"/>
                    </w:rPr>
                    <w:t>7.63</w:t>
                  </w:r>
                </w:p>
              </w:tc>
            </w:tr>
          </w:tbl>
          <w:p>
            <w:pPr>
              <w:pStyle w:val="279"/>
              <w:snapToGrid w:val="0"/>
              <w:ind w:firstLine="480"/>
            </w:pPr>
            <w:r>
              <w:t>表</w:t>
            </w:r>
            <w:r>
              <w:rPr>
                <w:rFonts w:hint="eastAsia"/>
              </w:rPr>
              <w:t>4.1</w:t>
            </w:r>
            <w:r>
              <w:t>.3-5 调查海域海洋生物体重金属及石油烃质量评价指数</w:t>
            </w:r>
          </w:p>
          <w:tbl>
            <w:tblPr>
              <w:tblStyle w:val="88"/>
              <w:tblW w:w="7121"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564"/>
              <w:gridCol w:w="686"/>
              <w:gridCol w:w="600"/>
              <w:gridCol w:w="600"/>
              <w:gridCol w:w="600"/>
              <w:gridCol w:w="699"/>
              <w:gridCol w:w="659"/>
              <w:gridCol w:w="733"/>
              <w:gridCol w:w="9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564" w:type="dxa"/>
                  <w:shd w:val="clear" w:color="auto" w:fill="auto"/>
                  <w:vAlign w:val="center"/>
                </w:tcPr>
                <w:p>
                  <w:pPr>
                    <w:widowControl/>
                    <w:jc w:val="center"/>
                    <w:rPr>
                      <w:b/>
                      <w:szCs w:val="21"/>
                    </w:rPr>
                  </w:pPr>
                  <w:r>
                    <w:rPr>
                      <w:rFonts w:hint="eastAsia"/>
                      <w:b/>
                      <w:szCs w:val="21"/>
                    </w:rPr>
                    <w:t>生物名称</w:t>
                  </w:r>
                </w:p>
              </w:tc>
              <w:tc>
                <w:tcPr>
                  <w:tcW w:w="686" w:type="dxa"/>
                  <w:shd w:val="clear" w:color="auto" w:fill="auto"/>
                  <w:vAlign w:val="center"/>
                </w:tcPr>
                <w:p>
                  <w:pPr>
                    <w:widowControl/>
                    <w:jc w:val="center"/>
                    <w:rPr>
                      <w:b/>
                      <w:szCs w:val="21"/>
                    </w:rPr>
                  </w:pPr>
                  <w:r>
                    <w:rPr>
                      <w:b/>
                      <w:szCs w:val="21"/>
                    </w:rPr>
                    <w:t>总汞</w:t>
                  </w:r>
                </w:p>
              </w:tc>
              <w:tc>
                <w:tcPr>
                  <w:tcW w:w="600" w:type="dxa"/>
                  <w:shd w:val="clear" w:color="auto" w:fill="auto"/>
                  <w:vAlign w:val="center"/>
                </w:tcPr>
                <w:p>
                  <w:pPr>
                    <w:jc w:val="center"/>
                    <w:rPr>
                      <w:b/>
                      <w:szCs w:val="21"/>
                    </w:rPr>
                  </w:pPr>
                  <w:r>
                    <w:rPr>
                      <w:b/>
                      <w:szCs w:val="21"/>
                    </w:rPr>
                    <w:t>镉</w:t>
                  </w:r>
                </w:p>
              </w:tc>
              <w:tc>
                <w:tcPr>
                  <w:tcW w:w="600" w:type="dxa"/>
                  <w:shd w:val="clear" w:color="auto" w:fill="auto"/>
                  <w:vAlign w:val="center"/>
                </w:tcPr>
                <w:p>
                  <w:pPr>
                    <w:jc w:val="center"/>
                    <w:rPr>
                      <w:b/>
                      <w:szCs w:val="21"/>
                    </w:rPr>
                  </w:pPr>
                  <w:r>
                    <w:rPr>
                      <w:b/>
                      <w:szCs w:val="21"/>
                    </w:rPr>
                    <w:t>铅</w:t>
                  </w:r>
                </w:p>
              </w:tc>
              <w:tc>
                <w:tcPr>
                  <w:tcW w:w="600" w:type="dxa"/>
                  <w:shd w:val="clear" w:color="auto" w:fill="auto"/>
                  <w:vAlign w:val="center"/>
                </w:tcPr>
                <w:p>
                  <w:pPr>
                    <w:jc w:val="center"/>
                    <w:rPr>
                      <w:b/>
                      <w:szCs w:val="21"/>
                    </w:rPr>
                  </w:pPr>
                  <w:r>
                    <w:rPr>
                      <w:b/>
                      <w:szCs w:val="21"/>
                    </w:rPr>
                    <w:t>铜</w:t>
                  </w:r>
                </w:p>
              </w:tc>
              <w:tc>
                <w:tcPr>
                  <w:tcW w:w="699" w:type="dxa"/>
                  <w:shd w:val="clear" w:color="auto" w:fill="auto"/>
                  <w:vAlign w:val="center"/>
                </w:tcPr>
                <w:p>
                  <w:pPr>
                    <w:jc w:val="center"/>
                    <w:rPr>
                      <w:b/>
                      <w:szCs w:val="21"/>
                    </w:rPr>
                  </w:pPr>
                  <w:r>
                    <w:rPr>
                      <w:b/>
                      <w:szCs w:val="21"/>
                    </w:rPr>
                    <w:t>砷</w:t>
                  </w:r>
                </w:p>
              </w:tc>
              <w:tc>
                <w:tcPr>
                  <w:tcW w:w="659" w:type="dxa"/>
                  <w:shd w:val="clear" w:color="auto" w:fill="auto"/>
                  <w:vAlign w:val="center"/>
                </w:tcPr>
                <w:p>
                  <w:pPr>
                    <w:jc w:val="center"/>
                    <w:rPr>
                      <w:b/>
                      <w:szCs w:val="21"/>
                    </w:rPr>
                  </w:pPr>
                  <w:r>
                    <w:rPr>
                      <w:b/>
                      <w:szCs w:val="21"/>
                    </w:rPr>
                    <w:t>铬</w:t>
                  </w:r>
                </w:p>
              </w:tc>
              <w:tc>
                <w:tcPr>
                  <w:tcW w:w="733" w:type="dxa"/>
                  <w:shd w:val="clear" w:color="auto" w:fill="auto"/>
                  <w:vAlign w:val="center"/>
                </w:tcPr>
                <w:p>
                  <w:pPr>
                    <w:jc w:val="center"/>
                    <w:rPr>
                      <w:b/>
                      <w:szCs w:val="21"/>
                    </w:rPr>
                  </w:pPr>
                  <w:r>
                    <w:rPr>
                      <w:b/>
                      <w:szCs w:val="21"/>
                    </w:rPr>
                    <w:t>锌</w:t>
                  </w:r>
                </w:p>
              </w:tc>
              <w:tc>
                <w:tcPr>
                  <w:tcW w:w="980" w:type="dxa"/>
                  <w:shd w:val="clear" w:color="auto" w:fill="auto"/>
                  <w:vAlign w:val="center"/>
                </w:tcPr>
                <w:p>
                  <w:pPr>
                    <w:jc w:val="center"/>
                    <w:rPr>
                      <w:b/>
                      <w:szCs w:val="21"/>
                    </w:rPr>
                  </w:pPr>
                  <w:r>
                    <w:rPr>
                      <w:b/>
                      <w:szCs w:val="21"/>
                    </w:rPr>
                    <w:t>石油烃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564" w:type="dxa"/>
                  <w:shd w:val="clear" w:color="auto" w:fill="auto"/>
                  <w:vAlign w:val="center"/>
                </w:tcPr>
                <w:p>
                  <w:pPr>
                    <w:jc w:val="center"/>
                    <w:rPr>
                      <w:szCs w:val="21"/>
                    </w:rPr>
                  </w:pPr>
                  <w:r>
                    <w:rPr>
                      <w:rFonts w:hint="eastAsia"/>
                      <w:szCs w:val="21"/>
                    </w:rPr>
                    <w:t>小黄花鱼</w:t>
                  </w:r>
                </w:p>
              </w:tc>
              <w:tc>
                <w:tcPr>
                  <w:tcW w:w="686" w:type="dxa"/>
                  <w:shd w:val="clear" w:color="auto" w:fill="auto"/>
                  <w:vAlign w:val="center"/>
                </w:tcPr>
                <w:p>
                  <w:pPr>
                    <w:jc w:val="center"/>
                    <w:rPr>
                      <w:szCs w:val="21"/>
                    </w:rPr>
                  </w:pPr>
                  <w:r>
                    <w:rPr>
                      <w:rFonts w:eastAsia="等线"/>
                      <w:szCs w:val="21"/>
                    </w:rPr>
                    <w:t>0.06</w:t>
                  </w:r>
                </w:p>
              </w:tc>
              <w:tc>
                <w:tcPr>
                  <w:tcW w:w="600" w:type="dxa"/>
                  <w:shd w:val="clear" w:color="auto" w:fill="auto"/>
                  <w:vAlign w:val="center"/>
                </w:tcPr>
                <w:p>
                  <w:pPr>
                    <w:jc w:val="center"/>
                    <w:rPr>
                      <w:szCs w:val="21"/>
                    </w:rPr>
                  </w:pPr>
                  <w:r>
                    <w:rPr>
                      <w:rFonts w:eastAsia="等线"/>
                      <w:szCs w:val="21"/>
                    </w:rPr>
                    <w:t>0.30</w:t>
                  </w:r>
                </w:p>
              </w:tc>
              <w:tc>
                <w:tcPr>
                  <w:tcW w:w="600" w:type="dxa"/>
                  <w:shd w:val="clear" w:color="auto" w:fill="auto"/>
                  <w:vAlign w:val="center"/>
                </w:tcPr>
                <w:p>
                  <w:pPr>
                    <w:jc w:val="center"/>
                    <w:rPr>
                      <w:szCs w:val="21"/>
                    </w:rPr>
                  </w:pPr>
                  <w:r>
                    <w:rPr>
                      <w:rFonts w:eastAsia="等线"/>
                      <w:szCs w:val="21"/>
                    </w:rPr>
                    <w:t>0.08</w:t>
                  </w:r>
                </w:p>
              </w:tc>
              <w:tc>
                <w:tcPr>
                  <w:tcW w:w="600" w:type="dxa"/>
                  <w:shd w:val="clear" w:color="auto" w:fill="auto"/>
                  <w:vAlign w:val="center"/>
                </w:tcPr>
                <w:p>
                  <w:pPr>
                    <w:jc w:val="center"/>
                    <w:rPr>
                      <w:szCs w:val="21"/>
                    </w:rPr>
                  </w:pPr>
                  <w:r>
                    <w:rPr>
                      <w:rFonts w:eastAsia="等线"/>
                      <w:szCs w:val="21"/>
                    </w:rPr>
                    <w:t>0.12</w:t>
                  </w:r>
                </w:p>
              </w:tc>
              <w:tc>
                <w:tcPr>
                  <w:tcW w:w="699" w:type="dxa"/>
                  <w:shd w:val="clear" w:color="auto" w:fill="auto"/>
                  <w:vAlign w:val="center"/>
                </w:tcPr>
                <w:p>
                  <w:pPr>
                    <w:jc w:val="center"/>
                    <w:rPr>
                      <w:szCs w:val="21"/>
                    </w:rPr>
                  </w:pPr>
                  <w:r>
                    <w:rPr>
                      <w:rFonts w:eastAsia="等线"/>
                      <w:szCs w:val="21"/>
                    </w:rPr>
                    <w:t>0.18</w:t>
                  </w:r>
                </w:p>
              </w:tc>
              <w:tc>
                <w:tcPr>
                  <w:tcW w:w="659" w:type="dxa"/>
                  <w:shd w:val="clear" w:color="auto" w:fill="auto"/>
                  <w:vAlign w:val="center"/>
                </w:tcPr>
                <w:p>
                  <w:pPr>
                    <w:jc w:val="center"/>
                    <w:rPr>
                      <w:szCs w:val="21"/>
                    </w:rPr>
                  </w:pPr>
                  <w:r>
                    <w:rPr>
                      <w:rFonts w:eastAsia="等线"/>
                      <w:szCs w:val="21"/>
                    </w:rPr>
                    <w:t>0.31</w:t>
                  </w:r>
                </w:p>
              </w:tc>
              <w:tc>
                <w:tcPr>
                  <w:tcW w:w="733" w:type="dxa"/>
                  <w:shd w:val="clear" w:color="auto" w:fill="auto"/>
                  <w:vAlign w:val="center"/>
                </w:tcPr>
                <w:p>
                  <w:pPr>
                    <w:jc w:val="center"/>
                    <w:rPr>
                      <w:szCs w:val="21"/>
                    </w:rPr>
                  </w:pPr>
                  <w:r>
                    <w:rPr>
                      <w:rFonts w:eastAsia="等线"/>
                      <w:szCs w:val="21"/>
                    </w:rPr>
                    <w:t>0.29</w:t>
                  </w:r>
                </w:p>
              </w:tc>
              <w:tc>
                <w:tcPr>
                  <w:tcW w:w="980" w:type="dxa"/>
                  <w:shd w:val="clear" w:color="auto" w:fill="auto"/>
                  <w:vAlign w:val="center"/>
                </w:tcPr>
                <w:p>
                  <w:pPr>
                    <w:jc w:val="center"/>
                    <w:rPr>
                      <w:szCs w:val="21"/>
                    </w:rPr>
                  </w:pPr>
                  <w:r>
                    <w:rPr>
                      <w:rFonts w:eastAsia="等线"/>
                      <w:szCs w:val="21"/>
                    </w:rPr>
                    <w:t>0.43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564" w:type="dxa"/>
                  <w:shd w:val="clear" w:color="auto" w:fill="auto"/>
                  <w:vAlign w:val="center"/>
                </w:tcPr>
                <w:p>
                  <w:pPr>
                    <w:jc w:val="center"/>
                    <w:rPr>
                      <w:szCs w:val="21"/>
                    </w:rPr>
                  </w:pPr>
                  <w:r>
                    <w:rPr>
                      <w:rFonts w:hint="eastAsia"/>
                      <w:szCs w:val="21"/>
                    </w:rPr>
                    <w:t>黄鱼</w:t>
                  </w:r>
                </w:p>
              </w:tc>
              <w:tc>
                <w:tcPr>
                  <w:tcW w:w="686" w:type="dxa"/>
                  <w:shd w:val="clear" w:color="auto" w:fill="auto"/>
                  <w:vAlign w:val="center"/>
                </w:tcPr>
                <w:p>
                  <w:pPr>
                    <w:jc w:val="center"/>
                    <w:rPr>
                      <w:szCs w:val="21"/>
                    </w:rPr>
                  </w:pPr>
                  <w:r>
                    <w:rPr>
                      <w:rFonts w:eastAsia="等线"/>
                      <w:szCs w:val="21"/>
                    </w:rPr>
                    <w:t>0.05</w:t>
                  </w:r>
                </w:p>
              </w:tc>
              <w:tc>
                <w:tcPr>
                  <w:tcW w:w="600" w:type="dxa"/>
                  <w:shd w:val="clear" w:color="auto" w:fill="auto"/>
                  <w:vAlign w:val="center"/>
                </w:tcPr>
                <w:p>
                  <w:pPr>
                    <w:jc w:val="center"/>
                    <w:rPr>
                      <w:szCs w:val="21"/>
                    </w:rPr>
                  </w:pPr>
                  <w:r>
                    <w:rPr>
                      <w:rFonts w:eastAsia="等线"/>
                      <w:szCs w:val="21"/>
                    </w:rPr>
                    <w:t>0.18</w:t>
                  </w:r>
                </w:p>
              </w:tc>
              <w:tc>
                <w:tcPr>
                  <w:tcW w:w="600" w:type="dxa"/>
                  <w:shd w:val="clear" w:color="auto" w:fill="auto"/>
                  <w:vAlign w:val="center"/>
                </w:tcPr>
                <w:p>
                  <w:pPr>
                    <w:jc w:val="center"/>
                    <w:rPr>
                      <w:szCs w:val="21"/>
                    </w:rPr>
                  </w:pPr>
                  <w:r>
                    <w:rPr>
                      <w:rFonts w:eastAsia="等线"/>
                      <w:szCs w:val="21"/>
                    </w:rPr>
                    <w:t>0.09</w:t>
                  </w:r>
                </w:p>
              </w:tc>
              <w:tc>
                <w:tcPr>
                  <w:tcW w:w="600" w:type="dxa"/>
                  <w:shd w:val="clear" w:color="auto" w:fill="auto"/>
                  <w:vAlign w:val="center"/>
                </w:tcPr>
                <w:p>
                  <w:pPr>
                    <w:jc w:val="center"/>
                    <w:rPr>
                      <w:szCs w:val="21"/>
                    </w:rPr>
                  </w:pPr>
                  <w:r>
                    <w:rPr>
                      <w:rFonts w:eastAsia="等线"/>
                      <w:szCs w:val="21"/>
                    </w:rPr>
                    <w:t>0.24</w:t>
                  </w:r>
                </w:p>
              </w:tc>
              <w:tc>
                <w:tcPr>
                  <w:tcW w:w="699" w:type="dxa"/>
                  <w:shd w:val="clear" w:color="auto" w:fill="auto"/>
                  <w:vAlign w:val="center"/>
                </w:tcPr>
                <w:p>
                  <w:pPr>
                    <w:jc w:val="center"/>
                    <w:rPr>
                      <w:szCs w:val="21"/>
                    </w:rPr>
                  </w:pPr>
                  <w:r>
                    <w:rPr>
                      <w:rFonts w:eastAsia="等线"/>
                      <w:szCs w:val="21"/>
                    </w:rPr>
                    <w:t>0.26</w:t>
                  </w:r>
                </w:p>
              </w:tc>
              <w:tc>
                <w:tcPr>
                  <w:tcW w:w="659" w:type="dxa"/>
                  <w:shd w:val="clear" w:color="auto" w:fill="auto"/>
                  <w:vAlign w:val="center"/>
                </w:tcPr>
                <w:p>
                  <w:pPr>
                    <w:jc w:val="center"/>
                    <w:rPr>
                      <w:szCs w:val="21"/>
                    </w:rPr>
                  </w:pPr>
                  <w:r>
                    <w:rPr>
                      <w:rFonts w:eastAsia="等线"/>
                      <w:szCs w:val="21"/>
                    </w:rPr>
                    <w:t>0.19</w:t>
                  </w:r>
                </w:p>
              </w:tc>
              <w:tc>
                <w:tcPr>
                  <w:tcW w:w="733" w:type="dxa"/>
                  <w:shd w:val="clear" w:color="auto" w:fill="auto"/>
                  <w:vAlign w:val="center"/>
                </w:tcPr>
                <w:p>
                  <w:pPr>
                    <w:jc w:val="center"/>
                    <w:rPr>
                      <w:szCs w:val="21"/>
                    </w:rPr>
                  </w:pPr>
                  <w:r>
                    <w:rPr>
                      <w:rFonts w:eastAsia="等线"/>
                      <w:szCs w:val="21"/>
                    </w:rPr>
                    <w:t>0.43</w:t>
                  </w:r>
                </w:p>
              </w:tc>
              <w:tc>
                <w:tcPr>
                  <w:tcW w:w="980" w:type="dxa"/>
                  <w:shd w:val="clear" w:color="auto" w:fill="auto"/>
                  <w:vAlign w:val="center"/>
                </w:tcPr>
                <w:p>
                  <w:pPr>
                    <w:jc w:val="center"/>
                    <w:rPr>
                      <w:szCs w:val="21"/>
                    </w:rPr>
                  </w:pPr>
                  <w:r>
                    <w:rPr>
                      <w:rFonts w:eastAsia="等线"/>
                      <w:szCs w:val="21"/>
                    </w:rPr>
                    <w:t>0.28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564" w:type="dxa"/>
                  <w:shd w:val="clear" w:color="auto" w:fill="auto"/>
                  <w:vAlign w:val="center"/>
                </w:tcPr>
                <w:p>
                  <w:pPr>
                    <w:jc w:val="center"/>
                    <w:rPr>
                      <w:szCs w:val="21"/>
                    </w:rPr>
                  </w:pPr>
                  <w:r>
                    <w:rPr>
                      <w:rFonts w:hint="eastAsia"/>
                      <w:szCs w:val="21"/>
                    </w:rPr>
                    <w:t>乌鳢鱼</w:t>
                  </w:r>
                </w:p>
              </w:tc>
              <w:tc>
                <w:tcPr>
                  <w:tcW w:w="686" w:type="dxa"/>
                  <w:shd w:val="clear" w:color="auto" w:fill="auto"/>
                  <w:vAlign w:val="center"/>
                </w:tcPr>
                <w:p>
                  <w:pPr>
                    <w:jc w:val="center"/>
                    <w:rPr>
                      <w:szCs w:val="21"/>
                    </w:rPr>
                  </w:pPr>
                  <w:r>
                    <w:rPr>
                      <w:rFonts w:eastAsia="等线"/>
                      <w:szCs w:val="21"/>
                    </w:rPr>
                    <w:t>0.08</w:t>
                  </w:r>
                </w:p>
              </w:tc>
              <w:tc>
                <w:tcPr>
                  <w:tcW w:w="600" w:type="dxa"/>
                  <w:shd w:val="clear" w:color="auto" w:fill="auto"/>
                  <w:vAlign w:val="center"/>
                </w:tcPr>
                <w:p>
                  <w:pPr>
                    <w:jc w:val="center"/>
                    <w:rPr>
                      <w:szCs w:val="21"/>
                    </w:rPr>
                  </w:pPr>
                  <w:r>
                    <w:rPr>
                      <w:rFonts w:eastAsia="等线"/>
                      <w:szCs w:val="21"/>
                    </w:rPr>
                    <w:t>0.48</w:t>
                  </w:r>
                </w:p>
              </w:tc>
              <w:tc>
                <w:tcPr>
                  <w:tcW w:w="600" w:type="dxa"/>
                  <w:shd w:val="clear" w:color="auto" w:fill="auto"/>
                  <w:vAlign w:val="center"/>
                </w:tcPr>
                <w:p>
                  <w:pPr>
                    <w:jc w:val="center"/>
                    <w:rPr>
                      <w:szCs w:val="21"/>
                    </w:rPr>
                  </w:pPr>
                  <w:r>
                    <w:rPr>
                      <w:rFonts w:eastAsia="等线"/>
                      <w:szCs w:val="21"/>
                    </w:rPr>
                    <w:t>0.12</w:t>
                  </w:r>
                </w:p>
              </w:tc>
              <w:tc>
                <w:tcPr>
                  <w:tcW w:w="600" w:type="dxa"/>
                  <w:shd w:val="clear" w:color="auto" w:fill="auto"/>
                  <w:vAlign w:val="center"/>
                </w:tcPr>
                <w:p>
                  <w:pPr>
                    <w:jc w:val="center"/>
                    <w:rPr>
                      <w:szCs w:val="21"/>
                    </w:rPr>
                  </w:pPr>
                  <w:r>
                    <w:rPr>
                      <w:rFonts w:eastAsia="等线"/>
                      <w:szCs w:val="21"/>
                    </w:rPr>
                    <w:t>0.18</w:t>
                  </w:r>
                </w:p>
              </w:tc>
              <w:tc>
                <w:tcPr>
                  <w:tcW w:w="699" w:type="dxa"/>
                  <w:shd w:val="clear" w:color="auto" w:fill="auto"/>
                  <w:vAlign w:val="center"/>
                </w:tcPr>
                <w:p>
                  <w:pPr>
                    <w:jc w:val="center"/>
                    <w:rPr>
                      <w:szCs w:val="21"/>
                    </w:rPr>
                  </w:pPr>
                  <w:r>
                    <w:rPr>
                      <w:rFonts w:eastAsia="等线"/>
                      <w:szCs w:val="21"/>
                    </w:rPr>
                    <w:t>0.30</w:t>
                  </w:r>
                </w:p>
              </w:tc>
              <w:tc>
                <w:tcPr>
                  <w:tcW w:w="659" w:type="dxa"/>
                  <w:shd w:val="clear" w:color="auto" w:fill="auto"/>
                  <w:vAlign w:val="center"/>
                </w:tcPr>
                <w:p>
                  <w:pPr>
                    <w:jc w:val="center"/>
                    <w:rPr>
                      <w:szCs w:val="21"/>
                    </w:rPr>
                  </w:pPr>
                  <w:r>
                    <w:rPr>
                      <w:rFonts w:eastAsia="等线"/>
                      <w:szCs w:val="21"/>
                    </w:rPr>
                    <w:t>0.24</w:t>
                  </w:r>
                </w:p>
              </w:tc>
              <w:tc>
                <w:tcPr>
                  <w:tcW w:w="733" w:type="dxa"/>
                  <w:shd w:val="clear" w:color="auto" w:fill="auto"/>
                  <w:vAlign w:val="center"/>
                </w:tcPr>
                <w:p>
                  <w:pPr>
                    <w:jc w:val="center"/>
                    <w:rPr>
                      <w:szCs w:val="21"/>
                    </w:rPr>
                  </w:pPr>
                  <w:r>
                    <w:rPr>
                      <w:rFonts w:eastAsia="等线"/>
                      <w:szCs w:val="21"/>
                    </w:rPr>
                    <w:t>0.26</w:t>
                  </w:r>
                </w:p>
              </w:tc>
              <w:tc>
                <w:tcPr>
                  <w:tcW w:w="980" w:type="dxa"/>
                  <w:shd w:val="clear" w:color="auto" w:fill="auto"/>
                  <w:vAlign w:val="center"/>
                </w:tcPr>
                <w:p>
                  <w:pPr>
                    <w:jc w:val="center"/>
                    <w:rPr>
                      <w:szCs w:val="21"/>
                    </w:rPr>
                  </w:pPr>
                  <w:r>
                    <w:rPr>
                      <w:rFonts w:eastAsia="等线"/>
                      <w:szCs w:val="21"/>
                    </w:rPr>
                    <w:t>0.38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564" w:type="dxa"/>
                  <w:shd w:val="clear" w:color="auto" w:fill="auto"/>
                  <w:vAlign w:val="center"/>
                </w:tcPr>
                <w:p>
                  <w:pPr>
                    <w:jc w:val="center"/>
                    <w:rPr>
                      <w:szCs w:val="21"/>
                    </w:rPr>
                  </w:pPr>
                  <w:r>
                    <w:rPr>
                      <w:rFonts w:hint="eastAsia"/>
                      <w:szCs w:val="21"/>
                    </w:rPr>
                    <w:t>三疣梭子蟹</w:t>
                  </w:r>
                </w:p>
              </w:tc>
              <w:tc>
                <w:tcPr>
                  <w:tcW w:w="686" w:type="dxa"/>
                  <w:shd w:val="clear" w:color="auto" w:fill="auto"/>
                  <w:vAlign w:val="center"/>
                </w:tcPr>
                <w:p>
                  <w:pPr>
                    <w:jc w:val="center"/>
                    <w:rPr>
                      <w:szCs w:val="21"/>
                    </w:rPr>
                  </w:pPr>
                  <w:r>
                    <w:rPr>
                      <w:rFonts w:eastAsia="等线"/>
                      <w:szCs w:val="21"/>
                    </w:rPr>
                    <w:t>0.10</w:t>
                  </w:r>
                </w:p>
              </w:tc>
              <w:tc>
                <w:tcPr>
                  <w:tcW w:w="600" w:type="dxa"/>
                  <w:shd w:val="clear" w:color="auto" w:fill="auto"/>
                  <w:vAlign w:val="center"/>
                </w:tcPr>
                <w:p>
                  <w:pPr>
                    <w:jc w:val="center"/>
                    <w:rPr>
                      <w:szCs w:val="21"/>
                    </w:rPr>
                  </w:pPr>
                  <w:r>
                    <w:rPr>
                      <w:rFonts w:eastAsia="等线"/>
                      <w:szCs w:val="21"/>
                    </w:rPr>
                    <w:t>0.22</w:t>
                  </w:r>
                </w:p>
              </w:tc>
              <w:tc>
                <w:tcPr>
                  <w:tcW w:w="600" w:type="dxa"/>
                  <w:shd w:val="clear" w:color="auto" w:fill="auto"/>
                  <w:vAlign w:val="center"/>
                </w:tcPr>
                <w:p>
                  <w:pPr>
                    <w:jc w:val="center"/>
                    <w:rPr>
                      <w:szCs w:val="21"/>
                    </w:rPr>
                  </w:pPr>
                  <w:r>
                    <w:rPr>
                      <w:rFonts w:eastAsia="等线"/>
                      <w:szCs w:val="21"/>
                    </w:rPr>
                    <w:t>0.18</w:t>
                  </w:r>
                </w:p>
              </w:tc>
              <w:tc>
                <w:tcPr>
                  <w:tcW w:w="600" w:type="dxa"/>
                  <w:shd w:val="clear" w:color="auto" w:fill="auto"/>
                  <w:vAlign w:val="center"/>
                </w:tcPr>
                <w:p>
                  <w:pPr>
                    <w:jc w:val="center"/>
                    <w:rPr>
                      <w:szCs w:val="21"/>
                    </w:rPr>
                  </w:pPr>
                  <w:r>
                    <w:rPr>
                      <w:rFonts w:eastAsia="等线"/>
                      <w:szCs w:val="21"/>
                    </w:rPr>
                    <w:t>0.17</w:t>
                  </w:r>
                </w:p>
              </w:tc>
              <w:tc>
                <w:tcPr>
                  <w:tcW w:w="699" w:type="dxa"/>
                  <w:shd w:val="clear" w:color="auto" w:fill="auto"/>
                  <w:vAlign w:val="center"/>
                </w:tcPr>
                <w:p>
                  <w:pPr>
                    <w:jc w:val="center"/>
                    <w:rPr>
                      <w:szCs w:val="21"/>
                    </w:rPr>
                  </w:pPr>
                  <w:r>
                    <w:rPr>
                      <w:rFonts w:eastAsia="等线"/>
                      <w:szCs w:val="21"/>
                    </w:rPr>
                    <w:t>0.31</w:t>
                  </w:r>
                </w:p>
              </w:tc>
              <w:tc>
                <w:tcPr>
                  <w:tcW w:w="659" w:type="dxa"/>
                  <w:shd w:val="clear" w:color="auto" w:fill="auto"/>
                  <w:vAlign w:val="center"/>
                </w:tcPr>
                <w:p>
                  <w:pPr>
                    <w:jc w:val="center"/>
                    <w:rPr>
                      <w:szCs w:val="21"/>
                    </w:rPr>
                  </w:pPr>
                  <w:r>
                    <w:rPr>
                      <w:rFonts w:eastAsia="等线"/>
                      <w:szCs w:val="21"/>
                    </w:rPr>
                    <w:t>0.71</w:t>
                  </w:r>
                </w:p>
              </w:tc>
              <w:tc>
                <w:tcPr>
                  <w:tcW w:w="733" w:type="dxa"/>
                  <w:shd w:val="clear" w:color="auto" w:fill="auto"/>
                  <w:vAlign w:val="center"/>
                </w:tcPr>
                <w:p>
                  <w:pPr>
                    <w:jc w:val="center"/>
                    <w:rPr>
                      <w:szCs w:val="21"/>
                    </w:rPr>
                  </w:pPr>
                  <w:r>
                    <w:rPr>
                      <w:rFonts w:eastAsia="等线"/>
                      <w:szCs w:val="21"/>
                    </w:rPr>
                    <w:t>0.26</w:t>
                  </w:r>
                </w:p>
              </w:tc>
              <w:tc>
                <w:tcPr>
                  <w:tcW w:w="980" w:type="dxa"/>
                  <w:shd w:val="clear" w:color="auto" w:fill="auto"/>
                  <w:vAlign w:val="center"/>
                </w:tcPr>
                <w:p>
                  <w:pPr>
                    <w:jc w:val="center"/>
                    <w:rPr>
                      <w:szCs w:val="21"/>
                    </w:rPr>
                  </w:pPr>
                  <w:r>
                    <w:rPr>
                      <w:rFonts w:eastAsia="等线"/>
                      <w:szCs w:val="21"/>
                    </w:rPr>
                    <w:t>0.47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564" w:type="dxa"/>
                  <w:shd w:val="clear" w:color="auto" w:fill="auto"/>
                  <w:vAlign w:val="center"/>
                </w:tcPr>
                <w:p>
                  <w:pPr>
                    <w:jc w:val="center"/>
                    <w:rPr>
                      <w:szCs w:val="21"/>
                    </w:rPr>
                  </w:pPr>
                  <w:r>
                    <w:rPr>
                      <w:rFonts w:hint="eastAsia"/>
                      <w:szCs w:val="21"/>
                    </w:rPr>
                    <w:t>赤甲红蟹</w:t>
                  </w:r>
                </w:p>
              </w:tc>
              <w:tc>
                <w:tcPr>
                  <w:tcW w:w="686" w:type="dxa"/>
                  <w:shd w:val="clear" w:color="auto" w:fill="auto"/>
                  <w:vAlign w:val="center"/>
                </w:tcPr>
                <w:p>
                  <w:pPr>
                    <w:jc w:val="center"/>
                    <w:rPr>
                      <w:szCs w:val="21"/>
                    </w:rPr>
                  </w:pPr>
                  <w:r>
                    <w:rPr>
                      <w:rFonts w:eastAsia="等线"/>
                      <w:szCs w:val="21"/>
                    </w:rPr>
                    <w:t>0.11</w:t>
                  </w:r>
                </w:p>
              </w:tc>
              <w:tc>
                <w:tcPr>
                  <w:tcW w:w="600" w:type="dxa"/>
                  <w:shd w:val="clear" w:color="auto" w:fill="auto"/>
                  <w:vAlign w:val="center"/>
                </w:tcPr>
                <w:p>
                  <w:pPr>
                    <w:jc w:val="center"/>
                    <w:rPr>
                      <w:szCs w:val="21"/>
                    </w:rPr>
                  </w:pPr>
                  <w:r>
                    <w:rPr>
                      <w:rFonts w:eastAsia="等线"/>
                      <w:szCs w:val="21"/>
                    </w:rPr>
                    <w:t>0.20</w:t>
                  </w:r>
                </w:p>
              </w:tc>
              <w:tc>
                <w:tcPr>
                  <w:tcW w:w="600" w:type="dxa"/>
                  <w:shd w:val="clear" w:color="auto" w:fill="auto"/>
                  <w:vAlign w:val="center"/>
                </w:tcPr>
                <w:p>
                  <w:pPr>
                    <w:jc w:val="center"/>
                    <w:rPr>
                      <w:szCs w:val="21"/>
                    </w:rPr>
                  </w:pPr>
                  <w:r>
                    <w:rPr>
                      <w:rFonts w:eastAsia="等线"/>
                      <w:szCs w:val="21"/>
                    </w:rPr>
                    <w:t>0.15</w:t>
                  </w:r>
                </w:p>
              </w:tc>
              <w:tc>
                <w:tcPr>
                  <w:tcW w:w="600" w:type="dxa"/>
                  <w:shd w:val="clear" w:color="auto" w:fill="auto"/>
                  <w:vAlign w:val="center"/>
                </w:tcPr>
                <w:p>
                  <w:pPr>
                    <w:jc w:val="center"/>
                    <w:rPr>
                      <w:szCs w:val="21"/>
                    </w:rPr>
                  </w:pPr>
                  <w:r>
                    <w:rPr>
                      <w:rFonts w:eastAsia="等线"/>
                      <w:szCs w:val="21"/>
                    </w:rPr>
                    <w:t>0.08</w:t>
                  </w:r>
                </w:p>
              </w:tc>
              <w:tc>
                <w:tcPr>
                  <w:tcW w:w="699" w:type="dxa"/>
                  <w:shd w:val="clear" w:color="auto" w:fill="auto"/>
                  <w:vAlign w:val="center"/>
                </w:tcPr>
                <w:p>
                  <w:pPr>
                    <w:jc w:val="center"/>
                    <w:rPr>
                      <w:szCs w:val="21"/>
                    </w:rPr>
                  </w:pPr>
                  <w:r>
                    <w:rPr>
                      <w:rFonts w:eastAsia="等线"/>
                      <w:szCs w:val="21"/>
                    </w:rPr>
                    <w:t>0.22</w:t>
                  </w:r>
                </w:p>
              </w:tc>
              <w:tc>
                <w:tcPr>
                  <w:tcW w:w="659" w:type="dxa"/>
                  <w:shd w:val="clear" w:color="auto" w:fill="auto"/>
                  <w:vAlign w:val="center"/>
                </w:tcPr>
                <w:p>
                  <w:pPr>
                    <w:jc w:val="center"/>
                    <w:rPr>
                      <w:szCs w:val="21"/>
                    </w:rPr>
                  </w:pPr>
                  <w:r>
                    <w:rPr>
                      <w:rFonts w:eastAsia="等线"/>
                      <w:szCs w:val="21"/>
                    </w:rPr>
                    <w:t>0.56</w:t>
                  </w:r>
                </w:p>
              </w:tc>
              <w:tc>
                <w:tcPr>
                  <w:tcW w:w="733" w:type="dxa"/>
                  <w:shd w:val="clear" w:color="auto" w:fill="auto"/>
                  <w:vAlign w:val="center"/>
                </w:tcPr>
                <w:p>
                  <w:pPr>
                    <w:jc w:val="center"/>
                    <w:rPr>
                      <w:szCs w:val="21"/>
                    </w:rPr>
                  </w:pPr>
                  <w:r>
                    <w:rPr>
                      <w:rFonts w:eastAsia="等线"/>
                      <w:szCs w:val="21"/>
                    </w:rPr>
                    <w:t>0.17</w:t>
                  </w:r>
                </w:p>
              </w:tc>
              <w:tc>
                <w:tcPr>
                  <w:tcW w:w="980" w:type="dxa"/>
                  <w:shd w:val="clear" w:color="auto" w:fill="auto"/>
                  <w:vAlign w:val="center"/>
                </w:tcPr>
                <w:p>
                  <w:pPr>
                    <w:jc w:val="center"/>
                    <w:rPr>
                      <w:szCs w:val="21"/>
                    </w:rPr>
                  </w:pPr>
                  <w:r>
                    <w:rPr>
                      <w:rFonts w:eastAsia="等线"/>
                      <w:szCs w:val="21"/>
                    </w:rPr>
                    <w:t>0.51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564" w:type="dxa"/>
                  <w:shd w:val="clear" w:color="auto" w:fill="auto"/>
                  <w:vAlign w:val="center"/>
                </w:tcPr>
                <w:p>
                  <w:pPr>
                    <w:jc w:val="center"/>
                    <w:rPr>
                      <w:szCs w:val="21"/>
                    </w:rPr>
                  </w:pPr>
                  <w:r>
                    <w:rPr>
                      <w:rFonts w:hint="eastAsia"/>
                      <w:szCs w:val="21"/>
                    </w:rPr>
                    <w:t>鹰爪虾</w:t>
                  </w:r>
                </w:p>
              </w:tc>
              <w:tc>
                <w:tcPr>
                  <w:tcW w:w="686" w:type="dxa"/>
                  <w:shd w:val="clear" w:color="auto" w:fill="auto"/>
                  <w:vAlign w:val="center"/>
                </w:tcPr>
                <w:p>
                  <w:pPr>
                    <w:jc w:val="center"/>
                    <w:rPr>
                      <w:szCs w:val="21"/>
                    </w:rPr>
                  </w:pPr>
                  <w:r>
                    <w:rPr>
                      <w:rFonts w:eastAsia="等线"/>
                      <w:szCs w:val="21"/>
                    </w:rPr>
                    <w:t>0.16</w:t>
                  </w:r>
                </w:p>
              </w:tc>
              <w:tc>
                <w:tcPr>
                  <w:tcW w:w="600" w:type="dxa"/>
                  <w:shd w:val="clear" w:color="auto" w:fill="auto"/>
                  <w:vAlign w:val="center"/>
                </w:tcPr>
                <w:p>
                  <w:pPr>
                    <w:jc w:val="center"/>
                    <w:rPr>
                      <w:szCs w:val="21"/>
                    </w:rPr>
                  </w:pPr>
                  <w:r>
                    <w:rPr>
                      <w:rFonts w:eastAsia="等线"/>
                      <w:szCs w:val="21"/>
                    </w:rPr>
                    <w:t>0.26</w:t>
                  </w:r>
                </w:p>
              </w:tc>
              <w:tc>
                <w:tcPr>
                  <w:tcW w:w="600" w:type="dxa"/>
                  <w:shd w:val="clear" w:color="auto" w:fill="auto"/>
                  <w:vAlign w:val="center"/>
                </w:tcPr>
                <w:p>
                  <w:pPr>
                    <w:jc w:val="center"/>
                    <w:rPr>
                      <w:szCs w:val="21"/>
                    </w:rPr>
                  </w:pPr>
                  <w:r>
                    <w:rPr>
                      <w:rFonts w:eastAsia="等线"/>
                      <w:szCs w:val="21"/>
                    </w:rPr>
                    <w:t>0.21</w:t>
                  </w:r>
                </w:p>
              </w:tc>
              <w:tc>
                <w:tcPr>
                  <w:tcW w:w="600" w:type="dxa"/>
                  <w:shd w:val="clear" w:color="auto" w:fill="auto"/>
                  <w:vAlign w:val="center"/>
                </w:tcPr>
                <w:p>
                  <w:pPr>
                    <w:jc w:val="center"/>
                    <w:rPr>
                      <w:szCs w:val="21"/>
                    </w:rPr>
                  </w:pPr>
                  <w:r>
                    <w:rPr>
                      <w:rFonts w:eastAsia="等线"/>
                      <w:szCs w:val="21"/>
                    </w:rPr>
                    <w:t>0.14</w:t>
                  </w:r>
                </w:p>
              </w:tc>
              <w:tc>
                <w:tcPr>
                  <w:tcW w:w="699" w:type="dxa"/>
                  <w:shd w:val="clear" w:color="auto" w:fill="auto"/>
                  <w:vAlign w:val="center"/>
                </w:tcPr>
                <w:p>
                  <w:pPr>
                    <w:jc w:val="center"/>
                    <w:rPr>
                      <w:szCs w:val="21"/>
                    </w:rPr>
                  </w:pPr>
                  <w:r>
                    <w:rPr>
                      <w:rFonts w:eastAsia="等线"/>
                      <w:szCs w:val="21"/>
                    </w:rPr>
                    <w:t>0.46</w:t>
                  </w:r>
                </w:p>
              </w:tc>
              <w:tc>
                <w:tcPr>
                  <w:tcW w:w="659" w:type="dxa"/>
                  <w:shd w:val="clear" w:color="auto" w:fill="auto"/>
                  <w:vAlign w:val="center"/>
                </w:tcPr>
                <w:p>
                  <w:pPr>
                    <w:jc w:val="center"/>
                    <w:rPr>
                      <w:szCs w:val="21"/>
                    </w:rPr>
                  </w:pPr>
                  <w:r>
                    <w:rPr>
                      <w:rFonts w:eastAsia="等线"/>
                      <w:szCs w:val="21"/>
                    </w:rPr>
                    <w:t>0.53</w:t>
                  </w:r>
                </w:p>
              </w:tc>
              <w:tc>
                <w:tcPr>
                  <w:tcW w:w="733" w:type="dxa"/>
                  <w:shd w:val="clear" w:color="auto" w:fill="auto"/>
                  <w:vAlign w:val="center"/>
                </w:tcPr>
                <w:p>
                  <w:pPr>
                    <w:jc w:val="center"/>
                    <w:rPr>
                      <w:szCs w:val="21"/>
                    </w:rPr>
                  </w:pPr>
                  <w:r>
                    <w:rPr>
                      <w:rFonts w:eastAsia="等线"/>
                      <w:szCs w:val="21"/>
                    </w:rPr>
                    <w:t>0.28</w:t>
                  </w:r>
                </w:p>
              </w:tc>
              <w:tc>
                <w:tcPr>
                  <w:tcW w:w="980" w:type="dxa"/>
                  <w:shd w:val="clear" w:color="auto" w:fill="auto"/>
                  <w:vAlign w:val="center"/>
                </w:tcPr>
                <w:p>
                  <w:pPr>
                    <w:jc w:val="center"/>
                    <w:rPr>
                      <w:szCs w:val="21"/>
                    </w:rPr>
                  </w:pPr>
                  <w:r>
                    <w:rPr>
                      <w:rFonts w:eastAsia="等线"/>
                      <w:szCs w:val="21"/>
                    </w:rPr>
                    <w:t>0.59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564" w:type="dxa"/>
                  <w:shd w:val="clear" w:color="auto" w:fill="auto"/>
                  <w:vAlign w:val="center"/>
                </w:tcPr>
                <w:p>
                  <w:pPr>
                    <w:jc w:val="center"/>
                    <w:rPr>
                      <w:szCs w:val="21"/>
                    </w:rPr>
                  </w:pPr>
                  <w:r>
                    <w:rPr>
                      <w:rFonts w:hint="eastAsia"/>
                      <w:szCs w:val="21"/>
                    </w:rPr>
                    <w:t>红里扇贝</w:t>
                  </w:r>
                </w:p>
              </w:tc>
              <w:tc>
                <w:tcPr>
                  <w:tcW w:w="686" w:type="dxa"/>
                  <w:shd w:val="clear" w:color="auto" w:fill="auto"/>
                  <w:vAlign w:val="center"/>
                </w:tcPr>
                <w:p>
                  <w:pPr>
                    <w:jc w:val="center"/>
                    <w:rPr>
                      <w:szCs w:val="21"/>
                    </w:rPr>
                  </w:pPr>
                  <w:r>
                    <w:rPr>
                      <w:rFonts w:eastAsia="等线"/>
                      <w:szCs w:val="21"/>
                    </w:rPr>
                    <w:t>0.22</w:t>
                  </w:r>
                </w:p>
              </w:tc>
              <w:tc>
                <w:tcPr>
                  <w:tcW w:w="600" w:type="dxa"/>
                  <w:shd w:val="clear" w:color="auto" w:fill="auto"/>
                  <w:vAlign w:val="center"/>
                </w:tcPr>
                <w:p>
                  <w:pPr>
                    <w:jc w:val="center"/>
                    <w:rPr>
                      <w:szCs w:val="21"/>
                    </w:rPr>
                  </w:pPr>
                  <w:r>
                    <w:rPr>
                      <w:rFonts w:eastAsia="等线"/>
                      <w:szCs w:val="21"/>
                    </w:rPr>
                    <w:t>0.65</w:t>
                  </w:r>
                </w:p>
              </w:tc>
              <w:tc>
                <w:tcPr>
                  <w:tcW w:w="600" w:type="dxa"/>
                  <w:shd w:val="clear" w:color="auto" w:fill="auto"/>
                  <w:vAlign w:val="center"/>
                </w:tcPr>
                <w:p>
                  <w:pPr>
                    <w:jc w:val="center"/>
                    <w:rPr>
                      <w:szCs w:val="21"/>
                    </w:rPr>
                  </w:pPr>
                  <w:r>
                    <w:rPr>
                      <w:rFonts w:eastAsia="等线"/>
                      <w:szCs w:val="21"/>
                    </w:rPr>
                    <w:t>0.80</w:t>
                  </w:r>
                </w:p>
              </w:tc>
              <w:tc>
                <w:tcPr>
                  <w:tcW w:w="600" w:type="dxa"/>
                  <w:shd w:val="clear" w:color="auto" w:fill="auto"/>
                  <w:vAlign w:val="center"/>
                </w:tcPr>
                <w:p>
                  <w:pPr>
                    <w:jc w:val="center"/>
                    <w:rPr>
                      <w:szCs w:val="21"/>
                    </w:rPr>
                  </w:pPr>
                  <w:r>
                    <w:rPr>
                      <w:rFonts w:eastAsia="等线"/>
                      <w:szCs w:val="21"/>
                    </w:rPr>
                    <w:t>0.37</w:t>
                  </w:r>
                </w:p>
              </w:tc>
              <w:tc>
                <w:tcPr>
                  <w:tcW w:w="699" w:type="dxa"/>
                  <w:shd w:val="clear" w:color="auto" w:fill="auto"/>
                  <w:vAlign w:val="center"/>
                </w:tcPr>
                <w:p>
                  <w:pPr>
                    <w:jc w:val="center"/>
                    <w:rPr>
                      <w:szCs w:val="21"/>
                    </w:rPr>
                  </w:pPr>
                  <w:r>
                    <w:rPr>
                      <w:rFonts w:eastAsia="等线"/>
                      <w:szCs w:val="21"/>
                    </w:rPr>
                    <w:t>0.82</w:t>
                  </w:r>
                </w:p>
              </w:tc>
              <w:tc>
                <w:tcPr>
                  <w:tcW w:w="659" w:type="dxa"/>
                  <w:shd w:val="clear" w:color="auto" w:fill="auto"/>
                  <w:vAlign w:val="center"/>
                </w:tcPr>
                <w:p>
                  <w:pPr>
                    <w:jc w:val="center"/>
                    <w:rPr>
                      <w:szCs w:val="21"/>
                    </w:rPr>
                  </w:pPr>
                  <w:r>
                    <w:rPr>
                      <w:rFonts w:eastAsia="等线"/>
                      <w:szCs w:val="21"/>
                    </w:rPr>
                    <w:t>0.42</w:t>
                  </w:r>
                </w:p>
              </w:tc>
              <w:tc>
                <w:tcPr>
                  <w:tcW w:w="733" w:type="dxa"/>
                  <w:shd w:val="clear" w:color="auto" w:fill="auto"/>
                  <w:vAlign w:val="center"/>
                </w:tcPr>
                <w:p>
                  <w:pPr>
                    <w:jc w:val="center"/>
                    <w:rPr>
                      <w:szCs w:val="21"/>
                    </w:rPr>
                  </w:pPr>
                  <w:r>
                    <w:rPr>
                      <w:rFonts w:eastAsia="等线"/>
                      <w:szCs w:val="21"/>
                    </w:rPr>
                    <w:t>0.53</w:t>
                  </w:r>
                </w:p>
              </w:tc>
              <w:tc>
                <w:tcPr>
                  <w:tcW w:w="980" w:type="dxa"/>
                  <w:shd w:val="clear" w:color="auto" w:fill="auto"/>
                  <w:vAlign w:val="center"/>
                </w:tcPr>
                <w:p>
                  <w:pPr>
                    <w:jc w:val="center"/>
                    <w:rPr>
                      <w:szCs w:val="21"/>
                    </w:rPr>
                  </w:pPr>
                  <w:r>
                    <w:rPr>
                      <w:rFonts w:eastAsia="等线"/>
                      <w:szCs w:val="21"/>
                    </w:rPr>
                    <w:t>0.51</w:t>
                  </w:r>
                </w:p>
              </w:tc>
            </w:tr>
          </w:tbl>
          <w:p>
            <w:pPr>
              <w:pStyle w:val="39"/>
              <w:adjustRightInd w:val="0"/>
              <w:snapToGrid w:val="0"/>
              <w:spacing w:line="360" w:lineRule="auto"/>
              <w:ind w:left="0" w:firstLine="482" w:firstLineChars="200"/>
              <w:rPr>
                <w:b/>
                <w:szCs w:val="24"/>
              </w:rPr>
            </w:pPr>
            <w:r>
              <w:rPr>
                <w:rFonts w:hint="eastAsia"/>
                <w:b/>
                <w:szCs w:val="24"/>
              </w:rPr>
              <w:t>4.1</w:t>
            </w:r>
            <w:r>
              <w:rPr>
                <w:b/>
                <w:szCs w:val="24"/>
              </w:rPr>
              <w:t>.4 海洋生态环境现状调查与评价</w:t>
            </w:r>
          </w:p>
          <w:p>
            <w:pPr>
              <w:pStyle w:val="39"/>
              <w:adjustRightInd w:val="0"/>
              <w:snapToGrid w:val="0"/>
              <w:spacing w:line="360" w:lineRule="auto"/>
              <w:ind w:left="0" w:firstLine="482" w:firstLineChars="200"/>
              <w:rPr>
                <w:b/>
                <w:szCs w:val="24"/>
              </w:rPr>
            </w:pPr>
            <w:r>
              <w:rPr>
                <w:rFonts w:hint="eastAsia"/>
                <w:b/>
                <w:szCs w:val="24"/>
              </w:rPr>
              <w:t>4.1</w:t>
            </w:r>
            <w:r>
              <w:rPr>
                <w:b/>
                <w:szCs w:val="24"/>
              </w:rPr>
              <w:t>.4.1 调查时间和站位布设</w:t>
            </w:r>
          </w:p>
          <w:p>
            <w:pPr>
              <w:pStyle w:val="39"/>
              <w:adjustRightInd w:val="0"/>
              <w:snapToGrid w:val="0"/>
              <w:spacing w:line="360" w:lineRule="auto"/>
              <w:ind w:left="0" w:firstLine="480" w:firstLineChars="200"/>
              <w:rPr>
                <w:szCs w:val="24"/>
              </w:rPr>
            </w:pPr>
            <w:r>
              <w:rPr>
                <w:rFonts w:hint="eastAsia"/>
                <w:szCs w:val="24"/>
              </w:rPr>
              <w:t>2020</w:t>
            </w:r>
            <w:r>
              <w:rPr>
                <w:szCs w:val="24"/>
              </w:rPr>
              <w:t>年</w:t>
            </w:r>
            <w:r>
              <w:rPr>
                <w:rFonts w:hint="eastAsia"/>
                <w:szCs w:val="24"/>
              </w:rPr>
              <w:t>08</w:t>
            </w:r>
            <w:r>
              <w:rPr>
                <w:szCs w:val="24"/>
              </w:rPr>
              <w:t>月</w:t>
            </w:r>
            <w:r>
              <w:rPr>
                <w:rFonts w:hint="eastAsia"/>
                <w:szCs w:val="24"/>
              </w:rPr>
              <w:t>02日</w:t>
            </w:r>
            <w:r>
              <w:rPr>
                <w:szCs w:val="24"/>
              </w:rPr>
              <w:t>在评价海域设置12个站位进行浮游生物</w:t>
            </w:r>
            <w:r>
              <w:rPr>
                <w:rFonts w:hint="eastAsia"/>
                <w:szCs w:val="24"/>
              </w:rPr>
              <w:t>和</w:t>
            </w:r>
            <w:r>
              <w:rPr>
                <w:szCs w:val="24"/>
              </w:rPr>
              <w:t>底栖生物调查。调查海域采样站位设置详见图</w:t>
            </w:r>
            <w:r>
              <w:rPr>
                <w:rFonts w:hint="eastAsia"/>
                <w:szCs w:val="24"/>
              </w:rPr>
              <w:t>4.1</w:t>
            </w:r>
            <w:r>
              <w:rPr>
                <w:szCs w:val="24"/>
              </w:rPr>
              <w:t>.</w:t>
            </w:r>
            <w:r>
              <w:rPr>
                <w:rFonts w:hint="eastAsia"/>
                <w:szCs w:val="24"/>
              </w:rPr>
              <w:t>1</w:t>
            </w:r>
            <w:r>
              <w:rPr>
                <w:szCs w:val="24"/>
              </w:rPr>
              <w:t>-1和表</w:t>
            </w:r>
            <w:r>
              <w:rPr>
                <w:rFonts w:hint="eastAsia"/>
                <w:szCs w:val="24"/>
              </w:rPr>
              <w:t>4.1</w:t>
            </w:r>
            <w:r>
              <w:rPr>
                <w:szCs w:val="24"/>
              </w:rPr>
              <w:t>.</w:t>
            </w:r>
            <w:r>
              <w:rPr>
                <w:rFonts w:hint="eastAsia"/>
                <w:szCs w:val="24"/>
              </w:rPr>
              <w:t>1-1</w:t>
            </w:r>
            <w:r>
              <w:rPr>
                <w:szCs w:val="24"/>
              </w:rPr>
              <w:t>。</w:t>
            </w:r>
          </w:p>
          <w:p>
            <w:pPr>
              <w:pStyle w:val="39"/>
              <w:adjustRightInd w:val="0"/>
              <w:snapToGrid w:val="0"/>
              <w:spacing w:line="360" w:lineRule="auto"/>
              <w:ind w:left="0" w:firstLine="482" w:firstLineChars="200"/>
              <w:rPr>
                <w:b/>
                <w:szCs w:val="24"/>
              </w:rPr>
            </w:pPr>
            <w:r>
              <w:rPr>
                <w:rFonts w:hint="eastAsia"/>
                <w:b/>
                <w:szCs w:val="24"/>
              </w:rPr>
              <w:t>4.1</w:t>
            </w:r>
            <w:r>
              <w:rPr>
                <w:b/>
                <w:szCs w:val="24"/>
              </w:rPr>
              <w:t>.4.2 海洋生态调查内容和调查方法</w:t>
            </w:r>
          </w:p>
          <w:p>
            <w:pPr>
              <w:spacing w:line="360" w:lineRule="auto"/>
              <w:ind w:firstLine="480" w:firstLineChars="200"/>
              <w:rPr>
                <w:sz w:val="24"/>
              </w:rPr>
            </w:pPr>
            <w:r>
              <w:rPr>
                <w:sz w:val="24"/>
              </w:rPr>
              <w:t>叶绿素a：按照《海洋监测规范》（GB/T12763.6-2007），使用2.5LHYDRO-BIOS Niskin采水器采样，采样层次分为表层和底层。每份样取370mL，加入两滴1%碳酸镁溶液，用WhatmanGF/F玻璃纤维滤膜过滤，滤膜用90%丙酮萃取，定容至10mL，低温下萃取20小时后，用TURNER荧光仪测定。</w:t>
            </w:r>
          </w:p>
          <w:p>
            <w:pPr>
              <w:spacing w:line="360" w:lineRule="auto"/>
              <w:ind w:firstLine="480" w:firstLineChars="200"/>
              <w:rPr>
                <w:sz w:val="24"/>
              </w:rPr>
            </w:pPr>
            <w:r>
              <w:rPr>
                <w:sz w:val="24"/>
              </w:rPr>
              <w:t>浮游植物：采水体积0.50L，水样用Lugo’溶液固定带回实验室，鉴定计数前在实验室沉降24h，除去上清液，浓集，再随机抽取分样样品在倒置显微镜下观察，并进行种类鉴定及按个体计数法进行计数、统计和分析。调查方法详情见《海洋调查规范》GB12763.6-2007第7节。调查结果以cells/dm</w:t>
            </w:r>
            <w:r>
              <w:rPr>
                <w:sz w:val="24"/>
                <w:vertAlign w:val="superscript"/>
              </w:rPr>
              <w:t>3</w:t>
            </w:r>
            <w:r>
              <w:rPr>
                <w:sz w:val="24"/>
              </w:rPr>
              <w:t>表示。</w:t>
            </w:r>
          </w:p>
          <w:p>
            <w:pPr>
              <w:spacing w:line="360" w:lineRule="auto"/>
              <w:ind w:firstLine="480" w:firstLineChars="200"/>
              <w:rPr>
                <w:sz w:val="24"/>
              </w:rPr>
            </w:pPr>
            <w:r>
              <w:rPr>
                <w:sz w:val="24"/>
              </w:rPr>
              <w:t>浮游动物：依据《海洋调查规范》GB12763.6-2007第8节，用浅水I型浮游生物网（网长145cm，网口直径50cm，筛绢孔宽0.505mm），从底至表垂直拖取样品，5%的中性甲醛溶液固定，真空泵（30dm</w:t>
            </w:r>
            <w:r>
              <w:rPr>
                <w:sz w:val="24"/>
                <w:vertAlign w:val="superscript"/>
              </w:rPr>
              <w:t>3</w:t>
            </w:r>
            <w:r>
              <w:rPr>
                <w:sz w:val="24"/>
              </w:rPr>
              <w:t>/min）抽滤后用电子天平（感量0.001g）进行样品湿重生物量的测定（mg/m</w:t>
            </w:r>
            <w:r>
              <w:rPr>
                <w:sz w:val="24"/>
                <w:vertAlign w:val="superscript"/>
              </w:rPr>
              <w:t>3</w:t>
            </w:r>
            <w:r>
              <w:rPr>
                <w:sz w:val="24"/>
              </w:rPr>
              <w:t>）。浮游动物标本用显微镜和体视显微镜进行分类鉴定种类，并在体视显微镜下进行个体计数，计算个体密度（个/m</w:t>
            </w:r>
            <w:r>
              <w:rPr>
                <w:sz w:val="24"/>
                <w:vertAlign w:val="superscript"/>
              </w:rPr>
              <w:t>3</w:t>
            </w:r>
            <w:r>
              <w:rPr>
                <w:sz w:val="24"/>
              </w:rPr>
              <w:t>）。</w:t>
            </w:r>
          </w:p>
          <w:p>
            <w:pPr>
              <w:spacing w:line="360" w:lineRule="auto"/>
              <w:ind w:firstLine="480" w:firstLineChars="200"/>
            </w:pPr>
            <w:r>
              <w:rPr>
                <w:sz w:val="24"/>
              </w:rPr>
              <w:t>潮下带大型底栖生物：使用0.05m</w:t>
            </w:r>
            <w:r>
              <w:rPr>
                <w:sz w:val="24"/>
                <w:vertAlign w:val="superscript"/>
              </w:rPr>
              <w:t>2</w:t>
            </w:r>
            <w:r>
              <w:rPr>
                <w:sz w:val="24"/>
              </w:rPr>
              <w:t>抓斗式采泥器，每站连续取样不少于4次，所有采集泥样放入“MSB型底栖生物漩涡分选器”中淘洗，并用网目为1mm的过筛器分选。筛选的生物样品置样品瓶中用固定液保存后带回实验室称重、分析，软体动物带壳称重，并换算成单位面积的生物量（g/m</w:t>
            </w:r>
            <w:r>
              <w:rPr>
                <w:sz w:val="24"/>
                <w:vertAlign w:val="superscript"/>
              </w:rPr>
              <w:t>2</w:t>
            </w:r>
            <w:r>
              <w:rPr>
                <w:sz w:val="24"/>
              </w:rPr>
              <w:t>）和栖息密度（ind./m</w:t>
            </w:r>
            <w:r>
              <w:rPr>
                <w:sz w:val="24"/>
                <w:vertAlign w:val="superscript"/>
              </w:rPr>
              <w:t>2</w:t>
            </w:r>
            <w:r>
              <w:rPr>
                <w:sz w:val="24"/>
              </w:rPr>
              <w:t>）。</w:t>
            </w:r>
          </w:p>
          <w:p>
            <w:pPr>
              <w:pStyle w:val="39"/>
              <w:adjustRightInd w:val="0"/>
              <w:snapToGrid w:val="0"/>
              <w:spacing w:line="360" w:lineRule="auto"/>
              <w:ind w:left="0" w:firstLine="482" w:firstLineChars="200"/>
              <w:rPr>
                <w:b/>
                <w:szCs w:val="24"/>
              </w:rPr>
            </w:pPr>
            <w:r>
              <w:rPr>
                <w:rFonts w:hint="eastAsia"/>
                <w:b/>
                <w:szCs w:val="24"/>
              </w:rPr>
              <w:t>4.1</w:t>
            </w:r>
            <w:r>
              <w:rPr>
                <w:b/>
                <w:szCs w:val="24"/>
              </w:rPr>
              <w:t>.4.3 海洋生态评价方法</w:t>
            </w:r>
          </w:p>
          <w:p>
            <w:pPr>
              <w:spacing w:line="360" w:lineRule="auto"/>
              <w:ind w:firstLine="482"/>
              <w:textAlignment w:val="center"/>
              <w:rPr>
                <w:sz w:val="24"/>
              </w:rPr>
            </w:pPr>
            <w:bookmarkStart w:id="11" w:name="_Toc387414340"/>
            <w:bookmarkStart w:id="12" w:name="_Toc371433195"/>
            <w:bookmarkStart w:id="13" w:name="_Toc362426981"/>
            <w:r>
              <w:rPr>
                <w:sz w:val="24"/>
              </w:rPr>
              <w:t>（1）优势度（Y）及计算方法</w:t>
            </w:r>
            <w:bookmarkEnd w:id="11"/>
            <w:bookmarkEnd w:id="12"/>
            <w:bookmarkEnd w:id="13"/>
          </w:p>
          <w:p>
            <w:pPr>
              <w:spacing w:line="360" w:lineRule="auto"/>
              <w:ind w:firstLine="482"/>
              <w:textAlignment w:val="center"/>
              <w:rPr>
                <w:sz w:val="24"/>
              </w:rPr>
            </w:pPr>
            <w:r>
              <w:rPr>
                <w:sz w:val="24"/>
              </w:rPr>
              <w:t>优势种的概念有两个方面涵义，一方面指占有广泛的生境，可以利用较高的资源，具广泛适应性，在空间分布上表现为空间出现频率（fi）较高，另一方面，表现为个体数量（ni）庞大，丰度百分比（ni/N）较高。综合优势种概念的两个方面，得出优势种优势度（Y）的计算公式：Y=ni/N×fi（本报告规定优势度Y≥0.02时为优势种）</w:t>
            </w:r>
          </w:p>
          <w:p>
            <w:pPr>
              <w:spacing w:line="360" w:lineRule="auto"/>
              <w:ind w:firstLine="482"/>
              <w:textAlignment w:val="center"/>
              <w:rPr>
                <w:sz w:val="24"/>
              </w:rPr>
            </w:pPr>
            <w:bookmarkStart w:id="14" w:name="_Toc387414341"/>
            <w:bookmarkStart w:id="15" w:name="_Toc371433196"/>
            <w:bookmarkStart w:id="16" w:name="_Toc362426982"/>
            <w:r>
              <w:rPr>
                <w:sz w:val="24"/>
              </w:rPr>
              <w:t>（2）生物生态评价方法及其指数计算</w:t>
            </w:r>
            <w:bookmarkEnd w:id="14"/>
            <w:bookmarkEnd w:id="15"/>
            <w:bookmarkEnd w:id="16"/>
          </w:p>
          <w:p>
            <w:pPr>
              <w:spacing w:line="360" w:lineRule="auto"/>
              <w:ind w:firstLine="482"/>
              <w:textAlignment w:val="center"/>
              <w:rPr>
                <w:sz w:val="24"/>
              </w:rPr>
            </w:pPr>
            <w:r>
              <w:rPr>
                <w:sz w:val="24"/>
              </w:rPr>
              <w:t>香农－威纳（Shannon—Weaner）多样性指数：</w:t>
            </w:r>
            <w:r>
              <w:rPr>
                <w:sz w:val="24"/>
              </w:rPr>
              <w:object>
                <v:shape id="_x0000_i1040" o:spt="75" type="#_x0000_t75" style="height:30pt;width:90pt;" o:ole="t" fillcolor="#FFFFFF" filled="f" o:preferrelative="t" stroked="f" coordsize="21600,21600">
                  <v:path/>
                  <v:fill on="f" focussize="0,0"/>
                  <v:stroke on="f" joinstyle="miter"/>
                  <v:imagedata r:id="rId52" o:title=""/>
                  <o:lock v:ext="edit" aspectratio="t"/>
                  <w10:wrap type="none"/>
                  <w10:anchorlock/>
                </v:shape>
                <o:OLEObject Type="Embed" ProgID="Equation.3" ShapeID="_x0000_i1040" DrawAspect="Content" ObjectID="_1468075740" r:id="rId51">
                  <o:LockedField>false</o:LockedField>
                </o:OLEObject>
              </w:object>
            </w:r>
            <w:r>
              <w:rPr>
                <w:sz w:val="24"/>
              </w:rPr>
              <w:t>，式中，H′为物种多样性指数值；S为样品中的总种数；P</w:t>
            </w:r>
            <w:r>
              <w:rPr>
                <w:sz w:val="24"/>
                <w:vertAlign w:val="subscript"/>
              </w:rPr>
              <w:t>i</w:t>
            </w:r>
            <w:r>
              <w:rPr>
                <w:sz w:val="24"/>
              </w:rPr>
              <w:t>为第i种的个体丰度（ni）与总丰度（N）的比值（ni/N）。</w:t>
            </w:r>
          </w:p>
          <w:p>
            <w:pPr>
              <w:spacing w:line="360" w:lineRule="auto"/>
              <w:ind w:firstLine="482"/>
              <w:textAlignment w:val="center"/>
              <w:rPr>
                <w:sz w:val="24"/>
              </w:rPr>
            </w:pPr>
            <w:r>
              <w:rPr>
                <w:sz w:val="24"/>
              </w:rPr>
              <w:t>均匀度指数：J′=H′/log</w:t>
            </w:r>
            <w:r>
              <w:rPr>
                <w:sz w:val="24"/>
                <w:vertAlign w:val="subscript"/>
              </w:rPr>
              <w:t>2</w:t>
            </w:r>
            <w:r>
              <w:rPr>
                <w:sz w:val="24"/>
              </w:rPr>
              <w:t>S，式中，J′表示均匀度指数值；H′表示物种多样性指数值；S表示样品中总种数。</w:t>
            </w:r>
          </w:p>
          <w:p>
            <w:pPr>
              <w:spacing w:line="360" w:lineRule="auto"/>
              <w:ind w:firstLine="482"/>
              <w:textAlignment w:val="center"/>
              <w:rPr>
                <w:sz w:val="24"/>
              </w:rPr>
            </w:pPr>
            <w:r>
              <w:rPr>
                <w:sz w:val="24"/>
              </w:rPr>
              <w:t>丰富度指数：d=（S-1）/log</w:t>
            </w:r>
            <w:r>
              <w:rPr>
                <w:sz w:val="24"/>
                <w:vertAlign w:val="subscript"/>
              </w:rPr>
              <w:t>2</w:t>
            </w:r>
            <w:r>
              <w:rPr>
                <w:sz w:val="24"/>
              </w:rPr>
              <w:t>N，式中，d表示丰富度指数值；S表示样品中的总种数；N表示群落中所有物种的总丰度。</w:t>
            </w:r>
          </w:p>
          <w:p>
            <w:pPr>
              <w:spacing w:line="360" w:lineRule="auto"/>
              <w:ind w:firstLine="482"/>
              <w:textAlignment w:val="center"/>
              <w:rPr>
                <w:sz w:val="24"/>
              </w:rPr>
            </w:pPr>
            <w:r>
              <w:rPr>
                <w:sz w:val="24"/>
              </w:rPr>
              <w:t>单纯度指数：C=SUM（ni/N）2，所有物种丰度或生物量，ni为第i个物种的丰度或生物量。</w:t>
            </w:r>
          </w:p>
          <w:p>
            <w:pPr>
              <w:spacing w:line="360" w:lineRule="auto"/>
              <w:ind w:firstLine="482"/>
              <w:textAlignment w:val="center"/>
              <w:rPr>
                <w:sz w:val="24"/>
              </w:rPr>
            </w:pPr>
            <w:r>
              <w:rPr>
                <w:sz w:val="24"/>
              </w:rPr>
              <w:t>（3）种类优势度（D）</w:t>
            </w:r>
          </w:p>
          <w:p>
            <w:pPr>
              <w:spacing w:line="360" w:lineRule="auto"/>
              <w:ind w:firstLine="482"/>
              <w:textAlignment w:val="center"/>
              <w:rPr>
                <w:sz w:val="24"/>
              </w:rPr>
            </w:pPr>
            <w:r>
              <w:rPr>
                <w:sz w:val="24"/>
              </w:rPr>
              <w:t>采用Simpson物种优势度：</w:t>
            </w:r>
            <w:r>
              <w:rPr>
                <w:sz w:val="24"/>
              </w:rPr>
              <w:object>
                <v:shape id="_x0000_i1041" o:spt="75" type="#_x0000_t75" style="height:36pt;width:60pt;" o:ole="t" filled="f" o:preferrelative="t" stroked="f" coordsize="21600,21600">
                  <v:path/>
                  <v:fill on="f" focussize="0,0"/>
                  <v:stroke on="f" joinstyle="miter"/>
                  <v:imagedata r:id="rId54" o:title=""/>
                  <o:lock v:ext="edit" aspectratio="t"/>
                  <w10:wrap type="none"/>
                  <w10:anchorlock/>
                </v:shape>
                <o:OLEObject Type="Embed" ProgID="Equation.3" ShapeID="_x0000_i1041" DrawAspect="Content" ObjectID="_1468075741" r:id="rId53">
                  <o:LockedField>false</o:LockedField>
                </o:OLEObject>
              </w:object>
            </w:r>
            <w:r>
              <w:rPr>
                <w:sz w:val="24"/>
              </w:rPr>
              <w:t>，式中S为采泥样品中的种类总数，Pi为第i种的个体数与样品中的总个体数的比值（ni/N）。物种丰富度计算方法为物种在各站位的平均分布密度，如某站没有出现该种，则不计入。采用PRIMER5.0软件进行上述指数的计算。</w:t>
            </w:r>
          </w:p>
          <w:p>
            <w:pPr>
              <w:spacing w:line="360" w:lineRule="auto"/>
              <w:ind w:firstLine="482"/>
              <w:textAlignment w:val="center"/>
              <w:rPr>
                <w:b/>
                <w:sz w:val="24"/>
              </w:rPr>
            </w:pPr>
            <w:r>
              <w:rPr>
                <w:rFonts w:hint="eastAsia"/>
                <w:b/>
                <w:sz w:val="24"/>
              </w:rPr>
              <w:t>4.1</w:t>
            </w:r>
            <w:r>
              <w:rPr>
                <w:b/>
                <w:sz w:val="24"/>
              </w:rPr>
              <w:t>.4.4</w:t>
            </w:r>
            <w:r>
              <w:rPr>
                <w:rFonts w:hint="eastAsia"/>
                <w:b/>
                <w:sz w:val="24"/>
              </w:rPr>
              <w:t xml:space="preserve"> </w:t>
            </w:r>
            <w:r>
              <w:rPr>
                <w:b/>
                <w:sz w:val="24"/>
              </w:rPr>
              <w:t>叶绿素a调查结果与评价</w:t>
            </w:r>
          </w:p>
          <w:p>
            <w:pPr>
              <w:spacing w:line="360" w:lineRule="auto"/>
              <w:ind w:firstLine="482"/>
              <w:textAlignment w:val="center"/>
              <w:rPr>
                <w:sz w:val="24"/>
              </w:rPr>
            </w:pPr>
            <w:r>
              <w:rPr>
                <w:rFonts w:hint="eastAsia"/>
                <w:sz w:val="24"/>
              </w:rPr>
              <w:t>夏</w:t>
            </w:r>
            <w:r>
              <w:rPr>
                <w:sz w:val="24"/>
              </w:rPr>
              <w:t>季的调查中，各测点叶绿素a含量变化范围为2.</w:t>
            </w:r>
            <w:r>
              <w:rPr>
                <w:rFonts w:hint="eastAsia"/>
                <w:sz w:val="24"/>
              </w:rPr>
              <w:t>23</w:t>
            </w:r>
            <w:r>
              <w:rPr>
                <w:sz w:val="24"/>
              </w:rPr>
              <w:t>~4.01 µg/L，平均为3.</w:t>
            </w:r>
            <w:r>
              <w:rPr>
                <w:rFonts w:hint="eastAsia"/>
                <w:sz w:val="24"/>
              </w:rPr>
              <w:t>11</w:t>
            </w:r>
            <w:r>
              <w:rPr>
                <w:sz w:val="24"/>
              </w:rPr>
              <w:t xml:space="preserve"> µg/L。具体数据详见表</w:t>
            </w:r>
            <w:r>
              <w:rPr>
                <w:rFonts w:hint="eastAsia"/>
                <w:sz w:val="24"/>
              </w:rPr>
              <w:t>4.1</w:t>
            </w:r>
            <w:r>
              <w:rPr>
                <w:sz w:val="24"/>
              </w:rPr>
              <w:t>.4-1。</w:t>
            </w:r>
          </w:p>
          <w:p>
            <w:pPr>
              <w:pStyle w:val="279"/>
              <w:snapToGrid w:val="0"/>
              <w:ind w:firstLine="480"/>
            </w:pPr>
          </w:p>
          <w:p>
            <w:pPr>
              <w:pStyle w:val="279"/>
              <w:snapToGrid w:val="0"/>
              <w:ind w:firstLine="480"/>
            </w:pPr>
            <w:r>
              <w:t>表</w:t>
            </w:r>
            <w:r>
              <w:rPr>
                <w:rFonts w:hint="eastAsia"/>
              </w:rPr>
              <w:t>4.1</w:t>
            </w:r>
            <w:r>
              <w:t xml:space="preserve">.4-1 </w:t>
            </w:r>
            <w:r>
              <w:rPr>
                <w:rFonts w:hint="eastAsia"/>
              </w:rPr>
              <w:t>夏</w:t>
            </w:r>
            <w:r>
              <w:t>季评价海域Chl-a浓度结果（单位：</w:t>
            </w:r>
            <w:r>
              <w:rPr>
                <w:bCs/>
                <w:szCs w:val="21"/>
              </w:rPr>
              <w:t>µg/L</w:t>
            </w:r>
            <w:r>
              <w:t>）</w:t>
            </w:r>
          </w:p>
          <w:tbl>
            <w:tblPr>
              <w:tblStyle w:val="88"/>
              <w:tblW w:w="825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104"/>
              <w:gridCol w:w="3026"/>
              <w:gridCol w:w="1103"/>
              <w:gridCol w:w="302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104" w:type="dxa"/>
                  <w:shd w:val="clear" w:color="auto" w:fill="auto"/>
                  <w:vAlign w:val="center"/>
                </w:tcPr>
                <w:p>
                  <w:pPr>
                    <w:jc w:val="center"/>
                    <w:rPr>
                      <w:rFonts w:eastAsia="楷体"/>
                      <w:b/>
                      <w:szCs w:val="21"/>
                    </w:rPr>
                  </w:pPr>
                  <w:r>
                    <w:rPr>
                      <w:rFonts w:eastAsia="楷体"/>
                      <w:b/>
                      <w:szCs w:val="21"/>
                    </w:rPr>
                    <w:t>站位</w:t>
                  </w:r>
                </w:p>
              </w:tc>
              <w:tc>
                <w:tcPr>
                  <w:tcW w:w="3026" w:type="dxa"/>
                  <w:shd w:val="clear" w:color="auto" w:fill="auto"/>
                  <w:vAlign w:val="center"/>
                </w:tcPr>
                <w:p>
                  <w:pPr>
                    <w:jc w:val="center"/>
                    <w:rPr>
                      <w:rFonts w:eastAsia="楷体"/>
                      <w:b/>
                      <w:szCs w:val="21"/>
                    </w:rPr>
                  </w:pPr>
                  <w:r>
                    <w:rPr>
                      <w:rFonts w:eastAsia="楷体"/>
                      <w:b/>
                      <w:szCs w:val="21"/>
                    </w:rPr>
                    <w:t>叶绿素a（mg/m</w:t>
                  </w:r>
                  <w:r>
                    <w:rPr>
                      <w:rFonts w:eastAsia="楷体"/>
                      <w:b/>
                      <w:szCs w:val="21"/>
                      <w:vertAlign w:val="superscript"/>
                    </w:rPr>
                    <w:t>3</w:t>
                  </w:r>
                  <w:r>
                    <w:rPr>
                      <w:rFonts w:eastAsia="楷体"/>
                      <w:b/>
                      <w:szCs w:val="21"/>
                    </w:rPr>
                    <w:t>）</w:t>
                  </w:r>
                </w:p>
              </w:tc>
              <w:tc>
                <w:tcPr>
                  <w:tcW w:w="1103" w:type="dxa"/>
                  <w:shd w:val="clear" w:color="auto" w:fill="auto"/>
                  <w:vAlign w:val="center"/>
                </w:tcPr>
                <w:p>
                  <w:pPr>
                    <w:jc w:val="center"/>
                    <w:rPr>
                      <w:rFonts w:eastAsia="楷体"/>
                      <w:b/>
                      <w:szCs w:val="21"/>
                    </w:rPr>
                  </w:pPr>
                  <w:r>
                    <w:rPr>
                      <w:rFonts w:eastAsia="楷体"/>
                      <w:b/>
                      <w:szCs w:val="21"/>
                    </w:rPr>
                    <w:t>站位</w:t>
                  </w:r>
                </w:p>
              </w:tc>
              <w:tc>
                <w:tcPr>
                  <w:tcW w:w="3026" w:type="dxa"/>
                  <w:shd w:val="clear" w:color="auto" w:fill="auto"/>
                  <w:vAlign w:val="center"/>
                </w:tcPr>
                <w:p>
                  <w:pPr>
                    <w:jc w:val="center"/>
                    <w:rPr>
                      <w:rFonts w:eastAsia="楷体"/>
                      <w:b/>
                      <w:szCs w:val="21"/>
                    </w:rPr>
                  </w:pPr>
                  <w:r>
                    <w:rPr>
                      <w:rFonts w:eastAsia="楷体"/>
                      <w:b/>
                      <w:szCs w:val="21"/>
                    </w:rPr>
                    <w:t>叶绿素a（mg/m</w:t>
                  </w:r>
                  <w:r>
                    <w:rPr>
                      <w:rFonts w:eastAsia="楷体"/>
                      <w:b/>
                      <w:szCs w:val="21"/>
                      <w:vertAlign w:val="superscript"/>
                    </w:rPr>
                    <w:t>3</w:t>
                  </w:r>
                  <w:r>
                    <w:rPr>
                      <w:rFonts w:eastAsia="楷体"/>
                      <w:b/>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104" w:type="dxa"/>
                  <w:shd w:val="clear" w:color="auto" w:fill="auto"/>
                  <w:vAlign w:val="center"/>
                </w:tcPr>
                <w:p>
                  <w:pPr>
                    <w:jc w:val="center"/>
                    <w:rPr>
                      <w:rFonts w:eastAsia="楷体"/>
                      <w:szCs w:val="21"/>
                    </w:rPr>
                  </w:pPr>
                  <w:r>
                    <w:rPr>
                      <w:rFonts w:hint="eastAsia" w:eastAsia="楷体"/>
                      <w:szCs w:val="21"/>
                    </w:rPr>
                    <w:t>1</w:t>
                  </w:r>
                </w:p>
              </w:tc>
              <w:tc>
                <w:tcPr>
                  <w:tcW w:w="3026" w:type="dxa"/>
                  <w:shd w:val="clear" w:color="auto" w:fill="auto"/>
                  <w:vAlign w:val="center"/>
                </w:tcPr>
                <w:p>
                  <w:pPr>
                    <w:jc w:val="center"/>
                    <w:rPr>
                      <w:rFonts w:eastAsia="楷体"/>
                      <w:szCs w:val="21"/>
                    </w:rPr>
                  </w:pPr>
                  <w:r>
                    <w:rPr>
                      <w:rFonts w:hint="eastAsia" w:eastAsia="楷体"/>
                      <w:szCs w:val="21"/>
                    </w:rPr>
                    <w:t>3.11</w:t>
                  </w:r>
                </w:p>
              </w:tc>
              <w:tc>
                <w:tcPr>
                  <w:tcW w:w="1103" w:type="dxa"/>
                  <w:shd w:val="clear" w:color="auto" w:fill="auto"/>
                  <w:vAlign w:val="center"/>
                </w:tcPr>
                <w:p>
                  <w:pPr>
                    <w:jc w:val="center"/>
                    <w:rPr>
                      <w:rFonts w:eastAsia="楷体"/>
                      <w:szCs w:val="21"/>
                    </w:rPr>
                  </w:pPr>
                  <w:r>
                    <w:rPr>
                      <w:rFonts w:hint="eastAsia" w:eastAsia="楷体"/>
                      <w:szCs w:val="21"/>
                    </w:rPr>
                    <w:t>13</w:t>
                  </w:r>
                </w:p>
              </w:tc>
              <w:tc>
                <w:tcPr>
                  <w:tcW w:w="3026" w:type="dxa"/>
                  <w:shd w:val="clear" w:color="auto" w:fill="auto"/>
                  <w:vAlign w:val="center"/>
                </w:tcPr>
                <w:p>
                  <w:pPr>
                    <w:jc w:val="center"/>
                    <w:rPr>
                      <w:rFonts w:eastAsia="楷体"/>
                      <w:szCs w:val="21"/>
                    </w:rPr>
                  </w:pPr>
                  <w:r>
                    <w:rPr>
                      <w:rFonts w:hint="eastAsia" w:eastAsia="楷体"/>
                      <w:szCs w:val="21"/>
                    </w:rPr>
                    <w:t>3.51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104" w:type="dxa"/>
                  <w:shd w:val="clear" w:color="auto" w:fill="auto"/>
                  <w:vAlign w:val="center"/>
                </w:tcPr>
                <w:p>
                  <w:pPr>
                    <w:jc w:val="center"/>
                    <w:rPr>
                      <w:rFonts w:eastAsia="楷体"/>
                      <w:szCs w:val="21"/>
                    </w:rPr>
                  </w:pPr>
                  <w:r>
                    <w:rPr>
                      <w:rFonts w:hint="eastAsia" w:eastAsia="楷体"/>
                      <w:szCs w:val="21"/>
                    </w:rPr>
                    <w:t>4</w:t>
                  </w:r>
                </w:p>
              </w:tc>
              <w:tc>
                <w:tcPr>
                  <w:tcW w:w="3026" w:type="dxa"/>
                  <w:shd w:val="clear" w:color="auto" w:fill="auto"/>
                  <w:vAlign w:val="center"/>
                </w:tcPr>
                <w:p>
                  <w:pPr>
                    <w:jc w:val="center"/>
                    <w:rPr>
                      <w:rFonts w:eastAsia="楷体"/>
                      <w:szCs w:val="21"/>
                    </w:rPr>
                  </w:pPr>
                  <w:r>
                    <w:rPr>
                      <w:rFonts w:hint="eastAsia" w:eastAsia="楷体"/>
                      <w:szCs w:val="21"/>
                    </w:rPr>
                    <w:t>2.78</w:t>
                  </w:r>
                </w:p>
              </w:tc>
              <w:tc>
                <w:tcPr>
                  <w:tcW w:w="1103" w:type="dxa"/>
                  <w:shd w:val="clear" w:color="auto" w:fill="auto"/>
                  <w:vAlign w:val="center"/>
                </w:tcPr>
                <w:p>
                  <w:pPr>
                    <w:jc w:val="center"/>
                    <w:rPr>
                      <w:rFonts w:eastAsia="楷体"/>
                      <w:szCs w:val="21"/>
                    </w:rPr>
                  </w:pPr>
                  <w:r>
                    <w:rPr>
                      <w:rFonts w:hint="eastAsia" w:eastAsia="楷体"/>
                      <w:szCs w:val="21"/>
                    </w:rPr>
                    <w:t>15</w:t>
                  </w:r>
                </w:p>
              </w:tc>
              <w:tc>
                <w:tcPr>
                  <w:tcW w:w="3026" w:type="dxa"/>
                  <w:shd w:val="clear" w:color="auto" w:fill="auto"/>
                  <w:vAlign w:val="center"/>
                </w:tcPr>
                <w:p>
                  <w:pPr>
                    <w:jc w:val="center"/>
                    <w:rPr>
                      <w:rFonts w:eastAsia="楷体"/>
                      <w:szCs w:val="21"/>
                    </w:rPr>
                  </w:pPr>
                  <w:r>
                    <w:rPr>
                      <w:rFonts w:eastAsia="楷体"/>
                      <w:szCs w:val="21"/>
                    </w:rPr>
                    <w:t>2.3</w:t>
                  </w:r>
                  <w:r>
                    <w:rPr>
                      <w:rFonts w:hint="eastAsia" w:eastAsia="楷体"/>
                      <w:szCs w:val="21"/>
                    </w:rPr>
                    <w:t>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104" w:type="dxa"/>
                  <w:shd w:val="clear" w:color="auto" w:fill="auto"/>
                  <w:vAlign w:val="center"/>
                </w:tcPr>
                <w:p>
                  <w:pPr>
                    <w:jc w:val="center"/>
                    <w:rPr>
                      <w:rFonts w:eastAsia="楷体"/>
                      <w:szCs w:val="21"/>
                    </w:rPr>
                  </w:pPr>
                  <w:r>
                    <w:rPr>
                      <w:rFonts w:hint="eastAsia" w:eastAsia="楷体"/>
                      <w:szCs w:val="21"/>
                    </w:rPr>
                    <w:t>5</w:t>
                  </w:r>
                </w:p>
              </w:tc>
              <w:tc>
                <w:tcPr>
                  <w:tcW w:w="3026" w:type="dxa"/>
                  <w:shd w:val="clear" w:color="auto" w:fill="auto"/>
                  <w:vAlign w:val="center"/>
                </w:tcPr>
                <w:p>
                  <w:pPr>
                    <w:jc w:val="center"/>
                    <w:rPr>
                      <w:rFonts w:eastAsia="楷体"/>
                      <w:szCs w:val="21"/>
                    </w:rPr>
                  </w:pPr>
                  <w:r>
                    <w:rPr>
                      <w:rFonts w:hint="eastAsia" w:eastAsia="楷体"/>
                      <w:szCs w:val="21"/>
                    </w:rPr>
                    <w:t>4.01</w:t>
                  </w:r>
                </w:p>
              </w:tc>
              <w:tc>
                <w:tcPr>
                  <w:tcW w:w="1103" w:type="dxa"/>
                  <w:shd w:val="clear" w:color="auto" w:fill="auto"/>
                  <w:vAlign w:val="center"/>
                </w:tcPr>
                <w:p>
                  <w:pPr>
                    <w:jc w:val="center"/>
                    <w:rPr>
                      <w:rFonts w:eastAsia="楷体"/>
                      <w:szCs w:val="21"/>
                    </w:rPr>
                  </w:pPr>
                  <w:r>
                    <w:rPr>
                      <w:rFonts w:hint="eastAsia" w:eastAsia="楷体"/>
                      <w:szCs w:val="21"/>
                    </w:rPr>
                    <w:t>16</w:t>
                  </w:r>
                </w:p>
              </w:tc>
              <w:tc>
                <w:tcPr>
                  <w:tcW w:w="3026" w:type="dxa"/>
                  <w:shd w:val="clear" w:color="auto" w:fill="auto"/>
                  <w:vAlign w:val="center"/>
                </w:tcPr>
                <w:p>
                  <w:pPr>
                    <w:jc w:val="center"/>
                    <w:rPr>
                      <w:rFonts w:eastAsia="楷体"/>
                      <w:szCs w:val="21"/>
                    </w:rPr>
                  </w:pPr>
                  <w:r>
                    <w:rPr>
                      <w:rFonts w:eastAsia="楷体"/>
                      <w:szCs w:val="21"/>
                    </w:rPr>
                    <w:t>2.</w:t>
                  </w:r>
                  <w:r>
                    <w:rPr>
                      <w:rFonts w:hint="eastAsia" w:eastAsia="楷体"/>
                      <w:szCs w:val="21"/>
                    </w:rPr>
                    <w:t>91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104" w:type="dxa"/>
                  <w:shd w:val="clear" w:color="auto" w:fill="auto"/>
                  <w:vAlign w:val="center"/>
                </w:tcPr>
                <w:p>
                  <w:pPr>
                    <w:jc w:val="center"/>
                    <w:rPr>
                      <w:rFonts w:eastAsia="楷体"/>
                      <w:szCs w:val="21"/>
                    </w:rPr>
                  </w:pPr>
                  <w:r>
                    <w:rPr>
                      <w:rFonts w:hint="eastAsia" w:eastAsia="楷体"/>
                      <w:szCs w:val="21"/>
                    </w:rPr>
                    <w:t>7</w:t>
                  </w:r>
                </w:p>
              </w:tc>
              <w:tc>
                <w:tcPr>
                  <w:tcW w:w="3026" w:type="dxa"/>
                  <w:shd w:val="clear" w:color="auto" w:fill="auto"/>
                  <w:vAlign w:val="center"/>
                </w:tcPr>
                <w:p>
                  <w:pPr>
                    <w:jc w:val="center"/>
                    <w:rPr>
                      <w:rFonts w:eastAsia="楷体"/>
                      <w:szCs w:val="21"/>
                    </w:rPr>
                  </w:pPr>
                  <w:r>
                    <w:rPr>
                      <w:rFonts w:hint="eastAsia" w:eastAsia="楷体"/>
                      <w:szCs w:val="21"/>
                    </w:rPr>
                    <w:t>3.25</w:t>
                  </w:r>
                </w:p>
              </w:tc>
              <w:tc>
                <w:tcPr>
                  <w:tcW w:w="1103" w:type="dxa"/>
                  <w:shd w:val="clear" w:color="auto" w:fill="auto"/>
                  <w:vAlign w:val="center"/>
                </w:tcPr>
                <w:p>
                  <w:pPr>
                    <w:jc w:val="center"/>
                    <w:rPr>
                      <w:rFonts w:eastAsia="楷体"/>
                      <w:szCs w:val="21"/>
                    </w:rPr>
                  </w:pPr>
                  <w:r>
                    <w:rPr>
                      <w:rFonts w:hint="eastAsia" w:eastAsia="楷体"/>
                      <w:szCs w:val="21"/>
                    </w:rPr>
                    <w:t>1</w:t>
                  </w:r>
                  <w:r>
                    <w:rPr>
                      <w:rFonts w:eastAsia="楷体"/>
                      <w:szCs w:val="21"/>
                    </w:rPr>
                    <w:t>7</w:t>
                  </w:r>
                </w:p>
              </w:tc>
              <w:tc>
                <w:tcPr>
                  <w:tcW w:w="3026" w:type="dxa"/>
                  <w:shd w:val="clear" w:color="auto" w:fill="auto"/>
                  <w:vAlign w:val="center"/>
                </w:tcPr>
                <w:p>
                  <w:pPr>
                    <w:jc w:val="center"/>
                    <w:rPr>
                      <w:rFonts w:eastAsia="楷体"/>
                      <w:szCs w:val="21"/>
                    </w:rPr>
                  </w:pPr>
                  <w:r>
                    <w:rPr>
                      <w:rFonts w:eastAsia="楷体"/>
                      <w:szCs w:val="21"/>
                    </w:rPr>
                    <w:t>3.5</w:t>
                  </w:r>
                  <w:r>
                    <w:rPr>
                      <w:rFonts w:hint="eastAsia" w:eastAsia="楷体"/>
                      <w:szCs w:val="21"/>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104" w:type="dxa"/>
                  <w:shd w:val="clear" w:color="auto" w:fill="auto"/>
                  <w:vAlign w:val="center"/>
                </w:tcPr>
                <w:p>
                  <w:pPr>
                    <w:jc w:val="center"/>
                    <w:rPr>
                      <w:rFonts w:eastAsia="楷体"/>
                      <w:szCs w:val="21"/>
                    </w:rPr>
                  </w:pPr>
                  <w:r>
                    <w:rPr>
                      <w:rFonts w:hint="eastAsia" w:eastAsia="楷体"/>
                      <w:szCs w:val="21"/>
                    </w:rPr>
                    <w:t>9</w:t>
                  </w:r>
                </w:p>
              </w:tc>
              <w:tc>
                <w:tcPr>
                  <w:tcW w:w="3026" w:type="dxa"/>
                  <w:shd w:val="clear" w:color="auto" w:fill="auto"/>
                  <w:vAlign w:val="center"/>
                </w:tcPr>
                <w:p>
                  <w:pPr>
                    <w:jc w:val="center"/>
                    <w:rPr>
                      <w:rFonts w:eastAsia="楷体"/>
                      <w:szCs w:val="21"/>
                    </w:rPr>
                  </w:pPr>
                  <w:r>
                    <w:rPr>
                      <w:rFonts w:eastAsia="楷体"/>
                      <w:szCs w:val="21"/>
                    </w:rPr>
                    <w:t>2.2</w:t>
                  </w:r>
                  <w:r>
                    <w:rPr>
                      <w:rFonts w:hint="eastAsia" w:eastAsia="楷体"/>
                      <w:szCs w:val="21"/>
                    </w:rPr>
                    <w:t>3</w:t>
                  </w:r>
                </w:p>
              </w:tc>
              <w:tc>
                <w:tcPr>
                  <w:tcW w:w="1103" w:type="dxa"/>
                  <w:shd w:val="clear" w:color="auto" w:fill="auto"/>
                  <w:vAlign w:val="center"/>
                </w:tcPr>
                <w:p>
                  <w:pPr>
                    <w:jc w:val="center"/>
                    <w:rPr>
                      <w:rFonts w:eastAsia="楷体"/>
                      <w:szCs w:val="21"/>
                    </w:rPr>
                  </w:pPr>
                  <w:r>
                    <w:rPr>
                      <w:rFonts w:hint="eastAsia" w:eastAsia="楷体"/>
                      <w:szCs w:val="21"/>
                    </w:rPr>
                    <w:t>19</w:t>
                  </w:r>
                </w:p>
              </w:tc>
              <w:tc>
                <w:tcPr>
                  <w:tcW w:w="3026" w:type="dxa"/>
                  <w:shd w:val="clear" w:color="auto" w:fill="auto"/>
                  <w:vAlign w:val="center"/>
                </w:tcPr>
                <w:p>
                  <w:pPr>
                    <w:jc w:val="center"/>
                    <w:rPr>
                      <w:rFonts w:eastAsia="楷体"/>
                      <w:szCs w:val="21"/>
                    </w:rPr>
                  </w:pPr>
                  <w:r>
                    <w:rPr>
                      <w:rFonts w:eastAsia="楷体"/>
                      <w:szCs w:val="21"/>
                    </w:rPr>
                    <w:t>3.4</w:t>
                  </w:r>
                  <w:r>
                    <w:rPr>
                      <w:rFonts w:hint="eastAsia" w:eastAsia="楷体"/>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104" w:type="dxa"/>
                  <w:shd w:val="clear" w:color="auto" w:fill="auto"/>
                  <w:vAlign w:val="center"/>
                </w:tcPr>
                <w:p>
                  <w:pPr>
                    <w:jc w:val="center"/>
                    <w:rPr>
                      <w:rFonts w:eastAsia="楷体"/>
                      <w:szCs w:val="21"/>
                    </w:rPr>
                  </w:pPr>
                  <w:r>
                    <w:rPr>
                      <w:rFonts w:hint="eastAsia" w:eastAsia="楷体"/>
                      <w:szCs w:val="21"/>
                    </w:rPr>
                    <w:t>12</w:t>
                  </w:r>
                </w:p>
              </w:tc>
              <w:tc>
                <w:tcPr>
                  <w:tcW w:w="3026" w:type="dxa"/>
                  <w:shd w:val="clear" w:color="auto" w:fill="auto"/>
                  <w:vAlign w:val="center"/>
                </w:tcPr>
                <w:p>
                  <w:pPr>
                    <w:jc w:val="center"/>
                    <w:rPr>
                      <w:rFonts w:eastAsia="楷体"/>
                      <w:szCs w:val="21"/>
                    </w:rPr>
                  </w:pPr>
                  <w:r>
                    <w:rPr>
                      <w:rFonts w:hint="eastAsia" w:eastAsia="楷体"/>
                      <w:szCs w:val="21"/>
                    </w:rPr>
                    <w:t>3</w:t>
                  </w:r>
                  <w:r>
                    <w:rPr>
                      <w:rFonts w:eastAsia="楷体"/>
                      <w:szCs w:val="21"/>
                    </w:rPr>
                    <w:t>.</w:t>
                  </w:r>
                  <w:r>
                    <w:rPr>
                      <w:rFonts w:hint="eastAsia" w:eastAsia="楷体"/>
                      <w:szCs w:val="21"/>
                    </w:rPr>
                    <w:t>16</w:t>
                  </w:r>
                </w:p>
              </w:tc>
              <w:tc>
                <w:tcPr>
                  <w:tcW w:w="1103" w:type="dxa"/>
                  <w:shd w:val="clear" w:color="auto" w:fill="auto"/>
                  <w:vAlign w:val="center"/>
                </w:tcPr>
                <w:p>
                  <w:pPr>
                    <w:jc w:val="center"/>
                    <w:rPr>
                      <w:rFonts w:eastAsia="楷体"/>
                      <w:szCs w:val="21"/>
                    </w:rPr>
                  </w:pPr>
                  <w:r>
                    <w:rPr>
                      <w:rFonts w:hint="eastAsia" w:eastAsia="楷体"/>
                      <w:szCs w:val="21"/>
                    </w:rPr>
                    <w:t>2</w:t>
                  </w:r>
                  <w:r>
                    <w:rPr>
                      <w:rFonts w:eastAsia="楷体"/>
                      <w:szCs w:val="21"/>
                    </w:rPr>
                    <w:t>0</w:t>
                  </w:r>
                </w:p>
              </w:tc>
              <w:tc>
                <w:tcPr>
                  <w:tcW w:w="3026" w:type="dxa"/>
                  <w:shd w:val="clear" w:color="auto" w:fill="auto"/>
                  <w:vAlign w:val="center"/>
                </w:tcPr>
                <w:p>
                  <w:pPr>
                    <w:jc w:val="center"/>
                    <w:rPr>
                      <w:rFonts w:eastAsia="楷体"/>
                      <w:szCs w:val="21"/>
                    </w:rPr>
                  </w:pPr>
                  <w:r>
                    <w:rPr>
                      <w:rFonts w:hint="eastAsia" w:eastAsia="楷体"/>
                      <w:szCs w:val="21"/>
                    </w:rPr>
                    <w:t>3.05</w:t>
                  </w:r>
                </w:p>
              </w:tc>
            </w:tr>
          </w:tbl>
          <w:p>
            <w:pPr>
              <w:spacing w:line="360" w:lineRule="auto"/>
              <w:ind w:firstLine="482"/>
              <w:textAlignment w:val="center"/>
              <w:rPr>
                <w:b/>
                <w:sz w:val="24"/>
              </w:rPr>
            </w:pPr>
            <w:r>
              <w:rPr>
                <w:rFonts w:hint="eastAsia"/>
                <w:b/>
                <w:sz w:val="24"/>
              </w:rPr>
              <w:t>4.1</w:t>
            </w:r>
            <w:r>
              <w:rPr>
                <w:b/>
                <w:sz w:val="24"/>
              </w:rPr>
              <w:t xml:space="preserve">.4.5 浮游植物调查结果与评价 </w:t>
            </w:r>
          </w:p>
          <w:p>
            <w:pPr>
              <w:spacing w:line="360" w:lineRule="auto"/>
              <w:ind w:firstLine="482"/>
              <w:textAlignment w:val="center"/>
              <w:rPr>
                <w:sz w:val="24"/>
              </w:rPr>
            </w:pPr>
            <w:r>
              <w:rPr>
                <w:sz w:val="24"/>
              </w:rPr>
              <w:t>(1) 种类组成</w:t>
            </w:r>
          </w:p>
          <w:p>
            <w:pPr>
              <w:spacing w:line="360" w:lineRule="auto"/>
              <w:ind w:firstLine="482"/>
              <w:textAlignment w:val="center"/>
              <w:rPr>
                <w:sz w:val="24"/>
              </w:rPr>
            </w:pPr>
            <w:r>
              <w:rPr>
                <w:sz w:val="24"/>
              </w:rPr>
              <w:t>根据调查所采集到的样品，调查海域共鉴定浮游植物2门</w:t>
            </w:r>
            <w:r>
              <w:rPr>
                <w:rFonts w:hint="eastAsia"/>
                <w:sz w:val="24"/>
              </w:rPr>
              <w:t>4</w:t>
            </w:r>
            <w:r>
              <w:rPr>
                <w:sz w:val="24"/>
              </w:rPr>
              <w:t>8种(属)</w:t>
            </w:r>
            <w:r>
              <w:rPr>
                <w:rFonts w:hint="eastAsia"/>
                <w:sz w:val="24"/>
              </w:rPr>
              <w:t xml:space="preserve"> </w:t>
            </w:r>
            <w:r>
              <w:rPr>
                <w:sz w:val="24"/>
              </w:rPr>
              <w:t>(种类名录见表</w:t>
            </w:r>
            <w:r>
              <w:rPr>
                <w:rFonts w:hint="eastAsia"/>
                <w:sz w:val="24"/>
              </w:rPr>
              <w:t>4.1</w:t>
            </w:r>
            <w:r>
              <w:rPr>
                <w:sz w:val="24"/>
              </w:rPr>
              <w:t>.</w:t>
            </w:r>
            <w:r>
              <w:rPr>
                <w:rFonts w:hint="eastAsia"/>
                <w:sz w:val="24"/>
              </w:rPr>
              <w:t>4-4</w:t>
            </w:r>
            <w:r>
              <w:rPr>
                <w:sz w:val="24"/>
              </w:rPr>
              <w:t>)。其中，硅藻</w:t>
            </w:r>
            <w:r>
              <w:rPr>
                <w:rFonts w:hint="eastAsia"/>
                <w:sz w:val="24"/>
              </w:rPr>
              <w:t>3</w:t>
            </w:r>
            <w:r>
              <w:rPr>
                <w:sz w:val="24"/>
              </w:rPr>
              <w:t>9种(属)，占浮游植物种类数的81.2%；甲藻9种(属)，占种类数的18.8%； (见图</w:t>
            </w:r>
            <w:r>
              <w:rPr>
                <w:rFonts w:hint="eastAsia"/>
                <w:sz w:val="24"/>
              </w:rPr>
              <w:t>4.1</w:t>
            </w:r>
            <w:r>
              <w:rPr>
                <w:sz w:val="24"/>
              </w:rPr>
              <w:t>.</w:t>
            </w:r>
            <w:r>
              <w:rPr>
                <w:rFonts w:hint="eastAsia"/>
                <w:sz w:val="24"/>
              </w:rPr>
              <w:t>4-1</w:t>
            </w:r>
            <w:r>
              <w:rPr>
                <w:sz w:val="24"/>
              </w:rPr>
              <w:t>)。</w:t>
            </w:r>
          </w:p>
          <w:p>
            <w:pPr>
              <w:autoSpaceDE w:val="0"/>
              <w:autoSpaceDN w:val="0"/>
              <w:spacing w:line="360" w:lineRule="auto"/>
              <w:ind w:firstLine="480"/>
              <w:jc w:val="center"/>
            </w:pPr>
            <w:r>
              <w:drawing>
                <wp:inline distT="0" distB="0" distL="0" distR="0">
                  <wp:extent cx="4954905" cy="3545205"/>
                  <wp:effectExtent l="0" t="0" r="17145" b="1714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pPr>
              <w:pStyle w:val="279"/>
              <w:snapToGrid w:val="0"/>
              <w:ind w:firstLine="480"/>
              <w:rPr>
                <w:lang w:val="zh-CN"/>
              </w:rPr>
            </w:pPr>
            <w:r>
              <w:rPr>
                <w:szCs w:val="21"/>
              </w:rPr>
              <w:t>图</w:t>
            </w:r>
            <w:r>
              <w:rPr>
                <w:rFonts w:hint="eastAsia"/>
                <w:szCs w:val="21"/>
              </w:rPr>
              <w:t>4.1</w:t>
            </w:r>
            <w:r>
              <w:rPr>
                <w:szCs w:val="21"/>
              </w:rPr>
              <w:t>.</w:t>
            </w:r>
            <w:r>
              <w:rPr>
                <w:rFonts w:hint="eastAsia"/>
                <w:szCs w:val="21"/>
              </w:rPr>
              <w:t>4-1</w:t>
            </w:r>
            <w:r>
              <w:rPr>
                <w:szCs w:val="21"/>
              </w:rPr>
              <w:t xml:space="preserve">  浮游植物种类组成</w:t>
            </w:r>
          </w:p>
          <w:p>
            <w:pPr>
              <w:autoSpaceDE w:val="0"/>
              <w:autoSpaceDN w:val="0"/>
              <w:spacing w:line="360" w:lineRule="auto"/>
              <w:ind w:firstLine="482"/>
              <w:rPr>
                <w:sz w:val="24"/>
                <w:lang w:val="zh-CN"/>
              </w:rPr>
            </w:pPr>
            <w:r>
              <w:rPr>
                <w:sz w:val="24"/>
                <w:lang w:val="zh-CN"/>
              </w:rPr>
              <w:t>(2) 细胞密度</w:t>
            </w:r>
          </w:p>
          <w:p>
            <w:pPr>
              <w:autoSpaceDE w:val="0"/>
              <w:autoSpaceDN w:val="0"/>
              <w:spacing w:line="360" w:lineRule="auto"/>
              <w:ind w:firstLine="482"/>
              <w:rPr>
                <w:lang w:val="zh-CN"/>
              </w:rPr>
            </w:pPr>
            <w:r>
              <w:rPr>
                <w:rFonts w:hint="eastAsia"/>
                <w:sz w:val="24"/>
                <w:lang w:val="zh-CN"/>
              </w:rPr>
              <w:t>12</w:t>
            </w:r>
            <w:r>
              <w:rPr>
                <w:sz w:val="24"/>
                <w:lang w:val="zh-CN"/>
              </w:rPr>
              <w:t>个站位的浮游</w:t>
            </w:r>
            <w:r>
              <w:rPr>
                <w:rFonts w:hint="eastAsia"/>
                <w:sz w:val="24"/>
                <w:lang w:val="zh-CN"/>
              </w:rPr>
              <w:t>植</w:t>
            </w:r>
            <w:r>
              <w:rPr>
                <w:sz w:val="24"/>
                <w:lang w:val="zh-CN"/>
              </w:rPr>
              <w:t>物平均密度为66.83×10</w:t>
            </w:r>
            <w:r>
              <w:rPr>
                <w:rFonts w:hint="eastAsia"/>
                <w:sz w:val="24"/>
                <w:vertAlign w:val="superscript"/>
                <w:lang w:val="zh-CN"/>
              </w:rPr>
              <w:t>4</w:t>
            </w:r>
            <w:r>
              <w:rPr>
                <w:sz w:val="24"/>
                <w:lang w:val="zh-CN"/>
              </w:rPr>
              <w:t xml:space="preserve"> cells/m</w:t>
            </w:r>
            <w:r>
              <w:rPr>
                <w:sz w:val="24"/>
                <w:vertAlign w:val="superscript"/>
                <w:lang w:val="zh-CN"/>
              </w:rPr>
              <w:t>3</w:t>
            </w:r>
            <w:r>
              <w:rPr>
                <w:sz w:val="24"/>
                <w:lang w:val="zh-CN"/>
              </w:rPr>
              <w:t>，密度的变化范围很大，29.11</w:t>
            </w:r>
            <w:r>
              <w:rPr>
                <w:rFonts w:hint="eastAsia"/>
                <w:sz w:val="24"/>
                <w:lang w:val="zh-CN"/>
              </w:rPr>
              <w:t>~</w:t>
            </w:r>
            <w:r>
              <w:rPr>
                <w:sz w:val="24"/>
                <w:lang w:val="zh-CN"/>
              </w:rPr>
              <w:t>144.98×10</w:t>
            </w:r>
            <w:r>
              <w:rPr>
                <w:rFonts w:hint="eastAsia"/>
                <w:sz w:val="24"/>
                <w:vertAlign w:val="superscript"/>
                <w:lang w:val="zh-CN"/>
              </w:rPr>
              <w:t>4</w:t>
            </w:r>
            <w:r>
              <w:rPr>
                <w:sz w:val="24"/>
                <w:lang w:val="zh-CN"/>
              </w:rPr>
              <w:t xml:space="preserve"> cells/m</w:t>
            </w:r>
            <w:r>
              <w:rPr>
                <w:sz w:val="24"/>
                <w:vertAlign w:val="superscript"/>
                <w:lang w:val="zh-CN"/>
              </w:rPr>
              <w:t>3</w:t>
            </w:r>
            <w:r>
              <w:rPr>
                <w:rFonts w:hint="eastAsia"/>
                <w:sz w:val="24"/>
                <w:lang w:val="zh-CN"/>
              </w:rPr>
              <w:t>。其中，以</w:t>
            </w:r>
            <w:r>
              <w:rPr>
                <w:sz w:val="24"/>
                <w:lang w:val="zh-CN"/>
              </w:rPr>
              <w:t>13</w:t>
            </w:r>
            <w:r>
              <w:rPr>
                <w:rFonts w:hint="eastAsia"/>
                <w:sz w:val="24"/>
                <w:lang w:val="zh-CN"/>
              </w:rPr>
              <w:t>号站浮游植物丰度最高，达到</w:t>
            </w:r>
            <w:r>
              <w:rPr>
                <w:sz w:val="24"/>
                <w:lang w:val="zh-CN"/>
              </w:rPr>
              <w:t>144.98×10</w:t>
            </w:r>
            <w:r>
              <w:rPr>
                <w:rFonts w:hint="eastAsia"/>
                <w:sz w:val="24"/>
                <w:vertAlign w:val="superscript"/>
                <w:lang w:val="zh-CN"/>
              </w:rPr>
              <w:t>4</w:t>
            </w:r>
            <w:r>
              <w:rPr>
                <w:sz w:val="24"/>
                <w:lang w:val="zh-CN"/>
              </w:rPr>
              <w:t xml:space="preserve"> cells/m</w:t>
            </w:r>
            <w:r>
              <w:rPr>
                <w:sz w:val="24"/>
                <w:vertAlign w:val="superscript"/>
                <w:lang w:val="zh-CN"/>
              </w:rPr>
              <w:t>3</w:t>
            </w:r>
            <w:r>
              <w:rPr>
                <w:rFonts w:hint="eastAsia"/>
                <w:sz w:val="24"/>
                <w:lang w:val="zh-CN"/>
              </w:rPr>
              <w:t>。</w:t>
            </w:r>
            <w:r>
              <w:rPr>
                <w:sz w:val="24"/>
                <w:lang w:val="zh-CN"/>
              </w:rPr>
              <w:t>5</w:t>
            </w:r>
            <w:r>
              <w:rPr>
                <w:rFonts w:hint="eastAsia"/>
                <w:sz w:val="24"/>
                <w:lang w:val="zh-CN"/>
              </w:rPr>
              <w:t>号站位值最低，为</w:t>
            </w:r>
            <w:r>
              <w:rPr>
                <w:sz w:val="24"/>
                <w:lang w:val="zh-CN"/>
              </w:rPr>
              <w:t>29.11×10</w:t>
            </w:r>
            <w:r>
              <w:rPr>
                <w:rFonts w:hint="eastAsia"/>
                <w:sz w:val="24"/>
                <w:vertAlign w:val="superscript"/>
                <w:lang w:val="zh-CN"/>
              </w:rPr>
              <w:t>4</w:t>
            </w:r>
            <w:r>
              <w:rPr>
                <w:sz w:val="24"/>
                <w:lang w:val="zh-CN"/>
              </w:rPr>
              <w:t xml:space="preserve"> cells/m</w:t>
            </w:r>
            <w:r>
              <w:rPr>
                <w:sz w:val="24"/>
                <w:vertAlign w:val="superscript"/>
                <w:lang w:val="zh-CN"/>
              </w:rPr>
              <w:t>3</w:t>
            </w:r>
            <w:r>
              <w:rPr>
                <w:rFonts w:hint="eastAsia"/>
                <w:sz w:val="24"/>
                <w:lang w:val="zh-CN"/>
              </w:rPr>
              <w:t>。12个站位的</w:t>
            </w:r>
            <w:r>
              <w:rPr>
                <w:sz w:val="24"/>
                <w:lang w:val="zh-CN"/>
              </w:rPr>
              <w:t>浮游</w:t>
            </w:r>
            <w:r>
              <w:rPr>
                <w:rFonts w:hint="eastAsia"/>
                <w:sz w:val="24"/>
                <w:lang w:val="zh-CN"/>
              </w:rPr>
              <w:t>植</w:t>
            </w:r>
            <w:r>
              <w:rPr>
                <w:sz w:val="24"/>
                <w:lang w:val="zh-CN"/>
              </w:rPr>
              <w:t>物种类</w:t>
            </w:r>
            <w:r>
              <w:rPr>
                <w:rFonts w:hint="eastAsia"/>
                <w:sz w:val="24"/>
                <w:lang w:val="zh-CN"/>
              </w:rPr>
              <w:t>数的</w:t>
            </w:r>
            <w:r>
              <w:rPr>
                <w:sz w:val="24"/>
                <w:lang w:val="zh-CN"/>
              </w:rPr>
              <w:t>平均</w:t>
            </w:r>
            <w:r>
              <w:rPr>
                <w:rFonts w:hint="eastAsia"/>
                <w:sz w:val="24"/>
                <w:lang w:val="zh-CN"/>
              </w:rPr>
              <w:t>值</w:t>
            </w:r>
            <w:r>
              <w:rPr>
                <w:sz w:val="24"/>
                <w:lang w:val="zh-CN"/>
              </w:rPr>
              <w:t>为17种，</w:t>
            </w:r>
            <w:r>
              <w:rPr>
                <w:rFonts w:hint="eastAsia"/>
                <w:sz w:val="24"/>
                <w:lang w:val="zh-CN"/>
              </w:rPr>
              <w:t>种类数变化大，最高值出现在</w:t>
            </w:r>
            <w:r>
              <w:rPr>
                <w:sz w:val="24"/>
                <w:lang w:val="zh-CN"/>
              </w:rPr>
              <w:t>14</w:t>
            </w:r>
            <w:r>
              <w:rPr>
                <w:rFonts w:hint="eastAsia"/>
                <w:sz w:val="24"/>
                <w:lang w:val="zh-CN"/>
              </w:rPr>
              <w:t>号站，为23种，最低值出现在1</w:t>
            </w:r>
            <w:r>
              <w:rPr>
                <w:sz w:val="24"/>
                <w:lang w:val="zh-CN"/>
              </w:rPr>
              <w:t>6</w:t>
            </w:r>
            <w:r>
              <w:rPr>
                <w:rFonts w:hint="eastAsia"/>
                <w:sz w:val="24"/>
                <w:lang w:val="zh-CN"/>
              </w:rPr>
              <w:t>站，为</w:t>
            </w:r>
            <w:r>
              <w:rPr>
                <w:sz w:val="24"/>
                <w:lang w:val="zh-CN"/>
              </w:rPr>
              <w:t>11</w:t>
            </w:r>
            <w:r>
              <w:rPr>
                <w:rFonts w:hint="eastAsia"/>
                <w:sz w:val="24"/>
                <w:lang w:val="zh-CN"/>
              </w:rPr>
              <w:t>种（</w:t>
            </w:r>
            <w:r>
              <w:rPr>
                <w:sz w:val="24"/>
                <w:lang w:val="zh-CN"/>
              </w:rPr>
              <w:t>见表</w:t>
            </w:r>
            <w:r>
              <w:rPr>
                <w:rFonts w:hint="eastAsia"/>
                <w:sz w:val="24"/>
                <w:lang w:val="zh-CN"/>
              </w:rPr>
              <w:t>4.1.4-2）。</w:t>
            </w:r>
          </w:p>
          <w:p>
            <w:pPr>
              <w:pStyle w:val="279"/>
              <w:snapToGrid w:val="0"/>
              <w:spacing w:line="360" w:lineRule="auto"/>
              <w:ind w:firstLine="480"/>
              <w:rPr>
                <w:b/>
                <w:bCs/>
                <w:lang w:val="zh-CN"/>
              </w:rPr>
            </w:pPr>
            <w:r>
              <w:rPr>
                <w:szCs w:val="21"/>
              </w:rPr>
              <w:t>表</w:t>
            </w:r>
            <w:r>
              <w:rPr>
                <w:rFonts w:hint="eastAsia"/>
                <w:szCs w:val="21"/>
              </w:rPr>
              <w:t>4.1</w:t>
            </w:r>
            <w:r>
              <w:rPr>
                <w:szCs w:val="21"/>
              </w:rPr>
              <w:t>.</w:t>
            </w:r>
            <w:r>
              <w:rPr>
                <w:rFonts w:hint="eastAsia"/>
                <w:szCs w:val="21"/>
              </w:rPr>
              <w:t>4-2</w:t>
            </w:r>
            <w:r>
              <w:rPr>
                <w:szCs w:val="21"/>
              </w:rPr>
              <w:t xml:space="preserve">  </w:t>
            </w:r>
            <w:r>
              <w:rPr>
                <w:rFonts w:hint="eastAsia"/>
                <w:szCs w:val="21"/>
              </w:rPr>
              <w:t>12</w:t>
            </w:r>
            <w:r>
              <w:rPr>
                <w:szCs w:val="21"/>
              </w:rPr>
              <w:t>个站位浮游植物的种类、密度</w:t>
            </w:r>
          </w:p>
          <w:tbl>
            <w:tblPr>
              <w:tblStyle w:val="88"/>
              <w:tblW w:w="6434"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73"/>
              <w:gridCol w:w="1912"/>
              <w:gridCol w:w="334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PrEx>
              <w:trPr>
                <w:trHeight w:val="206" w:hRule="atLeast"/>
                <w:jc w:val="center"/>
              </w:trPr>
              <w:tc>
                <w:tcPr>
                  <w:tcW w:w="1173" w:type="dxa"/>
                  <w:shd w:val="clear" w:color="auto" w:fill="auto"/>
                  <w:vAlign w:val="bottom"/>
                </w:tcPr>
                <w:p>
                  <w:pPr>
                    <w:widowControl/>
                    <w:jc w:val="center"/>
                    <w:rPr>
                      <w:b/>
                      <w:bCs/>
                      <w:szCs w:val="21"/>
                    </w:rPr>
                  </w:pPr>
                  <w:r>
                    <w:rPr>
                      <w:b/>
                      <w:bCs/>
                      <w:szCs w:val="21"/>
                    </w:rPr>
                    <w:t>站位</w:t>
                  </w:r>
                </w:p>
              </w:tc>
              <w:tc>
                <w:tcPr>
                  <w:tcW w:w="1912" w:type="dxa"/>
                  <w:shd w:val="clear" w:color="auto" w:fill="auto"/>
                  <w:vAlign w:val="bottom"/>
                </w:tcPr>
                <w:p>
                  <w:pPr>
                    <w:widowControl/>
                    <w:jc w:val="center"/>
                    <w:rPr>
                      <w:b/>
                      <w:bCs/>
                      <w:szCs w:val="21"/>
                    </w:rPr>
                  </w:pPr>
                  <w:r>
                    <w:rPr>
                      <w:b/>
                      <w:bCs/>
                      <w:szCs w:val="21"/>
                    </w:rPr>
                    <w:t>种类数</w:t>
                  </w:r>
                </w:p>
              </w:tc>
              <w:tc>
                <w:tcPr>
                  <w:tcW w:w="3349" w:type="dxa"/>
                  <w:shd w:val="clear" w:color="auto" w:fill="auto"/>
                  <w:vAlign w:val="bottom"/>
                </w:tcPr>
                <w:p>
                  <w:pPr>
                    <w:widowControl/>
                    <w:jc w:val="center"/>
                    <w:rPr>
                      <w:b/>
                      <w:bCs/>
                      <w:szCs w:val="21"/>
                    </w:rPr>
                  </w:pPr>
                  <w:r>
                    <w:rPr>
                      <w:b/>
                      <w:bCs/>
                      <w:szCs w:val="21"/>
                    </w:rPr>
                    <w:t>密度(×10</w:t>
                  </w:r>
                  <w:r>
                    <w:rPr>
                      <w:b/>
                      <w:bCs/>
                      <w:szCs w:val="21"/>
                      <w:vertAlign w:val="superscript"/>
                    </w:rPr>
                    <w:t>4</w:t>
                  </w:r>
                  <w:r>
                    <w:rPr>
                      <w:b/>
                      <w:bCs/>
                      <w:szCs w:val="21"/>
                    </w:rPr>
                    <w:t>cells/m</w:t>
                  </w:r>
                  <w:r>
                    <w:rPr>
                      <w:b/>
                      <w:bCs/>
                      <w:szCs w:val="21"/>
                      <w:vertAlign w:val="superscript"/>
                    </w:rPr>
                    <w:t>3</w:t>
                  </w:r>
                  <w:r>
                    <w:rPr>
                      <w:b/>
                      <w:bCs/>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PrEx>
              <w:trPr>
                <w:trHeight w:val="241" w:hRule="atLeast"/>
                <w:jc w:val="center"/>
              </w:trPr>
              <w:tc>
                <w:tcPr>
                  <w:tcW w:w="1173" w:type="dxa"/>
                  <w:shd w:val="clear" w:color="auto" w:fill="auto"/>
                  <w:noWrap/>
                  <w:vAlign w:val="bottom"/>
                </w:tcPr>
                <w:p>
                  <w:pPr>
                    <w:widowControl/>
                    <w:jc w:val="center"/>
                    <w:rPr>
                      <w:szCs w:val="21"/>
                    </w:rPr>
                  </w:pPr>
                  <w:r>
                    <w:rPr>
                      <w:szCs w:val="21"/>
                    </w:rPr>
                    <w:t xml:space="preserve">1 </w:t>
                  </w:r>
                </w:p>
              </w:tc>
              <w:tc>
                <w:tcPr>
                  <w:tcW w:w="1912" w:type="dxa"/>
                  <w:shd w:val="clear" w:color="auto" w:fill="auto"/>
                  <w:noWrap/>
                  <w:vAlign w:val="bottom"/>
                </w:tcPr>
                <w:p>
                  <w:pPr>
                    <w:widowControl/>
                    <w:jc w:val="center"/>
                    <w:rPr>
                      <w:szCs w:val="21"/>
                    </w:rPr>
                  </w:pPr>
                  <w:r>
                    <w:rPr>
                      <w:szCs w:val="21"/>
                    </w:rPr>
                    <w:t xml:space="preserve">17 </w:t>
                  </w:r>
                </w:p>
              </w:tc>
              <w:tc>
                <w:tcPr>
                  <w:tcW w:w="3349" w:type="dxa"/>
                  <w:shd w:val="clear" w:color="auto" w:fill="auto"/>
                  <w:noWrap/>
                  <w:vAlign w:val="bottom"/>
                </w:tcPr>
                <w:p>
                  <w:pPr>
                    <w:widowControl/>
                    <w:jc w:val="center"/>
                    <w:rPr>
                      <w:szCs w:val="21"/>
                    </w:rPr>
                  </w:pPr>
                  <w:r>
                    <w:rPr>
                      <w:szCs w:val="21"/>
                    </w:rPr>
                    <w:t xml:space="preserve">29.44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4 </w:t>
                  </w:r>
                </w:p>
              </w:tc>
              <w:tc>
                <w:tcPr>
                  <w:tcW w:w="1912" w:type="dxa"/>
                  <w:shd w:val="clear" w:color="auto" w:fill="auto"/>
                  <w:noWrap/>
                  <w:vAlign w:val="bottom"/>
                </w:tcPr>
                <w:p>
                  <w:pPr>
                    <w:widowControl/>
                    <w:jc w:val="center"/>
                    <w:rPr>
                      <w:szCs w:val="21"/>
                    </w:rPr>
                  </w:pPr>
                  <w:r>
                    <w:rPr>
                      <w:szCs w:val="21"/>
                    </w:rPr>
                    <w:t xml:space="preserve">14 </w:t>
                  </w:r>
                </w:p>
              </w:tc>
              <w:tc>
                <w:tcPr>
                  <w:tcW w:w="3349" w:type="dxa"/>
                  <w:shd w:val="clear" w:color="auto" w:fill="auto"/>
                  <w:noWrap/>
                  <w:vAlign w:val="bottom"/>
                </w:tcPr>
                <w:p>
                  <w:pPr>
                    <w:widowControl/>
                    <w:jc w:val="center"/>
                    <w:rPr>
                      <w:szCs w:val="21"/>
                    </w:rPr>
                  </w:pPr>
                  <w:r>
                    <w:rPr>
                      <w:szCs w:val="21"/>
                    </w:rPr>
                    <w:t xml:space="preserve">31.32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5 </w:t>
                  </w:r>
                </w:p>
              </w:tc>
              <w:tc>
                <w:tcPr>
                  <w:tcW w:w="1912" w:type="dxa"/>
                  <w:shd w:val="clear" w:color="auto" w:fill="auto"/>
                  <w:noWrap/>
                  <w:vAlign w:val="bottom"/>
                </w:tcPr>
                <w:p>
                  <w:pPr>
                    <w:widowControl/>
                    <w:jc w:val="center"/>
                    <w:rPr>
                      <w:szCs w:val="21"/>
                    </w:rPr>
                  </w:pPr>
                  <w:r>
                    <w:rPr>
                      <w:szCs w:val="21"/>
                    </w:rPr>
                    <w:t xml:space="preserve">17 </w:t>
                  </w:r>
                </w:p>
              </w:tc>
              <w:tc>
                <w:tcPr>
                  <w:tcW w:w="3349" w:type="dxa"/>
                  <w:shd w:val="clear" w:color="auto" w:fill="auto"/>
                  <w:noWrap/>
                  <w:vAlign w:val="bottom"/>
                </w:tcPr>
                <w:p>
                  <w:pPr>
                    <w:widowControl/>
                    <w:jc w:val="center"/>
                    <w:rPr>
                      <w:szCs w:val="21"/>
                    </w:rPr>
                  </w:pPr>
                  <w:r>
                    <w:rPr>
                      <w:szCs w:val="21"/>
                    </w:rPr>
                    <w:t xml:space="preserve">29.11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7 </w:t>
                  </w:r>
                </w:p>
              </w:tc>
              <w:tc>
                <w:tcPr>
                  <w:tcW w:w="1912" w:type="dxa"/>
                  <w:shd w:val="clear" w:color="auto" w:fill="auto"/>
                  <w:noWrap/>
                  <w:vAlign w:val="bottom"/>
                </w:tcPr>
                <w:p>
                  <w:pPr>
                    <w:widowControl/>
                    <w:jc w:val="center"/>
                    <w:rPr>
                      <w:szCs w:val="21"/>
                    </w:rPr>
                  </w:pPr>
                  <w:r>
                    <w:rPr>
                      <w:szCs w:val="21"/>
                    </w:rPr>
                    <w:t xml:space="preserve">20 </w:t>
                  </w:r>
                </w:p>
              </w:tc>
              <w:tc>
                <w:tcPr>
                  <w:tcW w:w="3349" w:type="dxa"/>
                  <w:shd w:val="clear" w:color="auto" w:fill="auto"/>
                  <w:noWrap/>
                  <w:vAlign w:val="bottom"/>
                </w:tcPr>
                <w:p>
                  <w:pPr>
                    <w:widowControl/>
                    <w:jc w:val="center"/>
                    <w:rPr>
                      <w:szCs w:val="21"/>
                    </w:rPr>
                  </w:pPr>
                  <w:r>
                    <w:rPr>
                      <w:szCs w:val="21"/>
                    </w:rPr>
                    <w:t xml:space="preserve">43.28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9 </w:t>
                  </w:r>
                </w:p>
              </w:tc>
              <w:tc>
                <w:tcPr>
                  <w:tcW w:w="1912" w:type="dxa"/>
                  <w:shd w:val="clear" w:color="auto" w:fill="auto"/>
                  <w:noWrap/>
                  <w:vAlign w:val="bottom"/>
                </w:tcPr>
                <w:p>
                  <w:pPr>
                    <w:widowControl/>
                    <w:jc w:val="center"/>
                    <w:rPr>
                      <w:szCs w:val="21"/>
                    </w:rPr>
                  </w:pPr>
                  <w:r>
                    <w:rPr>
                      <w:szCs w:val="21"/>
                    </w:rPr>
                    <w:t xml:space="preserve">13 </w:t>
                  </w:r>
                </w:p>
              </w:tc>
              <w:tc>
                <w:tcPr>
                  <w:tcW w:w="3349" w:type="dxa"/>
                  <w:shd w:val="clear" w:color="auto" w:fill="auto"/>
                  <w:noWrap/>
                  <w:vAlign w:val="bottom"/>
                </w:tcPr>
                <w:p>
                  <w:pPr>
                    <w:widowControl/>
                    <w:jc w:val="center"/>
                    <w:rPr>
                      <w:szCs w:val="21"/>
                    </w:rPr>
                  </w:pPr>
                  <w:r>
                    <w:rPr>
                      <w:szCs w:val="21"/>
                    </w:rPr>
                    <w:t xml:space="preserve">71.86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13 </w:t>
                  </w:r>
                </w:p>
              </w:tc>
              <w:tc>
                <w:tcPr>
                  <w:tcW w:w="1912" w:type="dxa"/>
                  <w:shd w:val="clear" w:color="auto" w:fill="auto"/>
                  <w:noWrap/>
                  <w:vAlign w:val="bottom"/>
                </w:tcPr>
                <w:p>
                  <w:pPr>
                    <w:widowControl/>
                    <w:jc w:val="center"/>
                    <w:rPr>
                      <w:szCs w:val="21"/>
                    </w:rPr>
                  </w:pPr>
                  <w:r>
                    <w:rPr>
                      <w:szCs w:val="21"/>
                    </w:rPr>
                    <w:t xml:space="preserve">17 </w:t>
                  </w:r>
                </w:p>
              </w:tc>
              <w:tc>
                <w:tcPr>
                  <w:tcW w:w="3349" w:type="dxa"/>
                  <w:shd w:val="clear" w:color="auto" w:fill="auto"/>
                  <w:noWrap/>
                  <w:vAlign w:val="bottom"/>
                </w:tcPr>
                <w:p>
                  <w:pPr>
                    <w:widowControl/>
                    <w:jc w:val="center"/>
                    <w:rPr>
                      <w:szCs w:val="21"/>
                    </w:rPr>
                  </w:pPr>
                  <w:r>
                    <w:rPr>
                      <w:szCs w:val="21"/>
                    </w:rPr>
                    <w:t xml:space="preserve">144.98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14 </w:t>
                  </w:r>
                </w:p>
              </w:tc>
              <w:tc>
                <w:tcPr>
                  <w:tcW w:w="1912" w:type="dxa"/>
                  <w:shd w:val="clear" w:color="auto" w:fill="auto"/>
                  <w:noWrap/>
                  <w:vAlign w:val="bottom"/>
                </w:tcPr>
                <w:p>
                  <w:pPr>
                    <w:widowControl/>
                    <w:jc w:val="center"/>
                    <w:rPr>
                      <w:szCs w:val="21"/>
                    </w:rPr>
                  </w:pPr>
                  <w:r>
                    <w:rPr>
                      <w:szCs w:val="21"/>
                    </w:rPr>
                    <w:t xml:space="preserve">23 </w:t>
                  </w:r>
                </w:p>
              </w:tc>
              <w:tc>
                <w:tcPr>
                  <w:tcW w:w="3349" w:type="dxa"/>
                  <w:shd w:val="clear" w:color="auto" w:fill="auto"/>
                  <w:noWrap/>
                  <w:vAlign w:val="bottom"/>
                </w:tcPr>
                <w:p>
                  <w:pPr>
                    <w:widowControl/>
                    <w:jc w:val="center"/>
                    <w:rPr>
                      <w:szCs w:val="21"/>
                    </w:rPr>
                  </w:pPr>
                  <w:r>
                    <w:rPr>
                      <w:szCs w:val="21"/>
                    </w:rPr>
                    <w:t xml:space="preserve">75.90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15 </w:t>
                  </w:r>
                </w:p>
              </w:tc>
              <w:tc>
                <w:tcPr>
                  <w:tcW w:w="1912" w:type="dxa"/>
                  <w:shd w:val="clear" w:color="auto" w:fill="auto"/>
                  <w:noWrap/>
                  <w:vAlign w:val="bottom"/>
                </w:tcPr>
                <w:p>
                  <w:pPr>
                    <w:widowControl/>
                    <w:jc w:val="center"/>
                    <w:rPr>
                      <w:szCs w:val="21"/>
                    </w:rPr>
                  </w:pPr>
                  <w:r>
                    <w:rPr>
                      <w:szCs w:val="21"/>
                    </w:rPr>
                    <w:t xml:space="preserve">18 </w:t>
                  </w:r>
                </w:p>
              </w:tc>
              <w:tc>
                <w:tcPr>
                  <w:tcW w:w="3349" w:type="dxa"/>
                  <w:shd w:val="clear" w:color="auto" w:fill="auto"/>
                  <w:noWrap/>
                  <w:vAlign w:val="bottom"/>
                </w:tcPr>
                <w:p>
                  <w:pPr>
                    <w:widowControl/>
                    <w:jc w:val="center"/>
                    <w:rPr>
                      <w:szCs w:val="21"/>
                    </w:rPr>
                  </w:pPr>
                  <w:r>
                    <w:rPr>
                      <w:szCs w:val="21"/>
                    </w:rPr>
                    <w:t xml:space="preserve">81.43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16 </w:t>
                  </w:r>
                </w:p>
              </w:tc>
              <w:tc>
                <w:tcPr>
                  <w:tcW w:w="1912" w:type="dxa"/>
                  <w:shd w:val="clear" w:color="auto" w:fill="auto"/>
                  <w:noWrap/>
                  <w:vAlign w:val="bottom"/>
                </w:tcPr>
                <w:p>
                  <w:pPr>
                    <w:widowControl/>
                    <w:jc w:val="center"/>
                    <w:rPr>
                      <w:szCs w:val="21"/>
                    </w:rPr>
                  </w:pPr>
                  <w:r>
                    <w:rPr>
                      <w:szCs w:val="21"/>
                    </w:rPr>
                    <w:t xml:space="preserve">11 </w:t>
                  </w:r>
                </w:p>
              </w:tc>
              <w:tc>
                <w:tcPr>
                  <w:tcW w:w="3349" w:type="dxa"/>
                  <w:shd w:val="clear" w:color="auto" w:fill="auto"/>
                  <w:noWrap/>
                  <w:vAlign w:val="bottom"/>
                </w:tcPr>
                <w:p>
                  <w:pPr>
                    <w:widowControl/>
                    <w:jc w:val="center"/>
                    <w:rPr>
                      <w:szCs w:val="21"/>
                    </w:rPr>
                  </w:pPr>
                  <w:r>
                    <w:rPr>
                      <w:szCs w:val="21"/>
                    </w:rPr>
                    <w:t xml:space="preserve">93.44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17 </w:t>
                  </w:r>
                </w:p>
              </w:tc>
              <w:tc>
                <w:tcPr>
                  <w:tcW w:w="1912" w:type="dxa"/>
                  <w:shd w:val="clear" w:color="auto" w:fill="auto"/>
                  <w:noWrap/>
                  <w:vAlign w:val="bottom"/>
                </w:tcPr>
                <w:p>
                  <w:pPr>
                    <w:widowControl/>
                    <w:jc w:val="center"/>
                    <w:rPr>
                      <w:szCs w:val="21"/>
                    </w:rPr>
                  </w:pPr>
                  <w:r>
                    <w:rPr>
                      <w:szCs w:val="21"/>
                    </w:rPr>
                    <w:t xml:space="preserve">15 </w:t>
                  </w:r>
                </w:p>
              </w:tc>
              <w:tc>
                <w:tcPr>
                  <w:tcW w:w="3349" w:type="dxa"/>
                  <w:shd w:val="clear" w:color="auto" w:fill="auto"/>
                  <w:noWrap/>
                  <w:vAlign w:val="bottom"/>
                </w:tcPr>
                <w:p>
                  <w:pPr>
                    <w:widowControl/>
                    <w:jc w:val="center"/>
                    <w:rPr>
                      <w:szCs w:val="21"/>
                    </w:rPr>
                  </w:pPr>
                  <w:r>
                    <w:rPr>
                      <w:szCs w:val="21"/>
                    </w:rPr>
                    <w:t xml:space="preserve">66.35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19 </w:t>
                  </w:r>
                </w:p>
              </w:tc>
              <w:tc>
                <w:tcPr>
                  <w:tcW w:w="1912" w:type="dxa"/>
                  <w:shd w:val="clear" w:color="auto" w:fill="auto"/>
                  <w:noWrap/>
                  <w:vAlign w:val="bottom"/>
                </w:tcPr>
                <w:p>
                  <w:pPr>
                    <w:widowControl/>
                    <w:jc w:val="center"/>
                    <w:rPr>
                      <w:szCs w:val="21"/>
                    </w:rPr>
                  </w:pPr>
                  <w:r>
                    <w:rPr>
                      <w:szCs w:val="21"/>
                    </w:rPr>
                    <w:t xml:space="preserve">20 </w:t>
                  </w:r>
                </w:p>
              </w:tc>
              <w:tc>
                <w:tcPr>
                  <w:tcW w:w="3349" w:type="dxa"/>
                  <w:shd w:val="clear" w:color="auto" w:fill="auto"/>
                  <w:noWrap/>
                  <w:vAlign w:val="bottom"/>
                </w:tcPr>
                <w:p>
                  <w:pPr>
                    <w:widowControl/>
                    <w:jc w:val="center"/>
                    <w:rPr>
                      <w:szCs w:val="21"/>
                    </w:rPr>
                  </w:pPr>
                  <w:r>
                    <w:rPr>
                      <w:szCs w:val="21"/>
                    </w:rPr>
                    <w:t xml:space="preserve">83.56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jc w:val="center"/>
              </w:trPr>
              <w:tc>
                <w:tcPr>
                  <w:tcW w:w="1173" w:type="dxa"/>
                  <w:shd w:val="clear" w:color="auto" w:fill="auto"/>
                  <w:noWrap/>
                  <w:vAlign w:val="bottom"/>
                </w:tcPr>
                <w:p>
                  <w:pPr>
                    <w:widowControl/>
                    <w:jc w:val="center"/>
                    <w:rPr>
                      <w:szCs w:val="21"/>
                    </w:rPr>
                  </w:pPr>
                  <w:r>
                    <w:rPr>
                      <w:szCs w:val="21"/>
                    </w:rPr>
                    <w:t xml:space="preserve">20 </w:t>
                  </w:r>
                </w:p>
              </w:tc>
              <w:tc>
                <w:tcPr>
                  <w:tcW w:w="1912" w:type="dxa"/>
                  <w:shd w:val="clear" w:color="auto" w:fill="auto"/>
                  <w:noWrap/>
                  <w:vAlign w:val="bottom"/>
                </w:tcPr>
                <w:p>
                  <w:pPr>
                    <w:widowControl/>
                    <w:jc w:val="center"/>
                    <w:rPr>
                      <w:szCs w:val="21"/>
                    </w:rPr>
                  </w:pPr>
                  <w:r>
                    <w:rPr>
                      <w:szCs w:val="21"/>
                    </w:rPr>
                    <w:t xml:space="preserve">16 </w:t>
                  </w:r>
                </w:p>
              </w:tc>
              <w:tc>
                <w:tcPr>
                  <w:tcW w:w="3349" w:type="dxa"/>
                  <w:shd w:val="clear" w:color="auto" w:fill="auto"/>
                  <w:noWrap/>
                  <w:vAlign w:val="bottom"/>
                </w:tcPr>
                <w:p>
                  <w:pPr>
                    <w:widowControl/>
                    <w:jc w:val="center"/>
                    <w:rPr>
                      <w:szCs w:val="21"/>
                    </w:rPr>
                  </w:pPr>
                  <w:r>
                    <w:rPr>
                      <w:szCs w:val="21"/>
                    </w:rPr>
                    <w:t xml:space="preserve">51.34 </w:t>
                  </w:r>
                </w:p>
              </w:tc>
            </w:tr>
          </w:tbl>
          <w:p>
            <w:pPr>
              <w:widowControl/>
              <w:jc w:val="center"/>
              <w:rPr>
                <w:b/>
                <w:bCs/>
                <w:sz w:val="18"/>
                <w:szCs w:val="18"/>
              </w:rPr>
            </w:pPr>
          </w:p>
          <w:p>
            <w:pPr>
              <w:autoSpaceDE w:val="0"/>
              <w:autoSpaceDN w:val="0"/>
              <w:spacing w:line="360" w:lineRule="auto"/>
              <w:ind w:firstLine="482"/>
              <w:rPr>
                <w:sz w:val="24"/>
                <w:lang w:val="zh-CN"/>
              </w:rPr>
            </w:pPr>
            <w:r>
              <w:rPr>
                <w:sz w:val="24"/>
                <w:lang w:val="zh-CN"/>
              </w:rPr>
              <w:t xml:space="preserve"> (3) 浮游植物优势种类</w:t>
            </w:r>
          </w:p>
          <w:p>
            <w:pPr>
              <w:autoSpaceDE w:val="0"/>
              <w:autoSpaceDN w:val="0"/>
              <w:spacing w:line="360" w:lineRule="auto"/>
              <w:ind w:firstLine="482"/>
              <w:rPr>
                <w:sz w:val="24"/>
                <w:lang w:val="zh-CN"/>
              </w:rPr>
            </w:pPr>
            <w:r>
              <w:rPr>
                <w:sz w:val="24"/>
                <w:lang w:val="zh-CN"/>
              </w:rPr>
              <w:t>优势种的确定由优势度决定，为将优势种数目控制在一定范围内，规定当优势度Y</w:t>
            </w:r>
            <w:r>
              <w:rPr>
                <w:rFonts w:hint="eastAsia" w:ascii="宋体" w:hAnsi="宋体" w:cs="宋体"/>
                <w:sz w:val="24"/>
                <w:lang w:val="zh-CN"/>
              </w:rPr>
              <w:t>≧</w:t>
            </w:r>
            <w:r>
              <w:rPr>
                <w:sz w:val="24"/>
                <w:lang w:val="zh-CN"/>
              </w:rPr>
              <w:t>0.02时，该种为优势种。优势种共有6种，</w:t>
            </w:r>
            <w:r>
              <w:rPr>
                <w:rFonts w:hint="eastAsia"/>
                <w:sz w:val="24"/>
                <w:lang w:val="zh-CN"/>
              </w:rPr>
              <w:t>为：窄隙角毛藻</w:t>
            </w:r>
            <w:r>
              <w:rPr>
                <w:sz w:val="24"/>
                <w:lang w:val="zh-CN"/>
              </w:rPr>
              <w:t>(</w:t>
            </w:r>
            <w:r>
              <w:rPr>
                <w:i/>
                <w:iCs/>
                <w:sz w:val="24"/>
                <w:lang w:val="zh-CN"/>
              </w:rPr>
              <w:t>Chaetoceros affinis</w:t>
            </w:r>
            <w:r>
              <w:rPr>
                <w:sz w:val="24"/>
                <w:lang w:val="zh-CN"/>
              </w:rPr>
              <w:t xml:space="preserve"> Lauder)</w:t>
            </w:r>
            <w:r>
              <w:rPr>
                <w:rFonts w:hint="eastAsia"/>
                <w:sz w:val="24"/>
                <w:lang w:val="zh-CN"/>
              </w:rPr>
              <w:t xml:space="preserve"> 的</w:t>
            </w:r>
            <w:r>
              <w:rPr>
                <w:sz w:val="24"/>
                <w:lang w:val="zh-CN"/>
              </w:rPr>
              <w:t>出现率为83.33%，平均密度为</w:t>
            </w:r>
            <w:r>
              <w:rPr>
                <w:sz w:val="24"/>
              </w:rPr>
              <w:t>3.42×10</w:t>
            </w:r>
            <w:r>
              <w:rPr>
                <w:rFonts w:hint="eastAsia"/>
                <w:sz w:val="24"/>
                <w:vertAlign w:val="superscript"/>
              </w:rPr>
              <w:t>4</w:t>
            </w:r>
            <w:r>
              <w:rPr>
                <w:sz w:val="24"/>
              </w:rPr>
              <w:t xml:space="preserve"> cells/m³</w:t>
            </w:r>
            <w:r>
              <w:rPr>
                <w:sz w:val="24"/>
                <w:lang w:val="zh-CN"/>
              </w:rPr>
              <w:t>；</w:t>
            </w:r>
            <w:r>
              <w:rPr>
                <w:rFonts w:hint="eastAsia"/>
                <w:sz w:val="24"/>
                <w:lang w:val="zh-CN"/>
              </w:rPr>
              <w:t>旋链角毛藻(</w:t>
            </w:r>
            <w:r>
              <w:rPr>
                <w:i/>
                <w:iCs/>
                <w:sz w:val="24"/>
                <w:lang w:val="zh-CN"/>
              </w:rPr>
              <w:t>Chaetoceros curvisetus</w:t>
            </w:r>
            <w:r>
              <w:rPr>
                <w:sz w:val="24"/>
                <w:lang w:val="zh-CN"/>
              </w:rPr>
              <w:t xml:space="preserve"> Cleve)</w:t>
            </w:r>
            <w:r>
              <w:rPr>
                <w:rFonts w:hint="eastAsia"/>
                <w:sz w:val="24"/>
                <w:lang w:val="zh-CN"/>
              </w:rPr>
              <w:t xml:space="preserve"> 的</w:t>
            </w:r>
            <w:r>
              <w:rPr>
                <w:sz w:val="24"/>
                <w:lang w:val="zh-CN"/>
              </w:rPr>
              <w:t>出现率为100.00%，平均密度为</w:t>
            </w:r>
            <w:r>
              <w:rPr>
                <w:sz w:val="24"/>
              </w:rPr>
              <w:t>6.01×10</w:t>
            </w:r>
            <w:r>
              <w:rPr>
                <w:rFonts w:hint="eastAsia"/>
                <w:sz w:val="24"/>
                <w:vertAlign w:val="superscript"/>
              </w:rPr>
              <w:t>4</w:t>
            </w:r>
            <w:r>
              <w:rPr>
                <w:sz w:val="24"/>
              </w:rPr>
              <w:t xml:space="preserve"> cells/m³</w:t>
            </w:r>
            <w:r>
              <w:rPr>
                <w:sz w:val="24"/>
                <w:lang w:val="zh-CN"/>
              </w:rPr>
              <w:t>；</w:t>
            </w:r>
            <w:r>
              <w:rPr>
                <w:rFonts w:hint="eastAsia"/>
                <w:sz w:val="24"/>
                <w:lang w:val="zh-CN"/>
              </w:rPr>
              <w:t>劳氏角毛藻</w:t>
            </w:r>
            <w:r>
              <w:rPr>
                <w:sz w:val="24"/>
                <w:lang w:val="zh-CN"/>
              </w:rPr>
              <w:t>(</w:t>
            </w:r>
            <w:r>
              <w:rPr>
                <w:i/>
                <w:iCs/>
                <w:sz w:val="24"/>
                <w:lang w:val="zh-CN"/>
              </w:rPr>
              <w:t xml:space="preserve">Chaetoceros lorenzianus </w:t>
            </w:r>
            <w:r>
              <w:rPr>
                <w:sz w:val="24"/>
                <w:lang w:val="zh-CN"/>
              </w:rPr>
              <w:t>Grunow)</w:t>
            </w:r>
            <w:r>
              <w:rPr>
                <w:rFonts w:hint="eastAsia"/>
                <w:sz w:val="24"/>
                <w:lang w:val="zh-CN"/>
              </w:rPr>
              <w:t xml:space="preserve"> 的</w:t>
            </w:r>
            <w:r>
              <w:rPr>
                <w:sz w:val="24"/>
                <w:lang w:val="zh-CN"/>
              </w:rPr>
              <w:t>出现率为100.00%，平均密度为</w:t>
            </w:r>
            <w:r>
              <w:rPr>
                <w:sz w:val="24"/>
              </w:rPr>
              <w:t>29.88×10</w:t>
            </w:r>
            <w:r>
              <w:rPr>
                <w:rFonts w:hint="eastAsia"/>
                <w:sz w:val="24"/>
                <w:vertAlign w:val="superscript"/>
              </w:rPr>
              <w:t>4</w:t>
            </w:r>
            <w:r>
              <w:rPr>
                <w:sz w:val="24"/>
              </w:rPr>
              <w:t xml:space="preserve"> cells/m³</w:t>
            </w:r>
            <w:r>
              <w:rPr>
                <w:sz w:val="24"/>
                <w:lang w:val="zh-CN"/>
              </w:rPr>
              <w:t>；</w:t>
            </w:r>
            <w:r>
              <w:rPr>
                <w:rFonts w:hint="eastAsia"/>
                <w:sz w:val="24"/>
                <w:lang w:val="zh-CN"/>
              </w:rPr>
              <w:t>海洋角毛藻(</w:t>
            </w:r>
            <w:r>
              <w:rPr>
                <w:i/>
                <w:iCs/>
                <w:sz w:val="24"/>
                <w:lang w:val="zh-CN"/>
              </w:rPr>
              <w:t xml:space="preserve">Chaetoceros pelagicus </w:t>
            </w:r>
            <w:r>
              <w:rPr>
                <w:sz w:val="24"/>
                <w:lang w:val="zh-CN"/>
              </w:rPr>
              <w:t>Cleve)</w:t>
            </w:r>
            <w:r>
              <w:rPr>
                <w:rFonts w:hint="eastAsia"/>
                <w:sz w:val="24"/>
                <w:lang w:val="zh-CN"/>
              </w:rPr>
              <w:t xml:space="preserve"> 的</w:t>
            </w:r>
            <w:r>
              <w:rPr>
                <w:sz w:val="24"/>
                <w:lang w:val="zh-CN"/>
              </w:rPr>
              <w:t>出现率为100.00%，平均密度为</w:t>
            </w:r>
            <w:r>
              <w:rPr>
                <w:sz w:val="24"/>
              </w:rPr>
              <w:t>3.62×10</w:t>
            </w:r>
            <w:r>
              <w:rPr>
                <w:rFonts w:hint="eastAsia"/>
                <w:sz w:val="24"/>
                <w:vertAlign w:val="superscript"/>
              </w:rPr>
              <w:t>4</w:t>
            </w:r>
            <w:r>
              <w:rPr>
                <w:sz w:val="24"/>
              </w:rPr>
              <w:t xml:space="preserve"> cells/m³</w:t>
            </w:r>
            <w:r>
              <w:rPr>
                <w:sz w:val="24"/>
                <w:lang w:val="zh-CN"/>
              </w:rPr>
              <w:t>；</w:t>
            </w:r>
            <w:r>
              <w:rPr>
                <w:rFonts w:hint="eastAsia"/>
                <w:sz w:val="24"/>
                <w:lang w:val="zh-CN"/>
              </w:rPr>
              <w:t>尖刺拟菱形藻</w:t>
            </w:r>
            <w:r>
              <w:rPr>
                <w:sz w:val="24"/>
                <w:lang w:val="zh-CN"/>
              </w:rPr>
              <w:t>(</w:t>
            </w:r>
            <w:r>
              <w:rPr>
                <w:i/>
                <w:iCs/>
                <w:sz w:val="24"/>
                <w:lang w:val="zh-CN"/>
              </w:rPr>
              <w:t>Pseudo-nitzschia pungens</w:t>
            </w:r>
            <w:r>
              <w:rPr>
                <w:sz w:val="24"/>
                <w:lang w:val="zh-CN"/>
              </w:rPr>
              <w:t xml:space="preserve"> (Grunow ex  Cleve)Hasle)</w:t>
            </w:r>
            <w:r>
              <w:rPr>
                <w:rFonts w:hint="eastAsia"/>
                <w:sz w:val="24"/>
                <w:lang w:val="zh-CN"/>
              </w:rPr>
              <w:t xml:space="preserve"> 的</w:t>
            </w:r>
            <w:r>
              <w:rPr>
                <w:sz w:val="24"/>
                <w:lang w:val="zh-CN"/>
              </w:rPr>
              <w:t>出现率为100.00%，平均密度为</w:t>
            </w:r>
            <w:r>
              <w:rPr>
                <w:sz w:val="24"/>
              </w:rPr>
              <w:t>11.73×10</w:t>
            </w:r>
            <w:r>
              <w:rPr>
                <w:rFonts w:hint="eastAsia"/>
                <w:sz w:val="24"/>
                <w:vertAlign w:val="superscript"/>
              </w:rPr>
              <w:t>4</w:t>
            </w:r>
            <w:r>
              <w:rPr>
                <w:sz w:val="24"/>
              </w:rPr>
              <w:t xml:space="preserve"> cells/m³</w:t>
            </w:r>
            <w:r>
              <w:rPr>
                <w:sz w:val="24"/>
                <w:lang w:val="zh-CN"/>
              </w:rPr>
              <w:t>；</w:t>
            </w:r>
            <w:r>
              <w:rPr>
                <w:rFonts w:hint="eastAsia"/>
                <w:sz w:val="24"/>
                <w:lang w:val="zh-CN"/>
              </w:rPr>
              <w:t>中肋骨条藻(</w:t>
            </w:r>
            <w:r>
              <w:rPr>
                <w:i/>
                <w:iCs/>
                <w:sz w:val="24"/>
                <w:lang w:val="zh-CN"/>
              </w:rPr>
              <w:t xml:space="preserve">Skeletonema costatum </w:t>
            </w:r>
            <w:r>
              <w:rPr>
                <w:sz w:val="24"/>
                <w:lang w:val="zh-CN"/>
              </w:rPr>
              <w:t>(Greville)Cleve)</w:t>
            </w:r>
            <w:r>
              <w:rPr>
                <w:rFonts w:hint="eastAsia"/>
                <w:sz w:val="24"/>
                <w:lang w:val="zh-CN"/>
              </w:rPr>
              <w:t xml:space="preserve"> 的</w:t>
            </w:r>
            <w:r>
              <w:rPr>
                <w:sz w:val="24"/>
                <w:lang w:val="zh-CN"/>
              </w:rPr>
              <w:t>出现率为100.00%，平均密度为</w:t>
            </w:r>
            <w:r>
              <w:rPr>
                <w:sz w:val="24"/>
              </w:rPr>
              <w:t>4.81×10</w:t>
            </w:r>
            <w:r>
              <w:rPr>
                <w:rFonts w:hint="eastAsia"/>
                <w:sz w:val="24"/>
                <w:vertAlign w:val="superscript"/>
              </w:rPr>
              <w:t>4</w:t>
            </w:r>
            <w:r>
              <w:rPr>
                <w:sz w:val="24"/>
              </w:rPr>
              <w:t xml:space="preserve"> cells/m³</w:t>
            </w:r>
            <w:r>
              <w:rPr>
                <w:rFonts w:hint="eastAsia"/>
                <w:sz w:val="24"/>
                <w:lang w:val="zh-CN"/>
              </w:rPr>
              <w:t>。</w:t>
            </w:r>
            <w:r>
              <w:rPr>
                <w:sz w:val="24"/>
                <w:lang w:val="zh-CN"/>
              </w:rPr>
              <w:t>见表</w:t>
            </w:r>
            <w:r>
              <w:rPr>
                <w:rFonts w:hint="eastAsia"/>
                <w:sz w:val="24"/>
                <w:lang w:val="zh-CN"/>
              </w:rPr>
              <w:t>4.1</w:t>
            </w:r>
            <w:r>
              <w:rPr>
                <w:sz w:val="24"/>
                <w:lang w:val="zh-CN"/>
              </w:rPr>
              <w:t>.</w:t>
            </w:r>
            <w:r>
              <w:rPr>
                <w:rFonts w:hint="eastAsia"/>
                <w:sz w:val="24"/>
                <w:lang w:val="zh-CN"/>
              </w:rPr>
              <w:t>4-3</w:t>
            </w:r>
            <w:r>
              <w:rPr>
                <w:sz w:val="24"/>
                <w:lang w:val="zh-CN"/>
              </w:rPr>
              <w:t>。</w:t>
            </w:r>
          </w:p>
          <w:p>
            <w:pPr>
              <w:pStyle w:val="279"/>
              <w:snapToGrid w:val="0"/>
              <w:ind w:firstLine="480"/>
              <w:rPr>
                <w:szCs w:val="21"/>
              </w:rPr>
            </w:pPr>
            <w:r>
              <w:rPr>
                <w:szCs w:val="21"/>
              </w:rPr>
              <w:t>表</w:t>
            </w:r>
            <w:r>
              <w:rPr>
                <w:rFonts w:hint="eastAsia"/>
                <w:szCs w:val="21"/>
              </w:rPr>
              <w:t>4.1</w:t>
            </w:r>
            <w:r>
              <w:rPr>
                <w:szCs w:val="21"/>
              </w:rPr>
              <w:t>.</w:t>
            </w:r>
            <w:r>
              <w:rPr>
                <w:rFonts w:hint="eastAsia"/>
                <w:szCs w:val="21"/>
              </w:rPr>
              <w:t>4-3</w:t>
            </w:r>
            <w:r>
              <w:rPr>
                <w:szCs w:val="21"/>
              </w:rPr>
              <w:t xml:space="preserve">  浮游植物优势种和优势度</w:t>
            </w:r>
          </w:p>
          <w:tbl>
            <w:tblPr>
              <w:tblStyle w:val="88"/>
              <w:tblW w:w="7080" w:type="dxa"/>
              <w:jc w:val="center"/>
              <w:tblInd w:w="0" w:type="dxa"/>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541"/>
              <w:gridCol w:w="1843"/>
              <w:gridCol w:w="1496"/>
              <w:gridCol w:w="1120"/>
              <w:gridCol w:w="1080"/>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74" w:hRule="atLeast"/>
                <w:jc w:val="center"/>
              </w:trPr>
              <w:tc>
                <w:tcPr>
                  <w:tcW w:w="1541" w:type="dxa"/>
                  <w:vMerge w:val="restart"/>
                  <w:shd w:val="clear" w:color="auto" w:fill="FFFFFF"/>
                  <w:vAlign w:val="center"/>
                </w:tcPr>
                <w:p>
                  <w:pPr>
                    <w:widowControl/>
                    <w:jc w:val="center"/>
                    <w:rPr>
                      <w:b/>
                      <w:bCs/>
                      <w:szCs w:val="21"/>
                    </w:rPr>
                  </w:pPr>
                  <w:r>
                    <w:rPr>
                      <w:rFonts w:hint="eastAsia"/>
                      <w:b/>
                      <w:bCs/>
                      <w:szCs w:val="21"/>
                    </w:rPr>
                    <w:t>优势种</w:t>
                  </w:r>
                </w:p>
              </w:tc>
              <w:tc>
                <w:tcPr>
                  <w:tcW w:w="1843" w:type="dxa"/>
                  <w:vMerge w:val="restart"/>
                  <w:shd w:val="clear" w:color="auto" w:fill="FFFFFF"/>
                  <w:vAlign w:val="center"/>
                </w:tcPr>
                <w:p>
                  <w:pPr>
                    <w:widowControl/>
                    <w:jc w:val="center"/>
                    <w:rPr>
                      <w:b/>
                      <w:bCs/>
                      <w:szCs w:val="21"/>
                    </w:rPr>
                  </w:pPr>
                  <w:r>
                    <w:rPr>
                      <w:rFonts w:hint="eastAsia"/>
                      <w:b/>
                      <w:bCs/>
                      <w:szCs w:val="21"/>
                    </w:rPr>
                    <w:t>平均密度</w:t>
                  </w:r>
                </w:p>
                <w:p>
                  <w:pPr>
                    <w:widowControl/>
                    <w:jc w:val="center"/>
                    <w:rPr>
                      <w:b/>
                      <w:bCs/>
                      <w:szCs w:val="21"/>
                    </w:rPr>
                  </w:pPr>
                  <w:r>
                    <w:rPr>
                      <w:b/>
                      <w:bCs/>
                      <w:szCs w:val="21"/>
                    </w:rPr>
                    <w:t>(×10</w:t>
                  </w:r>
                  <w:r>
                    <w:rPr>
                      <w:rFonts w:hint="eastAsia"/>
                      <w:b/>
                      <w:bCs/>
                      <w:szCs w:val="21"/>
                      <w:vertAlign w:val="superscript"/>
                    </w:rPr>
                    <w:t>4</w:t>
                  </w:r>
                  <w:r>
                    <w:rPr>
                      <w:b/>
                      <w:bCs/>
                      <w:szCs w:val="21"/>
                    </w:rPr>
                    <w:t xml:space="preserve"> cells/m³)</w:t>
                  </w:r>
                </w:p>
              </w:tc>
              <w:tc>
                <w:tcPr>
                  <w:tcW w:w="1496" w:type="dxa"/>
                  <w:vMerge w:val="restart"/>
                  <w:shd w:val="clear" w:color="auto" w:fill="FFFFFF"/>
                  <w:vAlign w:val="center"/>
                </w:tcPr>
                <w:p>
                  <w:pPr>
                    <w:widowControl/>
                    <w:jc w:val="center"/>
                    <w:rPr>
                      <w:b/>
                      <w:bCs/>
                      <w:szCs w:val="21"/>
                    </w:rPr>
                  </w:pPr>
                  <w:r>
                    <w:rPr>
                      <w:rFonts w:hint="eastAsia"/>
                      <w:b/>
                      <w:bCs/>
                      <w:szCs w:val="21"/>
                    </w:rPr>
                    <w:t>占总密度的比例</w:t>
                  </w:r>
                  <w:r>
                    <w:rPr>
                      <w:b/>
                      <w:bCs/>
                      <w:szCs w:val="21"/>
                    </w:rPr>
                    <w:t>(%)</w:t>
                  </w:r>
                </w:p>
              </w:tc>
              <w:tc>
                <w:tcPr>
                  <w:tcW w:w="1120" w:type="dxa"/>
                  <w:vMerge w:val="restart"/>
                  <w:shd w:val="clear" w:color="auto" w:fill="FFFFFF"/>
                  <w:vAlign w:val="center"/>
                </w:tcPr>
                <w:p>
                  <w:pPr>
                    <w:widowControl/>
                    <w:jc w:val="center"/>
                    <w:rPr>
                      <w:b/>
                      <w:bCs/>
                      <w:szCs w:val="21"/>
                    </w:rPr>
                  </w:pPr>
                  <w:r>
                    <w:rPr>
                      <w:rFonts w:hint="eastAsia"/>
                      <w:b/>
                      <w:bCs/>
                      <w:szCs w:val="21"/>
                    </w:rPr>
                    <w:t>出现频率</w:t>
                  </w:r>
                  <w:r>
                    <w:rPr>
                      <w:b/>
                      <w:bCs/>
                      <w:szCs w:val="21"/>
                    </w:rPr>
                    <w:t>(%)</w:t>
                  </w:r>
                </w:p>
              </w:tc>
              <w:tc>
                <w:tcPr>
                  <w:tcW w:w="1080" w:type="dxa"/>
                  <w:vMerge w:val="restart"/>
                  <w:shd w:val="clear" w:color="auto" w:fill="FFFFFF"/>
                  <w:vAlign w:val="center"/>
                </w:tcPr>
                <w:p>
                  <w:pPr>
                    <w:widowControl/>
                    <w:jc w:val="center"/>
                    <w:rPr>
                      <w:b/>
                      <w:bCs/>
                      <w:szCs w:val="21"/>
                    </w:rPr>
                  </w:pPr>
                  <w:r>
                    <w:rPr>
                      <w:rFonts w:hint="eastAsia"/>
                      <w:b/>
                      <w:bCs/>
                      <w:szCs w:val="21"/>
                    </w:rPr>
                    <w:t>优势度</w:t>
                  </w:r>
                  <w:r>
                    <w:rPr>
                      <w:b/>
                      <w:bCs/>
                      <w:szCs w:val="21"/>
                    </w:rPr>
                    <w:t>(Y)</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74" w:hRule="atLeast"/>
                <w:jc w:val="center"/>
              </w:trPr>
              <w:tc>
                <w:tcPr>
                  <w:tcW w:w="1541" w:type="dxa"/>
                  <w:vMerge w:val="continue"/>
                  <w:vAlign w:val="center"/>
                </w:tcPr>
                <w:p>
                  <w:pPr>
                    <w:widowControl/>
                    <w:jc w:val="center"/>
                    <w:rPr>
                      <w:b/>
                      <w:bCs/>
                      <w:szCs w:val="21"/>
                    </w:rPr>
                  </w:pPr>
                </w:p>
              </w:tc>
              <w:tc>
                <w:tcPr>
                  <w:tcW w:w="1843" w:type="dxa"/>
                  <w:vMerge w:val="continue"/>
                  <w:vAlign w:val="center"/>
                </w:tcPr>
                <w:p>
                  <w:pPr>
                    <w:widowControl/>
                    <w:jc w:val="center"/>
                    <w:rPr>
                      <w:b/>
                      <w:bCs/>
                      <w:szCs w:val="21"/>
                    </w:rPr>
                  </w:pPr>
                </w:p>
              </w:tc>
              <w:tc>
                <w:tcPr>
                  <w:tcW w:w="1496" w:type="dxa"/>
                  <w:vMerge w:val="continue"/>
                  <w:vAlign w:val="center"/>
                </w:tcPr>
                <w:p>
                  <w:pPr>
                    <w:widowControl/>
                    <w:jc w:val="center"/>
                    <w:rPr>
                      <w:b/>
                      <w:bCs/>
                      <w:szCs w:val="21"/>
                    </w:rPr>
                  </w:pPr>
                </w:p>
              </w:tc>
              <w:tc>
                <w:tcPr>
                  <w:tcW w:w="1120" w:type="dxa"/>
                  <w:vMerge w:val="continue"/>
                  <w:vAlign w:val="center"/>
                </w:tcPr>
                <w:p>
                  <w:pPr>
                    <w:widowControl/>
                    <w:jc w:val="center"/>
                    <w:rPr>
                      <w:b/>
                      <w:bCs/>
                      <w:szCs w:val="21"/>
                    </w:rPr>
                  </w:pPr>
                </w:p>
              </w:tc>
              <w:tc>
                <w:tcPr>
                  <w:tcW w:w="1080" w:type="dxa"/>
                  <w:vMerge w:val="continue"/>
                  <w:vAlign w:val="center"/>
                </w:tcPr>
                <w:p>
                  <w:pPr>
                    <w:widowControl/>
                    <w:jc w:val="center"/>
                    <w:rPr>
                      <w:b/>
                      <w:bCs/>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15" w:hRule="atLeast"/>
                <w:jc w:val="center"/>
              </w:trPr>
              <w:tc>
                <w:tcPr>
                  <w:tcW w:w="1541" w:type="dxa"/>
                  <w:shd w:val="clear" w:color="auto" w:fill="FFFFFF"/>
                  <w:vAlign w:val="bottom"/>
                </w:tcPr>
                <w:p>
                  <w:pPr>
                    <w:widowControl/>
                    <w:jc w:val="center"/>
                    <w:rPr>
                      <w:szCs w:val="21"/>
                    </w:rPr>
                  </w:pPr>
                  <w:r>
                    <w:rPr>
                      <w:rFonts w:hint="eastAsia"/>
                      <w:szCs w:val="21"/>
                    </w:rPr>
                    <w:t>窄隙角毛藻</w:t>
                  </w:r>
                </w:p>
              </w:tc>
              <w:tc>
                <w:tcPr>
                  <w:tcW w:w="1843" w:type="dxa"/>
                  <w:shd w:val="clear" w:color="auto" w:fill="FFFFFF"/>
                  <w:vAlign w:val="bottom"/>
                </w:tcPr>
                <w:p>
                  <w:pPr>
                    <w:widowControl/>
                    <w:jc w:val="center"/>
                    <w:rPr>
                      <w:szCs w:val="21"/>
                    </w:rPr>
                  </w:pPr>
                  <w:r>
                    <w:rPr>
                      <w:rFonts w:hint="eastAsia"/>
                      <w:szCs w:val="21"/>
                    </w:rPr>
                    <w:t>3</w:t>
                  </w:r>
                  <w:r>
                    <w:rPr>
                      <w:szCs w:val="21"/>
                    </w:rPr>
                    <w:t>.42</w:t>
                  </w:r>
                </w:p>
              </w:tc>
              <w:tc>
                <w:tcPr>
                  <w:tcW w:w="1496" w:type="dxa"/>
                  <w:shd w:val="clear" w:color="auto" w:fill="FFFFFF"/>
                  <w:vAlign w:val="bottom"/>
                </w:tcPr>
                <w:p>
                  <w:pPr>
                    <w:widowControl/>
                    <w:jc w:val="center"/>
                    <w:rPr>
                      <w:szCs w:val="21"/>
                    </w:rPr>
                  </w:pPr>
                  <w:r>
                    <w:rPr>
                      <w:rFonts w:hint="eastAsia"/>
                      <w:szCs w:val="21"/>
                    </w:rPr>
                    <w:t>5</w:t>
                  </w:r>
                  <w:r>
                    <w:rPr>
                      <w:szCs w:val="21"/>
                    </w:rPr>
                    <w:t>.12</w:t>
                  </w:r>
                </w:p>
              </w:tc>
              <w:tc>
                <w:tcPr>
                  <w:tcW w:w="1120" w:type="dxa"/>
                  <w:shd w:val="clear" w:color="auto" w:fill="FFFFFF"/>
                  <w:vAlign w:val="bottom"/>
                </w:tcPr>
                <w:p>
                  <w:pPr>
                    <w:widowControl/>
                    <w:jc w:val="center"/>
                    <w:rPr>
                      <w:szCs w:val="21"/>
                    </w:rPr>
                  </w:pPr>
                  <w:r>
                    <w:rPr>
                      <w:rFonts w:hint="eastAsia"/>
                      <w:szCs w:val="21"/>
                    </w:rPr>
                    <w:t>8</w:t>
                  </w:r>
                  <w:r>
                    <w:rPr>
                      <w:szCs w:val="21"/>
                    </w:rPr>
                    <w:t>3.33</w:t>
                  </w:r>
                </w:p>
              </w:tc>
              <w:tc>
                <w:tcPr>
                  <w:tcW w:w="1080" w:type="dxa"/>
                  <w:shd w:val="clear" w:color="auto" w:fill="FFFFFF"/>
                  <w:vAlign w:val="bottom"/>
                </w:tcPr>
                <w:p>
                  <w:pPr>
                    <w:widowControl/>
                    <w:jc w:val="center"/>
                    <w:rPr>
                      <w:szCs w:val="21"/>
                    </w:rPr>
                  </w:pPr>
                  <w:r>
                    <w:rPr>
                      <w:rFonts w:hint="eastAsia"/>
                      <w:szCs w:val="21"/>
                    </w:rPr>
                    <w:t>0</w:t>
                  </w:r>
                  <w:r>
                    <w:rPr>
                      <w:szCs w:val="21"/>
                    </w:rPr>
                    <w:t>.043</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15" w:hRule="atLeast"/>
                <w:jc w:val="center"/>
              </w:trPr>
              <w:tc>
                <w:tcPr>
                  <w:tcW w:w="1541" w:type="dxa"/>
                  <w:shd w:val="clear" w:color="auto" w:fill="FFFFFF"/>
                  <w:vAlign w:val="bottom"/>
                </w:tcPr>
                <w:p>
                  <w:pPr>
                    <w:widowControl/>
                    <w:jc w:val="center"/>
                    <w:rPr>
                      <w:szCs w:val="21"/>
                    </w:rPr>
                  </w:pPr>
                  <w:r>
                    <w:rPr>
                      <w:rFonts w:hint="eastAsia"/>
                      <w:szCs w:val="21"/>
                    </w:rPr>
                    <w:t>旋链角毛藻</w:t>
                  </w:r>
                </w:p>
              </w:tc>
              <w:tc>
                <w:tcPr>
                  <w:tcW w:w="1843" w:type="dxa"/>
                  <w:shd w:val="clear" w:color="auto" w:fill="FFFFFF"/>
                  <w:vAlign w:val="bottom"/>
                </w:tcPr>
                <w:p>
                  <w:pPr>
                    <w:widowControl/>
                    <w:jc w:val="center"/>
                    <w:rPr>
                      <w:szCs w:val="21"/>
                    </w:rPr>
                  </w:pPr>
                  <w:r>
                    <w:rPr>
                      <w:rFonts w:hint="eastAsia"/>
                      <w:szCs w:val="21"/>
                    </w:rPr>
                    <w:t>6</w:t>
                  </w:r>
                  <w:r>
                    <w:rPr>
                      <w:szCs w:val="21"/>
                    </w:rPr>
                    <w:t>.01</w:t>
                  </w:r>
                </w:p>
              </w:tc>
              <w:tc>
                <w:tcPr>
                  <w:tcW w:w="1496" w:type="dxa"/>
                  <w:shd w:val="clear" w:color="auto" w:fill="FFFFFF"/>
                  <w:vAlign w:val="bottom"/>
                </w:tcPr>
                <w:p>
                  <w:pPr>
                    <w:widowControl/>
                    <w:jc w:val="center"/>
                    <w:rPr>
                      <w:szCs w:val="21"/>
                    </w:rPr>
                  </w:pPr>
                  <w:r>
                    <w:rPr>
                      <w:rFonts w:hint="eastAsia"/>
                      <w:szCs w:val="21"/>
                    </w:rPr>
                    <w:t>8</w:t>
                  </w:r>
                  <w:r>
                    <w:rPr>
                      <w:szCs w:val="21"/>
                    </w:rPr>
                    <w:t>.99</w:t>
                  </w:r>
                </w:p>
              </w:tc>
              <w:tc>
                <w:tcPr>
                  <w:tcW w:w="1120" w:type="dxa"/>
                  <w:shd w:val="clear" w:color="auto" w:fill="FFFFFF"/>
                  <w:vAlign w:val="bottom"/>
                </w:tcPr>
                <w:p>
                  <w:pPr>
                    <w:widowControl/>
                    <w:jc w:val="center"/>
                    <w:rPr>
                      <w:szCs w:val="21"/>
                    </w:rPr>
                  </w:pPr>
                  <w:r>
                    <w:rPr>
                      <w:rFonts w:hint="eastAsia"/>
                      <w:szCs w:val="21"/>
                    </w:rPr>
                    <w:t>1</w:t>
                  </w:r>
                  <w:r>
                    <w:rPr>
                      <w:szCs w:val="21"/>
                    </w:rPr>
                    <w:t>00.00</w:t>
                  </w:r>
                </w:p>
              </w:tc>
              <w:tc>
                <w:tcPr>
                  <w:tcW w:w="1080" w:type="dxa"/>
                  <w:shd w:val="clear" w:color="auto" w:fill="FFFFFF"/>
                  <w:vAlign w:val="bottom"/>
                </w:tcPr>
                <w:p>
                  <w:pPr>
                    <w:widowControl/>
                    <w:jc w:val="center"/>
                    <w:rPr>
                      <w:szCs w:val="21"/>
                    </w:rPr>
                  </w:pPr>
                  <w:r>
                    <w:rPr>
                      <w:rFonts w:hint="eastAsia"/>
                      <w:szCs w:val="21"/>
                    </w:rPr>
                    <w:t>0</w:t>
                  </w:r>
                  <w:r>
                    <w:rPr>
                      <w:szCs w:val="21"/>
                    </w:rPr>
                    <w:t>.090</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15" w:hRule="atLeast"/>
                <w:jc w:val="center"/>
              </w:trPr>
              <w:tc>
                <w:tcPr>
                  <w:tcW w:w="1541" w:type="dxa"/>
                  <w:shd w:val="clear" w:color="auto" w:fill="FFFFFF"/>
                  <w:vAlign w:val="bottom"/>
                </w:tcPr>
                <w:p>
                  <w:pPr>
                    <w:widowControl/>
                    <w:jc w:val="center"/>
                    <w:rPr>
                      <w:szCs w:val="21"/>
                    </w:rPr>
                  </w:pPr>
                  <w:r>
                    <w:rPr>
                      <w:rFonts w:hint="eastAsia"/>
                      <w:szCs w:val="21"/>
                    </w:rPr>
                    <w:t>劳氏角毛藻</w:t>
                  </w:r>
                </w:p>
              </w:tc>
              <w:tc>
                <w:tcPr>
                  <w:tcW w:w="1843" w:type="dxa"/>
                  <w:shd w:val="clear" w:color="auto" w:fill="FFFFFF"/>
                  <w:vAlign w:val="bottom"/>
                </w:tcPr>
                <w:p>
                  <w:pPr>
                    <w:widowControl/>
                    <w:jc w:val="center"/>
                    <w:rPr>
                      <w:szCs w:val="21"/>
                    </w:rPr>
                  </w:pPr>
                  <w:r>
                    <w:rPr>
                      <w:rFonts w:hint="eastAsia"/>
                      <w:szCs w:val="21"/>
                    </w:rPr>
                    <w:t>2</w:t>
                  </w:r>
                  <w:r>
                    <w:rPr>
                      <w:szCs w:val="21"/>
                    </w:rPr>
                    <w:t>9.88</w:t>
                  </w:r>
                </w:p>
              </w:tc>
              <w:tc>
                <w:tcPr>
                  <w:tcW w:w="1496" w:type="dxa"/>
                  <w:shd w:val="clear" w:color="auto" w:fill="FFFFFF"/>
                  <w:vAlign w:val="bottom"/>
                </w:tcPr>
                <w:p>
                  <w:pPr>
                    <w:widowControl/>
                    <w:jc w:val="center"/>
                    <w:rPr>
                      <w:szCs w:val="21"/>
                    </w:rPr>
                  </w:pPr>
                  <w:r>
                    <w:rPr>
                      <w:rFonts w:hint="eastAsia"/>
                      <w:szCs w:val="21"/>
                    </w:rPr>
                    <w:t>4</w:t>
                  </w:r>
                  <w:r>
                    <w:rPr>
                      <w:szCs w:val="21"/>
                    </w:rPr>
                    <w:t>4.70</w:t>
                  </w:r>
                </w:p>
              </w:tc>
              <w:tc>
                <w:tcPr>
                  <w:tcW w:w="1120" w:type="dxa"/>
                  <w:shd w:val="clear" w:color="auto" w:fill="FFFFFF"/>
                </w:tcPr>
                <w:p>
                  <w:pPr>
                    <w:widowControl/>
                    <w:jc w:val="center"/>
                    <w:rPr>
                      <w:szCs w:val="21"/>
                    </w:rPr>
                  </w:pPr>
                  <w:r>
                    <w:rPr>
                      <w:rFonts w:hint="eastAsia"/>
                      <w:szCs w:val="21"/>
                    </w:rPr>
                    <w:t>1</w:t>
                  </w:r>
                  <w:r>
                    <w:rPr>
                      <w:szCs w:val="21"/>
                    </w:rPr>
                    <w:t>00.00</w:t>
                  </w:r>
                </w:p>
              </w:tc>
              <w:tc>
                <w:tcPr>
                  <w:tcW w:w="1080" w:type="dxa"/>
                  <w:shd w:val="clear" w:color="auto" w:fill="FFFFFF"/>
                  <w:vAlign w:val="bottom"/>
                </w:tcPr>
                <w:p>
                  <w:pPr>
                    <w:widowControl/>
                    <w:jc w:val="center"/>
                    <w:rPr>
                      <w:szCs w:val="21"/>
                    </w:rPr>
                  </w:pPr>
                  <w:r>
                    <w:rPr>
                      <w:rFonts w:hint="eastAsia"/>
                      <w:szCs w:val="21"/>
                    </w:rPr>
                    <w:t>0</w:t>
                  </w:r>
                  <w:r>
                    <w:rPr>
                      <w:szCs w:val="21"/>
                    </w:rPr>
                    <w:t>.447</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15" w:hRule="atLeast"/>
                <w:jc w:val="center"/>
              </w:trPr>
              <w:tc>
                <w:tcPr>
                  <w:tcW w:w="1541" w:type="dxa"/>
                  <w:shd w:val="clear" w:color="auto" w:fill="FFFFFF"/>
                  <w:vAlign w:val="bottom"/>
                </w:tcPr>
                <w:p>
                  <w:pPr>
                    <w:widowControl/>
                    <w:jc w:val="center"/>
                    <w:rPr>
                      <w:szCs w:val="21"/>
                    </w:rPr>
                  </w:pPr>
                  <w:r>
                    <w:rPr>
                      <w:rFonts w:hint="eastAsia"/>
                      <w:szCs w:val="21"/>
                    </w:rPr>
                    <w:t>海洋角毛藻</w:t>
                  </w:r>
                </w:p>
              </w:tc>
              <w:tc>
                <w:tcPr>
                  <w:tcW w:w="1843" w:type="dxa"/>
                  <w:shd w:val="clear" w:color="auto" w:fill="FFFFFF"/>
                  <w:vAlign w:val="bottom"/>
                </w:tcPr>
                <w:p>
                  <w:pPr>
                    <w:widowControl/>
                    <w:jc w:val="center"/>
                    <w:rPr>
                      <w:szCs w:val="21"/>
                    </w:rPr>
                  </w:pPr>
                  <w:r>
                    <w:rPr>
                      <w:rFonts w:hint="eastAsia"/>
                      <w:szCs w:val="21"/>
                    </w:rPr>
                    <w:t>3</w:t>
                  </w:r>
                  <w:r>
                    <w:rPr>
                      <w:szCs w:val="21"/>
                    </w:rPr>
                    <w:t>.62</w:t>
                  </w:r>
                </w:p>
              </w:tc>
              <w:tc>
                <w:tcPr>
                  <w:tcW w:w="1496" w:type="dxa"/>
                  <w:shd w:val="clear" w:color="auto" w:fill="FFFFFF"/>
                  <w:vAlign w:val="bottom"/>
                </w:tcPr>
                <w:p>
                  <w:pPr>
                    <w:widowControl/>
                    <w:jc w:val="center"/>
                    <w:rPr>
                      <w:szCs w:val="21"/>
                    </w:rPr>
                  </w:pPr>
                  <w:r>
                    <w:rPr>
                      <w:rFonts w:hint="eastAsia"/>
                      <w:szCs w:val="21"/>
                    </w:rPr>
                    <w:t>5</w:t>
                  </w:r>
                  <w:r>
                    <w:rPr>
                      <w:szCs w:val="21"/>
                    </w:rPr>
                    <w:t>.41</w:t>
                  </w:r>
                </w:p>
              </w:tc>
              <w:tc>
                <w:tcPr>
                  <w:tcW w:w="1120" w:type="dxa"/>
                  <w:shd w:val="clear" w:color="auto" w:fill="FFFFFF"/>
                </w:tcPr>
                <w:p>
                  <w:pPr>
                    <w:widowControl/>
                    <w:jc w:val="center"/>
                    <w:rPr>
                      <w:szCs w:val="21"/>
                    </w:rPr>
                  </w:pPr>
                  <w:r>
                    <w:rPr>
                      <w:rFonts w:hint="eastAsia"/>
                      <w:szCs w:val="21"/>
                    </w:rPr>
                    <w:t>1</w:t>
                  </w:r>
                  <w:r>
                    <w:rPr>
                      <w:szCs w:val="21"/>
                    </w:rPr>
                    <w:t>00.00</w:t>
                  </w:r>
                </w:p>
              </w:tc>
              <w:tc>
                <w:tcPr>
                  <w:tcW w:w="1080" w:type="dxa"/>
                  <w:shd w:val="clear" w:color="auto" w:fill="FFFFFF"/>
                  <w:vAlign w:val="bottom"/>
                </w:tcPr>
                <w:p>
                  <w:pPr>
                    <w:widowControl/>
                    <w:jc w:val="center"/>
                    <w:rPr>
                      <w:szCs w:val="21"/>
                    </w:rPr>
                  </w:pPr>
                  <w:r>
                    <w:rPr>
                      <w:rFonts w:hint="eastAsia"/>
                      <w:szCs w:val="21"/>
                    </w:rPr>
                    <w:t>0</w:t>
                  </w:r>
                  <w:r>
                    <w:rPr>
                      <w:szCs w:val="21"/>
                    </w:rPr>
                    <w:t>.054</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15" w:hRule="atLeast"/>
                <w:jc w:val="center"/>
              </w:trPr>
              <w:tc>
                <w:tcPr>
                  <w:tcW w:w="1541" w:type="dxa"/>
                  <w:shd w:val="clear" w:color="auto" w:fill="FFFFFF"/>
                  <w:vAlign w:val="bottom"/>
                </w:tcPr>
                <w:p>
                  <w:pPr>
                    <w:widowControl/>
                    <w:jc w:val="center"/>
                    <w:rPr>
                      <w:szCs w:val="21"/>
                    </w:rPr>
                  </w:pPr>
                  <w:r>
                    <w:rPr>
                      <w:rFonts w:hint="eastAsia"/>
                      <w:szCs w:val="21"/>
                    </w:rPr>
                    <w:t>尖刺拟菱形藻</w:t>
                  </w:r>
                </w:p>
              </w:tc>
              <w:tc>
                <w:tcPr>
                  <w:tcW w:w="1843" w:type="dxa"/>
                  <w:shd w:val="clear" w:color="auto" w:fill="FFFFFF"/>
                  <w:vAlign w:val="bottom"/>
                </w:tcPr>
                <w:p>
                  <w:pPr>
                    <w:widowControl/>
                    <w:jc w:val="center"/>
                    <w:rPr>
                      <w:szCs w:val="21"/>
                    </w:rPr>
                  </w:pPr>
                  <w:r>
                    <w:rPr>
                      <w:rFonts w:hint="eastAsia"/>
                      <w:szCs w:val="21"/>
                    </w:rPr>
                    <w:t>1</w:t>
                  </w:r>
                  <w:r>
                    <w:rPr>
                      <w:szCs w:val="21"/>
                    </w:rPr>
                    <w:t>1.73</w:t>
                  </w:r>
                </w:p>
              </w:tc>
              <w:tc>
                <w:tcPr>
                  <w:tcW w:w="1496" w:type="dxa"/>
                  <w:shd w:val="clear" w:color="auto" w:fill="FFFFFF"/>
                  <w:vAlign w:val="bottom"/>
                </w:tcPr>
                <w:p>
                  <w:pPr>
                    <w:widowControl/>
                    <w:jc w:val="center"/>
                    <w:rPr>
                      <w:szCs w:val="21"/>
                    </w:rPr>
                  </w:pPr>
                  <w:r>
                    <w:rPr>
                      <w:rFonts w:hint="eastAsia"/>
                      <w:szCs w:val="21"/>
                    </w:rPr>
                    <w:t>1</w:t>
                  </w:r>
                  <w:r>
                    <w:rPr>
                      <w:szCs w:val="21"/>
                    </w:rPr>
                    <w:t>7.55</w:t>
                  </w:r>
                </w:p>
              </w:tc>
              <w:tc>
                <w:tcPr>
                  <w:tcW w:w="1120" w:type="dxa"/>
                  <w:shd w:val="clear" w:color="auto" w:fill="FFFFFF"/>
                </w:tcPr>
                <w:p>
                  <w:pPr>
                    <w:widowControl/>
                    <w:jc w:val="center"/>
                    <w:rPr>
                      <w:szCs w:val="21"/>
                    </w:rPr>
                  </w:pPr>
                  <w:r>
                    <w:rPr>
                      <w:rFonts w:hint="eastAsia"/>
                      <w:szCs w:val="21"/>
                    </w:rPr>
                    <w:t>1</w:t>
                  </w:r>
                  <w:r>
                    <w:rPr>
                      <w:szCs w:val="21"/>
                    </w:rPr>
                    <w:t>00.00</w:t>
                  </w:r>
                </w:p>
              </w:tc>
              <w:tc>
                <w:tcPr>
                  <w:tcW w:w="1080" w:type="dxa"/>
                  <w:shd w:val="clear" w:color="auto" w:fill="FFFFFF"/>
                  <w:vAlign w:val="bottom"/>
                </w:tcPr>
                <w:p>
                  <w:pPr>
                    <w:widowControl/>
                    <w:jc w:val="center"/>
                    <w:rPr>
                      <w:szCs w:val="21"/>
                    </w:rPr>
                  </w:pPr>
                  <w:r>
                    <w:rPr>
                      <w:rFonts w:hint="eastAsia"/>
                      <w:szCs w:val="21"/>
                    </w:rPr>
                    <w:t>0</w:t>
                  </w:r>
                  <w:r>
                    <w:rPr>
                      <w:szCs w:val="21"/>
                    </w:rPr>
                    <w:t>.176</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15" w:hRule="atLeast"/>
                <w:jc w:val="center"/>
              </w:trPr>
              <w:tc>
                <w:tcPr>
                  <w:tcW w:w="1541" w:type="dxa"/>
                  <w:shd w:val="clear" w:color="auto" w:fill="FFFFFF"/>
                  <w:vAlign w:val="bottom"/>
                </w:tcPr>
                <w:p>
                  <w:pPr>
                    <w:widowControl/>
                    <w:jc w:val="center"/>
                    <w:rPr>
                      <w:szCs w:val="21"/>
                    </w:rPr>
                  </w:pPr>
                  <w:r>
                    <w:rPr>
                      <w:rFonts w:hint="eastAsia"/>
                      <w:szCs w:val="21"/>
                    </w:rPr>
                    <w:t>中肋骨条藻</w:t>
                  </w:r>
                </w:p>
              </w:tc>
              <w:tc>
                <w:tcPr>
                  <w:tcW w:w="1843" w:type="dxa"/>
                  <w:shd w:val="clear" w:color="auto" w:fill="FFFFFF"/>
                  <w:vAlign w:val="bottom"/>
                </w:tcPr>
                <w:p>
                  <w:pPr>
                    <w:widowControl/>
                    <w:jc w:val="center"/>
                    <w:rPr>
                      <w:szCs w:val="21"/>
                    </w:rPr>
                  </w:pPr>
                  <w:r>
                    <w:rPr>
                      <w:rFonts w:hint="eastAsia"/>
                      <w:szCs w:val="21"/>
                    </w:rPr>
                    <w:t>4</w:t>
                  </w:r>
                  <w:r>
                    <w:rPr>
                      <w:szCs w:val="21"/>
                    </w:rPr>
                    <w:t>.81</w:t>
                  </w:r>
                </w:p>
              </w:tc>
              <w:tc>
                <w:tcPr>
                  <w:tcW w:w="1496" w:type="dxa"/>
                  <w:shd w:val="clear" w:color="auto" w:fill="FFFFFF"/>
                  <w:vAlign w:val="bottom"/>
                </w:tcPr>
                <w:p>
                  <w:pPr>
                    <w:widowControl/>
                    <w:jc w:val="center"/>
                    <w:rPr>
                      <w:szCs w:val="21"/>
                    </w:rPr>
                  </w:pPr>
                  <w:r>
                    <w:rPr>
                      <w:rFonts w:hint="eastAsia"/>
                      <w:szCs w:val="21"/>
                    </w:rPr>
                    <w:t>7</w:t>
                  </w:r>
                  <w:r>
                    <w:rPr>
                      <w:szCs w:val="21"/>
                    </w:rPr>
                    <w:t>.20</w:t>
                  </w:r>
                </w:p>
              </w:tc>
              <w:tc>
                <w:tcPr>
                  <w:tcW w:w="1120" w:type="dxa"/>
                  <w:shd w:val="clear" w:color="auto" w:fill="FFFFFF"/>
                </w:tcPr>
                <w:p>
                  <w:pPr>
                    <w:widowControl/>
                    <w:jc w:val="center"/>
                    <w:rPr>
                      <w:szCs w:val="21"/>
                    </w:rPr>
                  </w:pPr>
                  <w:r>
                    <w:rPr>
                      <w:rFonts w:hint="eastAsia"/>
                      <w:szCs w:val="21"/>
                    </w:rPr>
                    <w:t>1</w:t>
                  </w:r>
                  <w:r>
                    <w:rPr>
                      <w:szCs w:val="21"/>
                    </w:rPr>
                    <w:t>00.00</w:t>
                  </w:r>
                </w:p>
              </w:tc>
              <w:tc>
                <w:tcPr>
                  <w:tcW w:w="1080" w:type="dxa"/>
                  <w:shd w:val="clear" w:color="auto" w:fill="FFFFFF"/>
                  <w:vAlign w:val="bottom"/>
                </w:tcPr>
                <w:p>
                  <w:pPr>
                    <w:widowControl/>
                    <w:jc w:val="center"/>
                    <w:rPr>
                      <w:szCs w:val="21"/>
                    </w:rPr>
                  </w:pPr>
                  <w:r>
                    <w:rPr>
                      <w:rFonts w:hint="eastAsia"/>
                      <w:szCs w:val="21"/>
                    </w:rPr>
                    <w:t>0</w:t>
                  </w:r>
                  <w:r>
                    <w:rPr>
                      <w:szCs w:val="21"/>
                    </w:rPr>
                    <w:t>.072</w:t>
                  </w:r>
                </w:p>
              </w:tc>
            </w:tr>
          </w:tbl>
          <w:p>
            <w:pPr>
              <w:pStyle w:val="279"/>
              <w:snapToGrid w:val="0"/>
              <w:ind w:firstLine="480"/>
              <w:rPr>
                <w:szCs w:val="21"/>
              </w:rPr>
            </w:pPr>
            <w:r>
              <w:rPr>
                <w:rFonts w:hint="eastAsia"/>
                <w:szCs w:val="21"/>
              </w:rPr>
              <w:t>4.1</w:t>
            </w:r>
            <w:r>
              <w:rPr>
                <w:szCs w:val="21"/>
              </w:rPr>
              <w:t>.</w:t>
            </w:r>
            <w:r>
              <w:rPr>
                <w:rFonts w:hint="eastAsia"/>
                <w:szCs w:val="21"/>
              </w:rPr>
              <w:t>4-4</w:t>
            </w:r>
            <w:r>
              <w:rPr>
                <w:szCs w:val="21"/>
              </w:rPr>
              <w:t xml:space="preserve">  浮游植物种类名录</w:t>
            </w:r>
          </w:p>
          <w:tbl>
            <w:tblPr>
              <w:tblStyle w:val="88"/>
              <w:tblW w:w="7852" w:type="dxa"/>
              <w:tblInd w:w="103" w:type="dxa"/>
              <w:tblLayout w:type="fixed"/>
              <w:tblCellMar>
                <w:top w:w="0" w:type="dxa"/>
                <w:left w:w="108" w:type="dxa"/>
                <w:bottom w:w="0" w:type="dxa"/>
                <w:right w:w="108" w:type="dxa"/>
              </w:tblCellMar>
            </w:tblPr>
            <w:tblGrid>
              <w:gridCol w:w="1190"/>
              <w:gridCol w:w="2410"/>
              <w:gridCol w:w="2268"/>
              <w:gridCol w:w="708"/>
              <w:gridCol w:w="1276"/>
            </w:tblGrid>
            <w:tr>
              <w:tblPrEx>
                <w:tblLayout w:type="fixed"/>
                <w:tblCellMar>
                  <w:top w:w="0" w:type="dxa"/>
                  <w:left w:w="108" w:type="dxa"/>
                  <w:bottom w:w="0" w:type="dxa"/>
                  <w:right w:w="108" w:type="dxa"/>
                </w:tblCellMar>
              </w:tblPrEx>
              <w:trPr>
                <w:trHeight w:val="547" w:hRule="atLeast"/>
              </w:trPr>
              <w:tc>
                <w:tcPr>
                  <w:tcW w:w="11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中文名</w:t>
                  </w:r>
                </w:p>
              </w:tc>
              <w:tc>
                <w:tcPr>
                  <w:tcW w:w="2410" w:type="dxa"/>
                  <w:tcBorders>
                    <w:top w:val="single" w:color="auto" w:sz="4" w:space="0"/>
                    <w:left w:val="nil"/>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拉丁文名</w:t>
                  </w:r>
                </w:p>
              </w:tc>
              <w:tc>
                <w:tcPr>
                  <w:tcW w:w="2268" w:type="dxa"/>
                  <w:tcBorders>
                    <w:top w:val="single" w:color="auto" w:sz="4" w:space="0"/>
                    <w:left w:val="nil"/>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站位</w:t>
                  </w:r>
                </w:p>
              </w:tc>
              <w:tc>
                <w:tcPr>
                  <w:tcW w:w="708" w:type="dxa"/>
                  <w:tcBorders>
                    <w:top w:val="single" w:color="auto" w:sz="4" w:space="0"/>
                    <w:left w:val="nil"/>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出现率(%)</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细胞密度(cells/m</w:t>
                  </w:r>
                  <w:r>
                    <w:rPr>
                      <w:b/>
                      <w:bCs/>
                      <w:sz w:val="18"/>
                      <w:szCs w:val="18"/>
                      <w:vertAlign w:val="superscript"/>
                    </w:rPr>
                    <w:t>3</w:t>
                  </w:r>
                  <w:r>
                    <w:rPr>
                      <w:b/>
                      <w:bCs/>
                      <w:sz w:val="18"/>
                      <w:szCs w:val="18"/>
                    </w:rPr>
                    <w:t>)</w:t>
                  </w:r>
                </w:p>
              </w:tc>
            </w:tr>
            <w:tr>
              <w:tblPrEx>
                <w:tblLayout w:type="fixed"/>
                <w:tblCellMar>
                  <w:top w:w="0" w:type="dxa"/>
                  <w:left w:w="108" w:type="dxa"/>
                  <w:bottom w:w="0" w:type="dxa"/>
                  <w:right w:w="108" w:type="dxa"/>
                </w:tblCellMar>
              </w:tblPrEx>
              <w:trPr>
                <w:trHeight w:val="300" w:hRule="atLeast"/>
              </w:trPr>
              <w:tc>
                <w:tcPr>
                  <w:tcW w:w="1190" w:type="dxa"/>
                  <w:tcBorders>
                    <w:top w:val="nil"/>
                    <w:left w:val="single" w:color="auto" w:sz="4" w:space="0"/>
                    <w:bottom w:val="single" w:color="auto" w:sz="4" w:space="0"/>
                    <w:right w:val="single" w:color="auto" w:sz="4" w:space="0"/>
                  </w:tcBorders>
                  <w:shd w:val="clear" w:color="auto" w:fill="auto"/>
                  <w:vAlign w:val="bottom"/>
                </w:tcPr>
                <w:p>
                  <w:pPr>
                    <w:widowControl/>
                    <w:jc w:val="center"/>
                    <w:rPr>
                      <w:sz w:val="18"/>
                      <w:szCs w:val="18"/>
                    </w:rPr>
                  </w:pPr>
                  <w:r>
                    <w:rPr>
                      <w:sz w:val="18"/>
                      <w:szCs w:val="18"/>
                    </w:rPr>
                    <w:t>硅藻门</w:t>
                  </w:r>
                </w:p>
              </w:tc>
              <w:tc>
                <w:tcPr>
                  <w:tcW w:w="6662" w:type="dxa"/>
                  <w:gridSpan w:val="4"/>
                  <w:tcBorders>
                    <w:top w:val="single" w:color="auto" w:sz="4" w:space="0"/>
                    <w:left w:val="nil"/>
                    <w:bottom w:val="single" w:color="auto" w:sz="4" w:space="0"/>
                    <w:right w:val="single" w:color="auto" w:sz="4" w:space="0"/>
                  </w:tcBorders>
                  <w:shd w:val="clear" w:color="auto" w:fill="auto"/>
                  <w:vAlign w:val="bottom"/>
                </w:tcPr>
                <w:p>
                  <w:pPr>
                    <w:widowControl/>
                    <w:jc w:val="center"/>
                    <w:rPr>
                      <w:i/>
                      <w:sz w:val="18"/>
                      <w:szCs w:val="18"/>
                    </w:rPr>
                  </w:pPr>
                  <w:r>
                    <w:rPr>
                      <w:i/>
                      <w:sz w:val="18"/>
                      <w:szCs w:val="18"/>
                    </w:rPr>
                    <w:t>Bacillariophyta</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派格棍形藻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Bacillaria paradoxa Gmelin</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,7</w:t>
                  </w:r>
                </w:p>
              </w:tc>
              <w:tc>
                <w:tcPr>
                  <w:tcW w:w="708" w:type="dxa"/>
                  <w:tcBorders>
                    <w:top w:val="nil"/>
                    <w:left w:val="nil"/>
                    <w:bottom w:val="single" w:color="auto" w:sz="4" w:space="0"/>
                    <w:right w:val="single" w:color="auto" w:sz="4" w:space="0"/>
                  </w:tcBorders>
                  <w:shd w:val="clear" w:color="auto" w:fill="auto"/>
                  <w:noWrap/>
                  <w:vAlign w:val="bottom"/>
                </w:tcPr>
                <w:p>
                  <w:pPr>
                    <w:widowControl/>
                    <w:rPr>
                      <w:sz w:val="18"/>
                      <w:szCs w:val="18"/>
                    </w:rPr>
                  </w:pPr>
                  <w:r>
                    <w:rPr>
                      <w:sz w:val="18"/>
                      <w:szCs w:val="18"/>
                    </w:rPr>
                    <w:t>16.</w:t>
                  </w:r>
                  <w:r>
                    <w:rPr>
                      <w:rFonts w:hint="eastAsia"/>
                      <w:sz w:val="18"/>
                      <w:szCs w:val="18"/>
                    </w:rPr>
                    <w:t>6</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718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窄隙角毛藻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Chaetoceros affinis Lauder</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,5,9,13,14,15,16,17,19,20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34218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卡氏角毛藻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Chaetoceros castracanei Karsten</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4</w:t>
                  </w:r>
                  <w:r>
                    <w:rPr>
                      <w:sz w:val="18"/>
                      <w:szCs w:val="18"/>
                    </w:rPr>
                    <w:t>,7,19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25.0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1750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旋链角毛藻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Chaetoceros curvisetus  Cleve</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,4,5,7,9,13,14,16,17,19,20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100.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60086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远距角毛藻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Chaetoceros distans Cleve</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4</w:t>
                  </w:r>
                  <w:r>
                    <w:rPr>
                      <w:sz w:val="18"/>
                      <w:szCs w:val="18"/>
                    </w:rPr>
                    <w:t>,7,13,15,17,19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50.0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6873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并基角毛藻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Chaetoceros decipiens Cleve</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,4,5,9,13,14,16,19,20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75.0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7827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密连角毛藻</w:t>
                  </w:r>
                </w:p>
              </w:tc>
              <w:tc>
                <w:tcPr>
                  <w:tcW w:w="2410" w:type="dxa"/>
                  <w:tcBorders>
                    <w:top w:val="nil"/>
                    <w:left w:val="nil"/>
                    <w:bottom w:val="single" w:color="auto" w:sz="4" w:space="0"/>
                    <w:right w:val="single" w:color="auto" w:sz="4" w:space="0"/>
                  </w:tcBorders>
                  <w:shd w:val="clear" w:color="auto" w:fill="auto"/>
                  <w:noWrap/>
                  <w:vAlign w:val="center"/>
                </w:tcPr>
                <w:p>
                  <w:pPr>
                    <w:widowControl/>
                    <w:rPr>
                      <w:i/>
                      <w:sz w:val="18"/>
                      <w:szCs w:val="18"/>
                    </w:rPr>
                  </w:pPr>
                  <w:r>
                    <w:rPr>
                      <w:i/>
                      <w:sz w:val="18"/>
                      <w:szCs w:val="18"/>
                    </w:rPr>
                    <w:t>Chaetoceros  densus Cleve</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9</w:t>
                  </w:r>
                  <w:r>
                    <w:rPr>
                      <w:sz w:val="18"/>
                      <w:szCs w:val="18"/>
                    </w:rPr>
                    <w:t>,13,15,17</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33.3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3953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罗氏角毛藻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 xml:space="preserve">Chaetoceros lauderi Ralfs </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7</w:t>
                  </w:r>
                  <w:r>
                    <w:rPr>
                      <w:sz w:val="18"/>
                      <w:szCs w:val="18"/>
                    </w:rPr>
                    <w:t>,14,19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25.0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865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劳氏角毛藻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Chaetoceros lorenzianus Grunow</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,4,5,7,9,13,14,16,17,19,20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100.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298763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双孢角毛藻</w:t>
                  </w:r>
                </w:p>
              </w:tc>
              <w:tc>
                <w:tcPr>
                  <w:tcW w:w="2410" w:type="dxa"/>
                  <w:tcBorders>
                    <w:top w:val="nil"/>
                    <w:left w:val="nil"/>
                    <w:bottom w:val="single" w:color="auto" w:sz="4" w:space="0"/>
                    <w:right w:val="single" w:color="auto" w:sz="4" w:space="0"/>
                  </w:tcBorders>
                  <w:shd w:val="clear" w:color="auto" w:fill="auto"/>
                  <w:noWrap/>
                  <w:vAlign w:val="center"/>
                </w:tcPr>
                <w:p>
                  <w:pPr>
                    <w:widowControl/>
                    <w:rPr>
                      <w:i/>
                      <w:sz w:val="18"/>
                      <w:szCs w:val="18"/>
                    </w:rPr>
                  </w:pPr>
                  <w:r>
                    <w:rPr>
                      <w:i/>
                      <w:sz w:val="18"/>
                      <w:szCs w:val="18"/>
                    </w:rPr>
                    <w:t>Chaetoceros  didymus Ehrenberg</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5</w:t>
                  </w:r>
                  <w:r>
                    <w:rPr>
                      <w:sz w:val="18"/>
                      <w:szCs w:val="18"/>
                    </w:rPr>
                    <w:t>,13,14,19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33.3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2783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冕孢角毛藻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 xml:space="preserve">Chaetoceros subsecundus (Grun.) Hustedt </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3,14,19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41.6</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7689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海洋角毛藻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Chaetoceros pelagicus Cleve</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,4,5,7,9,13,14,16,17,19,20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100.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36159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扭链角毛藻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 xml:space="preserve">Chaetoceros tortissimus Gran </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427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星脐圆筛藻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Coscinodiscus  asteromphalusEhrenberg</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5</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82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虹彩圆筛藻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Coscinodiscus oculus-iridis Ehrenberg</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110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琼氏圆筛藻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Coscinodiscus jonesianus  (Greville) Ostenfeld</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7</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112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威氏圆筛藻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 xml:space="preserve">Coscinodiscus wailesii Gran &amp; Angst </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16.6</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210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bottom"/>
                </w:tcPr>
                <w:p>
                  <w:pPr>
                    <w:widowControl/>
                    <w:jc w:val="center"/>
                    <w:rPr>
                      <w:sz w:val="18"/>
                      <w:szCs w:val="18"/>
                    </w:rPr>
                  </w:pPr>
                  <w:r>
                    <w:rPr>
                      <w:rFonts w:hint="eastAsia"/>
                      <w:sz w:val="18"/>
                      <w:szCs w:val="18"/>
                    </w:rPr>
                    <w:t>格氏圆筛藻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Coscinodiscus granii Grough</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5</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82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 xml:space="preserve">细弱圆筛藻 </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 xml:space="preserve">Coscinodiscus subtilis Ehrenberg </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120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矮小短棘藻</w:t>
                  </w:r>
                </w:p>
              </w:tc>
              <w:tc>
                <w:tcPr>
                  <w:tcW w:w="2410" w:type="dxa"/>
                  <w:tcBorders>
                    <w:top w:val="nil"/>
                    <w:left w:val="nil"/>
                    <w:bottom w:val="single" w:color="auto" w:sz="4" w:space="0"/>
                    <w:right w:val="single" w:color="auto" w:sz="4" w:space="0"/>
                  </w:tcBorders>
                  <w:shd w:val="clear" w:color="auto" w:fill="auto"/>
                  <w:vAlign w:val="center"/>
                </w:tcPr>
                <w:p>
                  <w:pPr>
                    <w:widowControl/>
                    <w:rPr>
                      <w:i/>
                      <w:sz w:val="18"/>
                      <w:szCs w:val="18"/>
                    </w:rPr>
                  </w:pPr>
                  <w:r>
                    <w:rPr>
                      <w:i/>
                      <w:sz w:val="18"/>
                      <w:szCs w:val="18"/>
                    </w:rPr>
                    <w:t> Detonula pumila (Castracane) Gran</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96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布氏双尾藻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Ditylum brightwelli (West) Grunow</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,4,5,7,9,13,14,16,17,19,20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100.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5742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浮动弯角藻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 xml:space="preserve">Eucampia zoodiacus Ehrenberg   </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5</w:t>
                  </w:r>
                  <w:r>
                    <w:rPr>
                      <w:sz w:val="18"/>
                      <w:szCs w:val="18"/>
                    </w:rPr>
                    <w:t>,13,14,17,20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41.6</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5383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萎软几内亚藻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Guinardia flaccida(Castr.) Per</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7</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112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柔弱几内亚藻</w:t>
                  </w:r>
                </w:p>
              </w:tc>
              <w:tc>
                <w:tcPr>
                  <w:tcW w:w="2410" w:type="dxa"/>
                  <w:tcBorders>
                    <w:top w:val="nil"/>
                    <w:left w:val="nil"/>
                    <w:bottom w:val="single" w:color="auto" w:sz="4" w:space="0"/>
                    <w:right w:val="single" w:color="auto" w:sz="4" w:space="0"/>
                  </w:tcBorders>
                  <w:shd w:val="clear" w:color="auto" w:fill="auto"/>
                  <w:vAlign w:val="center"/>
                </w:tcPr>
                <w:p>
                  <w:pPr>
                    <w:widowControl/>
                    <w:rPr>
                      <w:i/>
                      <w:sz w:val="18"/>
                      <w:szCs w:val="18"/>
                    </w:rPr>
                  </w:pPr>
                  <w:r>
                    <w:rPr>
                      <w:i/>
                      <w:sz w:val="18"/>
                      <w:szCs w:val="18"/>
                    </w:rPr>
                    <w:t>Guinardia delicatula(Cleve)Hasle et al,1997</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9</w:t>
                  </w:r>
                  <w:r>
                    <w:rPr>
                      <w:sz w:val="18"/>
                      <w:szCs w:val="18"/>
                    </w:rPr>
                    <w:t>,19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16.6</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230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斯氏几内亚藻</w:t>
                  </w:r>
                </w:p>
              </w:tc>
              <w:tc>
                <w:tcPr>
                  <w:tcW w:w="2410" w:type="dxa"/>
                  <w:tcBorders>
                    <w:top w:val="nil"/>
                    <w:left w:val="nil"/>
                    <w:bottom w:val="single" w:color="auto" w:sz="4" w:space="0"/>
                    <w:right w:val="single" w:color="auto" w:sz="4" w:space="0"/>
                  </w:tcBorders>
                  <w:shd w:val="clear" w:color="auto" w:fill="auto"/>
                  <w:vAlign w:val="center"/>
                </w:tcPr>
                <w:p>
                  <w:pPr>
                    <w:widowControl/>
                    <w:rPr>
                      <w:i/>
                      <w:sz w:val="18"/>
                      <w:szCs w:val="18"/>
                    </w:rPr>
                  </w:pPr>
                  <w:r>
                    <w:rPr>
                      <w:i/>
                      <w:sz w:val="18"/>
                      <w:szCs w:val="18"/>
                    </w:rPr>
                    <w:t>Guinardia striata Hasle</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4</w:t>
                  </w:r>
                  <w:r>
                    <w:rPr>
                      <w:sz w:val="18"/>
                      <w:szCs w:val="18"/>
                    </w:rPr>
                    <w:t>,7,14,20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33.3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1137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丹麦细柱藻</w:t>
                  </w:r>
                </w:p>
              </w:tc>
              <w:tc>
                <w:tcPr>
                  <w:tcW w:w="2410" w:type="dxa"/>
                  <w:tcBorders>
                    <w:top w:val="nil"/>
                    <w:left w:val="nil"/>
                    <w:bottom w:val="single" w:color="auto" w:sz="4" w:space="0"/>
                    <w:right w:val="single" w:color="auto" w:sz="4" w:space="0"/>
                  </w:tcBorders>
                  <w:shd w:val="clear" w:color="auto" w:fill="auto"/>
                  <w:vAlign w:val="center"/>
                </w:tcPr>
                <w:p>
                  <w:pPr>
                    <w:widowControl/>
                    <w:rPr>
                      <w:i/>
                      <w:sz w:val="18"/>
                      <w:szCs w:val="18"/>
                    </w:rPr>
                  </w:pPr>
                  <w:r>
                    <w:rPr>
                      <w:i/>
                      <w:sz w:val="18"/>
                      <w:szCs w:val="18"/>
                    </w:rPr>
                    <w:t>Leptocylindrus danicus Cleve</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5</w:t>
                  </w:r>
                  <w:r>
                    <w:rPr>
                      <w:sz w:val="18"/>
                      <w:szCs w:val="18"/>
                    </w:rPr>
                    <w:t>,7,13,14,17</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41.6</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2388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胸隔藻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Mastogloia spp.</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120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膜状缪氏藻</w:t>
                  </w:r>
                </w:p>
              </w:tc>
              <w:tc>
                <w:tcPr>
                  <w:tcW w:w="2410" w:type="dxa"/>
                  <w:tcBorders>
                    <w:top w:val="nil"/>
                    <w:left w:val="nil"/>
                    <w:bottom w:val="single" w:color="auto" w:sz="4" w:space="0"/>
                    <w:right w:val="single" w:color="auto" w:sz="4" w:space="0"/>
                  </w:tcBorders>
                  <w:shd w:val="clear" w:color="auto" w:fill="auto"/>
                  <w:vAlign w:val="center"/>
                </w:tcPr>
                <w:p>
                  <w:pPr>
                    <w:widowControl/>
                    <w:rPr>
                      <w:i/>
                      <w:sz w:val="18"/>
                      <w:szCs w:val="18"/>
                    </w:rPr>
                  </w:pPr>
                  <w:r>
                    <w:rPr>
                      <w:i/>
                      <w:sz w:val="18"/>
                      <w:szCs w:val="18"/>
                    </w:rPr>
                    <w:t>Meuniera membranacea (Cleve) Silva</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5</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90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舟形藻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Navicula spp.</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16.6</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206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新月菱形藻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Nitzschia closterium</w:t>
                  </w:r>
                  <w:r>
                    <w:rPr>
                      <w:rFonts w:hint="eastAsia"/>
                      <w:i/>
                      <w:sz w:val="18"/>
                      <w:szCs w:val="18"/>
                    </w:rPr>
                    <w:t>（</w:t>
                  </w:r>
                  <w:r>
                    <w:rPr>
                      <w:i/>
                      <w:sz w:val="18"/>
                      <w:szCs w:val="18"/>
                    </w:rPr>
                    <w:t>Ehrenberg</w:t>
                  </w:r>
                  <w:r>
                    <w:rPr>
                      <w:rFonts w:hint="eastAsia"/>
                      <w:i/>
                      <w:sz w:val="18"/>
                      <w:szCs w:val="18"/>
                    </w:rPr>
                    <w:t>）</w:t>
                  </w:r>
                  <w:r>
                    <w:rPr>
                      <w:i/>
                      <w:sz w:val="18"/>
                      <w:szCs w:val="18"/>
                    </w:rPr>
                    <w:t>W. Smith</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4</w:t>
                  </w:r>
                  <w:r>
                    <w:rPr>
                      <w:sz w:val="18"/>
                      <w:szCs w:val="18"/>
                    </w:rPr>
                    <w:t>,7,15,19,20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41.6</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2663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vAlign w:val="center"/>
                </w:tcPr>
                <w:p>
                  <w:pPr>
                    <w:widowControl/>
                    <w:jc w:val="center"/>
                    <w:rPr>
                      <w:sz w:val="18"/>
                      <w:szCs w:val="18"/>
                    </w:rPr>
                  </w:pPr>
                  <w:r>
                    <w:rPr>
                      <w:rFonts w:hint="eastAsia"/>
                      <w:sz w:val="18"/>
                      <w:szCs w:val="18"/>
                    </w:rPr>
                    <w:t>菱形藻</w:t>
                  </w:r>
                </w:p>
              </w:tc>
              <w:tc>
                <w:tcPr>
                  <w:tcW w:w="2410" w:type="dxa"/>
                  <w:tcBorders>
                    <w:top w:val="nil"/>
                    <w:left w:val="nil"/>
                    <w:bottom w:val="single" w:color="auto" w:sz="4" w:space="0"/>
                    <w:right w:val="single" w:color="auto" w:sz="4" w:space="0"/>
                  </w:tcBorders>
                  <w:shd w:val="clear" w:color="auto" w:fill="auto"/>
                  <w:vAlign w:val="bottom"/>
                </w:tcPr>
                <w:p>
                  <w:pPr>
                    <w:widowControl/>
                    <w:rPr>
                      <w:i/>
                      <w:sz w:val="18"/>
                      <w:szCs w:val="18"/>
                    </w:rPr>
                  </w:pPr>
                  <w:r>
                    <w:rPr>
                      <w:i/>
                      <w:sz w:val="18"/>
                      <w:szCs w:val="18"/>
                    </w:rPr>
                    <w:t>Nitzschia spp.</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4</w:t>
                  </w:r>
                  <w:r>
                    <w:rPr>
                      <w:sz w:val="18"/>
                      <w:szCs w:val="18"/>
                    </w:rPr>
                    <w:t>,13,14,15,17,20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50.0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3070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中华盒形藻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Odontella sinensis (Greville)Grunow</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5</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90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柔弱拟菱形藻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Pseudo-nitzschia delicatissima Cleve</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,4,7,14,16,19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50.0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3213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尖刺拟菱形藻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 xml:space="preserve">Pseudo-nitzschia pungens (Grunow ex  Cleve)Hasle </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,4,5,7,9,13,14,16,17,19,20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100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117323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拟菱形藻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Pseudo-nitzschia spp.</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4</w:t>
                  </w:r>
                  <w:r>
                    <w:rPr>
                      <w:sz w:val="18"/>
                      <w:szCs w:val="18"/>
                    </w:rPr>
                    <w:t>,13,15,20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33.3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3383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泰晤士旋鞘藻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Helicotheca tamesis</w:t>
                  </w:r>
                  <w:r>
                    <w:rPr>
                      <w:rFonts w:hint="eastAsia"/>
                      <w:i/>
                      <w:sz w:val="18"/>
                      <w:szCs w:val="18"/>
                    </w:rPr>
                    <w:t>（</w:t>
                  </w:r>
                  <w:r>
                    <w:rPr>
                      <w:i/>
                      <w:sz w:val="18"/>
                      <w:szCs w:val="18"/>
                    </w:rPr>
                    <w:t>Shrubsole</w:t>
                  </w:r>
                  <w:r>
                    <w:rPr>
                      <w:rFonts w:hint="eastAsia"/>
                      <w:i/>
                      <w:sz w:val="18"/>
                      <w:szCs w:val="18"/>
                    </w:rPr>
                    <w:t>）</w:t>
                  </w:r>
                  <w:r>
                    <w:rPr>
                      <w:i/>
                      <w:sz w:val="18"/>
                      <w:szCs w:val="18"/>
                    </w:rPr>
                    <w:t>Ricard</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,5,14,16,19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41.6</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3533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中肋骨条藻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Skeletonema costatum(Greville)Cleve</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,4,5,7,9,13,14,16,17,19,20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100</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48112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细弱海链藻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Thalassiosira subtilis</w:t>
                  </w:r>
                  <w:r>
                    <w:rPr>
                      <w:rFonts w:hint="eastAsia"/>
                      <w:i/>
                      <w:sz w:val="18"/>
                      <w:szCs w:val="18"/>
                    </w:rPr>
                    <w:t>（</w:t>
                  </w:r>
                  <w:r>
                    <w:rPr>
                      <w:i/>
                      <w:sz w:val="18"/>
                      <w:szCs w:val="18"/>
                    </w:rPr>
                    <w:t>Ostf.</w:t>
                  </w:r>
                  <w:r>
                    <w:rPr>
                      <w:rFonts w:hint="eastAsia"/>
                      <w:i/>
                      <w:sz w:val="18"/>
                      <w:szCs w:val="18"/>
                    </w:rPr>
                    <w:t>）</w:t>
                  </w:r>
                  <w:r>
                    <w:rPr>
                      <w:i/>
                      <w:sz w:val="18"/>
                      <w:szCs w:val="18"/>
                    </w:rPr>
                    <w:t>Gran</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7</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112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海链藻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Thalassiosira spp.</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4,19</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16.</w:t>
                  </w:r>
                  <w:r>
                    <w:rPr>
                      <w:rFonts w:hint="eastAsia"/>
                      <w:sz w:val="18"/>
                      <w:szCs w:val="18"/>
                    </w:rPr>
                    <w:t>7</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433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甲藻门</w:t>
                  </w:r>
                </w:p>
              </w:tc>
              <w:tc>
                <w:tcPr>
                  <w:tcW w:w="6662" w:type="dxa"/>
                  <w:gridSpan w:val="4"/>
                  <w:tcBorders>
                    <w:top w:val="single" w:color="auto" w:sz="4" w:space="0"/>
                    <w:left w:val="nil"/>
                    <w:bottom w:val="single" w:color="auto" w:sz="4" w:space="0"/>
                    <w:right w:val="single" w:color="auto" w:sz="4" w:space="0"/>
                  </w:tcBorders>
                  <w:shd w:val="clear" w:color="auto" w:fill="auto"/>
                  <w:noWrap/>
                  <w:vAlign w:val="bottom"/>
                </w:tcPr>
                <w:p>
                  <w:pPr>
                    <w:jc w:val="center"/>
                    <w:rPr>
                      <w:i/>
                      <w:sz w:val="18"/>
                      <w:szCs w:val="18"/>
                    </w:rPr>
                  </w:pPr>
                  <w:r>
                    <w:rPr>
                      <w:i/>
                      <w:sz w:val="18"/>
                      <w:szCs w:val="18"/>
                    </w:rPr>
                    <w:t>Pyrrophyta</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叉状新角藻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Neoceratium furca (Ehrenberg) Gómez</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7</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112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梭状新角藻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Neoceratium fusus (Ehrenberg) Gómez</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5</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90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三角新角藻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Neoceratium tripos (Müller Gómez)</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,5,9,14,15,16,17,20</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66.</w:t>
                  </w:r>
                  <w:r>
                    <w:rPr>
                      <w:rFonts w:hint="eastAsia"/>
                      <w:sz w:val="18"/>
                      <w:szCs w:val="18"/>
                    </w:rPr>
                    <w:t>7</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5396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夜光藻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Noctiluca scientillans (Macart.)Kof.et Swezy</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5</w:t>
                  </w:r>
                  <w:r>
                    <w:rPr>
                      <w:sz w:val="18"/>
                      <w:szCs w:val="18"/>
                    </w:rPr>
                    <w:t>,17</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16.</w:t>
                  </w:r>
                  <w:r>
                    <w:rPr>
                      <w:rFonts w:hint="eastAsia"/>
                      <w:sz w:val="18"/>
                      <w:szCs w:val="18"/>
                    </w:rPr>
                    <w:t>7</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168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膝沟藻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Gonyaulax spp.</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,15</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16.</w:t>
                  </w:r>
                  <w:r>
                    <w:rPr>
                      <w:rFonts w:hint="eastAsia"/>
                      <w:sz w:val="18"/>
                      <w:szCs w:val="18"/>
                    </w:rPr>
                    <w:t>7</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456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具齿原甲藻</w:t>
                  </w:r>
                </w:p>
              </w:tc>
              <w:tc>
                <w:tcPr>
                  <w:tcW w:w="2410" w:type="dxa"/>
                  <w:tcBorders>
                    <w:top w:val="nil"/>
                    <w:left w:val="nil"/>
                    <w:bottom w:val="single" w:color="auto" w:sz="4" w:space="0"/>
                    <w:right w:val="single" w:color="auto" w:sz="4" w:space="0"/>
                  </w:tcBorders>
                  <w:shd w:val="clear" w:color="auto" w:fill="auto"/>
                  <w:noWrap/>
                  <w:vAlign w:val="center"/>
                </w:tcPr>
                <w:p>
                  <w:pPr>
                    <w:widowControl/>
                    <w:rPr>
                      <w:i/>
                      <w:sz w:val="18"/>
                      <w:szCs w:val="18"/>
                    </w:rPr>
                  </w:pPr>
                  <w:r>
                    <w:rPr>
                      <w:i/>
                      <w:sz w:val="18"/>
                      <w:szCs w:val="18"/>
                    </w:rPr>
                    <w:t>Prorocentrum dentatum Stein</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7</w:t>
                  </w:r>
                  <w:r>
                    <w:rPr>
                      <w:sz w:val="18"/>
                      <w:szCs w:val="18"/>
                    </w:rPr>
                    <w:t>,14</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16.</w:t>
                  </w:r>
                  <w:r>
                    <w:rPr>
                      <w:rFonts w:hint="eastAsia"/>
                      <w:sz w:val="18"/>
                      <w:szCs w:val="18"/>
                    </w:rPr>
                    <w:t>7</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325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微小原甲藻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 xml:space="preserve">Protoperidinium minutum </w:t>
                  </w:r>
                  <w:r>
                    <w:rPr>
                      <w:rFonts w:hint="eastAsia"/>
                      <w:i/>
                      <w:sz w:val="18"/>
                      <w:szCs w:val="18"/>
                    </w:rPr>
                    <w:t>（</w:t>
                  </w:r>
                  <w:r>
                    <w:rPr>
                      <w:i/>
                      <w:sz w:val="18"/>
                      <w:szCs w:val="18"/>
                    </w:rPr>
                    <w:t>Kofoid</w:t>
                  </w:r>
                  <w:r>
                    <w:rPr>
                      <w:rFonts w:hint="eastAsia"/>
                      <w:i/>
                      <w:sz w:val="18"/>
                      <w:szCs w:val="18"/>
                    </w:rPr>
                    <w:t>）</w:t>
                  </w:r>
                  <w:r>
                    <w:rPr>
                      <w:i/>
                      <w:sz w:val="18"/>
                      <w:szCs w:val="18"/>
                    </w:rPr>
                    <w:t xml:space="preserve"> Loeblich</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4</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107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原甲藻</w:t>
                  </w:r>
                </w:p>
              </w:tc>
              <w:tc>
                <w:tcPr>
                  <w:tcW w:w="2410" w:type="dxa"/>
                  <w:tcBorders>
                    <w:top w:val="nil"/>
                    <w:left w:val="nil"/>
                    <w:bottom w:val="single" w:color="auto" w:sz="4" w:space="0"/>
                    <w:right w:val="single" w:color="auto" w:sz="4" w:space="0"/>
                  </w:tcBorders>
                  <w:shd w:val="clear" w:color="auto" w:fill="auto"/>
                  <w:noWrap/>
                  <w:vAlign w:val="bottom"/>
                </w:tcPr>
                <w:p>
                  <w:pPr>
                    <w:widowControl/>
                    <w:rPr>
                      <w:i/>
                      <w:sz w:val="18"/>
                      <w:szCs w:val="18"/>
                    </w:rPr>
                  </w:pPr>
                  <w:r>
                    <w:rPr>
                      <w:i/>
                      <w:sz w:val="18"/>
                      <w:szCs w:val="18"/>
                    </w:rPr>
                    <w:t>Prorocentrum spp.</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r>
                    <w:rPr>
                      <w:rFonts w:hint="eastAsia"/>
                      <w:sz w:val="18"/>
                      <w:szCs w:val="18"/>
                    </w:rPr>
                    <w:t>1</w:t>
                  </w:r>
                  <w:r>
                    <w:rPr>
                      <w:sz w:val="18"/>
                      <w:szCs w:val="18"/>
                    </w:rPr>
                    <w:t>,5,13,14,17</w:t>
                  </w: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41.</w:t>
                  </w:r>
                  <w:r>
                    <w:rPr>
                      <w:rFonts w:hint="eastAsia"/>
                      <w:sz w:val="18"/>
                      <w:szCs w:val="18"/>
                    </w:rPr>
                    <w:t>7</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1306 </w:t>
                  </w:r>
                </w:p>
              </w:tc>
            </w:tr>
            <w:tr>
              <w:tblPrEx>
                <w:tblLayout w:type="fixed"/>
                <w:tblCellMar>
                  <w:top w:w="0" w:type="dxa"/>
                  <w:left w:w="108" w:type="dxa"/>
                  <w:bottom w:w="0" w:type="dxa"/>
                  <w:right w:w="108" w:type="dxa"/>
                </w:tblCellMar>
              </w:tblPrEx>
              <w:trPr>
                <w:trHeight w:val="315" w:hRule="atLeast"/>
              </w:trPr>
              <w:tc>
                <w:tcPr>
                  <w:tcW w:w="119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扁甲藻</w:t>
                  </w:r>
                </w:p>
              </w:tc>
              <w:tc>
                <w:tcPr>
                  <w:tcW w:w="2410" w:type="dxa"/>
                  <w:tcBorders>
                    <w:top w:val="nil"/>
                    <w:left w:val="nil"/>
                    <w:bottom w:val="single" w:color="auto" w:sz="4" w:space="0"/>
                    <w:right w:val="single" w:color="auto" w:sz="4" w:space="0"/>
                  </w:tcBorders>
                  <w:shd w:val="clear" w:color="auto" w:fill="auto"/>
                  <w:noWrap/>
                  <w:vAlign w:val="center"/>
                </w:tcPr>
                <w:p>
                  <w:pPr>
                    <w:widowControl/>
                    <w:rPr>
                      <w:i/>
                      <w:sz w:val="18"/>
                      <w:szCs w:val="18"/>
                    </w:rPr>
                  </w:pPr>
                  <w:r>
                    <w:rPr>
                      <w:i/>
                      <w:sz w:val="18"/>
                      <w:szCs w:val="18"/>
                    </w:rPr>
                    <w:t>Pyrophacus spp.</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sz w:val="18"/>
                      <w:szCs w:val="18"/>
                    </w:rPr>
                  </w:pPr>
                </w:p>
              </w:tc>
              <w:tc>
                <w:tcPr>
                  <w:tcW w:w="708" w:type="dxa"/>
                  <w:tcBorders>
                    <w:top w:val="nil"/>
                    <w:left w:val="nil"/>
                    <w:bottom w:val="single" w:color="auto" w:sz="4" w:space="0"/>
                    <w:right w:val="single" w:color="auto" w:sz="4" w:space="0"/>
                  </w:tcBorders>
                  <w:shd w:val="clear" w:color="auto" w:fill="auto"/>
                  <w:noWrap/>
                  <w:vAlign w:val="bottom"/>
                </w:tcPr>
                <w:p>
                  <w:pPr>
                    <w:widowControl/>
                    <w:jc w:val="center"/>
                    <w:rPr>
                      <w:sz w:val="18"/>
                      <w:szCs w:val="18"/>
                    </w:rPr>
                  </w:pPr>
                  <w:r>
                    <w:rPr>
                      <w:sz w:val="18"/>
                      <w:szCs w:val="18"/>
                    </w:rPr>
                    <w:t>8.33</w:t>
                  </w:r>
                </w:p>
              </w:tc>
              <w:tc>
                <w:tcPr>
                  <w:tcW w:w="1276" w:type="dxa"/>
                  <w:tcBorders>
                    <w:top w:val="nil"/>
                    <w:left w:val="nil"/>
                    <w:bottom w:val="single" w:color="auto" w:sz="4" w:space="0"/>
                    <w:right w:val="single" w:color="auto" w:sz="4" w:space="0"/>
                  </w:tcBorders>
                  <w:shd w:val="clear" w:color="auto" w:fill="auto"/>
                  <w:noWrap/>
                  <w:vAlign w:val="bottom"/>
                </w:tcPr>
                <w:p>
                  <w:pPr>
                    <w:widowControl/>
                    <w:jc w:val="right"/>
                    <w:rPr>
                      <w:sz w:val="18"/>
                      <w:szCs w:val="18"/>
                    </w:rPr>
                  </w:pPr>
                  <w:r>
                    <w:rPr>
                      <w:sz w:val="18"/>
                      <w:szCs w:val="18"/>
                    </w:rPr>
                    <w:t xml:space="preserve">112 </w:t>
                  </w:r>
                </w:p>
              </w:tc>
            </w:tr>
          </w:tbl>
          <w:p>
            <w:pPr>
              <w:autoSpaceDE w:val="0"/>
              <w:autoSpaceDN w:val="0"/>
              <w:spacing w:line="360" w:lineRule="auto"/>
              <w:ind w:firstLine="482"/>
              <w:outlineLvl w:val="0"/>
              <w:rPr>
                <w:sz w:val="24"/>
                <w:lang w:val="zh-CN"/>
              </w:rPr>
            </w:pPr>
            <w:r>
              <w:rPr>
                <w:sz w:val="24"/>
                <w:lang w:val="zh-CN"/>
              </w:rPr>
              <w:t>(4) 多样性指数与均匀度</w:t>
            </w:r>
          </w:p>
          <w:p>
            <w:pPr>
              <w:autoSpaceDE w:val="0"/>
              <w:autoSpaceDN w:val="0"/>
              <w:spacing w:line="360" w:lineRule="auto"/>
              <w:ind w:firstLine="482"/>
              <w:rPr>
                <w:sz w:val="24"/>
                <w:lang w:val="zh-CN"/>
              </w:rPr>
            </w:pPr>
            <w:r>
              <w:rPr>
                <w:sz w:val="24"/>
                <w:lang w:val="zh-CN"/>
              </w:rPr>
              <w:t>调查区的浮游植物的群落指数见表</w:t>
            </w:r>
            <w:r>
              <w:rPr>
                <w:rFonts w:hint="eastAsia"/>
                <w:sz w:val="24"/>
                <w:lang w:val="zh-CN"/>
              </w:rPr>
              <w:t>4.1</w:t>
            </w:r>
            <w:r>
              <w:rPr>
                <w:sz w:val="24"/>
                <w:lang w:val="zh-CN"/>
              </w:rPr>
              <w:t>.</w:t>
            </w:r>
            <w:r>
              <w:rPr>
                <w:rFonts w:hint="eastAsia"/>
                <w:sz w:val="24"/>
                <w:lang w:val="zh-CN"/>
              </w:rPr>
              <w:t>4-5</w:t>
            </w:r>
            <w:r>
              <w:rPr>
                <w:sz w:val="24"/>
                <w:lang w:val="zh-CN"/>
              </w:rPr>
              <w:t>，其浮游植物群落多样性指数为</w:t>
            </w:r>
            <w:r>
              <w:rPr>
                <w:sz w:val="24"/>
              </w:rPr>
              <w:t>2.54±0.42</w:t>
            </w:r>
            <w:r>
              <w:rPr>
                <w:sz w:val="24"/>
                <w:lang w:val="zh-CN"/>
              </w:rPr>
              <w:t>，各站位浮游植物群落多样性指数为</w:t>
            </w:r>
            <w:r>
              <w:rPr>
                <w:rFonts w:hint="eastAsia"/>
                <w:sz w:val="24"/>
                <w:lang w:val="zh-CN"/>
              </w:rPr>
              <w:t>1.</w:t>
            </w:r>
            <w:r>
              <w:rPr>
                <w:sz w:val="24"/>
                <w:lang w:val="zh-CN"/>
              </w:rPr>
              <w:t>64～</w:t>
            </w:r>
            <w:r>
              <w:rPr>
                <w:rFonts w:hint="eastAsia"/>
                <w:sz w:val="24"/>
                <w:lang w:val="zh-CN"/>
              </w:rPr>
              <w:t>3.2</w:t>
            </w:r>
            <w:r>
              <w:rPr>
                <w:sz w:val="24"/>
                <w:lang w:val="zh-CN"/>
              </w:rPr>
              <w:t>4之间；均匀度指数为</w:t>
            </w:r>
            <w:r>
              <w:rPr>
                <w:sz w:val="24"/>
              </w:rPr>
              <w:t>0.6</w:t>
            </w:r>
            <w:r>
              <w:rPr>
                <w:rFonts w:hint="eastAsia"/>
                <w:sz w:val="24"/>
              </w:rPr>
              <w:t>3</w:t>
            </w:r>
            <w:r>
              <w:rPr>
                <w:sz w:val="24"/>
              </w:rPr>
              <w:t>±0.09</w:t>
            </w:r>
            <w:r>
              <w:rPr>
                <w:sz w:val="24"/>
                <w:lang w:val="zh-CN"/>
              </w:rPr>
              <w:t>，各站位为0.</w:t>
            </w:r>
            <w:r>
              <w:rPr>
                <w:rFonts w:hint="eastAsia"/>
                <w:sz w:val="24"/>
                <w:lang w:val="zh-CN"/>
              </w:rPr>
              <w:t>4</w:t>
            </w:r>
            <w:r>
              <w:rPr>
                <w:sz w:val="24"/>
                <w:lang w:val="zh-CN"/>
              </w:rPr>
              <w:t>2～0.79之间；丰富度指数为</w:t>
            </w:r>
            <w:r>
              <w:rPr>
                <w:sz w:val="24"/>
              </w:rPr>
              <w:t>0.82±0.17</w:t>
            </w:r>
            <w:r>
              <w:rPr>
                <w:sz w:val="24"/>
                <w:lang w:val="zh-CN"/>
              </w:rPr>
              <w:t>，各站位为</w:t>
            </w:r>
            <w:r>
              <w:rPr>
                <w:rFonts w:hint="eastAsia"/>
                <w:sz w:val="24"/>
                <w:lang w:val="zh-CN"/>
              </w:rPr>
              <w:t>0.</w:t>
            </w:r>
            <w:r>
              <w:rPr>
                <w:sz w:val="24"/>
                <w:lang w:val="zh-CN"/>
              </w:rPr>
              <w:t>50～1.13之间。</w:t>
            </w:r>
          </w:p>
          <w:p>
            <w:pPr>
              <w:pStyle w:val="279"/>
              <w:snapToGrid w:val="0"/>
              <w:spacing w:line="360" w:lineRule="auto"/>
              <w:ind w:firstLine="480"/>
              <w:rPr>
                <w:szCs w:val="21"/>
              </w:rPr>
            </w:pPr>
            <w:r>
              <w:rPr>
                <w:szCs w:val="21"/>
              </w:rPr>
              <w:t>表</w:t>
            </w:r>
            <w:r>
              <w:rPr>
                <w:rFonts w:hint="eastAsia"/>
                <w:szCs w:val="21"/>
              </w:rPr>
              <w:t>4.1</w:t>
            </w:r>
            <w:r>
              <w:rPr>
                <w:szCs w:val="21"/>
              </w:rPr>
              <w:t>.</w:t>
            </w:r>
            <w:r>
              <w:rPr>
                <w:rFonts w:hint="eastAsia"/>
                <w:szCs w:val="21"/>
              </w:rPr>
              <w:t>4-5</w:t>
            </w:r>
            <w:r>
              <w:rPr>
                <w:szCs w:val="21"/>
              </w:rPr>
              <w:t xml:space="preserve">  浮游植物生物群落结构指数评价结果</w:t>
            </w:r>
          </w:p>
          <w:tbl>
            <w:tblPr>
              <w:tblStyle w:val="88"/>
              <w:tblW w:w="6896"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13"/>
              <w:gridCol w:w="1842"/>
              <w:gridCol w:w="2103"/>
              <w:gridCol w:w="163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85" w:hRule="atLeast"/>
                <w:jc w:val="center"/>
              </w:trPr>
              <w:tc>
                <w:tcPr>
                  <w:tcW w:w="1313" w:type="dxa"/>
                  <w:shd w:val="clear" w:color="auto" w:fill="auto"/>
                  <w:noWrap/>
                  <w:vAlign w:val="center"/>
                </w:tcPr>
                <w:p>
                  <w:pPr>
                    <w:widowControl/>
                    <w:jc w:val="center"/>
                    <w:rPr>
                      <w:b/>
                      <w:bCs/>
                      <w:szCs w:val="21"/>
                    </w:rPr>
                  </w:pPr>
                  <w:r>
                    <w:rPr>
                      <w:rFonts w:hint="eastAsia"/>
                      <w:b/>
                      <w:bCs/>
                      <w:szCs w:val="21"/>
                    </w:rPr>
                    <w:t>站号</w:t>
                  </w:r>
                </w:p>
              </w:tc>
              <w:tc>
                <w:tcPr>
                  <w:tcW w:w="1842" w:type="dxa"/>
                  <w:shd w:val="clear" w:color="auto" w:fill="auto"/>
                  <w:noWrap/>
                  <w:vAlign w:val="center"/>
                </w:tcPr>
                <w:p>
                  <w:pPr>
                    <w:widowControl/>
                    <w:jc w:val="center"/>
                    <w:rPr>
                      <w:b/>
                      <w:bCs/>
                      <w:szCs w:val="21"/>
                    </w:rPr>
                  </w:pPr>
                  <w:r>
                    <w:rPr>
                      <w:rFonts w:hint="eastAsia"/>
                      <w:b/>
                      <w:bCs/>
                      <w:szCs w:val="21"/>
                    </w:rPr>
                    <w:t>多样性指数</w:t>
                  </w:r>
                  <w:r>
                    <w:rPr>
                      <w:b/>
                      <w:bCs/>
                      <w:szCs w:val="21"/>
                    </w:rPr>
                    <w:t>(H)</w:t>
                  </w:r>
                </w:p>
              </w:tc>
              <w:tc>
                <w:tcPr>
                  <w:tcW w:w="2103" w:type="dxa"/>
                  <w:shd w:val="clear" w:color="auto" w:fill="auto"/>
                  <w:noWrap/>
                  <w:vAlign w:val="center"/>
                </w:tcPr>
                <w:p>
                  <w:pPr>
                    <w:widowControl/>
                    <w:jc w:val="center"/>
                    <w:rPr>
                      <w:b/>
                      <w:bCs/>
                      <w:szCs w:val="21"/>
                    </w:rPr>
                  </w:pPr>
                  <w:r>
                    <w:rPr>
                      <w:rFonts w:hint="eastAsia"/>
                      <w:b/>
                      <w:bCs/>
                      <w:szCs w:val="21"/>
                    </w:rPr>
                    <w:t>均匀度</w:t>
                  </w:r>
                  <w:r>
                    <w:rPr>
                      <w:b/>
                      <w:bCs/>
                      <w:szCs w:val="21"/>
                    </w:rPr>
                    <w:t>(J)</w:t>
                  </w:r>
                </w:p>
              </w:tc>
              <w:tc>
                <w:tcPr>
                  <w:tcW w:w="1638" w:type="dxa"/>
                  <w:shd w:val="clear" w:color="auto" w:fill="auto"/>
                  <w:noWrap/>
                  <w:vAlign w:val="center"/>
                </w:tcPr>
                <w:p>
                  <w:pPr>
                    <w:widowControl/>
                    <w:jc w:val="center"/>
                    <w:rPr>
                      <w:b/>
                      <w:bCs/>
                      <w:szCs w:val="21"/>
                    </w:rPr>
                  </w:pPr>
                  <w:r>
                    <w:rPr>
                      <w:rFonts w:hint="eastAsia"/>
                      <w:b/>
                      <w:bCs/>
                      <w:szCs w:val="21"/>
                    </w:rPr>
                    <w:t>丰富度</w:t>
                  </w:r>
                  <w:r>
                    <w:rPr>
                      <w:b/>
                      <w:bCs/>
                      <w:szCs w:val="21"/>
                    </w:rPr>
                    <w:t>(d)</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1</w:t>
                  </w:r>
                </w:p>
              </w:tc>
              <w:tc>
                <w:tcPr>
                  <w:tcW w:w="1842" w:type="dxa"/>
                  <w:shd w:val="clear" w:color="auto" w:fill="auto"/>
                  <w:noWrap/>
                  <w:vAlign w:val="center"/>
                </w:tcPr>
                <w:p>
                  <w:pPr>
                    <w:widowControl/>
                    <w:jc w:val="center"/>
                    <w:rPr>
                      <w:szCs w:val="21"/>
                    </w:rPr>
                  </w:pPr>
                  <w:r>
                    <w:rPr>
                      <w:szCs w:val="21"/>
                    </w:rPr>
                    <w:t>2.84</w:t>
                  </w:r>
                </w:p>
              </w:tc>
              <w:tc>
                <w:tcPr>
                  <w:tcW w:w="2103" w:type="dxa"/>
                  <w:shd w:val="clear" w:color="auto" w:fill="auto"/>
                  <w:noWrap/>
                  <w:vAlign w:val="center"/>
                </w:tcPr>
                <w:p>
                  <w:pPr>
                    <w:widowControl/>
                    <w:jc w:val="center"/>
                    <w:rPr>
                      <w:szCs w:val="21"/>
                    </w:rPr>
                  </w:pPr>
                  <w:r>
                    <w:rPr>
                      <w:szCs w:val="21"/>
                    </w:rPr>
                    <w:t>0.70</w:t>
                  </w:r>
                </w:p>
              </w:tc>
              <w:tc>
                <w:tcPr>
                  <w:tcW w:w="1638" w:type="dxa"/>
                  <w:shd w:val="clear" w:color="auto" w:fill="auto"/>
                  <w:noWrap/>
                  <w:vAlign w:val="center"/>
                </w:tcPr>
                <w:p>
                  <w:pPr>
                    <w:widowControl/>
                    <w:jc w:val="center"/>
                    <w:rPr>
                      <w:szCs w:val="21"/>
                    </w:rPr>
                  </w:pPr>
                  <w:r>
                    <w:rPr>
                      <w:szCs w:val="21"/>
                    </w:rPr>
                    <w:t>0.88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4</w:t>
                  </w:r>
                </w:p>
              </w:tc>
              <w:tc>
                <w:tcPr>
                  <w:tcW w:w="1842" w:type="dxa"/>
                  <w:shd w:val="clear" w:color="auto" w:fill="auto"/>
                  <w:noWrap/>
                  <w:vAlign w:val="center"/>
                </w:tcPr>
                <w:p>
                  <w:pPr>
                    <w:widowControl/>
                    <w:jc w:val="center"/>
                    <w:rPr>
                      <w:szCs w:val="21"/>
                    </w:rPr>
                  </w:pPr>
                  <w:r>
                    <w:rPr>
                      <w:szCs w:val="21"/>
                    </w:rPr>
                    <w:t>2.66</w:t>
                  </w:r>
                </w:p>
              </w:tc>
              <w:tc>
                <w:tcPr>
                  <w:tcW w:w="2103" w:type="dxa"/>
                  <w:shd w:val="clear" w:color="auto" w:fill="auto"/>
                  <w:noWrap/>
                  <w:vAlign w:val="center"/>
                </w:tcPr>
                <w:p>
                  <w:pPr>
                    <w:widowControl/>
                    <w:jc w:val="center"/>
                    <w:rPr>
                      <w:szCs w:val="21"/>
                    </w:rPr>
                  </w:pPr>
                  <w:r>
                    <w:rPr>
                      <w:szCs w:val="21"/>
                    </w:rPr>
                    <w:t>0.70</w:t>
                  </w:r>
                </w:p>
              </w:tc>
              <w:tc>
                <w:tcPr>
                  <w:tcW w:w="1638" w:type="dxa"/>
                  <w:shd w:val="clear" w:color="auto" w:fill="auto"/>
                  <w:noWrap/>
                  <w:vAlign w:val="center"/>
                </w:tcPr>
                <w:p>
                  <w:pPr>
                    <w:widowControl/>
                    <w:jc w:val="center"/>
                    <w:rPr>
                      <w:szCs w:val="21"/>
                    </w:rPr>
                  </w:pPr>
                  <w:r>
                    <w:rPr>
                      <w:szCs w:val="21"/>
                    </w:rPr>
                    <w:t>0.71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5</w:t>
                  </w:r>
                </w:p>
              </w:tc>
              <w:tc>
                <w:tcPr>
                  <w:tcW w:w="1842" w:type="dxa"/>
                  <w:shd w:val="clear" w:color="auto" w:fill="auto"/>
                  <w:noWrap/>
                  <w:vAlign w:val="center"/>
                </w:tcPr>
                <w:p>
                  <w:pPr>
                    <w:widowControl/>
                    <w:jc w:val="center"/>
                    <w:rPr>
                      <w:szCs w:val="21"/>
                    </w:rPr>
                  </w:pPr>
                  <w:r>
                    <w:rPr>
                      <w:szCs w:val="21"/>
                    </w:rPr>
                    <w:t>2.79</w:t>
                  </w:r>
                </w:p>
              </w:tc>
              <w:tc>
                <w:tcPr>
                  <w:tcW w:w="2103" w:type="dxa"/>
                  <w:shd w:val="clear" w:color="auto" w:fill="auto"/>
                  <w:noWrap/>
                  <w:vAlign w:val="center"/>
                </w:tcPr>
                <w:p>
                  <w:pPr>
                    <w:widowControl/>
                    <w:jc w:val="center"/>
                    <w:rPr>
                      <w:szCs w:val="21"/>
                    </w:rPr>
                  </w:pPr>
                  <w:r>
                    <w:rPr>
                      <w:szCs w:val="21"/>
                    </w:rPr>
                    <w:t>0.68</w:t>
                  </w:r>
                </w:p>
              </w:tc>
              <w:tc>
                <w:tcPr>
                  <w:tcW w:w="1638" w:type="dxa"/>
                  <w:shd w:val="clear" w:color="auto" w:fill="auto"/>
                  <w:noWrap/>
                  <w:vAlign w:val="center"/>
                </w:tcPr>
                <w:p>
                  <w:pPr>
                    <w:widowControl/>
                    <w:jc w:val="center"/>
                    <w:rPr>
                      <w:szCs w:val="21"/>
                    </w:rPr>
                  </w:pPr>
                  <w:r>
                    <w:rPr>
                      <w:szCs w:val="21"/>
                    </w:rPr>
                    <w:t>0.88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7</w:t>
                  </w:r>
                </w:p>
              </w:tc>
              <w:tc>
                <w:tcPr>
                  <w:tcW w:w="1842" w:type="dxa"/>
                  <w:shd w:val="clear" w:color="auto" w:fill="auto"/>
                  <w:noWrap/>
                  <w:vAlign w:val="center"/>
                </w:tcPr>
                <w:p>
                  <w:pPr>
                    <w:widowControl/>
                    <w:jc w:val="center"/>
                    <w:rPr>
                      <w:szCs w:val="21"/>
                    </w:rPr>
                  </w:pPr>
                  <w:r>
                    <w:rPr>
                      <w:szCs w:val="21"/>
                    </w:rPr>
                    <w:t>2.76</w:t>
                  </w:r>
                </w:p>
              </w:tc>
              <w:tc>
                <w:tcPr>
                  <w:tcW w:w="2103" w:type="dxa"/>
                  <w:shd w:val="clear" w:color="auto" w:fill="auto"/>
                  <w:noWrap/>
                  <w:vAlign w:val="center"/>
                </w:tcPr>
                <w:p>
                  <w:pPr>
                    <w:widowControl/>
                    <w:jc w:val="center"/>
                    <w:rPr>
                      <w:szCs w:val="21"/>
                    </w:rPr>
                  </w:pPr>
                  <w:r>
                    <w:rPr>
                      <w:szCs w:val="21"/>
                    </w:rPr>
                    <w:t>0.64</w:t>
                  </w:r>
                </w:p>
              </w:tc>
              <w:tc>
                <w:tcPr>
                  <w:tcW w:w="1638" w:type="dxa"/>
                  <w:shd w:val="clear" w:color="auto" w:fill="auto"/>
                  <w:noWrap/>
                  <w:vAlign w:val="center"/>
                </w:tcPr>
                <w:p>
                  <w:pPr>
                    <w:widowControl/>
                    <w:jc w:val="center"/>
                    <w:rPr>
                      <w:szCs w:val="21"/>
                    </w:rPr>
                  </w:pPr>
                  <w:r>
                    <w:rPr>
                      <w:szCs w:val="21"/>
                    </w:rPr>
                    <w:t>1.01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9</w:t>
                  </w:r>
                </w:p>
              </w:tc>
              <w:tc>
                <w:tcPr>
                  <w:tcW w:w="1842" w:type="dxa"/>
                  <w:shd w:val="clear" w:color="auto" w:fill="auto"/>
                  <w:noWrap/>
                  <w:vAlign w:val="center"/>
                </w:tcPr>
                <w:p>
                  <w:pPr>
                    <w:widowControl/>
                    <w:jc w:val="center"/>
                    <w:rPr>
                      <w:szCs w:val="21"/>
                    </w:rPr>
                  </w:pPr>
                  <w:r>
                    <w:rPr>
                      <w:szCs w:val="21"/>
                    </w:rPr>
                    <w:t>2.20</w:t>
                  </w:r>
                </w:p>
              </w:tc>
              <w:tc>
                <w:tcPr>
                  <w:tcW w:w="2103" w:type="dxa"/>
                  <w:shd w:val="clear" w:color="auto" w:fill="auto"/>
                  <w:noWrap/>
                  <w:vAlign w:val="center"/>
                </w:tcPr>
                <w:p>
                  <w:pPr>
                    <w:widowControl/>
                    <w:jc w:val="center"/>
                    <w:rPr>
                      <w:szCs w:val="21"/>
                    </w:rPr>
                  </w:pPr>
                  <w:r>
                    <w:rPr>
                      <w:szCs w:val="21"/>
                    </w:rPr>
                    <w:t>0.59</w:t>
                  </w:r>
                </w:p>
              </w:tc>
              <w:tc>
                <w:tcPr>
                  <w:tcW w:w="1638" w:type="dxa"/>
                  <w:shd w:val="clear" w:color="auto" w:fill="auto"/>
                  <w:noWrap/>
                  <w:vAlign w:val="center"/>
                </w:tcPr>
                <w:p>
                  <w:pPr>
                    <w:widowControl/>
                    <w:jc w:val="center"/>
                    <w:rPr>
                      <w:szCs w:val="21"/>
                    </w:rPr>
                  </w:pPr>
                  <w:r>
                    <w:rPr>
                      <w:szCs w:val="21"/>
                    </w:rPr>
                    <w:t>0.62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13</w:t>
                  </w:r>
                </w:p>
              </w:tc>
              <w:tc>
                <w:tcPr>
                  <w:tcW w:w="1842" w:type="dxa"/>
                  <w:shd w:val="clear" w:color="auto" w:fill="auto"/>
                  <w:noWrap/>
                  <w:vAlign w:val="center"/>
                </w:tcPr>
                <w:p>
                  <w:pPr>
                    <w:widowControl/>
                    <w:jc w:val="center"/>
                    <w:rPr>
                      <w:szCs w:val="21"/>
                    </w:rPr>
                  </w:pPr>
                  <w:r>
                    <w:rPr>
                      <w:szCs w:val="21"/>
                    </w:rPr>
                    <w:t>3.24</w:t>
                  </w:r>
                </w:p>
              </w:tc>
              <w:tc>
                <w:tcPr>
                  <w:tcW w:w="2103" w:type="dxa"/>
                  <w:shd w:val="clear" w:color="auto" w:fill="auto"/>
                  <w:noWrap/>
                  <w:vAlign w:val="center"/>
                </w:tcPr>
                <w:p>
                  <w:pPr>
                    <w:widowControl/>
                    <w:jc w:val="center"/>
                    <w:rPr>
                      <w:szCs w:val="21"/>
                    </w:rPr>
                  </w:pPr>
                  <w:r>
                    <w:rPr>
                      <w:szCs w:val="21"/>
                    </w:rPr>
                    <w:t>0.79</w:t>
                  </w:r>
                </w:p>
              </w:tc>
              <w:tc>
                <w:tcPr>
                  <w:tcW w:w="1638" w:type="dxa"/>
                  <w:shd w:val="clear" w:color="auto" w:fill="auto"/>
                  <w:noWrap/>
                  <w:vAlign w:val="center"/>
                </w:tcPr>
                <w:p>
                  <w:pPr>
                    <w:widowControl/>
                    <w:jc w:val="center"/>
                    <w:rPr>
                      <w:szCs w:val="21"/>
                    </w:rPr>
                  </w:pPr>
                  <w:r>
                    <w:rPr>
                      <w:szCs w:val="21"/>
                    </w:rPr>
                    <w:t>0.78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14</w:t>
                  </w:r>
                </w:p>
              </w:tc>
              <w:tc>
                <w:tcPr>
                  <w:tcW w:w="1842" w:type="dxa"/>
                  <w:shd w:val="clear" w:color="auto" w:fill="auto"/>
                  <w:noWrap/>
                  <w:vAlign w:val="center"/>
                </w:tcPr>
                <w:p>
                  <w:pPr>
                    <w:widowControl/>
                    <w:jc w:val="center"/>
                    <w:rPr>
                      <w:szCs w:val="21"/>
                    </w:rPr>
                  </w:pPr>
                  <w:r>
                    <w:rPr>
                      <w:szCs w:val="21"/>
                    </w:rPr>
                    <w:t>2.71</w:t>
                  </w:r>
                </w:p>
              </w:tc>
              <w:tc>
                <w:tcPr>
                  <w:tcW w:w="2103" w:type="dxa"/>
                  <w:shd w:val="clear" w:color="auto" w:fill="auto"/>
                  <w:noWrap/>
                  <w:vAlign w:val="center"/>
                </w:tcPr>
                <w:p>
                  <w:pPr>
                    <w:widowControl/>
                    <w:jc w:val="center"/>
                    <w:rPr>
                      <w:szCs w:val="21"/>
                    </w:rPr>
                  </w:pPr>
                  <w:r>
                    <w:rPr>
                      <w:szCs w:val="21"/>
                    </w:rPr>
                    <w:t>0.60</w:t>
                  </w:r>
                </w:p>
              </w:tc>
              <w:tc>
                <w:tcPr>
                  <w:tcW w:w="1638" w:type="dxa"/>
                  <w:shd w:val="clear" w:color="auto" w:fill="auto"/>
                  <w:noWrap/>
                  <w:vAlign w:val="center"/>
                </w:tcPr>
                <w:p>
                  <w:pPr>
                    <w:widowControl/>
                    <w:jc w:val="center"/>
                    <w:rPr>
                      <w:szCs w:val="21"/>
                    </w:rPr>
                  </w:pPr>
                  <w:r>
                    <w:rPr>
                      <w:szCs w:val="21"/>
                    </w:rPr>
                    <w:t>1.13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15</w:t>
                  </w:r>
                </w:p>
              </w:tc>
              <w:tc>
                <w:tcPr>
                  <w:tcW w:w="1842" w:type="dxa"/>
                  <w:shd w:val="clear" w:color="auto" w:fill="auto"/>
                  <w:noWrap/>
                  <w:vAlign w:val="center"/>
                </w:tcPr>
                <w:p>
                  <w:pPr>
                    <w:widowControl/>
                    <w:jc w:val="center"/>
                    <w:rPr>
                      <w:szCs w:val="21"/>
                    </w:rPr>
                  </w:pPr>
                  <w:r>
                    <w:rPr>
                      <w:szCs w:val="21"/>
                    </w:rPr>
                    <w:t>2.29</w:t>
                  </w:r>
                </w:p>
              </w:tc>
              <w:tc>
                <w:tcPr>
                  <w:tcW w:w="2103" w:type="dxa"/>
                  <w:shd w:val="clear" w:color="auto" w:fill="auto"/>
                  <w:noWrap/>
                  <w:vAlign w:val="center"/>
                </w:tcPr>
                <w:p>
                  <w:pPr>
                    <w:widowControl/>
                    <w:jc w:val="center"/>
                    <w:rPr>
                      <w:szCs w:val="21"/>
                    </w:rPr>
                  </w:pPr>
                  <w:r>
                    <w:rPr>
                      <w:szCs w:val="21"/>
                    </w:rPr>
                    <w:t>0.55</w:t>
                  </w:r>
                </w:p>
              </w:tc>
              <w:tc>
                <w:tcPr>
                  <w:tcW w:w="1638" w:type="dxa"/>
                  <w:shd w:val="clear" w:color="auto" w:fill="auto"/>
                  <w:noWrap/>
                  <w:vAlign w:val="center"/>
                </w:tcPr>
                <w:p>
                  <w:pPr>
                    <w:widowControl/>
                    <w:jc w:val="center"/>
                    <w:rPr>
                      <w:szCs w:val="21"/>
                    </w:rPr>
                  </w:pPr>
                  <w:r>
                    <w:rPr>
                      <w:szCs w:val="21"/>
                    </w:rPr>
                    <w:t>0.87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16</w:t>
                  </w:r>
                </w:p>
              </w:tc>
              <w:tc>
                <w:tcPr>
                  <w:tcW w:w="1842" w:type="dxa"/>
                  <w:shd w:val="clear" w:color="auto" w:fill="auto"/>
                  <w:noWrap/>
                  <w:vAlign w:val="center"/>
                </w:tcPr>
                <w:p>
                  <w:pPr>
                    <w:widowControl/>
                    <w:jc w:val="center"/>
                    <w:rPr>
                      <w:szCs w:val="21"/>
                    </w:rPr>
                  </w:pPr>
                  <w:r>
                    <w:rPr>
                      <w:szCs w:val="21"/>
                    </w:rPr>
                    <w:t>2.09</w:t>
                  </w:r>
                </w:p>
              </w:tc>
              <w:tc>
                <w:tcPr>
                  <w:tcW w:w="2103" w:type="dxa"/>
                  <w:shd w:val="clear" w:color="auto" w:fill="auto"/>
                  <w:noWrap/>
                  <w:vAlign w:val="center"/>
                </w:tcPr>
                <w:p>
                  <w:pPr>
                    <w:widowControl/>
                    <w:jc w:val="center"/>
                    <w:rPr>
                      <w:szCs w:val="21"/>
                    </w:rPr>
                  </w:pPr>
                  <w:r>
                    <w:rPr>
                      <w:szCs w:val="21"/>
                    </w:rPr>
                    <w:t>0.60</w:t>
                  </w:r>
                </w:p>
              </w:tc>
              <w:tc>
                <w:tcPr>
                  <w:tcW w:w="1638" w:type="dxa"/>
                  <w:shd w:val="clear" w:color="auto" w:fill="auto"/>
                  <w:noWrap/>
                  <w:vAlign w:val="center"/>
                </w:tcPr>
                <w:p>
                  <w:pPr>
                    <w:widowControl/>
                    <w:jc w:val="center"/>
                    <w:rPr>
                      <w:szCs w:val="21"/>
                    </w:rPr>
                  </w:pPr>
                  <w:r>
                    <w:rPr>
                      <w:szCs w:val="21"/>
                    </w:rPr>
                    <w:t>0.50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17</w:t>
                  </w:r>
                </w:p>
              </w:tc>
              <w:tc>
                <w:tcPr>
                  <w:tcW w:w="1842" w:type="dxa"/>
                  <w:shd w:val="clear" w:color="auto" w:fill="auto"/>
                  <w:noWrap/>
                  <w:vAlign w:val="center"/>
                </w:tcPr>
                <w:p>
                  <w:pPr>
                    <w:widowControl/>
                    <w:jc w:val="center"/>
                    <w:rPr>
                      <w:szCs w:val="21"/>
                    </w:rPr>
                  </w:pPr>
                  <w:r>
                    <w:rPr>
                      <w:szCs w:val="21"/>
                    </w:rPr>
                    <w:t>1.64</w:t>
                  </w:r>
                </w:p>
              </w:tc>
              <w:tc>
                <w:tcPr>
                  <w:tcW w:w="2103" w:type="dxa"/>
                  <w:shd w:val="clear" w:color="auto" w:fill="auto"/>
                  <w:noWrap/>
                  <w:vAlign w:val="center"/>
                </w:tcPr>
                <w:p>
                  <w:pPr>
                    <w:widowControl/>
                    <w:jc w:val="center"/>
                    <w:rPr>
                      <w:szCs w:val="21"/>
                    </w:rPr>
                  </w:pPr>
                  <w:r>
                    <w:rPr>
                      <w:szCs w:val="21"/>
                    </w:rPr>
                    <w:t>0.42</w:t>
                  </w:r>
                </w:p>
              </w:tc>
              <w:tc>
                <w:tcPr>
                  <w:tcW w:w="1638" w:type="dxa"/>
                  <w:shd w:val="clear" w:color="auto" w:fill="auto"/>
                  <w:noWrap/>
                  <w:vAlign w:val="center"/>
                </w:tcPr>
                <w:p>
                  <w:pPr>
                    <w:widowControl/>
                    <w:jc w:val="center"/>
                    <w:rPr>
                      <w:szCs w:val="21"/>
                    </w:rPr>
                  </w:pPr>
                  <w:r>
                    <w:rPr>
                      <w:szCs w:val="21"/>
                    </w:rPr>
                    <w:t>0.72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19</w:t>
                  </w:r>
                </w:p>
              </w:tc>
              <w:tc>
                <w:tcPr>
                  <w:tcW w:w="1842" w:type="dxa"/>
                  <w:shd w:val="clear" w:color="auto" w:fill="auto"/>
                  <w:noWrap/>
                  <w:vAlign w:val="center"/>
                </w:tcPr>
                <w:p>
                  <w:pPr>
                    <w:widowControl/>
                    <w:jc w:val="center"/>
                    <w:rPr>
                      <w:szCs w:val="21"/>
                    </w:rPr>
                  </w:pPr>
                  <w:r>
                    <w:rPr>
                      <w:szCs w:val="21"/>
                    </w:rPr>
                    <w:t>2.47</w:t>
                  </w:r>
                </w:p>
              </w:tc>
              <w:tc>
                <w:tcPr>
                  <w:tcW w:w="2103" w:type="dxa"/>
                  <w:shd w:val="clear" w:color="auto" w:fill="auto"/>
                  <w:noWrap/>
                  <w:vAlign w:val="center"/>
                </w:tcPr>
                <w:p>
                  <w:pPr>
                    <w:widowControl/>
                    <w:jc w:val="center"/>
                    <w:rPr>
                      <w:szCs w:val="21"/>
                    </w:rPr>
                  </w:pPr>
                  <w:r>
                    <w:rPr>
                      <w:szCs w:val="21"/>
                    </w:rPr>
                    <w:t>0.57</w:t>
                  </w:r>
                </w:p>
              </w:tc>
              <w:tc>
                <w:tcPr>
                  <w:tcW w:w="1638" w:type="dxa"/>
                  <w:shd w:val="clear" w:color="auto" w:fill="auto"/>
                  <w:noWrap/>
                  <w:vAlign w:val="center"/>
                </w:tcPr>
                <w:p>
                  <w:pPr>
                    <w:widowControl/>
                    <w:jc w:val="center"/>
                    <w:rPr>
                      <w:szCs w:val="21"/>
                    </w:rPr>
                  </w:pPr>
                  <w:r>
                    <w:rPr>
                      <w:szCs w:val="21"/>
                    </w:rPr>
                    <w:t>0.97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t>20</w:t>
                  </w:r>
                </w:p>
              </w:tc>
              <w:tc>
                <w:tcPr>
                  <w:tcW w:w="1842" w:type="dxa"/>
                  <w:shd w:val="clear" w:color="auto" w:fill="auto"/>
                  <w:noWrap/>
                  <w:vAlign w:val="center"/>
                </w:tcPr>
                <w:p>
                  <w:pPr>
                    <w:widowControl/>
                    <w:jc w:val="center"/>
                    <w:rPr>
                      <w:szCs w:val="21"/>
                    </w:rPr>
                  </w:pPr>
                  <w:r>
                    <w:rPr>
                      <w:szCs w:val="21"/>
                    </w:rPr>
                    <w:t>2.78</w:t>
                  </w:r>
                </w:p>
              </w:tc>
              <w:tc>
                <w:tcPr>
                  <w:tcW w:w="2103" w:type="dxa"/>
                  <w:shd w:val="clear" w:color="auto" w:fill="auto"/>
                  <w:noWrap/>
                  <w:vAlign w:val="center"/>
                </w:tcPr>
                <w:p>
                  <w:pPr>
                    <w:widowControl/>
                    <w:jc w:val="center"/>
                    <w:rPr>
                      <w:szCs w:val="21"/>
                    </w:rPr>
                  </w:pPr>
                  <w:r>
                    <w:rPr>
                      <w:szCs w:val="21"/>
                    </w:rPr>
                    <w:t>0.70</w:t>
                  </w:r>
                </w:p>
              </w:tc>
              <w:tc>
                <w:tcPr>
                  <w:tcW w:w="1638" w:type="dxa"/>
                  <w:shd w:val="clear" w:color="auto" w:fill="auto"/>
                  <w:noWrap/>
                  <w:vAlign w:val="center"/>
                </w:tcPr>
                <w:p>
                  <w:pPr>
                    <w:widowControl/>
                    <w:jc w:val="center"/>
                    <w:rPr>
                      <w:szCs w:val="21"/>
                    </w:rPr>
                  </w:pPr>
                  <w:r>
                    <w:rPr>
                      <w:szCs w:val="21"/>
                    </w:rPr>
                    <w:t>0.79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313" w:type="dxa"/>
                  <w:shd w:val="clear" w:color="auto" w:fill="auto"/>
                  <w:noWrap/>
                  <w:vAlign w:val="center"/>
                </w:tcPr>
                <w:p>
                  <w:pPr>
                    <w:widowControl/>
                    <w:jc w:val="center"/>
                    <w:rPr>
                      <w:szCs w:val="21"/>
                    </w:rPr>
                  </w:pPr>
                  <w:r>
                    <w:rPr>
                      <w:szCs w:val="21"/>
                    </w:rPr>
                    <w:object>
                      <v:shape id="_x0000_i1042" o:spt="75" type="#_x0000_t75" style="height:12pt;width:12pt;" o:ole="t" filled="f" o:preferrelative="t" stroked="f" coordsize="21600,21600">
                        <v:path/>
                        <v:fill on="f" focussize="0,0"/>
                        <v:stroke on="f" joinstyle="miter"/>
                        <v:imagedata r:id="rId57" o:title=""/>
                        <o:lock v:ext="edit" aspectratio="t"/>
                        <w10:wrap type="none"/>
                        <w10:anchorlock/>
                      </v:shape>
                      <o:OLEObject Type="Embed" ProgID="Equation.3" ShapeID="_x0000_i1042" DrawAspect="Content" ObjectID="_1468075742" r:id="rId56">
                        <o:LockedField>false</o:LockedField>
                      </o:OLEObject>
                    </w:object>
                  </w:r>
                  <w:r>
                    <w:rPr>
                      <w:szCs w:val="21"/>
                    </w:rPr>
                    <w:t>±S</w:t>
                  </w:r>
                </w:p>
              </w:tc>
              <w:tc>
                <w:tcPr>
                  <w:tcW w:w="1842" w:type="dxa"/>
                  <w:shd w:val="clear" w:color="auto" w:fill="auto"/>
                  <w:noWrap/>
                  <w:vAlign w:val="center"/>
                </w:tcPr>
                <w:p>
                  <w:pPr>
                    <w:widowControl/>
                    <w:jc w:val="center"/>
                    <w:rPr>
                      <w:szCs w:val="21"/>
                    </w:rPr>
                  </w:pPr>
                  <w:r>
                    <w:rPr>
                      <w:szCs w:val="21"/>
                    </w:rPr>
                    <w:t>2.54±0.42</w:t>
                  </w:r>
                </w:p>
              </w:tc>
              <w:tc>
                <w:tcPr>
                  <w:tcW w:w="2103" w:type="dxa"/>
                  <w:shd w:val="clear" w:color="auto" w:fill="auto"/>
                  <w:noWrap/>
                  <w:vAlign w:val="center"/>
                </w:tcPr>
                <w:p>
                  <w:pPr>
                    <w:widowControl/>
                    <w:jc w:val="center"/>
                    <w:rPr>
                      <w:szCs w:val="21"/>
                    </w:rPr>
                  </w:pPr>
                  <w:r>
                    <w:rPr>
                      <w:szCs w:val="21"/>
                    </w:rPr>
                    <w:t>0.6</w:t>
                  </w:r>
                  <w:r>
                    <w:rPr>
                      <w:rFonts w:hint="eastAsia"/>
                      <w:szCs w:val="21"/>
                    </w:rPr>
                    <w:t>3</w:t>
                  </w:r>
                  <w:r>
                    <w:rPr>
                      <w:szCs w:val="21"/>
                    </w:rPr>
                    <w:t>±0.09</w:t>
                  </w:r>
                </w:p>
              </w:tc>
              <w:tc>
                <w:tcPr>
                  <w:tcW w:w="1638" w:type="dxa"/>
                  <w:shd w:val="clear" w:color="auto" w:fill="auto"/>
                  <w:noWrap/>
                  <w:vAlign w:val="center"/>
                </w:tcPr>
                <w:p>
                  <w:pPr>
                    <w:widowControl/>
                    <w:jc w:val="center"/>
                    <w:rPr>
                      <w:szCs w:val="21"/>
                    </w:rPr>
                  </w:pPr>
                  <w:r>
                    <w:rPr>
                      <w:szCs w:val="21"/>
                    </w:rPr>
                    <w:t>0.82±0.17</w:t>
                  </w:r>
                </w:p>
              </w:tc>
            </w:tr>
          </w:tbl>
          <w:p>
            <w:pPr>
              <w:autoSpaceDE w:val="0"/>
              <w:autoSpaceDN w:val="0"/>
              <w:ind w:firstLine="480"/>
              <w:jc w:val="center"/>
              <w:rPr>
                <w:lang w:val="zh-CN"/>
              </w:rPr>
            </w:pPr>
          </w:p>
          <w:p>
            <w:pPr>
              <w:keepNext/>
              <w:keepLines/>
              <w:autoSpaceDE w:val="0"/>
              <w:autoSpaceDN w:val="0"/>
              <w:adjustRightInd w:val="0"/>
              <w:spacing w:line="360" w:lineRule="auto"/>
              <w:ind w:left="482"/>
              <w:jc w:val="left"/>
              <w:rPr>
                <w:b/>
                <w:bCs/>
                <w:sz w:val="24"/>
                <w:lang w:val="zh-CN"/>
              </w:rPr>
            </w:pPr>
            <w:r>
              <w:rPr>
                <w:rFonts w:hint="eastAsia"/>
                <w:b/>
                <w:bCs/>
                <w:sz w:val="24"/>
                <w:lang w:val="zh-CN"/>
              </w:rPr>
              <w:t>4.1</w:t>
            </w:r>
            <w:r>
              <w:rPr>
                <w:b/>
                <w:bCs/>
                <w:sz w:val="24"/>
                <w:lang w:val="zh-CN"/>
              </w:rPr>
              <w:t>.5.1.4浮游动物</w:t>
            </w:r>
          </w:p>
          <w:p>
            <w:pPr>
              <w:autoSpaceDE w:val="0"/>
              <w:autoSpaceDN w:val="0"/>
              <w:spacing w:line="360" w:lineRule="auto"/>
              <w:ind w:firstLine="480"/>
              <w:rPr>
                <w:sz w:val="24"/>
                <w:lang w:val="zh-CN"/>
              </w:rPr>
            </w:pPr>
            <w:r>
              <w:rPr>
                <w:sz w:val="24"/>
                <w:lang w:val="zh-CN"/>
              </w:rPr>
              <w:t>(1) 浮游动物种类组成</w:t>
            </w:r>
          </w:p>
          <w:p>
            <w:pPr>
              <w:autoSpaceDE w:val="0"/>
              <w:autoSpaceDN w:val="0"/>
              <w:spacing w:line="360" w:lineRule="auto"/>
              <w:ind w:firstLine="480"/>
              <w:rPr>
                <w:sz w:val="24"/>
                <w:lang w:val="zh-CN"/>
              </w:rPr>
            </w:pPr>
            <w:r>
              <w:rPr>
                <w:sz w:val="24"/>
                <w:lang w:val="zh-CN"/>
              </w:rPr>
              <w:t>据本次调查所采集到的标本鉴定，调查海域浮游动物共有</w:t>
            </w:r>
            <w:r>
              <w:rPr>
                <w:rFonts w:hint="eastAsia"/>
                <w:sz w:val="24"/>
                <w:lang w:val="zh-CN"/>
              </w:rPr>
              <w:t>25</w:t>
            </w:r>
            <w:r>
              <w:rPr>
                <w:sz w:val="24"/>
                <w:lang w:val="zh-CN"/>
              </w:rPr>
              <w:t>个种类，分属</w:t>
            </w:r>
            <w:r>
              <w:rPr>
                <w:rFonts w:hint="eastAsia"/>
                <w:sz w:val="24"/>
                <w:lang w:val="zh-CN"/>
              </w:rPr>
              <w:t>8</w:t>
            </w:r>
            <w:r>
              <w:rPr>
                <w:sz w:val="24"/>
                <w:lang w:val="zh-CN"/>
              </w:rPr>
              <w:t>个类群。其中，浮游幼虫种类最多，共</w:t>
            </w:r>
            <w:r>
              <w:rPr>
                <w:rFonts w:hint="eastAsia"/>
                <w:sz w:val="24"/>
                <w:lang w:val="zh-CN"/>
              </w:rPr>
              <w:t>10</w:t>
            </w:r>
            <w:r>
              <w:rPr>
                <w:sz w:val="24"/>
                <w:lang w:val="zh-CN"/>
              </w:rPr>
              <w:t>种，占浮游动物总种数的</w:t>
            </w:r>
            <w:r>
              <w:rPr>
                <w:rFonts w:hint="eastAsia"/>
                <w:sz w:val="24"/>
                <w:lang w:val="zh-CN"/>
              </w:rPr>
              <w:t>40.0</w:t>
            </w:r>
            <w:r>
              <w:rPr>
                <w:sz w:val="24"/>
                <w:lang w:val="zh-CN"/>
              </w:rPr>
              <w:t>%；桡足类其次，有</w:t>
            </w:r>
            <w:r>
              <w:rPr>
                <w:rFonts w:hint="eastAsia"/>
                <w:sz w:val="24"/>
                <w:lang w:val="zh-CN"/>
              </w:rPr>
              <w:t>6</w:t>
            </w:r>
            <w:r>
              <w:rPr>
                <w:sz w:val="24"/>
                <w:lang w:val="zh-CN"/>
              </w:rPr>
              <w:t>种，</w:t>
            </w:r>
            <w:r>
              <w:rPr>
                <w:rFonts w:hint="eastAsia"/>
                <w:sz w:val="24"/>
                <w:lang w:val="zh-CN"/>
              </w:rPr>
              <w:t>各</w:t>
            </w:r>
            <w:r>
              <w:rPr>
                <w:sz w:val="24"/>
                <w:lang w:val="zh-CN"/>
              </w:rPr>
              <w:t>占浮游动物总种数的</w:t>
            </w:r>
            <w:r>
              <w:rPr>
                <w:rFonts w:hint="eastAsia"/>
                <w:sz w:val="24"/>
                <w:lang w:val="zh-CN"/>
              </w:rPr>
              <w:t>24.0</w:t>
            </w:r>
            <w:r>
              <w:rPr>
                <w:sz w:val="24"/>
                <w:lang w:val="zh-CN"/>
              </w:rPr>
              <w:t>%；</w:t>
            </w:r>
            <w:r>
              <w:rPr>
                <w:rFonts w:hint="eastAsia"/>
                <w:sz w:val="24"/>
                <w:lang w:val="zh-CN"/>
              </w:rPr>
              <w:t>水螅水母3</w:t>
            </w:r>
            <w:r>
              <w:rPr>
                <w:sz w:val="24"/>
                <w:lang w:val="zh-CN"/>
              </w:rPr>
              <w:t>种，占浮游动物总种数的</w:t>
            </w:r>
            <w:r>
              <w:rPr>
                <w:rFonts w:hint="eastAsia"/>
                <w:sz w:val="24"/>
                <w:lang w:val="zh-CN"/>
              </w:rPr>
              <w:t>12.0</w:t>
            </w:r>
            <w:r>
              <w:rPr>
                <w:sz w:val="24"/>
                <w:lang w:val="zh-CN"/>
              </w:rPr>
              <w:t>%；毛颚类1种，占浮游动物总种数的</w:t>
            </w:r>
            <w:r>
              <w:rPr>
                <w:rFonts w:hint="eastAsia"/>
                <w:sz w:val="24"/>
                <w:lang w:val="zh-CN"/>
              </w:rPr>
              <w:t>8.0</w:t>
            </w:r>
            <w:r>
              <w:rPr>
                <w:sz w:val="24"/>
                <w:lang w:val="zh-CN"/>
              </w:rPr>
              <w:t>%；</w:t>
            </w:r>
            <w:r>
              <w:rPr>
                <w:rFonts w:hint="eastAsia"/>
                <w:sz w:val="24"/>
                <w:lang w:val="zh-CN"/>
              </w:rPr>
              <w:t>原生动物、枝角类、端足类和被囊类各</w:t>
            </w:r>
            <w:r>
              <w:rPr>
                <w:sz w:val="24"/>
                <w:lang w:val="zh-CN"/>
              </w:rPr>
              <w:t>1种，</w:t>
            </w:r>
            <w:r>
              <w:rPr>
                <w:rFonts w:hint="eastAsia"/>
                <w:sz w:val="24"/>
                <w:lang w:val="zh-CN"/>
              </w:rPr>
              <w:t>各</w:t>
            </w:r>
            <w:r>
              <w:rPr>
                <w:sz w:val="24"/>
                <w:lang w:val="zh-CN"/>
              </w:rPr>
              <w:t>占浮游动物总种数的</w:t>
            </w:r>
            <w:r>
              <w:rPr>
                <w:rFonts w:hint="eastAsia"/>
                <w:sz w:val="24"/>
                <w:lang w:val="zh-CN"/>
              </w:rPr>
              <w:t>4.0</w:t>
            </w:r>
            <w:r>
              <w:rPr>
                <w:sz w:val="24"/>
                <w:lang w:val="zh-CN"/>
              </w:rPr>
              <w:t>%；</w:t>
            </w:r>
            <w:r>
              <w:rPr>
                <w:rFonts w:hint="eastAsia"/>
                <w:sz w:val="24"/>
                <w:lang w:val="zh-CN"/>
              </w:rPr>
              <w:t>浮游动物种类组成见表4.1.4-6和图4.1.4-2。</w:t>
            </w:r>
          </w:p>
          <w:p>
            <w:pPr>
              <w:autoSpaceDE w:val="0"/>
              <w:autoSpaceDN w:val="0"/>
              <w:spacing w:line="360" w:lineRule="auto"/>
              <w:ind w:firstLine="480"/>
              <w:jc w:val="center"/>
            </w:pPr>
            <w:r>
              <w:drawing>
                <wp:inline distT="0" distB="0" distL="0" distR="0">
                  <wp:extent cx="5041900" cy="3911600"/>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5041900" cy="3911600"/>
                          </a:xfrm>
                          <a:prstGeom prst="rect">
                            <a:avLst/>
                          </a:prstGeom>
                          <a:noFill/>
                          <a:ln>
                            <a:noFill/>
                          </a:ln>
                        </pic:spPr>
                      </pic:pic>
                    </a:graphicData>
                  </a:graphic>
                </wp:inline>
              </w:drawing>
            </w:r>
          </w:p>
          <w:p>
            <w:pPr>
              <w:pStyle w:val="279"/>
              <w:snapToGrid w:val="0"/>
              <w:ind w:firstLine="480"/>
              <w:rPr>
                <w:b/>
                <w:bCs/>
                <w:lang w:val="zh-CN"/>
              </w:rPr>
            </w:pPr>
            <w:r>
              <w:rPr>
                <w:szCs w:val="21"/>
              </w:rPr>
              <w:t>图</w:t>
            </w:r>
            <w:r>
              <w:rPr>
                <w:rFonts w:hint="eastAsia"/>
                <w:szCs w:val="21"/>
              </w:rPr>
              <w:t>4.1</w:t>
            </w:r>
            <w:r>
              <w:rPr>
                <w:szCs w:val="21"/>
              </w:rPr>
              <w:t>.</w:t>
            </w:r>
            <w:r>
              <w:rPr>
                <w:rFonts w:hint="eastAsia"/>
                <w:szCs w:val="21"/>
              </w:rPr>
              <w:t>4-2</w:t>
            </w:r>
            <w:r>
              <w:rPr>
                <w:szCs w:val="21"/>
              </w:rPr>
              <w:t xml:space="preserve">  浮游动物类别组成百分比</w:t>
            </w:r>
          </w:p>
          <w:p>
            <w:pPr>
              <w:pStyle w:val="279"/>
              <w:snapToGrid w:val="0"/>
              <w:ind w:firstLine="480"/>
              <w:rPr>
                <w:szCs w:val="21"/>
              </w:rPr>
            </w:pPr>
            <w:r>
              <w:rPr>
                <w:szCs w:val="21"/>
              </w:rPr>
              <w:t>表</w:t>
            </w:r>
            <w:r>
              <w:rPr>
                <w:rFonts w:hint="eastAsia"/>
                <w:szCs w:val="21"/>
              </w:rPr>
              <w:t>4.1</w:t>
            </w:r>
            <w:r>
              <w:rPr>
                <w:szCs w:val="21"/>
              </w:rPr>
              <w:t>.</w:t>
            </w:r>
            <w:r>
              <w:rPr>
                <w:rFonts w:hint="eastAsia"/>
                <w:szCs w:val="21"/>
              </w:rPr>
              <w:t>4-6</w:t>
            </w:r>
            <w:r>
              <w:rPr>
                <w:szCs w:val="21"/>
              </w:rPr>
              <w:t xml:space="preserve">  浮游动物种类组成</w:t>
            </w:r>
          </w:p>
          <w:tbl>
            <w:tblPr>
              <w:tblStyle w:val="88"/>
              <w:tblW w:w="7674" w:type="dxa"/>
              <w:jc w:val="center"/>
              <w:tblInd w:w="0" w:type="dxa"/>
              <w:tblLayout w:type="fixed"/>
              <w:tblCellMar>
                <w:top w:w="0" w:type="dxa"/>
                <w:left w:w="108" w:type="dxa"/>
                <w:bottom w:w="0" w:type="dxa"/>
                <w:right w:w="108" w:type="dxa"/>
              </w:tblCellMar>
            </w:tblPr>
            <w:tblGrid>
              <w:gridCol w:w="1418"/>
              <w:gridCol w:w="1843"/>
              <w:gridCol w:w="1701"/>
              <w:gridCol w:w="1553"/>
              <w:gridCol w:w="1159"/>
            </w:tblGrid>
            <w:tr>
              <w:tblPrEx>
                <w:tblLayout w:type="fixed"/>
                <w:tblCellMar>
                  <w:top w:w="0" w:type="dxa"/>
                  <w:left w:w="108" w:type="dxa"/>
                  <w:bottom w:w="0" w:type="dxa"/>
                  <w:right w:w="108" w:type="dxa"/>
                </w:tblCellMar>
              </w:tblPrEx>
              <w:trPr>
                <w:trHeight w:val="330" w:hRule="atLeast"/>
                <w:jc w:val="center"/>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中文名</w:t>
                  </w:r>
                </w:p>
              </w:tc>
              <w:tc>
                <w:tcPr>
                  <w:tcW w:w="1843" w:type="dxa"/>
                  <w:tcBorders>
                    <w:top w:val="single" w:color="auto" w:sz="4" w:space="0"/>
                    <w:left w:val="nil"/>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拉丁文名</w:t>
                  </w:r>
                </w:p>
              </w:tc>
              <w:tc>
                <w:tcPr>
                  <w:tcW w:w="1701" w:type="dxa"/>
                  <w:tcBorders>
                    <w:top w:val="single" w:color="auto" w:sz="4" w:space="0"/>
                    <w:left w:val="nil"/>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站位</w:t>
                  </w:r>
                </w:p>
              </w:tc>
              <w:tc>
                <w:tcPr>
                  <w:tcW w:w="1553" w:type="dxa"/>
                  <w:tcBorders>
                    <w:top w:val="single" w:color="auto" w:sz="4" w:space="0"/>
                    <w:left w:val="nil"/>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密度(ind/m</w:t>
                  </w:r>
                  <w:r>
                    <w:rPr>
                      <w:b/>
                      <w:bCs/>
                      <w:sz w:val="18"/>
                      <w:szCs w:val="18"/>
                      <w:vertAlign w:val="superscript"/>
                    </w:rPr>
                    <w:t>3</w:t>
                  </w:r>
                  <w:r>
                    <w:rPr>
                      <w:b/>
                      <w:bCs/>
                      <w:sz w:val="18"/>
                      <w:szCs w:val="18"/>
                    </w:rPr>
                    <w:t>)</w:t>
                  </w:r>
                </w:p>
              </w:tc>
              <w:tc>
                <w:tcPr>
                  <w:tcW w:w="1159" w:type="dxa"/>
                  <w:tcBorders>
                    <w:top w:val="single" w:color="auto" w:sz="4" w:space="0"/>
                    <w:left w:val="nil"/>
                    <w:bottom w:val="single" w:color="auto" w:sz="4" w:space="0"/>
                    <w:right w:val="single" w:color="auto" w:sz="4" w:space="0"/>
                  </w:tcBorders>
                  <w:shd w:val="clear" w:color="auto" w:fill="auto"/>
                  <w:vAlign w:val="center"/>
                </w:tcPr>
                <w:p>
                  <w:pPr>
                    <w:widowControl/>
                    <w:jc w:val="center"/>
                    <w:rPr>
                      <w:b/>
                      <w:bCs/>
                      <w:sz w:val="18"/>
                      <w:szCs w:val="18"/>
                    </w:rPr>
                  </w:pPr>
                  <w:r>
                    <w:rPr>
                      <w:b/>
                      <w:bCs/>
                      <w:sz w:val="18"/>
                      <w:szCs w:val="18"/>
                    </w:rPr>
                    <w:t>出现率(%)</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原生动物</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P</w:t>
                  </w:r>
                  <w:r>
                    <w:rPr>
                      <w:rFonts w:hint="eastAsia"/>
                      <w:i/>
                      <w:sz w:val="18"/>
                      <w:szCs w:val="18"/>
                    </w:rPr>
                    <w:t>ROTPZOA</w:t>
                  </w:r>
                </w:p>
              </w:tc>
              <w:tc>
                <w:tcPr>
                  <w:tcW w:w="4413"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合计1种</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夜光虫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Noctiluca scientillans Kofoid et Swezy</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13</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0.1</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8.3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刺胞动物</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CNIDARIA</w:t>
                  </w:r>
                </w:p>
              </w:tc>
              <w:tc>
                <w:tcPr>
                  <w:tcW w:w="4413"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合计</w:t>
                  </w:r>
                  <w:r>
                    <w:rPr>
                      <w:rFonts w:hint="eastAsia"/>
                      <w:sz w:val="18"/>
                      <w:szCs w:val="18"/>
                    </w:rPr>
                    <w:t>3</w:t>
                  </w:r>
                  <w:r>
                    <w:rPr>
                      <w:sz w:val="18"/>
                      <w:szCs w:val="18"/>
                    </w:rPr>
                    <w:t>种</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薮枝螅水母</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Obelia spp.</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5</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0.2</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8.3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黑球真唇水母</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Eucheilota menoni Kramp</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5,9</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0.2</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16.7</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半球美螅水母</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Clytia hemisphaerica (Linnaeus)</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1,5,20</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0.3</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25.0</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枝角类</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rFonts w:hint="eastAsia"/>
                      <w:i/>
                      <w:sz w:val="18"/>
                      <w:szCs w:val="18"/>
                    </w:rPr>
                    <w:t>C</w:t>
                  </w:r>
                  <w:r>
                    <w:rPr>
                      <w:i/>
                      <w:sz w:val="18"/>
                      <w:szCs w:val="18"/>
                    </w:rPr>
                    <w:t>ladocera</w:t>
                  </w:r>
                </w:p>
              </w:tc>
              <w:tc>
                <w:tcPr>
                  <w:tcW w:w="4413"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合计</w:t>
                  </w:r>
                  <w:r>
                    <w:rPr>
                      <w:rFonts w:hint="eastAsia"/>
                      <w:sz w:val="18"/>
                      <w:szCs w:val="18"/>
                    </w:rPr>
                    <w:t>1</w:t>
                  </w:r>
                  <w:r>
                    <w:rPr>
                      <w:sz w:val="18"/>
                      <w:szCs w:val="18"/>
                    </w:rPr>
                    <w:t>种</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鸟喙尖头溞</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Penilia avirostris Dana</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1.4.5.7.9.13.14.15.16.17.19.20</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34.0</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100.0</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桡足类</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Copepoda</w:t>
                  </w:r>
                </w:p>
              </w:tc>
              <w:tc>
                <w:tcPr>
                  <w:tcW w:w="4413"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sz w:val="18"/>
                      <w:szCs w:val="18"/>
                    </w:rPr>
                  </w:pPr>
                  <w:r>
                    <w:rPr>
                      <w:sz w:val="18"/>
                      <w:szCs w:val="18"/>
                    </w:rPr>
                    <w:t>合计</w:t>
                  </w:r>
                  <w:r>
                    <w:rPr>
                      <w:rFonts w:hint="eastAsia"/>
                      <w:sz w:val="18"/>
                      <w:szCs w:val="18"/>
                    </w:rPr>
                    <w:t>6</w:t>
                  </w:r>
                  <w:r>
                    <w:rPr>
                      <w:sz w:val="18"/>
                      <w:szCs w:val="18"/>
                    </w:rPr>
                    <w:t>种</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中华哲水蚤</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Calanus sinicus Brodsky</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4.5.9.13.14.15.16.17</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1.8</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66.7</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小拟哲水蚤</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Paracalanus parvus (Claus)</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1.4.5.7.9.13.14.15.16.17.19.20</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24.6</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100.0</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腹针胸刺水蚤</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Centropages abdominalis Sato</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1,4,5,7,13,14,17</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1.4</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58.3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双刺唇角水蚤</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Labidocera bipinnata Tanaka</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1,4,5,9,13,14,15,17,19,20</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4.6</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83.3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拟长腹剑水蚤</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Oithona similis Claus</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16</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0.1</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8.3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近缘大眼剑水蚤</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Corycaeus affinis Mcmurrichi</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4,5,9</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0.7</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25.0</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端足类</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Amphipoda</w:t>
                  </w:r>
                </w:p>
              </w:tc>
              <w:tc>
                <w:tcPr>
                  <w:tcW w:w="4413"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sz w:val="18"/>
                      <w:szCs w:val="18"/>
                    </w:rPr>
                  </w:pPr>
                  <w:r>
                    <w:rPr>
                      <w:sz w:val="18"/>
                      <w:szCs w:val="18"/>
                    </w:rPr>
                    <w:t>合计</w:t>
                  </w:r>
                  <w:r>
                    <w:rPr>
                      <w:rFonts w:hint="eastAsia"/>
                      <w:sz w:val="18"/>
                      <w:szCs w:val="18"/>
                    </w:rPr>
                    <w:t>1</w:t>
                  </w:r>
                  <w:r>
                    <w:rPr>
                      <w:sz w:val="18"/>
                      <w:szCs w:val="18"/>
                    </w:rPr>
                    <w:t>种</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麦秆虫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Caprella sp.</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14,17</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0.2</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16.7</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毛颚动物</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CHEAETOGNATHA</w:t>
                  </w:r>
                </w:p>
              </w:tc>
              <w:tc>
                <w:tcPr>
                  <w:tcW w:w="4413"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sz w:val="18"/>
                      <w:szCs w:val="18"/>
                    </w:rPr>
                  </w:pPr>
                  <w:r>
                    <w:rPr>
                      <w:sz w:val="18"/>
                      <w:szCs w:val="18"/>
                    </w:rPr>
                    <w:t>合计</w:t>
                  </w:r>
                  <w:r>
                    <w:rPr>
                      <w:rFonts w:hint="eastAsia"/>
                      <w:sz w:val="18"/>
                      <w:szCs w:val="18"/>
                    </w:rPr>
                    <w:t>2</w:t>
                  </w:r>
                  <w:r>
                    <w:rPr>
                      <w:sz w:val="18"/>
                      <w:szCs w:val="18"/>
                    </w:rPr>
                    <w:t>种</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拿卡箭虫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Sagitta nagae Alvarino</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9</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0.1</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8.3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强壮箭虫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Sagitta crassa Tokioka</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1,4,13</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0.8</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25.0</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被囊</w:t>
                  </w:r>
                  <w:r>
                    <w:rPr>
                      <w:sz w:val="18"/>
                      <w:szCs w:val="18"/>
                    </w:rPr>
                    <w:t>类</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rFonts w:hint="eastAsia"/>
                      <w:i/>
                      <w:sz w:val="18"/>
                      <w:szCs w:val="18"/>
                    </w:rPr>
                    <w:t>Tunicata</w:t>
                  </w:r>
                </w:p>
              </w:tc>
              <w:tc>
                <w:tcPr>
                  <w:tcW w:w="4413" w:type="dxa"/>
                  <w:gridSpan w:val="3"/>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合计种</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异体住囊虫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Oikopleura dioica Fol</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5,7,17,20</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0.4</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33.3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sz w:val="18"/>
                      <w:szCs w:val="18"/>
                    </w:rPr>
                    <w:t>浮游幼虫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Pelagic larvae</w:t>
                  </w:r>
                </w:p>
              </w:tc>
              <w:tc>
                <w:tcPr>
                  <w:tcW w:w="4413"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sz w:val="18"/>
                      <w:szCs w:val="18"/>
                    </w:rPr>
                  </w:pPr>
                  <w:r>
                    <w:rPr>
                      <w:sz w:val="18"/>
                      <w:szCs w:val="18"/>
                    </w:rPr>
                    <w:t>合计</w:t>
                  </w:r>
                  <w:r>
                    <w:rPr>
                      <w:rFonts w:hint="eastAsia"/>
                      <w:sz w:val="18"/>
                      <w:szCs w:val="18"/>
                    </w:rPr>
                    <w:t>10</w:t>
                  </w:r>
                  <w:r>
                    <w:rPr>
                      <w:sz w:val="18"/>
                      <w:szCs w:val="18"/>
                    </w:rPr>
                    <w:t>种</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多毛类幼体</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Polychaeta larva</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1,15</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0.2</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16.7</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腹足类幼虫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Gastropoda larva</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13</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0.1</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8.3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双壳类幼虫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Bivalve larva</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13</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0.2</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8.3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蔓足类无节幼虫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Nauplius larva (Cirripedia)</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0.2</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8.3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长尾类幼体</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Macrura larva</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1,5,9</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0.8</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25.0</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歪尾类溞状幼虫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 xml:space="preserve">Porcellana zoea larva </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5,9</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0.3</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16.7</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短尾类溞状幼虫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 xml:space="preserve">Brachyura zoea larva </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1,4,7,9,13,14,17,19</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3.8</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66.7</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海胆长腕幼虫</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Echinopluteus larva</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1,4,7,9</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0.3</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33.3</w:t>
                  </w:r>
                </w:p>
              </w:tc>
            </w:tr>
            <w:tr>
              <w:tblPrEx>
                <w:tblLayout w:type="fixed"/>
                <w:tblCellMar>
                  <w:top w:w="0" w:type="dxa"/>
                  <w:left w:w="108" w:type="dxa"/>
                  <w:bottom w:w="0" w:type="dxa"/>
                  <w:right w:w="108" w:type="dxa"/>
                </w:tblCellMar>
              </w:tblPrEx>
              <w:trPr>
                <w:trHeight w:val="300" w:hRule="atLeast"/>
                <w:jc w:val="center"/>
              </w:trPr>
              <w:tc>
                <w:tcPr>
                  <w:tcW w:w="141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鱼卵</w:t>
                  </w:r>
                </w:p>
              </w:tc>
              <w:tc>
                <w:tcPr>
                  <w:tcW w:w="1843" w:type="dxa"/>
                  <w:tcBorders>
                    <w:top w:val="nil"/>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Fish eggs</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1,13,14,20</w:t>
                  </w:r>
                </w:p>
              </w:tc>
              <w:tc>
                <w:tcPr>
                  <w:tcW w:w="1553"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0.5</w:t>
                  </w:r>
                </w:p>
              </w:tc>
              <w:tc>
                <w:tcPr>
                  <w:tcW w:w="1159" w:type="dxa"/>
                  <w:tcBorders>
                    <w:top w:val="nil"/>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33.3</w:t>
                  </w:r>
                </w:p>
              </w:tc>
            </w:tr>
            <w:tr>
              <w:tblPrEx>
                <w:tblLayout w:type="fixed"/>
                <w:tblCellMar>
                  <w:top w:w="0" w:type="dxa"/>
                  <w:left w:w="108" w:type="dxa"/>
                  <w:bottom w:w="0" w:type="dxa"/>
                  <w:right w:w="108" w:type="dxa"/>
                </w:tblCellMar>
              </w:tblPrEx>
              <w:trPr>
                <w:trHeight w:val="300" w:hRule="atLeast"/>
                <w:jc w:val="center"/>
              </w:trPr>
              <w:tc>
                <w:tcPr>
                  <w:tcW w:w="141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仔鱼</w:t>
                  </w:r>
                </w:p>
              </w:tc>
              <w:tc>
                <w:tcPr>
                  <w:tcW w:w="1843"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i/>
                      <w:sz w:val="18"/>
                      <w:szCs w:val="18"/>
                    </w:rPr>
                  </w:pPr>
                  <w:r>
                    <w:rPr>
                      <w:i/>
                      <w:sz w:val="18"/>
                      <w:szCs w:val="18"/>
                    </w:rPr>
                    <w:t>Fish larva</w:t>
                  </w:r>
                </w:p>
              </w:tc>
              <w:tc>
                <w:tcPr>
                  <w:tcW w:w="1701"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4,5</w:t>
                  </w:r>
                </w:p>
              </w:tc>
              <w:tc>
                <w:tcPr>
                  <w:tcW w:w="1553"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0.2</w:t>
                  </w:r>
                </w:p>
              </w:tc>
              <w:tc>
                <w:tcPr>
                  <w:tcW w:w="1159"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sz w:val="18"/>
                      <w:szCs w:val="18"/>
                    </w:rPr>
                  </w:pPr>
                  <w:r>
                    <w:rPr>
                      <w:rFonts w:hint="eastAsia"/>
                      <w:sz w:val="18"/>
                      <w:szCs w:val="18"/>
                    </w:rPr>
                    <w:t>16.7</w:t>
                  </w:r>
                </w:p>
              </w:tc>
            </w:tr>
          </w:tbl>
          <w:p>
            <w:pPr>
              <w:autoSpaceDE w:val="0"/>
              <w:autoSpaceDN w:val="0"/>
              <w:spacing w:line="360" w:lineRule="auto"/>
              <w:ind w:firstLine="482"/>
              <w:outlineLvl w:val="0"/>
              <w:rPr>
                <w:sz w:val="24"/>
              </w:rPr>
            </w:pPr>
            <w:r>
              <w:rPr>
                <w:sz w:val="24"/>
              </w:rPr>
              <w:t xml:space="preserve">(2) </w:t>
            </w:r>
            <w:r>
              <w:rPr>
                <w:sz w:val="24"/>
                <w:lang w:val="zh-CN"/>
              </w:rPr>
              <w:t>浮游动物生物量和密度</w:t>
            </w:r>
          </w:p>
          <w:p>
            <w:pPr>
              <w:autoSpaceDE w:val="0"/>
              <w:autoSpaceDN w:val="0"/>
              <w:spacing w:line="360" w:lineRule="auto"/>
              <w:ind w:firstLine="482"/>
              <w:rPr>
                <w:sz w:val="24"/>
                <w:lang w:val="zh-CN"/>
              </w:rPr>
            </w:pPr>
            <w:r>
              <w:rPr>
                <w:sz w:val="24"/>
                <w:lang w:val="zh-CN"/>
              </w:rPr>
              <w:t>本次调查浮游动物密度范围为</w:t>
            </w:r>
            <w:r>
              <w:rPr>
                <w:rFonts w:hint="eastAsia"/>
                <w:sz w:val="24"/>
                <w:lang w:val="zh-CN"/>
              </w:rPr>
              <w:t>29.0</w:t>
            </w:r>
            <w:r>
              <w:rPr>
                <w:sz w:val="24"/>
                <w:lang w:val="zh-CN"/>
              </w:rPr>
              <w:t>～</w:t>
            </w:r>
            <w:r>
              <w:rPr>
                <w:rFonts w:hint="eastAsia"/>
                <w:sz w:val="24"/>
                <w:lang w:val="zh-CN"/>
              </w:rPr>
              <w:t xml:space="preserve">139.9 </w:t>
            </w:r>
            <w:r>
              <w:rPr>
                <w:sz w:val="24"/>
                <w:lang w:val="zh-CN"/>
              </w:rPr>
              <w:t>ind/m</w:t>
            </w:r>
            <w:r>
              <w:rPr>
                <w:sz w:val="24"/>
                <w:vertAlign w:val="superscript"/>
                <w:lang w:val="zh-CN"/>
              </w:rPr>
              <w:t>3</w:t>
            </w:r>
            <w:r>
              <w:rPr>
                <w:sz w:val="24"/>
                <w:lang w:val="zh-CN"/>
              </w:rPr>
              <w:t>，平均密度为</w:t>
            </w:r>
            <w:r>
              <w:rPr>
                <w:rFonts w:hint="eastAsia"/>
                <w:sz w:val="24"/>
                <w:lang w:val="zh-CN"/>
              </w:rPr>
              <w:t xml:space="preserve">75.7 </w:t>
            </w:r>
            <w:r>
              <w:rPr>
                <w:sz w:val="24"/>
                <w:lang w:val="zh-CN"/>
              </w:rPr>
              <w:t>ind/m</w:t>
            </w:r>
            <w:r>
              <w:rPr>
                <w:sz w:val="24"/>
                <w:vertAlign w:val="superscript"/>
                <w:lang w:val="zh-CN"/>
              </w:rPr>
              <w:t>3</w:t>
            </w:r>
            <w:r>
              <w:rPr>
                <w:sz w:val="24"/>
                <w:lang w:val="zh-CN"/>
              </w:rPr>
              <w:t>，其中最高密度出现在站位</w:t>
            </w:r>
            <w:r>
              <w:rPr>
                <w:rFonts w:hint="eastAsia"/>
                <w:sz w:val="24"/>
                <w:lang w:val="zh-CN"/>
              </w:rPr>
              <w:t>15</w:t>
            </w:r>
            <w:r>
              <w:rPr>
                <w:sz w:val="24"/>
                <w:lang w:val="zh-CN"/>
              </w:rPr>
              <w:t>，为</w:t>
            </w:r>
            <w:r>
              <w:rPr>
                <w:rFonts w:hint="eastAsia"/>
                <w:sz w:val="24"/>
                <w:lang w:val="zh-CN"/>
              </w:rPr>
              <w:t>139.9</w:t>
            </w:r>
            <w:r>
              <w:rPr>
                <w:sz w:val="24"/>
                <w:lang w:val="zh-CN"/>
              </w:rPr>
              <w:t>ind/m</w:t>
            </w:r>
            <w:r>
              <w:rPr>
                <w:sz w:val="24"/>
                <w:vertAlign w:val="superscript"/>
                <w:lang w:val="zh-CN"/>
              </w:rPr>
              <w:t>3</w:t>
            </w:r>
            <w:r>
              <w:rPr>
                <w:sz w:val="24"/>
                <w:lang w:val="zh-CN"/>
              </w:rPr>
              <w:t>，最低密度出现在站位</w:t>
            </w:r>
            <w:r>
              <w:rPr>
                <w:rFonts w:hint="eastAsia"/>
                <w:sz w:val="24"/>
                <w:lang w:val="zh-CN"/>
              </w:rPr>
              <w:t>16</w:t>
            </w:r>
            <w:r>
              <w:rPr>
                <w:sz w:val="24"/>
                <w:lang w:val="zh-CN"/>
              </w:rPr>
              <w:t>，为</w:t>
            </w:r>
            <w:r>
              <w:rPr>
                <w:rFonts w:hint="eastAsia"/>
                <w:sz w:val="24"/>
                <w:lang w:val="zh-CN"/>
              </w:rPr>
              <w:t xml:space="preserve">29.0 </w:t>
            </w:r>
            <w:r>
              <w:rPr>
                <w:sz w:val="24"/>
                <w:lang w:val="zh-CN"/>
              </w:rPr>
              <w:t>ind/m</w:t>
            </w:r>
            <w:r>
              <w:rPr>
                <w:sz w:val="24"/>
                <w:vertAlign w:val="superscript"/>
                <w:lang w:val="zh-CN"/>
              </w:rPr>
              <w:t>3</w:t>
            </w:r>
            <w:r>
              <w:rPr>
                <w:sz w:val="24"/>
                <w:lang w:val="zh-CN"/>
              </w:rPr>
              <w:t>；生物量范围为</w:t>
            </w:r>
            <w:r>
              <w:rPr>
                <w:rFonts w:hint="eastAsia"/>
                <w:sz w:val="24"/>
                <w:lang w:val="zh-CN"/>
              </w:rPr>
              <w:t>51.0</w:t>
            </w:r>
            <w:r>
              <w:rPr>
                <w:sz w:val="24"/>
                <w:lang w:val="zh-CN"/>
              </w:rPr>
              <w:t>～</w:t>
            </w:r>
            <w:r>
              <w:rPr>
                <w:rFonts w:hint="eastAsia"/>
                <w:sz w:val="24"/>
                <w:lang w:val="zh-CN"/>
              </w:rPr>
              <w:t xml:space="preserve">133.0 </w:t>
            </w:r>
            <w:r>
              <w:rPr>
                <w:sz w:val="24"/>
                <w:lang w:val="zh-CN"/>
              </w:rPr>
              <w:t>mg/m</w:t>
            </w:r>
            <w:r>
              <w:rPr>
                <w:sz w:val="24"/>
                <w:vertAlign w:val="superscript"/>
                <w:lang w:val="zh-CN"/>
              </w:rPr>
              <w:t>3</w:t>
            </w:r>
            <w:r>
              <w:rPr>
                <w:sz w:val="24"/>
                <w:lang w:val="zh-CN"/>
              </w:rPr>
              <w:t>，平均生物量为</w:t>
            </w:r>
            <w:r>
              <w:rPr>
                <w:rFonts w:hint="eastAsia"/>
                <w:sz w:val="24"/>
                <w:lang w:val="zh-CN"/>
              </w:rPr>
              <w:t xml:space="preserve">81.4 </w:t>
            </w:r>
            <w:r>
              <w:rPr>
                <w:sz w:val="24"/>
                <w:lang w:val="zh-CN"/>
              </w:rPr>
              <w:t>mg/m</w:t>
            </w:r>
            <w:r>
              <w:rPr>
                <w:sz w:val="24"/>
                <w:vertAlign w:val="superscript"/>
                <w:lang w:val="zh-CN"/>
              </w:rPr>
              <w:t>3</w:t>
            </w:r>
            <w:r>
              <w:rPr>
                <w:sz w:val="24"/>
                <w:lang w:val="zh-CN"/>
              </w:rPr>
              <w:t>，其中最高生物质量出现在站位</w:t>
            </w:r>
            <w:r>
              <w:rPr>
                <w:rFonts w:hint="eastAsia"/>
                <w:sz w:val="24"/>
                <w:lang w:val="zh-CN"/>
              </w:rPr>
              <w:t>5</w:t>
            </w:r>
            <w:r>
              <w:rPr>
                <w:sz w:val="24"/>
                <w:lang w:val="zh-CN"/>
              </w:rPr>
              <w:t>，最低为站位</w:t>
            </w:r>
            <w:r>
              <w:rPr>
                <w:rFonts w:hint="eastAsia"/>
                <w:sz w:val="24"/>
                <w:lang w:val="zh-CN"/>
              </w:rPr>
              <w:t>16</w:t>
            </w:r>
            <w:r>
              <w:rPr>
                <w:sz w:val="24"/>
                <w:lang w:val="zh-CN"/>
              </w:rPr>
              <w:t>。</w:t>
            </w:r>
            <w:r>
              <w:rPr>
                <w:rFonts w:hint="eastAsia"/>
                <w:sz w:val="24"/>
                <w:lang w:val="zh-CN"/>
              </w:rPr>
              <w:t>12</w:t>
            </w:r>
            <w:r>
              <w:rPr>
                <w:sz w:val="24"/>
                <w:lang w:val="zh-CN"/>
              </w:rPr>
              <w:t>个站位的浮游动物种类平均为</w:t>
            </w:r>
            <w:r>
              <w:rPr>
                <w:rFonts w:hint="eastAsia"/>
                <w:sz w:val="24"/>
                <w:lang w:val="zh-CN"/>
              </w:rPr>
              <w:t>8</w:t>
            </w:r>
            <w:r>
              <w:rPr>
                <w:sz w:val="24"/>
                <w:lang w:val="zh-CN"/>
              </w:rPr>
              <w:t>种，种类数的变化</w:t>
            </w:r>
            <w:r>
              <w:rPr>
                <w:rFonts w:hint="eastAsia"/>
                <w:sz w:val="24"/>
                <w:lang w:val="zh-CN"/>
              </w:rPr>
              <w:t>较</w:t>
            </w:r>
            <w:r>
              <w:rPr>
                <w:sz w:val="24"/>
                <w:lang w:val="zh-CN"/>
              </w:rPr>
              <w:t>大，结果见表</w:t>
            </w:r>
            <w:r>
              <w:rPr>
                <w:rFonts w:hint="eastAsia"/>
                <w:sz w:val="24"/>
                <w:lang w:val="zh-CN"/>
              </w:rPr>
              <w:t>4.1</w:t>
            </w:r>
            <w:r>
              <w:rPr>
                <w:sz w:val="24"/>
                <w:lang w:val="zh-CN"/>
              </w:rPr>
              <w:t>.</w:t>
            </w:r>
            <w:r>
              <w:rPr>
                <w:rFonts w:hint="eastAsia"/>
                <w:sz w:val="24"/>
                <w:lang w:val="zh-CN"/>
              </w:rPr>
              <w:t>4-7</w:t>
            </w:r>
            <w:r>
              <w:rPr>
                <w:sz w:val="24"/>
                <w:lang w:val="zh-CN"/>
              </w:rPr>
              <w:t>。</w:t>
            </w:r>
          </w:p>
          <w:p>
            <w:pPr>
              <w:pStyle w:val="279"/>
              <w:snapToGrid w:val="0"/>
              <w:ind w:firstLine="480"/>
              <w:rPr>
                <w:szCs w:val="21"/>
              </w:rPr>
            </w:pPr>
            <w:r>
              <w:rPr>
                <w:szCs w:val="21"/>
              </w:rPr>
              <w:t>表</w:t>
            </w:r>
            <w:r>
              <w:rPr>
                <w:rFonts w:hint="eastAsia"/>
                <w:szCs w:val="21"/>
              </w:rPr>
              <w:t>4.1</w:t>
            </w:r>
            <w:r>
              <w:rPr>
                <w:szCs w:val="21"/>
              </w:rPr>
              <w:t>.</w:t>
            </w:r>
            <w:r>
              <w:rPr>
                <w:rFonts w:hint="eastAsia"/>
                <w:szCs w:val="21"/>
              </w:rPr>
              <w:t>4-7</w:t>
            </w:r>
            <w:r>
              <w:rPr>
                <w:szCs w:val="21"/>
              </w:rPr>
              <w:t xml:space="preserve">  各测站浮游动物密度、生物量</w:t>
            </w:r>
          </w:p>
          <w:tbl>
            <w:tblPr>
              <w:tblStyle w:val="88"/>
              <w:tblW w:w="5545"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5"/>
              <w:gridCol w:w="900"/>
              <w:gridCol w:w="1960"/>
              <w:gridCol w:w="196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75" w:hRule="atLeast"/>
                <w:jc w:val="center"/>
              </w:trPr>
              <w:tc>
                <w:tcPr>
                  <w:tcW w:w="725" w:type="dxa"/>
                  <w:shd w:val="clear" w:color="auto" w:fill="auto"/>
                  <w:vAlign w:val="bottom"/>
                </w:tcPr>
                <w:p>
                  <w:pPr>
                    <w:widowControl/>
                    <w:jc w:val="center"/>
                    <w:rPr>
                      <w:b/>
                      <w:bCs/>
                      <w:szCs w:val="21"/>
                    </w:rPr>
                  </w:pPr>
                  <w:r>
                    <w:rPr>
                      <w:b/>
                      <w:bCs/>
                      <w:szCs w:val="21"/>
                    </w:rPr>
                    <w:t>站位</w:t>
                  </w:r>
                </w:p>
              </w:tc>
              <w:tc>
                <w:tcPr>
                  <w:tcW w:w="900" w:type="dxa"/>
                  <w:shd w:val="clear" w:color="auto" w:fill="auto"/>
                  <w:vAlign w:val="bottom"/>
                </w:tcPr>
                <w:p>
                  <w:pPr>
                    <w:widowControl/>
                    <w:jc w:val="center"/>
                    <w:rPr>
                      <w:b/>
                      <w:bCs/>
                      <w:szCs w:val="21"/>
                    </w:rPr>
                  </w:pPr>
                  <w:r>
                    <w:rPr>
                      <w:b/>
                      <w:bCs/>
                      <w:szCs w:val="21"/>
                    </w:rPr>
                    <w:t>种类</w:t>
                  </w:r>
                </w:p>
              </w:tc>
              <w:tc>
                <w:tcPr>
                  <w:tcW w:w="1960" w:type="dxa"/>
                  <w:shd w:val="clear" w:color="auto" w:fill="auto"/>
                  <w:vAlign w:val="bottom"/>
                </w:tcPr>
                <w:p>
                  <w:pPr>
                    <w:widowControl/>
                    <w:jc w:val="center"/>
                    <w:rPr>
                      <w:b/>
                      <w:bCs/>
                      <w:szCs w:val="21"/>
                    </w:rPr>
                  </w:pPr>
                  <w:r>
                    <w:rPr>
                      <w:b/>
                      <w:bCs/>
                      <w:szCs w:val="21"/>
                    </w:rPr>
                    <w:t>密度(ind/m3)</w:t>
                  </w:r>
                </w:p>
              </w:tc>
              <w:tc>
                <w:tcPr>
                  <w:tcW w:w="1960" w:type="dxa"/>
                  <w:shd w:val="clear" w:color="auto" w:fill="auto"/>
                  <w:vAlign w:val="bottom"/>
                </w:tcPr>
                <w:p>
                  <w:pPr>
                    <w:widowControl/>
                    <w:jc w:val="center"/>
                    <w:rPr>
                      <w:b/>
                      <w:bCs/>
                      <w:szCs w:val="21"/>
                    </w:rPr>
                  </w:pPr>
                  <w:r>
                    <w:rPr>
                      <w:b/>
                      <w:bCs/>
                      <w:szCs w:val="21"/>
                    </w:rPr>
                    <w:t>质量(mg/m3)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1</w:t>
                  </w:r>
                </w:p>
              </w:tc>
              <w:tc>
                <w:tcPr>
                  <w:tcW w:w="900" w:type="dxa"/>
                  <w:shd w:val="clear" w:color="auto" w:fill="auto"/>
                  <w:noWrap/>
                  <w:vAlign w:val="bottom"/>
                </w:tcPr>
                <w:p>
                  <w:pPr>
                    <w:widowControl/>
                    <w:jc w:val="center"/>
                    <w:rPr>
                      <w:szCs w:val="21"/>
                    </w:rPr>
                  </w:pPr>
                  <w:r>
                    <w:rPr>
                      <w:szCs w:val="21"/>
                    </w:rPr>
                    <w:t>12</w:t>
                  </w:r>
                </w:p>
              </w:tc>
              <w:tc>
                <w:tcPr>
                  <w:tcW w:w="1960" w:type="dxa"/>
                  <w:shd w:val="clear" w:color="auto" w:fill="auto"/>
                  <w:noWrap/>
                  <w:vAlign w:val="bottom"/>
                </w:tcPr>
                <w:p>
                  <w:pPr>
                    <w:widowControl/>
                    <w:jc w:val="center"/>
                    <w:rPr>
                      <w:szCs w:val="21"/>
                    </w:rPr>
                  </w:pPr>
                  <w:r>
                    <w:rPr>
                      <w:szCs w:val="21"/>
                    </w:rPr>
                    <w:t>74.0</w:t>
                  </w:r>
                </w:p>
              </w:tc>
              <w:tc>
                <w:tcPr>
                  <w:tcW w:w="1960" w:type="dxa"/>
                  <w:shd w:val="clear" w:color="auto" w:fill="auto"/>
                  <w:noWrap/>
                  <w:vAlign w:val="bottom"/>
                </w:tcPr>
                <w:p>
                  <w:pPr>
                    <w:widowControl/>
                    <w:jc w:val="center"/>
                    <w:rPr>
                      <w:szCs w:val="21"/>
                    </w:rPr>
                  </w:pPr>
                  <w:r>
                    <w:rPr>
                      <w:szCs w:val="21"/>
                    </w:rPr>
                    <w:t>88.0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4</w:t>
                  </w:r>
                </w:p>
              </w:tc>
              <w:tc>
                <w:tcPr>
                  <w:tcW w:w="900" w:type="dxa"/>
                  <w:shd w:val="clear" w:color="auto" w:fill="auto"/>
                  <w:noWrap/>
                  <w:vAlign w:val="bottom"/>
                </w:tcPr>
                <w:p>
                  <w:pPr>
                    <w:widowControl/>
                    <w:jc w:val="center"/>
                    <w:rPr>
                      <w:szCs w:val="21"/>
                    </w:rPr>
                  </w:pPr>
                  <w:r>
                    <w:rPr>
                      <w:szCs w:val="21"/>
                    </w:rPr>
                    <w:t>9</w:t>
                  </w:r>
                </w:p>
              </w:tc>
              <w:tc>
                <w:tcPr>
                  <w:tcW w:w="1960" w:type="dxa"/>
                  <w:shd w:val="clear" w:color="auto" w:fill="auto"/>
                  <w:noWrap/>
                  <w:vAlign w:val="bottom"/>
                </w:tcPr>
                <w:p>
                  <w:pPr>
                    <w:widowControl/>
                    <w:jc w:val="center"/>
                    <w:rPr>
                      <w:szCs w:val="21"/>
                    </w:rPr>
                  </w:pPr>
                  <w:r>
                    <w:rPr>
                      <w:szCs w:val="21"/>
                    </w:rPr>
                    <w:t>67.0</w:t>
                  </w:r>
                </w:p>
              </w:tc>
              <w:tc>
                <w:tcPr>
                  <w:tcW w:w="1960" w:type="dxa"/>
                  <w:shd w:val="clear" w:color="auto" w:fill="auto"/>
                  <w:noWrap/>
                  <w:vAlign w:val="bottom"/>
                </w:tcPr>
                <w:p>
                  <w:pPr>
                    <w:widowControl/>
                    <w:jc w:val="center"/>
                    <w:rPr>
                      <w:szCs w:val="21"/>
                    </w:rPr>
                  </w:pPr>
                  <w:r>
                    <w:rPr>
                      <w:szCs w:val="21"/>
                    </w:rPr>
                    <w:t>95.0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5</w:t>
                  </w:r>
                </w:p>
              </w:tc>
              <w:tc>
                <w:tcPr>
                  <w:tcW w:w="900" w:type="dxa"/>
                  <w:shd w:val="clear" w:color="auto" w:fill="auto"/>
                  <w:noWrap/>
                  <w:vAlign w:val="bottom"/>
                </w:tcPr>
                <w:p>
                  <w:pPr>
                    <w:widowControl/>
                    <w:jc w:val="center"/>
                    <w:rPr>
                      <w:szCs w:val="21"/>
                    </w:rPr>
                  </w:pPr>
                  <w:r>
                    <w:rPr>
                      <w:szCs w:val="21"/>
                    </w:rPr>
                    <w:t>14</w:t>
                  </w:r>
                </w:p>
              </w:tc>
              <w:tc>
                <w:tcPr>
                  <w:tcW w:w="1960" w:type="dxa"/>
                  <w:shd w:val="clear" w:color="auto" w:fill="auto"/>
                  <w:noWrap/>
                  <w:vAlign w:val="bottom"/>
                </w:tcPr>
                <w:p>
                  <w:pPr>
                    <w:widowControl/>
                    <w:jc w:val="center"/>
                    <w:rPr>
                      <w:szCs w:val="21"/>
                    </w:rPr>
                  </w:pPr>
                  <w:r>
                    <w:rPr>
                      <w:szCs w:val="21"/>
                    </w:rPr>
                    <w:t>113.0</w:t>
                  </w:r>
                </w:p>
              </w:tc>
              <w:tc>
                <w:tcPr>
                  <w:tcW w:w="1960" w:type="dxa"/>
                  <w:shd w:val="clear" w:color="auto" w:fill="auto"/>
                  <w:noWrap/>
                  <w:vAlign w:val="bottom"/>
                </w:tcPr>
                <w:p>
                  <w:pPr>
                    <w:widowControl/>
                    <w:jc w:val="center"/>
                    <w:rPr>
                      <w:szCs w:val="21"/>
                    </w:rPr>
                  </w:pPr>
                  <w:r>
                    <w:rPr>
                      <w:szCs w:val="21"/>
                    </w:rPr>
                    <w:t>133.0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7</w:t>
                  </w:r>
                </w:p>
              </w:tc>
              <w:tc>
                <w:tcPr>
                  <w:tcW w:w="900" w:type="dxa"/>
                  <w:shd w:val="clear" w:color="auto" w:fill="auto"/>
                  <w:noWrap/>
                  <w:vAlign w:val="bottom"/>
                </w:tcPr>
                <w:p>
                  <w:pPr>
                    <w:widowControl/>
                    <w:jc w:val="center"/>
                    <w:rPr>
                      <w:szCs w:val="21"/>
                    </w:rPr>
                  </w:pPr>
                  <w:r>
                    <w:rPr>
                      <w:szCs w:val="21"/>
                    </w:rPr>
                    <w:t>6</w:t>
                  </w:r>
                </w:p>
              </w:tc>
              <w:tc>
                <w:tcPr>
                  <w:tcW w:w="1960" w:type="dxa"/>
                  <w:shd w:val="clear" w:color="auto" w:fill="auto"/>
                  <w:noWrap/>
                  <w:vAlign w:val="bottom"/>
                </w:tcPr>
                <w:p>
                  <w:pPr>
                    <w:widowControl/>
                    <w:jc w:val="center"/>
                    <w:rPr>
                      <w:szCs w:val="21"/>
                    </w:rPr>
                  </w:pPr>
                  <w:r>
                    <w:rPr>
                      <w:szCs w:val="21"/>
                    </w:rPr>
                    <w:t>31.0</w:t>
                  </w:r>
                </w:p>
              </w:tc>
              <w:tc>
                <w:tcPr>
                  <w:tcW w:w="1960" w:type="dxa"/>
                  <w:shd w:val="clear" w:color="auto" w:fill="auto"/>
                  <w:noWrap/>
                  <w:vAlign w:val="bottom"/>
                </w:tcPr>
                <w:p>
                  <w:pPr>
                    <w:widowControl/>
                    <w:jc w:val="center"/>
                    <w:rPr>
                      <w:szCs w:val="21"/>
                    </w:rPr>
                  </w:pPr>
                  <w:r>
                    <w:rPr>
                      <w:szCs w:val="21"/>
                    </w:rPr>
                    <w:t>52.0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9</w:t>
                  </w:r>
                </w:p>
              </w:tc>
              <w:tc>
                <w:tcPr>
                  <w:tcW w:w="900" w:type="dxa"/>
                  <w:shd w:val="clear" w:color="auto" w:fill="auto"/>
                  <w:noWrap/>
                  <w:vAlign w:val="bottom"/>
                </w:tcPr>
                <w:p>
                  <w:pPr>
                    <w:widowControl/>
                    <w:jc w:val="center"/>
                    <w:rPr>
                      <w:szCs w:val="21"/>
                    </w:rPr>
                  </w:pPr>
                  <w:r>
                    <w:rPr>
                      <w:szCs w:val="21"/>
                    </w:rPr>
                    <w:t>11</w:t>
                  </w:r>
                </w:p>
              </w:tc>
              <w:tc>
                <w:tcPr>
                  <w:tcW w:w="1960" w:type="dxa"/>
                  <w:shd w:val="clear" w:color="auto" w:fill="auto"/>
                  <w:noWrap/>
                  <w:vAlign w:val="bottom"/>
                </w:tcPr>
                <w:p>
                  <w:pPr>
                    <w:widowControl/>
                    <w:jc w:val="center"/>
                    <w:rPr>
                      <w:szCs w:val="21"/>
                    </w:rPr>
                  </w:pPr>
                  <w:r>
                    <w:rPr>
                      <w:szCs w:val="21"/>
                    </w:rPr>
                    <w:t>47.0</w:t>
                  </w:r>
                </w:p>
              </w:tc>
              <w:tc>
                <w:tcPr>
                  <w:tcW w:w="1960" w:type="dxa"/>
                  <w:shd w:val="clear" w:color="auto" w:fill="auto"/>
                  <w:noWrap/>
                  <w:vAlign w:val="bottom"/>
                </w:tcPr>
                <w:p>
                  <w:pPr>
                    <w:widowControl/>
                    <w:jc w:val="center"/>
                    <w:rPr>
                      <w:szCs w:val="21"/>
                    </w:rPr>
                  </w:pPr>
                  <w:r>
                    <w:rPr>
                      <w:szCs w:val="21"/>
                    </w:rPr>
                    <w:t>67.0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13</w:t>
                  </w:r>
                </w:p>
              </w:tc>
              <w:tc>
                <w:tcPr>
                  <w:tcW w:w="900" w:type="dxa"/>
                  <w:shd w:val="clear" w:color="auto" w:fill="auto"/>
                  <w:noWrap/>
                  <w:vAlign w:val="bottom"/>
                </w:tcPr>
                <w:p>
                  <w:pPr>
                    <w:widowControl/>
                    <w:jc w:val="center"/>
                    <w:rPr>
                      <w:szCs w:val="21"/>
                    </w:rPr>
                  </w:pPr>
                  <w:r>
                    <w:rPr>
                      <w:szCs w:val="21"/>
                    </w:rPr>
                    <w:t>11</w:t>
                  </w:r>
                </w:p>
              </w:tc>
              <w:tc>
                <w:tcPr>
                  <w:tcW w:w="1960" w:type="dxa"/>
                  <w:shd w:val="clear" w:color="auto" w:fill="auto"/>
                  <w:noWrap/>
                  <w:vAlign w:val="bottom"/>
                </w:tcPr>
                <w:p>
                  <w:pPr>
                    <w:widowControl/>
                    <w:jc w:val="center"/>
                    <w:rPr>
                      <w:szCs w:val="21"/>
                    </w:rPr>
                  </w:pPr>
                  <w:r>
                    <w:rPr>
                      <w:szCs w:val="21"/>
                    </w:rPr>
                    <w:t>54.0</w:t>
                  </w:r>
                </w:p>
              </w:tc>
              <w:tc>
                <w:tcPr>
                  <w:tcW w:w="1960" w:type="dxa"/>
                  <w:shd w:val="clear" w:color="auto" w:fill="auto"/>
                  <w:noWrap/>
                  <w:vAlign w:val="bottom"/>
                </w:tcPr>
                <w:p>
                  <w:pPr>
                    <w:widowControl/>
                    <w:jc w:val="center"/>
                    <w:rPr>
                      <w:szCs w:val="21"/>
                    </w:rPr>
                  </w:pPr>
                  <w:r>
                    <w:rPr>
                      <w:szCs w:val="21"/>
                    </w:rPr>
                    <w:t>85.0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14</w:t>
                  </w:r>
                </w:p>
              </w:tc>
              <w:tc>
                <w:tcPr>
                  <w:tcW w:w="900" w:type="dxa"/>
                  <w:shd w:val="clear" w:color="auto" w:fill="auto"/>
                  <w:noWrap/>
                  <w:vAlign w:val="bottom"/>
                </w:tcPr>
                <w:p>
                  <w:pPr>
                    <w:widowControl/>
                    <w:jc w:val="center"/>
                    <w:rPr>
                      <w:szCs w:val="21"/>
                    </w:rPr>
                  </w:pPr>
                  <w:r>
                    <w:rPr>
                      <w:szCs w:val="21"/>
                    </w:rPr>
                    <w:t>8</w:t>
                  </w:r>
                </w:p>
              </w:tc>
              <w:tc>
                <w:tcPr>
                  <w:tcW w:w="1960" w:type="dxa"/>
                  <w:shd w:val="clear" w:color="auto" w:fill="auto"/>
                  <w:noWrap/>
                  <w:vAlign w:val="bottom"/>
                </w:tcPr>
                <w:p>
                  <w:pPr>
                    <w:widowControl/>
                    <w:jc w:val="center"/>
                    <w:rPr>
                      <w:szCs w:val="21"/>
                    </w:rPr>
                  </w:pPr>
                  <w:r>
                    <w:rPr>
                      <w:szCs w:val="21"/>
                    </w:rPr>
                    <w:t>119.0</w:t>
                  </w:r>
                </w:p>
              </w:tc>
              <w:tc>
                <w:tcPr>
                  <w:tcW w:w="1960" w:type="dxa"/>
                  <w:shd w:val="clear" w:color="auto" w:fill="auto"/>
                  <w:noWrap/>
                  <w:vAlign w:val="bottom"/>
                </w:tcPr>
                <w:p>
                  <w:pPr>
                    <w:widowControl/>
                    <w:jc w:val="center"/>
                    <w:rPr>
                      <w:szCs w:val="21"/>
                    </w:rPr>
                  </w:pPr>
                  <w:r>
                    <w:rPr>
                      <w:szCs w:val="21"/>
                    </w:rPr>
                    <w:t>88.0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15</w:t>
                  </w:r>
                </w:p>
              </w:tc>
              <w:tc>
                <w:tcPr>
                  <w:tcW w:w="900" w:type="dxa"/>
                  <w:shd w:val="clear" w:color="auto" w:fill="auto"/>
                  <w:noWrap/>
                  <w:vAlign w:val="bottom"/>
                </w:tcPr>
                <w:p>
                  <w:pPr>
                    <w:widowControl/>
                    <w:jc w:val="center"/>
                    <w:rPr>
                      <w:szCs w:val="21"/>
                    </w:rPr>
                  </w:pPr>
                  <w:r>
                    <w:rPr>
                      <w:szCs w:val="21"/>
                    </w:rPr>
                    <w:t>5</w:t>
                  </w:r>
                </w:p>
              </w:tc>
              <w:tc>
                <w:tcPr>
                  <w:tcW w:w="1960" w:type="dxa"/>
                  <w:shd w:val="clear" w:color="auto" w:fill="auto"/>
                  <w:noWrap/>
                  <w:vAlign w:val="bottom"/>
                </w:tcPr>
                <w:p>
                  <w:pPr>
                    <w:widowControl/>
                    <w:jc w:val="center"/>
                    <w:rPr>
                      <w:szCs w:val="21"/>
                    </w:rPr>
                  </w:pPr>
                  <w:r>
                    <w:rPr>
                      <w:szCs w:val="21"/>
                    </w:rPr>
                    <w:t>139.0</w:t>
                  </w:r>
                </w:p>
              </w:tc>
              <w:tc>
                <w:tcPr>
                  <w:tcW w:w="1960" w:type="dxa"/>
                  <w:shd w:val="clear" w:color="auto" w:fill="auto"/>
                  <w:noWrap/>
                  <w:vAlign w:val="bottom"/>
                </w:tcPr>
                <w:p>
                  <w:pPr>
                    <w:widowControl/>
                    <w:jc w:val="center"/>
                    <w:rPr>
                      <w:szCs w:val="21"/>
                    </w:rPr>
                  </w:pPr>
                  <w:r>
                    <w:rPr>
                      <w:szCs w:val="21"/>
                    </w:rPr>
                    <w:t>94.0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16</w:t>
                  </w:r>
                </w:p>
              </w:tc>
              <w:tc>
                <w:tcPr>
                  <w:tcW w:w="900" w:type="dxa"/>
                  <w:shd w:val="clear" w:color="auto" w:fill="auto"/>
                  <w:noWrap/>
                  <w:vAlign w:val="bottom"/>
                </w:tcPr>
                <w:p>
                  <w:pPr>
                    <w:widowControl/>
                    <w:jc w:val="center"/>
                    <w:rPr>
                      <w:szCs w:val="21"/>
                    </w:rPr>
                  </w:pPr>
                  <w:r>
                    <w:rPr>
                      <w:szCs w:val="21"/>
                    </w:rPr>
                    <w:t>4</w:t>
                  </w:r>
                </w:p>
              </w:tc>
              <w:tc>
                <w:tcPr>
                  <w:tcW w:w="1960" w:type="dxa"/>
                  <w:shd w:val="clear" w:color="auto" w:fill="auto"/>
                  <w:noWrap/>
                  <w:vAlign w:val="bottom"/>
                </w:tcPr>
                <w:p>
                  <w:pPr>
                    <w:widowControl/>
                    <w:jc w:val="center"/>
                    <w:rPr>
                      <w:szCs w:val="21"/>
                    </w:rPr>
                  </w:pPr>
                  <w:r>
                    <w:rPr>
                      <w:szCs w:val="21"/>
                    </w:rPr>
                    <w:t>29.0</w:t>
                  </w:r>
                </w:p>
              </w:tc>
              <w:tc>
                <w:tcPr>
                  <w:tcW w:w="1960" w:type="dxa"/>
                  <w:shd w:val="clear" w:color="auto" w:fill="auto"/>
                  <w:noWrap/>
                  <w:vAlign w:val="bottom"/>
                </w:tcPr>
                <w:p>
                  <w:pPr>
                    <w:widowControl/>
                    <w:jc w:val="center"/>
                    <w:rPr>
                      <w:szCs w:val="21"/>
                    </w:rPr>
                  </w:pPr>
                  <w:r>
                    <w:rPr>
                      <w:szCs w:val="21"/>
                    </w:rPr>
                    <w:t>51.0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17</w:t>
                  </w:r>
                </w:p>
              </w:tc>
              <w:tc>
                <w:tcPr>
                  <w:tcW w:w="900" w:type="dxa"/>
                  <w:shd w:val="clear" w:color="auto" w:fill="auto"/>
                  <w:noWrap/>
                  <w:vAlign w:val="bottom"/>
                </w:tcPr>
                <w:p>
                  <w:pPr>
                    <w:widowControl/>
                    <w:jc w:val="center"/>
                    <w:rPr>
                      <w:szCs w:val="21"/>
                    </w:rPr>
                  </w:pPr>
                  <w:r>
                    <w:rPr>
                      <w:szCs w:val="21"/>
                    </w:rPr>
                    <w:t>8</w:t>
                  </w:r>
                </w:p>
              </w:tc>
              <w:tc>
                <w:tcPr>
                  <w:tcW w:w="1960" w:type="dxa"/>
                  <w:shd w:val="clear" w:color="auto" w:fill="auto"/>
                  <w:noWrap/>
                  <w:vAlign w:val="bottom"/>
                </w:tcPr>
                <w:p>
                  <w:pPr>
                    <w:widowControl/>
                    <w:jc w:val="center"/>
                    <w:rPr>
                      <w:szCs w:val="21"/>
                    </w:rPr>
                  </w:pPr>
                  <w:r>
                    <w:rPr>
                      <w:szCs w:val="21"/>
                    </w:rPr>
                    <w:t>118.0</w:t>
                  </w:r>
                </w:p>
              </w:tc>
              <w:tc>
                <w:tcPr>
                  <w:tcW w:w="1960" w:type="dxa"/>
                  <w:shd w:val="clear" w:color="auto" w:fill="auto"/>
                  <w:noWrap/>
                  <w:vAlign w:val="bottom"/>
                </w:tcPr>
                <w:p>
                  <w:pPr>
                    <w:widowControl/>
                    <w:jc w:val="center"/>
                    <w:rPr>
                      <w:szCs w:val="21"/>
                    </w:rPr>
                  </w:pPr>
                  <w:r>
                    <w:rPr>
                      <w:szCs w:val="21"/>
                    </w:rPr>
                    <w:t>82.0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19</w:t>
                  </w:r>
                </w:p>
              </w:tc>
              <w:tc>
                <w:tcPr>
                  <w:tcW w:w="900" w:type="dxa"/>
                  <w:shd w:val="clear" w:color="auto" w:fill="auto"/>
                  <w:noWrap/>
                  <w:vAlign w:val="bottom"/>
                </w:tcPr>
                <w:p>
                  <w:pPr>
                    <w:widowControl/>
                    <w:jc w:val="center"/>
                    <w:rPr>
                      <w:szCs w:val="21"/>
                    </w:rPr>
                  </w:pPr>
                  <w:r>
                    <w:rPr>
                      <w:szCs w:val="21"/>
                    </w:rPr>
                    <w:t>4</w:t>
                  </w:r>
                </w:p>
              </w:tc>
              <w:tc>
                <w:tcPr>
                  <w:tcW w:w="1960" w:type="dxa"/>
                  <w:shd w:val="clear" w:color="auto" w:fill="auto"/>
                  <w:noWrap/>
                  <w:vAlign w:val="bottom"/>
                </w:tcPr>
                <w:p>
                  <w:pPr>
                    <w:widowControl/>
                    <w:jc w:val="center"/>
                    <w:rPr>
                      <w:szCs w:val="21"/>
                    </w:rPr>
                  </w:pPr>
                  <w:r>
                    <w:rPr>
                      <w:szCs w:val="21"/>
                    </w:rPr>
                    <w:t>45.0</w:t>
                  </w:r>
                </w:p>
              </w:tc>
              <w:tc>
                <w:tcPr>
                  <w:tcW w:w="1960" w:type="dxa"/>
                  <w:shd w:val="clear" w:color="auto" w:fill="auto"/>
                  <w:noWrap/>
                  <w:vAlign w:val="bottom"/>
                </w:tcPr>
                <w:p>
                  <w:pPr>
                    <w:widowControl/>
                    <w:jc w:val="center"/>
                    <w:rPr>
                      <w:szCs w:val="21"/>
                    </w:rPr>
                  </w:pPr>
                  <w:r>
                    <w:rPr>
                      <w:szCs w:val="21"/>
                    </w:rPr>
                    <w:t>62.0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725" w:type="dxa"/>
                  <w:shd w:val="clear" w:color="auto" w:fill="auto"/>
                  <w:noWrap/>
                  <w:vAlign w:val="bottom"/>
                </w:tcPr>
                <w:p>
                  <w:pPr>
                    <w:widowControl/>
                    <w:jc w:val="center"/>
                    <w:rPr>
                      <w:szCs w:val="21"/>
                    </w:rPr>
                  </w:pPr>
                  <w:r>
                    <w:rPr>
                      <w:szCs w:val="21"/>
                    </w:rPr>
                    <w:t>20</w:t>
                  </w:r>
                </w:p>
              </w:tc>
              <w:tc>
                <w:tcPr>
                  <w:tcW w:w="900" w:type="dxa"/>
                  <w:shd w:val="clear" w:color="auto" w:fill="auto"/>
                  <w:noWrap/>
                  <w:vAlign w:val="bottom"/>
                </w:tcPr>
                <w:p>
                  <w:pPr>
                    <w:widowControl/>
                    <w:jc w:val="center"/>
                    <w:rPr>
                      <w:szCs w:val="21"/>
                    </w:rPr>
                  </w:pPr>
                  <w:r>
                    <w:rPr>
                      <w:szCs w:val="21"/>
                    </w:rPr>
                    <w:t>6</w:t>
                  </w:r>
                </w:p>
              </w:tc>
              <w:tc>
                <w:tcPr>
                  <w:tcW w:w="1960" w:type="dxa"/>
                  <w:shd w:val="clear" w:color="auto" w:fill="auto"/>
                  <w:noWrap/>
                  <w:vAlign w:val="bottom"/>
                </w:tcPr>
                <w:p>
                  <w:pPr>
                    <w:widowControl/>
                    <w:jc w:val="center"/>
                    <w:rPr>
                      <w:szCs w:val="21"/>
                    </w:rPr>
                  </w:pPr>
                  <w:r>
                    <w:rPr>
                      <w:szCs w:val="21"/>
                    </w:rPr>
                    <w:t>72.0</w:t>
                  </w:r>
                </w:p>
              </w:tc>
              <w:tc>
                <w:tcPr>
                  <w:tcW w:w="1960" w:type="dxa"/>
                  <w:shd w:val="clear" w:color="auto" w:fill="auto"/>
                  <w:noWrap/>
                  <w:vAlign w:val="bottom"/>
                </w:tcPr>
                <w:p>
                  <w:pPr>
                    <w:widowControl/>
                    <w:jc w:val="center"/>
                    <w:rPr>
                      <w:szCs w:val="21"/>
                    </w:rPr>
                  </w:pPr>
                  <w:r>
                    <w:rPr>
                      <w:szCs w:val="21"/>
                    </w:rPr>
                    <w:t>80.0</w:t>
                  </w:r>
                </w:p>
              </w:tc>
            </w:tr>
          </w:tbl>
          <w:p>
            <w:pPr>
              <w:autoSpaceDE w:val="0"/>
              <w:autoSpaceDN w:val="0"/>
              <w:ind w:firstLine="480"/>
              <w:jc w:val="center"/>
              <w:rPr>
                <w:highlight w:val="lightGray"/>
                <w:lang w:val="zh-CN"/>
              </w:rPr>
            </w:pPr>
          </w:p>
          <w:p>
            <w:pPr>
              <w:autoSpaceDE w:val="0"/>
              <w:autoSpaceDN w:val="0"/>
              <w:spacing w:line="360" w:lineRule="auto"/>
              <w:ind w:firstLine="482"/>
              <w:rPr>
                <w:sz w:val="24"/>
                <w:lang w:val="zh-CN"/>
              </w:rPr>
            </w:pPr>
            <w:r>
              <w:rPr>
                <w:sz w:val="24"/>
                <w:lang w:val="zh-CN"/>
              </w:rPr>
              <w:t>(3) 浮游动物优势种</w:t>
            </w:r>
          </w:p>
          <w:p>
            <w:pPr>
              <w:autoSpaceDE w:val="0"/>
              <w:autoSpaceDN w:val="0"/>
              <w:spacing w:line="360" w:lineRule="auto"/>
              <w:ind w:firstLine="482"/>
              <w:rPr>
                <w:sz w:val="24"/>
                <w:lang w:val="zh-CN"/>
              </w:rPr>
            </w:pPr>
            <w:r>
              <w:rPr>
                <w:sz w:val="24"/>
                <w:lang w:val="zh-CN"/>
              </w:rPr>
              <w:t>优势种的确定由优势度决定，计算公式：Y= P</w:t>
            </w:r>
            <w:r>
              <w:rPr>
                <w:sz w:val="24"/>
                <w:vertAlign w:val="subscript"/>
                <w:lang w:val="zh-CN"/>
              </w:rPr>
              <w:t>i</w:t>
            </w:r>
            <w:r>
              <w:rPr>
                <w:sz w:val="24"/>
                <w:lang w:val="zh-CN"/>
              </w:rPr>
              <w:t>×f</w:t>
            </w:r>
            <w:r>
              <w:rPr>
                <w:sz w:val="24"/>
                <w:vertAlign w:val="subscript"/>
                <w:lang w:val="zh-CN"/>
              </w:rPr>
              <w:t xml:space="preserve">i </w:t>
            </w:r>
            <w:r>
              <w:rPr>
                <w:sz w:val="24"/>
                <w:lang w:val="zh-CN"/>
              </w:rPr>
              <w:t>，f</w:t>
            </w:r>
            <w:r>
              <w:rPr>
                <w:sz w:val="24"/>
                <w:vertAlign w:val="subscript"/>
                <w:lang w:val="zh-CN"/>
              </w:rPr>
              <w:t>i</w:t>
            </w:r>
            <w:r>
              <w:rPr>
                <w:sz w:val="24"/>
                <w:lang w:val="zh-CN"/>
              </w:rPr>
              <w:t>为第i种在各个站位出现的频率。根据实际调查情况，本次调查将浮游动物的优势度≥0.02的种类作为该海域的优势种类。浮游动物优势种类有</w:t>
            </w:r>
            <w:r>
              <w:rPr>
                <w:rFonts w:hint="eastAsia"/>
                <w:sz w:val="24"/>
                <w:lang w:val="zh-CN"/>
              </w:rPr>
              <w:t>4</w:t>
            </w:r>
            <w:r>
              <w:rPr>
                <w:sz w:val="24"/>
                <w:lang w:val="zh-CN"/>
              </w:rPr>
              <w:t>种，分别为：</w:t>
            </w:r>
            <w:r>
              <w:rPr>
                <w:rFonts w:hint="eastAsia"/>
                <w:sz w:val="24"/>
                <w:lang w:val="zh-CN"/>
              </w:rPr>
              <w:t>枝角类的鸟喙尖头溞（</w:t>
            </w:r>
            <w:r>
              <w:rPr>
                <w:rFonts w:hint="eastAsia"/>
                <w:i/>
                <w:sz w:val="24"/>
                <w:lang w:val="zh-CN"/>
              </w:rPr>
              <w:t>P</w:t>
            </w:r>
            <w:r>
              <w:rPr>
                <w:i/>
                <w:sz w:val="24"/>
                <w:lang w:val="zh-CN"/>
              </w:rPr>
              <w:t>enilia avirostris</w:t>
            </w:r>
            <w:r>
              <w:rPr>
                <w:rFonts w:hint="eastAsia"/>
                <w:sz w:val="24"/>
                <w:lang w:val="zh-CN"/>
              </w:rPr>
              <w:t>）和</w:t>
            </w:r>
            <w:r>
              <w:rPr>
                <w:sz w:val="24"/>
                <w:lang w:val="zh-CN"/>
              </w:rPr>
              <w:t>桡足类的</w:t>
            </w:r>
            <w:r>
              <w:rPr>
                <w:rFonts w:hint="eastAsia"/>
                <w:sz w:val="24"/>
                <w:lang w:val="zh-CN"/>
              </w:rPr>
              <w:t>小拟哲水蚤（</w:t>
            </w:r>
            <w:r>
              <w:rPr>
                <w:i/>
                <w:sz w:val="24"/>
                <w:lang w:val="zh-CN"/>
              </w:rPr>
              <w:t>Paracalanus parvus</w:t>
            </w:r>
            <w:r>
              <w:rPr>
                <w:rFonts w:hint="eastAsia"/>
                <w:sz w:val="24"/>
                <w:lang w:val="zh-CN"/>
              </w:rPr>
              <w:t>）、双刺唇角水蚤（</w:t>
            </w:r>
            <w:r>
              <w:rPr>
                <w:i/>
                <w:sz w:val="24"/>
                <w:lang w:val="zh-CN"/>
              </w:rPr>
              <w:t>Labidocera bipinnata</w:t>
            </w:r>
            <w:r>
              <w:rPr>
                <w:rFonts w:hint="eastAsia"/>
                <w:sz w:val="24"/>
                <w:lang w:val="zh-CN"/>
              </w:rPr>
              <w:t>）、和浮游幼虫的短尾类溞状幼虫（</w:t>
            </w:r>
            <w:r>
              <w:rPr>
                <w:i/>
                <w:sz w:val="24"/>
                <w:lang w:val="zh-CN"/>
              </w:rPr>
              <w:t>Brachyura zoea larva</w:t>
            </w:r>
            <w:r>
              <w:rPr>
                <w:rFonts w:hint="eastAsia"/>
                <w:sz w:val="24"/>
                <w:lang w:val="zh-CN"/>
              </w:rPr>
              <w:t>）</w:t>
            </w:r>
            <w:r>
              <w:rPr>
                <w:sz w:val="24"/>
                <w:lang w:val="zh-CN"/>
              </w:rPr>
              <w:t>，见表</w:t>
            </w:r>
            <w:r>
              <w:rPr>
                <w:rFonts w:hint="eastAsia"/>
                <w:sz w:val="24"/>
                <w:lang w:val="zh-CN"/>
              </w:rPr>
              <w:t>4.1</w:t>
            </w:r>
            <w:r>
              <w:rPr>
                <w:sz w:val="24"/>
                <w:lang w:val="zh-CN"/>
              </w:rPr>
              <w:t>.</w:t>
            </w:r>
            <w:r>
              <w:rPr>
                <w:rFonts w:hint="eastAsia"/>
                <w:sz w:val="24"/>
                <w:lang w:val="zh-CN"/>
              </w:rPr>
              <w:t>4-8</w:t>
            </w:r>
            <w:r>
              <w:rPr>
                <w:sz w:val="24"/>
                <w:lang w:val="zh-CN"/>
              </w:rPr>
              <w:t>。</w:t>
            </w:r>
          </w:p>
          <w:p>
            <w:pPr>
              <w:pStyle w:val="279"/>
              <w:snapToGrid w:val="0"/>
              <w:ind w:firstLine="480"/>
              <w:rPr>
                <w:szCs w:val="21"/>
              </w:rPr>
            </w:pPr>
            <w:r>
              <w:rPr>
                <w:szCs w:val="21"/>
              </w:rPr>
              <w:t>表</w:t>
            </w:r>
            <w:r>
              <w:rPr>
                <w:rFonts w:hint="eastAsia"/>
                <w:szCs w:val="21"/>
              </w:rPr>
              <w:t>4.1</w:t>
            </w:r>
            <w:r>
              <w:rPr>
                <w:szCs w:val="21"/>
              </w:rPr>
              <w:t>.</w:t>
            </w:r>
            <w:r>
              <w:rPr>
                <w:rFonts w:hint="eastAsia"/>
                <w:szCs w:val="21"/>
              </w:rPr>
              <w:t>4-8</w:t>
            </w:r>
            <w:r>
              <w:rPr>
                <w:szCs w:val="21"/>
              </w:rPr>
              <w:t xml:space="preserve"> 浮游动物优势种和优势度</w:t>
            </w:r>
          </w:p>
          <w:tbl>
            <w:tblPr>
              <w:tblStyle w:val="88"/>
              <w:tblW w:w="8151" w:type="dxa"/>
              <w:jc w:val="center"/>
              <w:tblInd w:w="0" w:type="dxa"/>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2003"/>
              <w:gridCol w:w="1387"/>
              <w:gridCol w:w="2035"/>
              <w:gridCol w:w="1385"/>
              <w:gridCol w:w="1341"/>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900" w:hRule="atLeast"/>
                <w:jc w:val="center"/>
              </w:trPr>
              <w:tc>
                <w:tcPr>
                  <w:tcW w:w="2003" w:type="dxa"/>
                  <w:shd w:val="clear" w:color="auto" w:fill="FFFFFF"/>
                  <w:vAlign w:val="center"/>
                </w:tcPr>
                <w:p>
                  <w:pPr>
                    <w:widowControl/>
                    <w:jc w:val="center"/>
                    <w:rPr>
                      <w:b/>
                      <w:bCs/>
                      <w:szCs w:val="21"/>
                    </w:rPr>
                  </w:pPr>
                  <w:r>
                    <w:rPr>
                      <w:rFonts w:hint="eastAsia"/>
                      <w:b/>
                      <w:bCs/>
                      <w:szCs w:val="21"/>
                    </w:rPr>
                    <w:t>优势种</w:t>
                  </w:r>
                </w:p>
              </w:tc>
              <w:tc>
                <w:tcPr>
                  <w:tcW w:w="1387" w:type="dxa"/>
                  <w:shd w:val="clear" w:color="auto" w:fill="FFFFFF"/>
                  <w:vAlign w:val="center"/>
                </w:tcPr>
                <w:p>
                  <w:pPr>
                    <w:widowControl/>
                    <w:jc w:val="center"/>
                    <w:rPr>
                      <w:b/>
                      <w:bCs/>
                      <w:szCs w:val="21"/>
                    </w:rPr>
                  </w:pPr>
                  <w:r>
                    <w:rPr>
                      <w:rFonts w:hint="eastAsia"/>
                      <w:b/>
                      <w:bCs/>
                      <w:szCs w:val="21"/>
                    </w:rPr>
                    <w:t>平均密度</w:t>
                  </w:r>
                  <w:r>
                    <w:rPr>
                      <w:b/>
                      <w:bCs/>
                      <w:szCs w:val="21"/>
                    </w:rPr>
                    <w:t>(ind/m</w:t>
                  </w:r>
                  <w:r>
                    <w:rPr>
                      <w:b/>
                      <w:bCs/>
                      <w:szCs w:val="21"/>
                      <w:vertAlign w:val="superscript"/>
                    </w:rPr>
                    <w:t>3</w:t>
                  </w:r>
                  <w:r>
                    <w:rPr>
                      <w:b/>
                      <w:bCs/>
                      <w:szCs w:val="21"/>
                    </w:rPr>
                    <w:t>)</w:t>
                  </w:r>
                </w:p>
              </w:tc>
              <w:tc>
                <w:tcPr>
                  <w:tcW w:w="2035" w:type="dxa"/>
                  <w:shd w:val="clear" w:color="auto" w:fill="FFFFFF"/>
                  <w:vAlign w:val="center"/>
                </w:tcPr>
                <w:p>
                  <w:pPr>
                    <w:widowControl/>
                    <w:jc w:val="center"/>
                    <w:rPr>
                      <w:b/>
                      <w:bCs/>
                      <w:szCs w:val="21"/>
                    </w:rPr>
                  </w:pPr>
                  <w:r>
                    <w:rPr>
                      <w:rFonts w:hint="eastAsia"/>
                      <w:b/>
                      <w:bCs/>
                      <w:szCs w:val="21"/>
                    </w:rPr>
                    <w:t>占总密度的比例</w:t>
                  </w:r>
                </w:p>
                <w:p>
                  <w:pPr>
                    <w:widowControl/>
                    <w:jc w:val="center"/>
                    <w:rPr>
                      <w:b/>
                      <w:bCs/>
                      <w:szCs w:val="21"/>
                    </w:rPr>
                  </w:pPr>
                  <w:r>
                    <w:rPr>
                      <w:b/>
                      <w:bCs/>
                      <w:szCs w:val="21"/>
                    </w:rPr>
                    <w:t>(%)</w:t>
                  </w:r>
                </w:p>
              </w:tc>
              <w:tc>
                <w:tcPr>
                  <w:tcW w:w="1385" w:type="dxa"/>
                  <w:shd w:val="clear" w:color="auto" w:fill="FFFFFF"/>
                  <w:vAlign w:val="center"/>
                </w:tcPr>
                <w:p>
                  <w:pPr>
                    <w:widowControl/>
                    <w:jc w:val="center"/>
                    <w:rPr>
                      <w:b/>
                      <w:bCs/>
                      <w:szCs w:val="21"/>
                    </w:rPr>
                  </w:pPr>
                  <w:r>
                    <w:rPr>
                      <w:rFonts w:hint="eastAsia"/>
                      <w:b/>
                      <w:bCs/>
                      <w:szCs w:val="21"/>
                    </w:rPr>
                    <w:t>出现频率</w:t>
                  </w:r>
                </w:p>
                <w:p>
                  <w:pPr>
                    <w:widowControl/>
                    <w:jc w:val="center"/>
                    <w:rPr>
                      <w:b/>
                      <w:bCs/>
                      <w:szCs w:val="21"/>
                    </w:rPr>
                  </w:pPr>
                  <w:r>
                    <w:rPr>
                      <w:b/>
                      <w:bCs/>
                      <w:szCs w:val="21"/>
                    </w:rPr>
                    <w:t>(%)</w:t>
                  </w:r>
                </w:p>
              </w:tc>
              <w:tc>
                <w:tcPr>
                  <w:tcW w:w="1341" w:type="dxa"/>
                  <w:shd w:val="clear" w:color="auto" w:fill="FFFFFF"/>
                  <w:vAlign w:val="center"/>
                </w:tcPr>
                <w:p>
                  <w:pPr>
                    <w:widowControl/>
                    <w:ind w:firstLine="234" w:firstLineChars="111"/>
                    <w:rPr>
                      <w:b/>
                      <w:bCs/>
                      <w:szCs w:val="21"/>
                    </w:rPr>
                  </w:pPr>
                  <w:r>
                    <w:rPr>
                      <w:rFonts w:hint="eastAsia"/>
                      <w:b/>
                      <w:bCs/>
                      <w:szCs w:val="21"/>
                    </w:rPr>
                    <w:t>优势度</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jc w:val="center"/>
              </w:trPr>
              <w:tc>
                <w:tcPr>
                  <w:tcW w:w="2003" w:type="dxa"/>
                  <w:shd w:val="clear" w:color="auto" w:fill="FFFFFF"/>
                  <w:vAlign w:val="bottom"/>
                </w:tcPr>
                <w:p>
                  <w:pPr>
                    <w:widowControl/>
                    <w:ind w:firstLine="360"/>
                    <w:rPr>
                      <w:szCs w:val="21"/>
                    </w:rPr>
                  </w:pPr>
                  <w:r>
                    <w:rPr>
                      <w:rFonts w:hint="eastAsia"/>
                      <w:szCs w:val="21"/>
                    </w:rPr>
                    <w:t>鸟喙尖头溞</w:t>
                  </w:r>
                </w:p>
              </w:tc>
              <w:tc>
                <w:tcPr>
                  <w:tcW w:w="1387" w:type="dxa"/>
                  <w:shd w:val="clear" w:color="auto" w:fill="FFFFFF"/>
                  <w:vAlign w:val="bottom"/>
                </w:tcPr>
                <w:p>
                  <w:pPr>
                    <w:widowControl/>
                    <w:ind w:firstLine="360"/>
                    <w:rPr>
                      <w:szCs w:val="21"/>
                    </w:rPr>
                  </w:pPr>
                  <w:r>
                    <w:rPr>
                      <w:rFonts w:hint="eastAsia"/>
                      <w:szCs w:val="21"/>
                    </w:rPr>
                    <w:t>34.0</w:t>
                  </w:r>
                </w:p>
              </w:tc>
              <w:tc>
                <w:tcPr>
                  <w:tcW w:w="2035" w:type="dxa"/>
                  <w:shd w:val="clear" w:color="auto" w:fill="FFFFFF"/>
                  <w:vAlign w:val="bottom"/>
                </w:tcPr>
                <w:p>
                  <w:pPr>
                    <w:widowControl/>
                    <w:ind w:firstLine="360"/>
                    <w:jc w:val="center"/>
                    <w:rPr>
                      <w:szCs w:val="21"/>
                    </w:rPr>
                  </w:pPr>
                  <w:r>
                    <w:rPr>
                      <w:rFonts w:hint="eastAsia"/>
                      <w:szCs w:val="21"/>
                    </w:rPr>
                    <w:t>44.9</w:t>
                  </w:r>
                </w:p>
              </w:tc>
              <w:tc>
                <w:tcPr>
                  <w:tcW w:w="1385" w:type="dxa"/>
                  <w:shd w:val="clear" w:color="auto" w:fill="FFFFFF"/>
                  <w:vAlign w:val="bottom"/>
                </w:tcPr>
                <w:p>
                  <w:pPr>
                    <w:widowControl/>
                    <w:ind w:firstLine="360"/>
                    <w:rPr>
                      <w:szCs w:val="21"/>
                    </w:rPr>
                  </w:pPr>
                  <w:r>
                    <w:rPr>
                      <w:rFonts w:hint="eastAsia"/>
                      <w:szCs w:val="21"/>
                    </w:rPr>
                    <w:t>100.0</w:t>
                  </w:r>
                </w:p>
              </w:tc>
              <w:tc>
                <w:tcPr>
                  <w:tcW w:w="1341" w:type="dxa"/>
                  <w:shd w:val="clear" w:color="auto" w:fill="FFFFFF"/>
                  <w:vAlign w:val="bottom"/>
                </w:tcPr>
                <w:p>
                  <w:pPr>
                    <w:widowControl/>
                    <w:ind w:firstLine="360"/>
                    <w:rPr>
                      <w:szCs w:val="21"/>
                    </w:rPr>
                  </w:pPr>
                  <w:r>
                    <w:rPr>
                      <w:rFonts w:hint="eastAsia"/>
                      <w:szCs w:val="21"/>
                    </w:rPr>
                    <w:t>0.449</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jc w:val="center"/>
              </w:trPr>
              <w:tc>
                <w:tcPr>
                  <w:tcW w:w="2003" w:type="dxa"/>
                  <w:shd w:val="clear" w:color="auto" w:fill="FFFFFF"/>
                  <w:vAlign w:val="bottom"/>
                </w:tcPr>
                <w:p>
                  <w:pPr>
                    <w:widowControl/>
                    <w:ind w:firstLine="360"/>
                    <w:rPr>
                      <w:szCs w:val="21"/>
                    </w:rPr>
                  </w:pPr>
                  <w:r>
                    <w:rPr>
                      <w:rFonts w:hint="eastAsia"/>
                      <w:szCs w:val="21"/>
                    </w:rPr>
                    <w:t>小拟哲水蚤</w:t>
                  </w:r>
                </w:p>
              </w:tc>
              <w:tc>
                <w:tcPr>
                  <w:tcW w:w="1387" w:type="dxa"/>
                  <w:shd w:val="clear" w:color="auto" w:fill="FFFFFF"/>
                  <w:vAlign w:val="bottom"/>
                </w:tcPr>
                <w:p>
                  <w:pPr>
                    <w:ind w:firstLine="360"/>
                    <w:rPr>
                      <w:szCs w:val="21"/>
                    </w:rPr>
                  </w:pPr>
                  <w:r>
                    <w:rPr>
                      <w:szCs w:val="21"/>
                    </w:rPr>
                    <w:t>24.6</w:t>
                  </w:r>
                </w:p>
              </w:tc>
              <w:tc>
                <w:tcPr>
                  <w:tcW w:w="2035" w:type="dxa"/>
                  <w:shd w:val="clear" w:color="auto" w:fill="FFFFFF"/>
                  <w:vAlign w:val="bottom"/>
                </w:tcPr>
                <w:p>
                  <w:pPr>
                    <w:widowControl/>
                    <w:ind w:firstLine="360"/>
                    <w:jc w:val="center"/>
                    <w:rPr>
                      <w:szCs w:val="21"/>
                    </w:rPr>
                  </w:pPr>
                  <w:r>
                    <w:rPr>
                      <w:rFonts w:hint="eastAsia"/>
                      <w:szCs w:val="21"/>
                    </w:rPr>
                    <w:t>32.5</w:t>
                  </w:r>
                </w:p>
              </w:tc>
              <w:tc>
                <w:tcPr>
                  <w:tcW w:w="1385" w:type="dxa"/>
                  <w:shd w:val="clear" w:color="auto" w:fill="FFFFFF"/>
                  <w:vAlign w:val="bottom"/>
                </w:tcPr>
                <w:p>
                  <w:pPr>
                    <w:widowControl/>
                    <w:ind w:firstLine="360"/>
                    <w:rPr>
                      <w:szCs w:val="21"/>
                    </w:rPr>
                  </w:pPr>
                  <w:r>
                    <w:rPr>
                      <w:rFonts w:hint="eastAsia"/>
                      <w:szCs w:val="21"/>
                    </w:rPr>
                    <w:t>100.0</w:t>
                  </w:r>
                </w:p>
              </w:tc>
              <w:tc>
                <w:tcPr>
                  <w:tcW w:w="1341" w:type="dxa"/>
                  <w:shd w:val="clear" w:color="auto" w:fill="FFFFFF"/>
                  <w:vAlign w:val="bottom"/>
                </w:tcPr>
                <w:p>
                  <w:pPr>
                    <w:ind w:firstLine="360"/>
                    <w:rPr>
                      <w:szCs w:val="21"/>
                    </w:rPr>
                  </w:pPr>
                  <w:r>
                    <w:rPr>
                      <w:szCs w:val="21"/>
                    </w:rPr>
                    <w:t>0.325</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jc w:val="center"/>
              </w:trPr>
              <w:tc>
                <w:tcPr>
                  <w:tcW w:w="2003" w:type="dxa"/>
                  <w:shd w:val="clear" w:color="auto" w:fill="FFFFFF"/>
                  <w:vAlign w:val="bottom"/>
                </w:tcPr>
                <w:p>
                  <w:pPr>
                    <w:widowControl/>
                    <w:ind w:firstLine="360"/>
                    <w:rPr>
                      <w:szCs w:val="21"/>
                    </w:rPr>
                  </w:pPr>
                  <w:r>
                    <w:rPr>
                      <w:rFonts w:hint="eastAsia"/>
                      <w:szCs w:val="21"/>
                    </w:rPr>
                    <w:t>双刺唇角水蚤</w:t>
                  </w:r>
                </w:p>
              </w:tc>
              <w:tc>
                <w:tcPr>
                  <w:tcW w:w="1387" w:type="dxa"/>
                  <w:shd w:val="clear" w:color="auto" w:fill="FFFFFF"/>
                  <w:vAlign w:val="bottom"/>
                </w:tcPr>
                <w:p>
                  <w:pPr>
                    <w:widowControl/>
                    <w:ind w:firstLine="360"/>
                    <w:rPr>
                      <w:szCs w:val="21"/>
                    </w:rPr>
                  </w:pPr>
                  <w:r>
                    <w:rPr>
                      <w:szCs w:val="21"/>
                    </w:rPr>
                    <w:t>4.6</w:t>
                  </w:r>
                </w:p>
              </w:tc>
              <w:tc>
                <w:tcPr>
                  <w:tcW w:w="2035" w:type="dxa"/>
                  <w:shd w:val="clear" w:color="auto" w:fill="FFFFFF"/>
                  <w:vAlign w:val="bottom"/>
                </w:tcPr>
                <w:p>
                  <w:pPr>
                    <w:widowControl/>
                    <w:ind w:firstLine="360"/>
                    <w:jc w:val="center"/>
                    <w:rPr>
                      <w:szCs w:val="21"/>
                    </w:rPr>
                  </w:pPr>
                  <w:r>
                    <w:rPr>
                      <w:rFonts w:hint="eastAsia"/>
                      <w:szCs w:val="21"/>
                    </w:rPr>
                    <w:t>6.0</w:t>
                  </w:r>
                </w:p>
              </w:tc>
              <w:tc>
                <w:tcPr>
                  <w:tcW w:w="1385" w:type="dxa"/>
                  <w:shd w:val="clear" w:color="auto" w:fill="FFFFFF"/>
                  <w:vAlign w:val="bottom"/>
                </w:tcPr>
                <w:p>
                  <w:pPr>
                    <w:widowControl/>
                    <w:ind w:firstLine="360"/>
                    <w:rPr>
                      <w:szCs w:val="21"/>
                    </w:rPr>
                  </w:pPr>
                  <w:r>
                    <w:rPr>
                      <w:rFonts w:hint="eastAsia"/>
                      <w:szCs w:val="21"/>
                    </w:rPr>
                    <w:t>83.3</w:t>
                  </w:r>
                </w:p>
              </w:tc>
              <w:tc>
                <w:tcPr>
                  <w:tcW w:w="1341" w:type="dxa"/>
                  <w:shd w:val="clear" w:color="auto" w:fill="FFFFFF"/>
                  <w:vAlign w:val="bottom"/>
                </w:tcPr>
                <w:p>
                  <w:pPr>
                    <w:widowControl/>
                    <w:ind w:firstLine="360"/>
                    <w:rPr>
                      <w:szCs w:val="21"/>
                    </w:rPr>
                  </w:pPr>
                  <w:r>
                    <w:rPr>
                      <w:szCs w:val="21"/>
                    </w:rPr>
                    <w:t>0.050</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jc w:val="center"/>
              </w:trPr>
              <w:tc>
                <w:tcPr>
                  <w:tcW w:w="2003" w:type="dxa"/>
                  <w:shd w:val="clear" w:color="auto" w:fill="FFFFFF"/>
                  <w:vAlign w:val="bottom"/>
                </w:tcPr>
                <w:p>
                  <w:pPr>
                    <w:widowControl/>
                    <w:jc w:val="center"/>
                    <w:rPr>
                      <w:szCs w:val="21"/>
                    </w:rPr>
                  </w:pPr>
                  <w:r>
                    <w:rPr>
                      <w:rFonts w:hint="eastAsia"/>
                      <w:szCs w:val="21"/>
                    </w:rPr>
                    <w:t>短尾类溞状幼虫</w:t>
                  </w:r>
                </w:p>
              </w:tc>
              <w:tc>
                <w:tcPr>
                  <w:tcW w:w="1387" w:type="dxa"/>
                  <w:shd w:val="clear" w:color="auto" w:fill="FFFFFF"/>
                  <w:vAlign w:val="bottom"/>
                </w:tcPr>
                <w:p>
                  <w:pPr>
                    <w:widowControl/>
                    <w:ind w:firstLine="360"/>
                    <w:rPr>
                      <w:szCs w:val="21"/>
                    </w:rPr>
                  </w:pPr>
                  <w:r>
                    <w:rPr>
                      <w:szCs w:val="21"/>
                    </w:rPr>
                    <w:t>3.8</w:t>
                  </w:r>
                </w:p>
              </w:tc>
              <w:tc>
                <w:tcPr>
                  <w:tcW w:w="2035" w:type="dxa"/>
                  <w:shd w:val="clear" w:color="auto" w:fill="FFFFFF"/>
                  <w:vAlign w:val="bottom"/>
                </w:tcPr>
                <w:p>
                  <w:pPr>
                    <w:widowControl/>
                    <w:ind w:firstLine="360"/>
                    <w:jc w:val="center"/>
                    <w:rPr>
                      <w:szCs w:val="21"/>
                    </w:rPr>
                  </w:pPr>
                  <w:r>
                    <w:rPr>
                      <w:rFonts w:hint="eastAsia"/>
                      <w:szCs w:val="21"/>
                    </w:rPr>
                    <w:t>4.9</w:t>
                  </w:r>
                </w:p>
              </w:tc>
              <w:tc>
                <w:tcPr>
                  <w:tcW w:w="1385" w:type="dxa"/>
                  <w:shd w:val="clear" w:color="auto" w:fill="FFFFFF"/>
                  <w:vAlign w:val="bottom"/>
                </w:tcPr>
                <w:p>
                  <w:pPr>
                    <w:widowControl/>
                    <w:ind w:firstLine="360"/>
                    <w:rPr>
                      <w:szCs w:val="21"/>
                    </w:rPr>
                  </w:pPr>
                  <w:r>
                    <w:rPr>
                      <w:rFonts w:hint="eastAsia"/>
                      <w:szCs w:val="21"/>
                    </w:rPr>
                    <w:t>66.7</w:t>
                  </w:r>
                </w:p>
              </w:tc>
              <w:tc>
                <w:tcPr>
                  <w:tcW w:w="1341" w:type="dxa"/>
                  <w:shd w:val="clear" w:color="auto" w:fill="FFFFFF"/>
                  <w:vAlign w:val="bottom"/>
                </w:tcPr>
                <w:p>
                  <w:pPr>
                    <w:widowControl/>
                    <w:ind w:firstLine="360"/>
                    <w:rPr>
                      <w:szCs w:val="21"/>
                    </w:rPr>
                  </w:pPr>
                  <w:r>
                    <w:rPr>
                      <w:szCs w:val="21"/>
                    </w:rPr>
                    <w:t>0.033</w:t>
                  </w:r>
                </w:p>
              </w:tc>
            </w:tr>
          </w:tbl>
          <w:p>
            <w:pPr>
              <w:spacing w:line="360" w:lineRule="auto"/>
              <w:ind w:firstLine="480"/>
              <w:rPr>
                <w:sz w:val="24"/>
                <w:lang w:val="zh-CN"/>
              </w:rPr>
            </w:pPr>
            <w:r>
              <w:rPr>
                <w:sz w:val="24"/>
                <w:lang w:val="zh-CN"/>
              </w:rPr>
              <w:t>(4) 浮游动物物多样性指数(H′)和均匀度(J)</w:t>
            </w:r>
          </w:p>
          <w:p>
            <w:pPr>
              <w:spacing w:line="360" w:lineRule="auto"/>
              <w:ind w:firstLine="480"/>
              <w:rPr>
                <w:sz w:val="24"/>
                <w:lang w:val="zh-CN"/>
              </w:rPr>
            </w:pPr>
            <w:r>
              <w:rPr>
                <w:sz w:val="24"/>
                <w:lang w:val="zh-CN"/>
              </w:rPr>
              <w:t>调查区的浮游动物的群落指数见表</w:t>
            </w:r>
            <w:r>
              <w:rPr>
                <w:rFonts w:hint="eastAsia"/>
                <w:sz w:val="24"/>
                <w:lang w:val="zh-CN"/>
              </w:rPr>
              <w:t>4.1</w:t>
            </w:r>
            <w:r>
              <w:rPr>
                <w:sz w:val="24"/>
                <w:lang w:val="zh-CN"/>
              </w:rPr>
              <w:t>.</w:t>
            </w:r>
            <w:r>
              <w:rPr>
                <w:rFonts w:hint="eastAsia"/>
                <w:sz w:val="24"/>
                <w:lang w:val="zh-CN"/>
              </w:rPr>
              <w:t>4-9</w:t>
            </w:r>
            <w:r>
              <w:rPr>
                <w:sz w:val="24"/>
                <w:lang w:val="zh-CN"/>
              </w:rPr>
              <w:t>，其浮游动物群落多样性指数为</w:t>
            </w:r>
            <w:r>
              <w:rPr>
                <w:rFonts w:hint="eastAsia"/>
                <w:sz w:val="24"/>
              </w:rPr>
              <w:t>1.89</w:t>
            </w:r>
            <w:r>
              <w:rPr>
                <w:sz w:val="24"/>
              </w:rPr>
              <w:t>±</w:t>
            </w:r>
            <w:r>
              <w:rPr>
                <w:rFonts w:hint="eastAsia"/>
                <w:sz w:val="24"/>
              </w:rPr>
              <w:t>0.63</w:t>
            </w:r>
            <w:r>
              <w:rPr>
                <w:sz w:val="24"/>
                <w:lang w:val="zh-CN"/>
              </w:rPr>
              <w:t>，各站位处于</w:t>
            </w:r>
            <w:r>
              <w:rPr>
                <w:rFonts w:hint="eastAsia"/>
                <w:sz w:val="24"/>
                <w:lang w:val="zh-CN"/>
              </w:rPr>
              <w:t>1.07</w:t>
            </w:r>
            <w:r>
              <w:rPr>
                <w:sz w:val="24"/>
                <w:lang w:val="zh-CN"/>
              </w:rPr>
              <w:t>～</w:t>
            </w:r>
            <w:r>
              <w:rPr>
                <w:rFonts w:hint="eastAsia"/>
                <w:sz w:val="24"/>
                <w:lang w:val="zh-CN"/>
              </w:rPr>
              <w:t>2.73</w:t>
            </w:r>
            <w:r>
              <w:rPr>
                <w:sz w:val="24"/>
                <w:lang w:val="zh-CN"/>
              </w:rPr>
              <w:t>之间；均匀度指数为</w:t>
            </w:r>
            <w:r>
              <w:rPr>
                <w:rFonts w:hint="eastAsia"/>
                <w:sz w:val="24"/>
              </w:rPr>
              <w:t>0.64</w:t>
            </w:r>
            <w:r>
              <w:rPr>
                <w:sz w:val="24"/>
              </w:rPr>
              <w:t>±</w:t>
            </w:r>
            <w:r>
              <w:rPr>
                <w:rFonts w:hint="eastAsia"/>
                <w:sz w:val="24"/>
              </w:rPr>
              <w:t>0.12</w:t>
            </w:r>
            <w:r>
              <w:rPr>
                <w:sz w:val="24"/>
                <w:lang w:val="zh-CN"/>
              </w:rPr>
              <w:t>，各站位处于0.</w:t>
            </w:r>
            <w:r>
              <w:rPr>
                <w:rFonts w:hint="eastAsia"/>
                <w:sz w:val="24"/>
                <w:lang w:val="zh-CN"/>
              </w:rPr>
              <w:t>45</w:t>
            </w:r>
            <w:r>
              <w:rPr>
                <w:sz w:val="24"/>
                <w:lang w:val="zh-CN"/>
              </w:rPr>
              <w:t>～0.</w:t>
            </w:r>
            <w:r>
              <w:rPr>
                <w:rFonts w:hint="eastAsia"/>
                <w:sz w:val="24"/>
                <w:lang w:val="zh-CN"/>
              </w:rPr>
              <w:t>79</w:t>
            </w:r>
            <w:r>
              <w:rPr>
                <w:sz w:val="24"/>
                <w:lang w:val="zh-CN"/>
              </w:rPr>
              <w:t>之间；丰富度指数为</w:t>
            </w:r>
            <w:r>
              <w:rPr>
                <w:rFonts w:hint="eastAsia"/>
                <w:sz w:val="24"/>
              </w:rPr>
              <w:t>1.18</w:t>
            </w:r>
            <w:r>
              <w:rPr>
                <w:sz w:val="24"/>
              </w:rPr>
              <w:t>±</w:t>
            </w:r>
            <w:r>
              <w:rPr>
                <w:rFonts w:hint="eastAsia"/>
                <w:sz w:val="24"/>
              </w:rPr>
              <w:t>0.51</w:t>
            </w:r>
            <w:r>
              <w:rPr>
                <w:sz w:val="24"/>
                <w:lang w:val="zh-CN"/>
              </w:rPr>
              <w:t>，各站位处于</w:t>
            </w:r>
            <w:r>
              <w:rPr>
                <w:rFonts w:hint="eastAsia"/>
                <w:sz w:val="24"/>
                <w:lang w:val="zh-CN"/>
              </w:rPr>
              <w:t>0.55</w:t>
            </w:r>
            <w:r>
              <w:rPr>
                <w:sz w:val="24"/>
                <w:lang w:val="zh-CN"/>
              </w:rPr>
              <w:t>～</w:t>
            </w:r>
            <w:r>
              <w:rPr>
                <w:rFonts w:hint="eastAsia"/>
                <w:sz w:val="24"/>
                <w:lang w:val="zh-CN"/>
              </w:rPr>
              <w:t>1.91</w:t>
            </w:r>
            <w:r>
              <w:rPr>
                <w:sz w:val="24"/>
                <w:lang w:val="zh-CN"/>
              </w:rPr>
              <w:t>之间。</w:t>
            </w:r>
          </w:p>
          <w:p>
            <w:pPr>
              <w:pStyle w:val="279"/>
              <w:snapToGrid w:val="0"/>
              <w:ind w:firstLine="480"/>
              <w:rPr>
                <w:szCs w:val="21"/>
              </w:rPr>
            </w:pPr>
            <w:r>
              <w:rPr>
                <w:szCs w:val="21"/>
              </w:rPr>
              <w:t>表</w:t>
            </w:r>
            <w:r>
              <w:rPr>
                <w:rFonts w:hint="eastAsia"/>
                <w:szCs w:val="21"/>
              </w:rPr>
              <w:t>4.1</w:t>
            </w:r>
            <w:r>
              <w:rPr>
                <w:szCs w:val="21"/>
              </w:rPr>
              <w:t>.</w:t>
            </w:r>
            <w:r>
              <w:rPr>
                <w:rFonts w:hint="eastAsia"/>
                <w:szCs w:val="21"/>
              </w:rPr>
              <w:t>4-9</w:t>
            </w:r>
            <w:r>
              <w:rPr>
                <w:szCs w:val="21"/>
              </w:rPr>
              <w:t xml:space="preserve">  各测站浮游动物多样性指数(H′)和均匀度(J)</w:t>
            </w:r>
          </w:p>
          <w:tbl>
            <w:tblPr>
              <w:tblStyle w:val="88"/>
              <w:tblW w:w="6588"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42"/>
              <w:gridCol w:w="2002"/>
              <w:gridCol w:w="1560"/>
              <w:gridCol w:w="198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31" w:hRule="atLeast"/>
                <w:jc w:val="center"/>
              </w:trPr>
              <w:tc>
                <w:tcPr>
                  <w:tcW w:w="1042" w:type="dxa"/>
                  <w:shd w:val="clear" w:color="auto" w:fill="auto"/>
                  <w:vAlign w:val="center"/>
                </w:tcPr>
                <w:p>
                  <w:pPr>
                    <w:widowControl/>
                    <w:ind w:firstLine="232" w:firstLineChars="110"/>
                    <w:jc w:val="left"/>
                    <w:rPr>
                      <w:b/>
                      <w:bCs/>
                      <w:szCs w:val="21"/>
                    </w:rPr>
                  </w:pPr>
                  <w:r>
                    <w:rPr>
                      <w:b/>
                      <w:bCs/>
                      <w:szCs w:val="21"/>
                    </w:rPr>
                    <w:t>站位</w:t>
                  </w:r>
                </w:p>
              </w:tc>
              <w:tc>
                <w:tcPr>
                  <w:tcW w:w="2002" w:type="dxa"/>
                  <w:shd w:val="clear" w:color="auto" w:fill="auto"/>
                  <w:vAlign w:val="center"/>
                </w:tcPr>
                <w:p>
                  <w:pPr>
                    <w:widowControl/>
                    <w:jc w:val="center"/>
                    <w:rPr>
                      <w:b/>
                      <w:bCs/>
                      <w:szCs w:val="21"/>
                    </w:rPr>
                  </w:pPr>
                  <w:r>
                    <w:rPr>
                      <w:b/>
                      <w:bCs/>
                      <w:szCs w:val="21"/>
                    </w:rPr>
                    <w:t>多样性指数(H)</w:t>
                  </w:r>
                </w:p>
              </w:tc>
              <w:tc>
                <w:tcPr>
                  <w:tcW w:w="1560" w:type="dxa"/>
                  <w:shd w:val="clear" w:color="auto" w:fill="auto"/>
                  <w:vAlign w:val="center"/>
                </w:tcPr>
                <w:p>
                  <w:pPr>
                    <w:widowControl/>
                    <w:jc w:val="center"/>
                    <w:rPr>
                      <w:b/>
                      <w:bCs/>
                      <w:szCs w:val="21"/>
                    </w:rPr>
                  </w:pPr>
                  <w:r>
                    <w:rPr>
                      <w:b/>
                      <w:bCs/>
                      <w:szCs w:val="21"/>
                    </w:rPr>
                    <w:t>均匀度(J)</w:t>
                  </w:r>
                </w:p>
              </w:tc>
              <w:tc>
                <w:tcPr>
                  <w:tcW w:w="1984" w:type="dxa"/>
                  <w:shd w:val="clear" w:color="auto" w:fill="auto"/>
                  <w:vAlign w:val="center"/>
                </w:tcPr>
                <w:p>
                  <w:pPr>
                    <w:widowControl/>
                    <w:ind w:firstLine="360"/>
                    <w:rPr>
                      <w:b/>
                      <w:bCs/>
                      <w:szCs w:val="21"/>
                    </w:rPr>
                  </w:pPr>
                  <w:r>
                    <w:rPr>
                      <w:b/>
                      <w:bCs/>
                      <w:szCs w:val="21"/>
                    </w:rPr>
                    <w:t>丰富度(d)</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1</w:t>
                  </w:r>
                </w:p>
              </w:tc>
              <w:tc>
                <w:tcPr>
                  <w:tcW w:w="2002" w:type="dxa"/>
                  <w:shd w:val="clear" w:color="auto" w:fill="auto"/>
                  <w:noWrap/>
                  <w:vAlign w:val="center"/>
                </w:tcPr>
                <w:p>
                  <w:pPr>
                    <w:widowControl/>
                    <w:ind w:firstLine="630" w:firstLineChars="300"/>
                    <w:rPr>
                      <w:szCs w:val="21"/>
                    </w:rPr>
                  </w:pPr>
                  <w:r>
                    <w:rPr>
                      <w:szCs w:val="21"/>
                    </w:rPr>
                    <w:t>2.58</w:t>
                  </w:r>
                </w:p>
              </w:tc>
              <w:tc>
                <w:tcPr>
                  <w:tcW w:w="1560" w:type="dxa"/>
                  <w:shd w:val="clear" w:color="auto" w:fill="auto"/>
                  <w:noWrap/>
                  <w:vAlign w:val="center"/>
                </w:tcPr>
                <w:p>
                  <w:pPr>
                    <w:widowControl/>
                    <w:ind w:firstLine="233" w:firstLineChars="111"/>
                    <w:rPr>
                      <w:szCs w:val="21"/>
                    </w:rPr>
                  </w:pPr>
                  <w:r>
                    <w:rPr>
                      <w:szCs w:val="21"/>
                    </w:rPr>
                    <w:t>0.72</w:t>
                  </w:r>
                </w:p>
              </w:tc>
              <w:tc>
                <w:tcPr>
                  <w:tcW w:w="1984" w:type="dxa"/>
                  <w:shd w:val="clear" w:color="auto" w:fill="auto"/>
                  <w:noWrap/>
                  <w:vAlign w:val="center"/>
                </w:tcPr>
                <w:p>
                  <w:pPr>
                    <w:widowControl/>
                    <w:ind w:firstLine="630" w:firstLineChars="300"/>
                    <w:rPr>
                      <w:szCs w:val="21"/>
                    </w:rPr>
                  </w:pPr>
                  <w:r>
                    <w:rPr>
                      <w:szCs w:val="21"/>
                    </w:rPr>
                    <w:t>1.77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4</w:t>
                  </w:r>
                </w:p>
              </w:tc>
              <w:tc>
                <w:tcPr>
                  <w:tcW w:w="2002" w:type="dxa"/>
                  <w:shd w:val="clear" w:color="auto" w:fill="auto"/>
                  <w:noWrap/>
                  <w:vAlign w:val="center"/>
                </w:tcPr>
                <w:p>
                  <w:pPr>
                    <w:widowControl/>
                    <w:ind w:firstLine="630" w:firstLineChars="300"/>
                    <w:rPr>
                      <w:szCs w:val="21"/>
                    </w:rPr>
                  </w:pPr>
                  <w:r>
                    <w:rPr>
                      <w:szCs w:val="21"/>
                    </w:rPr>
                    <w:t>2.30</w:t>
                  </w:r>
                </w:p>
              </w:tc>
              <w:tc>
                <w:tcPr>
                  <w:tcW w:w="1560" w:type="dxa"/>
                  <w:shd w:val="clear" w:color="auto" w:fill="auto"/>
                  <w:noWrap/>
                  <w:vAlign w:val="center"/>
                </w:tcPr>
                <w:p>
                  <w:pPr>
                    <w:widowControl/>
                    <w:ind w:firstLine="233" w:firstLineChars="111"/>
                    <w:rPr>
                      <w:szCs w:val="21"/>
                    </w:rPr>
                  </w:pPr>
                  <w:r>
                    <w:rPr>
                      <w:szCs w:val="21"/>
                    </w:rPr>
                    <w:t>0.73</w:t>
                  </w:r>
                </w:p>
              </w:tc>
              <w:tc>
                <w:tcPr>
                  <w:tcW w:w="1984" w:type="dxa"/>
                  <w:shd w:val="clear" w:color="auto" w:fill="auto"/>
                  <w:noWrap/>
                  <w:vAlign w:val="center"/>
                </w:tcPr>
                <w:p>
                  <w:pPr>
                    <w:widowControl/>
                    <w:ind w:firstLine="630" w:firstLineChars="300"/>
                    <w:rPr>
                      <w:szCs w:val="21"/>
                    </w:rPr>
                  </w:pPr>
                  <w:r>
                    <w:rPr>
                      <w:szCs w:val="21"/>
                    </w:rPr>
                    <w:t>1.32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5</w:t>
                  </w:r>
                </w:p>
              </w:tc>
              <w:tc>
                <w:tcPr>
                  <w:tcW w:w="2002" w:type="dxa"/>
                  <w:shd w:val="clear" w:color="auto" w:fill="auto"/>
                  <w:noWrap/>
                  <w:vAlign w:val="center"/>
                </w:tcPr>
                <w:p>
                  <w:pPr>
                    <w:widowControl/>
                    <w:ind w:firstLine="630" w:firstLineChars="300"/>
                    <w:rPr>
                      <w:szCs w:val="21"/>
                    </w:rPr>
                  </w:pPr>
                  <w:r>
                    <w:rPr>
                      <w:szCs w:val="21"/>
                    </w:rPr>
                    <w:t>2.37</w:t>
                  </w:r>
                </w:p>
              </w:tc>
              <w:tc>
                <w:tcPr>
                  <w:tcW w:w="1560" w:type="dxa"/>
                  <w:shd w:val="clear" w:color="auto" w:fill="auto"/>
                  <w:noWrap/>
                  <w:vAlign w:val="center"/>
                </w:tcPr>
                <w:p>
                  <w:pPr>
                    <w:widowControl/>
                    <w:ind w:firstLine="233" w:firstLineChars="111"/>
                    <w:rPr>
                      <w:szCs w:val="21"/>
                    </w:rPr>
                  </w:pPr>
                  <w:r>
                    <w:rPr>
                      <w:szCs w:val="21"/>
                    </w:rPr>
                    <w:t>0.62</w:t>
                  </w:r>
                </w:p>
              </w:tc>
              <w:tc>
                <w:tcPr>
                  <w:tcW w:w="1984" w:type="dxa"/>
                  <w:shd w:val="clear" w:color="auto" w:fill="auto"/>
                  <w:noWrap/>
                  <w:vAlign w:val="center"/>
                </w:tcPr>
                <w:p>
                  <w:pPr>
                    <w:widowControl/>
                    <w:ind w:firstLine="630" w:firstLineChars="300"/>
                    <w:rPr>
                      <w:szCs w:val="21"/>
                    </w:rPr>
                  </w:pPr>
                  <w:r>
                    <w:rPr>
                      <w:szCs w:val="21"/>
                    </w:rPr>
                    <w:t>1.91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7</w:t>
                  </w:r>
                </w:p>
              </w:tc>
              <w:tc>
                <w:tcPr>
                  <w:tcW w:w="2002" w:type="dxa"/>
                  <w:shd w:val="clear" w:color="auto" w:fill="auto"/>
                  <w:noWrap/>
                  <w:vAlign w:val="center"/>
                </w:tcPr>
                <w:p>
                  <w:pPr>
                    <w:widowControl/>
                    <w:ind w:firstLine="630" w:firstLineChars="300"/>
                    <w:rPr>
                      <w:szCs w:val="21"/>
                    </w:rPr>
                  </w:pPr>
                  <w:r>
                    <w:rPr>
                      <w:szCs w:val="21"/>
                    </w:rPr>
                    <w:t>1.92</w:t>
                  </w:r>
                </w:p>
              </w:tc>
              <w:tc>
                <w:tcPr>
                  <w:tcW w:w="1560" w:type="dxa"/>
                  <w:shd w:val="clear" w:color="auto" w:fill="auto"/>
                  <w:noWrap/>
                  <w:vAlign w:val="center"/>
                </w:tcPr>
                <w:p>
                  <w:pPr>
                    <w:widowControl/>
                    <w:ind w:firstLine="233" w:firstLineChars="111"/>
                    <w:rPr>
                      <w:szCs w:val="21"/>
                    </w:rPr>
                  </w:pPr>
                  <w:r>
                    <w:rPr>
                      <w:szCs w:val="21"/>
                    </w:rPr>
                    <w:t>0.74</w:t>
                  </w:r>
                </w:p>
              </w:tc>
              <w:tc>
                <w:tcPr>
                  <w:tcW w:w="1984" w:type="dxa"/>
                  <w:shd w:val="clear" w:color="auto" w:fill="auto"/>
                  <w:noWrap/>
                  <w:vAlign w:val="center"/>
                </w:tcPr>
                <w:p>
                  <w:pPr>
                    <w:widowControl/>
                    <w:ind w:firstLine="630" w:firstLineChars="300"/>
                    <w:rPr>
                      <w:szCs w:val="21"/>
                    </w:rPr>
                  </w:pPr>
                  <w:r>
                    <w:rPr>
                      <w:szCs w:val="21"/>
                    </w:rPr>
                    <w:t>1.01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9</w:t>
                  </w:r>
                </w:p>
              </w:tc>
              <w:tc>
                <w:tcPr>
                  <w:tcW w:w="2002" w:type="dxa"/>
                  <w:shd w:val="clear" w:color="auto" w:fill="auto"/>
                  <w:noWrap/>
                  <w:vAlign w:val="center"/>
                </w:tcPr>
                <w:p>
                  <w:pPr>
                    <w:widowControl/>
                    <w:ind w:firstLine="630" w:firstLineChars="300"/>
                    <w:rPr>
                      <w:szCs w:val="21"/>
                    </w:rPr>
                  </w:pPr>
                  <w:r>
                    <w:rPr>
                      <w:szCs w:val="21"/>
                    </w:rPr>
                    <w:t>2.73</w:t>
                  </w:r>
                </w:p>
              </w:tc>
              <w:tc>
                <w:tcPr>
                  <w:tcW w:w="1560" w:type="dxa"/>
                  <w:shd w:val="clear" w:color="auto" w:fill="auto"/>
                  <w:noWrap/>
                  <w:vAlign w:val="center"/>
                </w:tcPr>
                <w:p>
                  <w:pPr>
                    <w:widowControl/>
                    <w:ind w:firstLine="233" w:firstLineChars="111"/>
                    <w:rPr>
                      <w:szCs w:val="21"/>
                    </w:rPr>
                  </w:pPr>
                  <w:r>
                    <w:rPr>
                      <w:szCs w:val="21"/>
                    </w:rPr>
                    <w:t>0.79</w:t>
                  </w:r>
                </w:p>
              </w:tc>
              <w:tc>
                <w:tcPr>
                  <w:tcW w:w="1984" w:type="dxa"/>
                  <w:shd w:val="clear" w:color="auto" w:fill="auto"/>
                  <w:noWrap/>
                  <w:vAlign w:val="center"/>
                </w:tcPr>
                <w:p>
                  <w:pPr>
                    <w:widowControl/>
                    <w:ind w:firstLine="630" w:firstLineChars="300"/>
                    <w:rPr>
                      <w:szCs w:val="21"/>
                    </w:rPr>
                  </w:pPr>
                  <w:r>
                    <w:rPr>
                      <w:szCs w:val="21"/>
                    </w:rPr>
                    <w:t>1.80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13</w:t>
                  </w:r>
                </w:p>
              </w:tc>
              <w:tc>
                <w:tcPr>
                  <w:tcW w:w="2002" w:type="dxa"/>
                  <w:shd w:val="clear" w:color="auto" w:fill="auto"/>
                  <w:noWrap/>
                  <w:vAlign w:val="center"/>
                </w:tcPr>
                <w:p>
                  <w:pPr>
                    <w:widowControl/>
                    <w:ind w:firstLine="630" w:firstLineChars="300"/>
                    <w:rPr>
                      <w:szCs w:val="21"/>
                    </w:rPr>
                  </w:pPr>
                  <w:r>
                    <w:rPr>
                      <w:szCs w:val="21"/>
                    </w:rPr>
                    <w:t>2.68</w:t>
                  </w:r>
                </w:p>
              </w:tc>
              <w:tc>
                <w:tcPr>
                  <w:tcW w:w="1560" w:type="dxa"/>
                  <w:shd w:val="clear" w:color="auto" w:fill="auto"/>
                  <w:noWrap/>
                  <w:vAlign w:val="center"/>
                </w:tcPr>
                <w:p>
                  <w:pPr>
                    <w:widowControl/>
                    <w:ind w:firstLine="233" w:firstLineChars="111"/>
                    <w:rPr>
                      <w:szCs w:val="21"/>
                    </w:rPr>
                  </w:pPr>
                  <w:r>
                    <w:rPr>
                      <w:szCs w:val="21"/>
                    </w:rPr>
                    <w:t>0.77</w:t>
                  </w:r>
                </w:p>
              </w:tc>
              <w:tc>
                <w:tcPr>
                  <w:tcW w:w="1984" w:type="dxa"/>
                  <w:shd w:val="clear" w:color="auto" w:fill="auto"/>
                  <w:noWrap/>
                  <w:vAlign w:val="center"/>
                </w:tcPr>
                <w:p>
                  <w:pPr>
                    <w:widowControl/>
                    <w:ind w:firstLine="630" w:firstLineChars="300"/>
                    <w:rPr>
                      <w:szCs w:val="21"/>
                    </w:rPr>
                  </w:pPr>
                  <w:r>
                    <w:rPr>
                      <w:szCs w:val="21"/>
                    </w:rPr>
                    <w:t>1.74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14</w:t>
                  </w:r>
                </w:p>
              </w:tc>
              <w:tc>
                <w:tcPr>
                  <w:tcW w:w="2002" w:type="dxa"/>
                  <w:shd w:val="clear" w:color="auto" w:fill="auto"/>
                  <w:noWrap/>
                  <w:vAlign w:val="center"/>
                </w:tcPr>
                <w:p>
                  <w:pPr>
                    <w:widowControl/>
                    <w:ind w:firstLine="630" w:firstLineChars="300"/>
                    <w:rPr>
                      <w:szCs w:val="21"/>
                    </w:rPr>
                  </w:pPr>
                  <w:r>
                    <w:rPr>
                      <w:szCs w:val="21"/>
                    </w:rPr>
                    <w:t>1.86</w:t>
                  </w:r>
                </w:p>
              </w:tc>
              <w:tc>
                <w:tcPr>
                  <w:tcW w:w="1560" w:type="dxa"/>
                  <w:shd w:val="clear" w:color="auto" w:fill="auto"/>
                  <w:noWrap/>
                  <w:vAlign w:val="center"/>
                </w:tcPr>
                <w:p>
                  <w:pPr>
                    <w:widowControl/>
                    <w:ind w:firstLine="233" w:firstLineChars="111"/>
                    <w:rPr>
                      <w:szCs w:val="21"/>
                    </w:rPr>
                  </w:pPr>
                  <w:r>
                    <w:rPr>
                      <w:szCs w:val="21"/>
                    </w:rPr>
                    <w:t>0.62</w:t>
                  </w:r>
                </w:p>
              </w:tc>
              <w:tc>
                <w:tcPr>
                  <w:tcW w:w="1984" w:type="dxa"/>
                  <w:shd w:val="clear" w:color="auto" w:fill="auto"/>
                  <w:noWrap/>
                  <w:vAlign w:val="center"/>
                </w:tcPr>
                <w:p>
                  <w:pPr>
                    <w:widowControl/>
                    <w:ind w:firstLine="630" w:firstLineChars="300"/>
                    <w:rPr>
                      <w:szCs w:val="21"/>
                    </w:rPr>
                  </w:pPr>
                  <w:r>
                    <w:rPr>
                      <w:szCs w:val="21"/>
                    </w:rPr>
                    <w:t>1.02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15</w:t>
                  </w:r>
                </w:p>
              </w:tc>
              <w:tc>
                <w:tcPr>
                  <w:tcW w:w="2002" w:type="dxa"/>
                  <w:shd w:val="clear" w:color="auto" w:fill="auto"/>
                  <w:noWrap/>
                  <w:vAlign w:val="center"/>
                </w:tcPr>
                <w:p>
                  <w:pPr>
                    <w:widowControl/>
                    <w:ind w:firstLine="630" w:firstLineChars="300"/>
                    <w:rPr>
                      <w:szCs w:val="21"/>
                    </w:rPr>
                  </w:pPr>
                  <w:r>
                    <w:rPr>
                      <w:szCs w:val="21"/>
                    </w:rPr>
                    <w:t>1.12</w:t>
                  </w:r>
                </w:p>
              </w:tc>
              <w:tc>
                <w:tcPr>
                  <w:tcW w:w="1560" w:type="dxa"/>
                  <w:shd w:val="clear" w:color="auto" w:fill="auto"/>
                  <w:noWrap/>
                  <w:vAlign w:val="center"/>
                </w:tcPr>
                <w:p>
                  <w:pPr>
                    <w:widowControl/>
                    <w:ind w:firstLine="233" w:firstLineChars="111"/>
                    <w:rPr>
                      <w:szCs w:val="21"/>
                    </w:rPr>
                  </w:pPr>
                  <w:r>
                    <w:rPr>
                      <w:szCs w:val="21"/>
                    </w:rPr>
                    <w:t>0.48</w:t>
                  </w:r>
                </w:p>
              </w:tc>
              <w:tc>
                <w:tcPr>
                  <w:tcW w:w="1984" w:type="dxa"/>
                  <w:shd w:val="clear" w:color="auto" w:fill="auto"/>
                  <w:noWrap/>
                  <w:vAlign w:val="center"/>
                </w:tcPr>
                <w:p>
                  <w:pPr>
                    <w:widowControl/>
                    <w:ind w:firstLine="630" w:firstLineChars="300"/>
                    <w:rPr>
                      <w:szCs w:val="21"/>
                    </w:rPr>
                  </w:pPr>
                  <w:r>
                    <w:rPr>
                      <w:szCs w:val="21"/>
                    </w:rPr>
                    <w:t>0.56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16</w:t>
                  </w:r>
                </w:p>
              </w:tc>
              <w:tc>
                <w:tcPr>
                  <w:tcW w:w="2002" w:type="dxa"/>
                  <w:shd w:val="clear" w:color="auto" w:fill="auto"/>
                  <w:noWrap/>
                  <w:vAlign w:val="center"/>
                </w:tcPr>
                <w:p>
                  <w:pPr>
                    <w:widowControl/>
                    <w:ind w:firstLine="630" w:firstLineChars="300"/>
                    <w:rPr>
                      <w:szCs w:val="21"/>
                    </w:rPr>
                  </w:pPr>
                  <w:r>
                    <w:rPr>
                      <w:szCs w:val="21"/>
                    </w:rPr>
                    <w:t>1.07</w:t>
                  </w:r>
                </w:p>
              </w:tc>
              <w:tc>
                <w:tcPr>
                  <w:tcW w:w="1560" w:type="dxa"/>
                  <w:shd w:val="clear" w:color="auto" w:fill="auto"/>
                  <w:noWrap/>
                  <w:vAlign w:val="center"/>
                </w:tcPr>
                <w:p>
                  <w:pPr>
                    <w:widowControl/>
                    <w:ind w:firstLine="233" w:firstLineChars="111"/>
                    <w:rPr>
                      <w:szCs w:val="21"/>
                    </w:rPr>
                  </w:pPr>
                  <w:r>
                    <w:rPr>
                      <w:szCs w:val="21"/>
                    </w:rPr>
                    <w:t>0.54</w:t>
                  </w:r>
                </w:p>
              </w:tc>
              <w:tc>
                <w:tcPr>
                  <w:tcW w:w="1984" w:type="dxa"/>
                  <w:shd w:val="clear" w:color="auto" w:fill="auto"/>
                  <w:noWrap/>
                  <w:vAlign w:val="center"/>
                </w:tcPr>
                <w:p>
                  <w:pPr>
                    <w:widowControl/>
                    <w:ind w:firstLine="630" w:firstLineChars="300"/>
                    <w:rPr>
                      <w:szCs w:val="21"/>
                    </w:rPr>
                  </w:pPr>
                  <w:r>
                    <w:rPr>
                      <w:szCs w:val="21"/>
                    </w:rPr>
                    <w:t>0.62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17</w:t>
                  </w:r>
                </w:p>
              </w:tc>
              <w:tc>
                <w:tcPr>
                  <w:tcW w:w="2002" w:type="dxa"/>
                  <w:shd w:val="clear" w:color="auto" w:fill="auto"/>
                  <w:noWrap/>
                  <w:vAlign w:val="center"/>
                </w:tcPr>
                <w:p>
                  <w:pPr>
                    <w:widowControl/>
                    <w:ind w:firstLine="630" w:firstLineChars="300"/>
                    <w:rPr>
                      <w:szCs w:val="21"/>
                    </w:rPr>
                  </w:pPr>
                  <w:r>
                    <w:rPr>
                      <w:szCs w:val="21"/>
                    </w:rPr>
                    <w:t>1.34</w:t>
                  </w:r>
                </w:p>
              </w:tc>
              <w:tc>
                <w:tcPr>
                  <w:tcW w:w="1560" w:type="dxa"/>
                  <w:shd w:val="clear" w:color="auto" w:fill="auto"/>
                  <w:noWrap/>
                  <w:vAlign w:val="center"/>
                </w:tcPr>
                <w:p>
                  <w:pPr>
                    <w:widowControl/>
                    <w:ind w:firstLine="233" w:firstLineChars="111"/>
                    <w:rPr>
                      <w:szCs w:val="21"/>
                    </w:rPr>
                  </w:pPr>
                  <w:r>
                    <w:rPr>
                      <w:szCs w:val="21"/>
                    </w:rPr>
                    <w:t>0.45</w:t>
                  </w:r>
                </w:p>
              </w:tc>
              <w:tc>
                <w:tcPr>
                  <w:tcW w:w="1984" w:type="dxa"/>
                  <w:shd w:val="clear" w:color="auto" w:fill="auto"/>
                  <w:noWrap/>
                  <w:vAlign w:val="center"/>
                </w:tcPr>
                <w:p>
                  <w:pPr>
                    <w:widowControl/>
                    <w:ind w:firstLine="630" w:firstLineChars="300"/>
                    <w:rPr>
                      <w:szCs w:val="21"/>
                    </w:rPr>
                  </w:pPr>
                  <w:r>
                    <w:rPr>
                      <w:szCs w:val="21"/>
                    </w:rPr>
                    <w:t>1.02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19</w:t>
                  </w:r>
                </w:p>
              </w:tc>
              <w:tc>
                <w:tcPr>
                  <w:tcW w:w="2002" w:type="dxa"/>
                  <w:shd w:val="clear" w:color="auto" w:fill="auto"/>
                  <w:noWrap/>
                  <w:vAlign w:val="center"/>
                </w:tcPr>
                <w:p>
                  <w:pPr>
                    <w:widowControl/>
                    <w:ind w:firstLine="630" w:firstLineChars="300"/>
                    <w:rPr>
                      <w:szCs w:val="21"/>
                    </w:rPr>
                  </w:pPr>
                  <w:r>
                    <w:rPr>
                      <w:szCs w:val="21"/>
                    </w:rPr>
                    <w:t>1.29</w:t>
                  </w:r>
                </w:p>
              </w:tc>
              <w:tc>
                <w:tcPr>
                  <w:tcW w:w="1560" w:type="dxa"/>
                  <w:shd w:val="clear" w:color="auto" w:fill="auto"/>
                  <w:noWrap/>
                  <w:vAlign w:val="center"/>
                </w:tcPr>
                <w:p>
                  <w:pPr>
                    <w:widowControl/>
                    <w:ind w:firstLine="233" w:firstLineChars="111"/>
                    <w:rPr>
                      <w:szCs w:val="21"/>
                    </w:rPr>
                  </w:pPr>
                  <w:r>
                    <w:rPr>
                      <w:szCs w:val="21"/>
                    </w:rPr>
                    <w:t>0.64</w:t>
                  </w:r>
                </w:p>
              </w:tc>
              <w:tc>
                <w:tcPr>
                  <w:tcW w:w="1984" w:type="dxa"/>
                  <w:shd w:val="clear" w:color="auto" w:fill="auto"/>
                  <w:noWrap/>
                  <w:vAlign w:val="center"/>
                </w:tcPr>
                <w:p>
                  <w:pPr>
                    <w:widowControl/>
                    <w:ind w:firstLine="630" w:firstLineChars="300"/>
                    <w:rPr>
                      <w:szCs w:val="21"/>
                    </w:rPr>
                  </w:pPr>
                  <w:r>
                    <w:rPr>
                      <w:szCs w:val="21"/>
                    </w:rPr>
                    <w:t>0.55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360"/>
                    <w:jc w:val="left"/>
                    <w:rPr>
                      <w:szCs w:val="21"/>
                    </w:rPr>
                  </w:pPr>
                  <w:r>
                    <w:rPr>
                      <w:szCs w:val="21"/>
                    </w:rPr>
                    <w:t>20</w:t>
                  </w:r>
                </w:p>
              </w:tc>
              <w:tc>
                <w:tcPr>
                  <w:tcW w:w="2002" w:type="dxa"/>
                  <w:shd w:val="clear" w:color="auto" w:fill="auto"/>
                  <w:noWrap/>
                  <w:vAlign w:val="center"/>
                </w:tcPr>
                <w:p>
                  <w:pPr>
                    <w:widowControl/>
                    <w:ind w:firstLine="630" w:firstLineChars="300"/>
                    <w:rPr>
                      <w:szCs w:val="21"/>
                    </w:rPr>
                  </w:pPr>
                  <w:r>
                    <w:rPr>
                      <w:szCs w:val="21"/>
                    </w:rPr>
                    <w:t>1.42</w:t>
                  </w:r>
                </w:p>
              </w:tc>
              <w:tc>
                <w:tcPr>
                  <w:tcW w:w="1560" w:type="dxa"/>
                  <w:shd w:val="clear" w:color="auto" w:fill="auto"/>
                  <w:noWrap/>
                  <w:vAlign w:val="center"/>
                </w:tcPr>
                <w:p>
                  <w:pPr>
                    <w:widowControl/>
                    <w:ind w:firstLine="233" w:firstLineChars="111"/>
                    <w:rPr>
                      <w:szCs w:val="21"/>
                    </w:rPr>
                  </w:pPr>
                  <w:r>
                    <w:rPr>
                      <w:szCs w:val="21"/>
                    </w:rPr>
                    <w:t>0.55</w:t>
                  </w:r>
                </w:p>
              </w:tc>
              <w:tc>
                <w:tcPr>
                  <w:tcW w:w="1984" w:type="dxa"/>
                  <w:shd w:val="clear" w:color="auto" w:fill="auto"/>
                  <w:noWrap/>
                  <w:vAlign w:val="center"/>
                </w:tcPr>
                <w:p>
                  <w:pPr>
                    <w:widowControl/>
                    <w:ind w:firstLine="630" w:firstLineChars="300"/>
                    <w:rPr>
                      <w:szCs w:val="21"/>
                    </w:rPr>
                  </w:pPr>
                  <w:r>
                    <w:rPr>
                      <w:szCs w:val="21"/>
                    </w:rPr>
                    <w:t>0.81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042" w:type="dxa"/>
                  <w:shd w:val="clear" w:color="auto" w:fill="auto"/>
                  <w:noWrap/>
                  <w:vAlign w:val="center"/>
                </w:tcPr>
                <w:p>
                  <w:pPr>
                    <w:widowControl/>
                    <w:ind w:firstLine="233" w:firstLineChars="111"/>
                    <w:jc w:val="left"/>
                    <w:rPr>
                      <w:szCs w:val="21"/>
                    </w:rPr>
                  </w:pPr>
                  <w:r>
                    <w:rPr>
                      <w:szCs w:val="21"/>
                    </w:rPr>
                    <w:object>
                      <v:shape id="_x0000_i1043" o:spt="75" type="#_x0000_t75" style="height:12pt;width:12pt;" o:ole="t" filled="f" o:preferrelative="t" stroked="f" coordsize="21600,21600">
                        <v:path/>
                        <v:fill on="f" focussize="0,0"/>
                        <v:stroke on="f" joinstyle="miter"/>
                        <v:imagedata r:id="rId57" o:title=""/>
                        <o:lock v:ext="edit" aspectratio="t"/>
                        <w10:wrap type="none"/>
                        <w10:anchorlock/>
                      </v:shape>
                      <o:OLEObject Type="Embed" ProgID="Equation.3" ShapeID="_x0000_i1043" DrawAspect="Content" ObjectID="_1468075743" r:id="rId59">
                        <o:LockedField>false</o:LockedField>
                      </o:OLEObject>
                    </w:object>
                  </w:r>
                  <w:r>
                    <w:rPr>
                      <w:szCs w:val="21"/>
                    </w:rPr>
                    <w:t>±S</w:t>
                  </w:r>
                </w:p>
              </w:tc>
              <w:tc>
                <w:tcPr>
                  <w:tcW w:w="2002" w:type="dxa"/>
                  <w:shd w:val="clear" w:color="auto" w:fill="auto"/>
                  <w:noWrap/>
                  <w:vAlign w:val="center"/>
                </w:tcPr>
                <w:p>
                  <w:pPr>
                    <w:widowControl/>
                    <w:ind w:firstLine="360"/>
                    <w:rPr>
                      <w:szCs w:val="21"/>
                    </w:rPr>
                  </w:pPr>
                  <w:r>
                    <w:rPr>
                      <w:rFonts w:hint="eastAsia"/>
                      <w:szCs w:val="21"/>
                    </w:rPr>
                    <w:t>1.89</w:t>
                  </w:r>
                  <w:r>
                    <w:rPr>
                      <w:szCs w:val="21"/>
                    </w:rPr>
                    <w:t>±</w:t>
                  </w:r>
                  <w:r>
                    <w:rPr>
                      <w:rFonts w:hint="eastAsia"/>
                      <w:szCs w:val="21"/>
                    </w:rPr>
                    <w:t>0.63</w:t>
                  </w:r>
                </w:p>
              </w:tc>
              <w:tc>
                <w:tcPr>
                  <w:tcW w:w="1560" w:type="dxa"/>
                  <w:shd w:val="clear" w:color="auto" w:fill="auto"/>
                  <w:noWrap/>
                  <w:vAlign w:val="center"/>
                </w:tcPr>
                <w:p>
                  <w:pPr>
                    <w:widowControl/>
                    <w:jc w:val="center"/>
                    <w:rPr>
                      <w:szCs w:val="21"/>
                    </w:rPr>
                  </w:pPr>
                  <w:r>
                    <w:rPr>
                      <w:rFonts w:hint="eastAsia"/>
                      <w:szCs w:val="21"/>
                    </w:rPr>
                    <w:t>0.64</w:t>
                  </w:r>
                  <w:r>
                    <w:rPr>
                      <w:szCs w:val="21"/>
                    </w:rPr>
                    <w:t>±</w:t>
                  </w:r>
                  <w:r>
                    <w:rPr>
                      <w:rFonts w:hint="eastAsia"/>
                      <w:szCs w:val="21"/>
                    </w:rPr>
                    <w:t>0.12</w:t>
                  </w:r>
                </w:p>
              </w:tc>
              <w:tc>
                <w:tcPr>
                  <w:tcW w:w="1984" w:type="dxa"/>
                  <w:shd w:val="clear" w:color="auto" w:fill="auto"/>
                  <w:noWrap/>
                  <w:vAlign w:val="center"/>
                </w:tcPr>
                <w:p>
                  <w:pPr>
                    <w:widowControl/>
                    <w:ind w:firstLine="360"/>
                    <w:rPr>
                      <w:szCs w:val="21"/>
                    </w:rPr>
                  </w:pPr>
                  <w:r>
                    <w:rPr>
                      <w:rFonts w:hint="eastAsia"/>
                      <w:szCs w:val="21"/>
                    </w:rPr>
                    <w:t>1.18</w:t>
                  </w:r>
                  <w:r>
                    <w:rPr>
                      <w:szCs w:val="21"/>
                    </w:rPr>
                    <w:t>±</w:t>
                  </w:r>
                  <w:r>
                    <w:rPr>
                      <w:rFonts w:hint="eastAsia"/>
                      <w:szCs w:val="21"/>
                    </w:rPr>
                    <w:t>0.51</w:t>
                  </w:r>
                </w:p>
              </w:tc>
            </w:tr>
          </w:tbl>
          <w:p>
            <w:pPr>
              <w:pStyle w:val="39"/>
              <w:adjustRightInd w:val="0"/>
              <w:snapToGrid w:val="0"/>
              <w:spacing w:line="360" w:lineRule="auto"/>
              <w:ind w:left="0" w:firstLine="482" w:firstLineChars="200"/>
              <w:rPr>
                <w:b/>
                <w:szCs w:val="24"/>
              </w:rPr>
            </w:pPr>
            <w:r>
              <w:rPr>
                <w:rFonts w:hint="eastAsia"/>
                <w:b/>
                <w:szCs w:val="24"/>
              </w:rPr>
              <w:t>4.1</w:t>
            </w:r>
            <w:r>
              <w:rPr>
                <w:b/>
                <w:szCs w:val="24"/>
              </w:rPr>
              <w:t>.4.7</w:t>
            </w:r>
            <w:r>
              <w:rPr>
                <w:rFonts w:hint="eastAsia"/>
                <w:b/>
                <w:szCs w:val="24"/>
              </w:rPr>
              <w:t xml:space="preserve"> </w:t>
            </w:r>
            <w:r>
              <w:rPr>
                <w:b/>
                <w:szCs w:val="24"/>
              </w:rPr>
              <w:t>底栖生物调查结果与评价</w:t>
            </w:r>
          </w:p>
          <w:p>
            <w:pPr>
              <w:spacing w:line="360" w:lineRule="auto"/>
              <w:ind w:firstLine="480"/>
              <w:rPr>
                <w:sz w:val="24"/>
              </w:rPr>
            </w:pPr>
            <w:r>
              <w:rPr>
                <w:sz w:val="24"/>
              </w:rPr>
              <w:t>(1)</w:t>
            </w:r>
            <w:r>
              <w:rPr>
                <w:rFonts w:hint="eastAsia"/>
                <w:sz w:val="24"/>
              </w:rPr>
              <w:t>种类组成</w:t>
            </w:r>
          </w:p>
          <w:p>
            <w:pPr>
              <w:pStyle w:val="39"/>
              <w:adjustRightInd w:val="0"/>
              <w:snapToGrid w:val="0"/>
              <w:spacing w:line="360" w:lineRule="auto"/>
              <w:ind w:left="0" w:firstLine="480" w:firstLineChars="200"/>
              <w:rPr>
                <w:b/>
                <w:szCs w:val="24"/>
              </w:rPr>
            </w:pPr>
            <w:r>
              <w:rPr>
                <w:rFonts w:hint="eastAsia"/>
                <w:szCs w:val="24"/>
              </w:rPr>
              <w:t>调查海区共鉴定出底栖生物5门68种，分别隶属于环节动物门多毛类、软体动物门、节肢动物门甲壳类、棘皮动物门和腔肠动物门（图4.1.4-3）。其中环节动物门多毛类3</w:t>
            </w:r>
            <w:r>
              <w:rPr>
                <w:szCs w:val="24"/>
              </w:rPr>
              <w:t>3</w:t>
            </w:r>
            <w:r>
              <w:rPr>
                <w:rFonts w:hint="eastAsia"/>
                <w:szCs w:val="24"/>
              </w:rPr>
              <w:t>种，占48.53</w:t>
            </w:r>
            <w:r>
              <w:rPr>
                <w:szCs w:val="24"/>
              </w:rPr>
              <w:t>%</w:t>
            </w:r>
            <w:r>
              <w:rPr>
                <w:rFonts w:hint="eastAsia"/>
                <w:szCs w:val="24"/>
              </w:rPr>
              <w:t>；节肢动物门甲壳类</w:t>
            </w:r>
            <w:r>
              <w:rPr>
                <w:szCs w:val="24"/>
              </w:rPr>
              <w:t>5</w:t>
            </w:r>
            <w:r>
              <w:rPr>
                <w:rFonts w:hint="eastAsia"/>
                <w:szCs w:val="24"/>
              </w:rPr>
              <w:t>种，占7.35</w:t>
            </w:r>
            <w:r>
              <w:rPr>
                <w:szCs w:val="24"/>
              </w:rPr>
              <w:t>%</w:t>
            </w:r>
            <w:r>
              <w:rPr>
                <w:rFonts w:hint="eastAsia"/>
                <w:szCs w:val="24"/>
              </w:rPr>
              <w:t>；软体动物门24种，占35.29</w:t>
            </w:r>
            <w:r>
              <w:rPr>
                <w:szCs w:val="24"/>
              </w:rPr>
              <w:t>%</w:t>
            </w:r>
            <w:r>
              <w:rPr>
                <w:rFonts w:hint="eastAsia"/>
                <w:szCs w:val="24"/>
              </w:rPr>
              <w:t>；棘皮动物门4种，占5.88%；腔肠动物门2种，占2.94</w:t>
            </w:r>
            <w:r>
              <w:rPr>
                <w:szCs w:val="24"/>
              </w:rPr>
              <w:t>%</w:t>
            </w:r>
            <w:r>
              <w:rPr>
                <w:rFonts w:hint="eastAsia"/>
                <w:szCs w:val="24"/>
              </w:rPr>
              <w:t>，大型底栖动物名录见表4.1.4-10。</w:t>
            </w:r>
          </w:p>
          <w:p>
            <w:pPr>
              <w:ind w:firstLine="480"/>
              <w:jc w:val="center"/>
            </w:pPr>
            <w:r>
              <w:drawing>
                <wp:inline distT="0" distB="0" distL="0" distR="0">
                  <wp:extent cx="4572000" cy="2743200"/>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4572000" cy="2743200"/>
                          </a:xfrm>
                          <a:prstGeom prst="rect">
                            <a:avLst/>
                          </a:prstGeom>
                          <a:noFill/>
                          <a:ln>
                            <a:noFill/>
                          </a:ln>
                        </pic:spPr>
                      </pic:pic>
                    </a:graphicData>
                  </a:graphic>
                </wp:inline>
              </w:drawing>
            </w:r>
          </w:p>
          <w:p>
            <w:pPr>
              <w:pStyle w:val="279"/>
              <w:snapToGrid w:val="0"/>
              <w:ind w:firstLine="480"/>
              <w:rPr>
                <w:szCs w:val="21"/>
              </w:rPr>
            </w:pPr>
            <w:r>
              <w:rPr>
                <w:rFonts w:hint="eastAsia"/>
                <w:szCs w:val="21"/>
              </w:rPr>
              <w:t>图4.1.4-3</w:t>
            </w:r>
            <w:r>
              <w:rPr>
                <w:szCs w:val="21"/>
              </w:rPr>
              <w:t>大型底栖动物种类百分比图</w:t>
            </w:r>
          </w:p>
          <w:p>
            <w:pPr>
              <w:ind w:firstLine="482"/>
              <w:jc w:val="center"/>
            </w:pPr>
          </w:p>
          <w:p>
            <w:pPr>
              <w:pStyle w:val="279"/>
              <w:snapToGrid w:val="0"/>
              <w:ind w:firstLine="480"/>
              <w:rPr>
                <w:szCs w:val="21"/>
              </w:rPr>
            </w:pPr>
            <w:r>
              <w:rPr>
                <w:rFonts w:hint="eastAsia"/>
                <w:szCs w:val="21"/>
              </w:rPr>
              <w:t>表4.1.4-10</w:t>
            </w:r>
            <w:r>
              <w:rPr>
                <w:szCs w:val="21"/>
              </w:rPr>
              <w:t>大型底栖动物种名录</w:t>
            </w:r>
          </w:p>
          <w:tbl>
            <w:tblPr>
              <w:tblStyle w:val="88"/>
              <w:tblW w:w="6860"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220"/>
              <w:gridCol w:w="36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bottom"/>
                </w:tcPr>
                <w:p>
                  <w:pPr>
                    <w:widowControl/>
                    <w:ind w:firstLine="199" w:firstLineChars="110"/>
                    <w:jc w:val="left"/>
                    <w:rPr>
                      <w:b/>
                      <w:bCs/>
                      <w:sz w:val="18"/>
                      <w:szCs w:val="18"/>
                    </w:rPr>
                  </w:pPr>
                  <w:r>
                    <w:rPr>
                      <w:b/>
                      <w:bCs/>
                      <w:sz w:val="18"/>
                      <w:szCs w:val="18"/>
                    </w:rPr>
                    <w:t>中文名</w:t>
                  </w:r>
                </w:p>
              </w:tc>
              <w:tc>
                <w:tcPr>
                  <w:tcW w:w="3640" w:type="dxa"/>
                  <w:shd w:val="clear" w:color="auto" w:fill="auto"/>
                  <w:noWrap/>
                  <w:vAlign w:val="bottom"/>
                </w:tcPr>
                <w:p>
                  <w:pPr>
                    <w:widowControl/>
                    <w:ind w:firstLine="199" w:firstLineChars="110"/>
                    <w:jc w:val="left"/>
                    <w:rPr>
                      <w:b/>
                      <w:bCs/>
                      <w:sz w:val="18"/>
                      <w:szCs w:val="18"/>
                    </w:rPr>
                  </w:pPr>
                  <w:r>
                    <w:rPr>
                      <w:b/>
                      <w:bCs/>
                      <w:sz w:val="18"/>
                      <w:szCs w:val="18"/>
                    </w:rPr>
                    <w:t>拉丁文名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bottom"/>
                </w:tcPr>
                <w:p>
                  <w:pPr>
                    <w:widowControl/>
                    <w:ind w:firstLine="198" w:firstLineChars="110"/>
                    <w:jc w:val="left"/>
                    <w:rPr>
                      <w:sz w:val="18"/>
                      <w:szCs w:val="18"/>
                    </w:rPr>
                  </w:pPr>
                  <w:r>
                    <w:rPr>
                      <w:sz w:val="18"/>
                      <w:szCs w:val="18"/>
                    </w:rPr>
                    <w:t>环节动物门</w:t>
                  </w:r>
                </w:p>
              </w:tc>
              <w:tc>
                <w:tcPr>
                  <w:tcW w:w="3640" w:type="dxa"/>
                  <w:shd w:val="clear" w:color="auto" w:fill="auto"/>
                  <w:noWrap/>
                  <w:vAlign w:val="bottom"/>
                </w:tcPr>
                <w:p>
                  <w:pPr>
                    <w:widowControl/>
                    <w:ind w:firstLine="198" w:firstLineChars="110"/>
                    <w:jc w:val="left"/>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拟突齿沙蚕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Paraleonnas aschakovi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珠角裸沙蚕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Nicon moniloceras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旗须沙蚕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Nereis vexillosa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游沙蚕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Nereis pelaica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真齿沙蚕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Nereis neoneanthes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锐足全刺沙蚕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Nectoneanthes oxypoda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琥珀刺沙蚕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Neanthes succinea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日本刺沙蚕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Neanthes japonica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光突齿沙蚕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Leonnates persica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环唇沙蚕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Cheilonereis cyclurus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红角沙蚕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Ceratonereis erythraeensis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单叶沙蚕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Namalycastsis aibiuma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多美沙蚕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Lycastopsis augenari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背褶沙蚕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Tambalagamia fauveli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杂色伪沙蚕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Pseudonereis variegata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双管阔沙蚕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Platynereis bicanaliculata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独齿围沙蚕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Perinereis cultrifera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多齿围沙蚕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Perinereis nuntia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长吻沙蚕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Glycera chirori Izuka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锐足沙蚕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Nereis oxypoda Marenzeller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多腮齿吻沙蚕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Nephthys polybranchia Southern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中锐吻沙蚕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Glycera rouxii Audouin et M.-Edwards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日本角沙蚕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Goniada japonicus Izuka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短角围沙蚕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Perinereis nuntia var.brevcirris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日本沙蚕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Nereis japonica Izuka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双齿围沙蚕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Perinereis aibuhitensis Grube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中华齿吻沙蚕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Nephthys sinensis Fauvel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疣吻沙蚕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Tylorrhynchus heterochaetus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覆瓦哈鳞虫</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Harmothoe imbricata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巢沙蚕</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Diopatra neapolitana Delle Chiaje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内刺盘管虫</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Hydroides ezoensis Okuda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三犄旋鳃虫</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Spirobranchus tricornigerus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日本螺旋虫</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Spirorbis nipponicus Okuda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软体动物门</w:t>
                  </w:r>
                </w:p>
              </w:tc>
              <w:tc>
                <w:tcPr>
                  <w:tcW w:w="3640" w:type="dxa"/>
                  <w:shd w:val="clear" w:color="auto" w:fill="auto"/>
                  <w:noWrap/>
                  <w:vAlign w:val="center"/>
                </w:tcPr>
                <w:p>
                  <w:pPr>
                    <w:widowControl/>
                    <w:ind w:firstLine="198" w:firstLineChars="110"/>
                    <w:jc w:val="left"/>
                    <w:rPr>
                      <w:i/>
                      <w:sz w:val="18"/>
                      <w:szCs w:val="18"/>
                    </w:rPr>
                  </w:pPr>
                  <w:r>
                    <w:rPr>
                      <w:i/>
                      <w:sz w:val="18"/>
                      <w:szCs w:val="18"/>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短滨螺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Littorina brevicula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秀丽织纹螺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Nassarius festiva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锈凹螺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Chlorostoma rusticum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托氏昌螺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Umbonium thomasi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中国圆田螺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Cipangopaludina chinensis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中华圆田螺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Cipangopaludina cathayensis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粒屋顶螺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Tectarius granularis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强肋锥螺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Turritella fortilirata Sowerby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带锥螺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Turritella fascialis Menke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中华拟蟹守螺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Cerithidea sinensis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朝鲜笋螺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Terebra koreana Yoo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堇拟沼螺</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Assiminea latericera adams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满月无齿蛤</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Anodontia stearnsiana Oyama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厚壳贻贝</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Mytilus coruscus Gould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贻贝</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Mytilus edulis Linnaeus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长牡蛎</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Crassostrea gigas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沼蛤</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Limnoperna fortunei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毛蛤</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Scapharca subcrenata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虹彩明樱蛤</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Moerella iridescens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史氏背尖贝</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Notoacmea schrencki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猫爪牡蛎</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Grassostrea pestigris Hanley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史氏鬃毛石鳖</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Mopaliaschrencki thiele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函馆锉石鳖</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Ischnochiton hakodadensis pilsbry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文蛤</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Meretrix meretrix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棘皮动物门</w:t>
                  </w:r>
                </w:p>
              </w:tc>
              <w:tc>
                <w:tcPr>
                  <w:tcW w:w="3640" w:type="dxa"/>
                  <w:shd w:val="clear" w:color="auto" w:fill="auto"/>
                  <w:noWrap/>
                  <w:vAlign w:val="center"/>
                </w:tcPr>
                <w:p>
                  <w:pPr>
                    <w:widowControl/>
                    <w:ind w:firstLine="198" w:firstLineChars="110"/>
                    <w:jc w:val="left"/>
                    <w:rPr>
                      <w:i/>
                      <w:sz w:val="18"/>
                      <w:szCs w:val="18"/>
                    </w:rPr>
                  </w:pPr>
                  <w:r>
                    <w:rPr>
                      <w:i/>
                      <w:sz w:val="18"/>
                      <w:szCs w:val="18"/>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马粪海胆</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Hemicentrotus pulcherrimus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罗氏海盘车</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Asterias rollestoni Bell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玻璃海鞘</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Ciona intestinalis Linne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菊海鞘</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Botryllus sp.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节肢动物门甲壳类</w:t>
                  </w:r>
                </w:p>
              </w:tc>
              <w:tc>
                <w:tcPr>
                  <w:tcW w:w="3640" w:type="dxa"/>
                  <w:shd w:val="clear" w:color="auto" w:fill="auto"/>
                  <w:noWrap/>
                  <w:vAlign w:val="center"/>
                </w:tcPr>
                <w:p>
                  <w:pPr>
                    <w:widowControl/>
                    <w:ind w:firstLine="198" w:firstLineChars="110"/>
                    <w:jc w:val="left"/>
                    <w:rPr>
                      <w:i/>
                      <w:sz w:val="18"/>
                      <w:szCs w:val="18"/>
                    </w:rPr>
                  </w:pPr>
                  <w:r>
                    <w:rPr>
                      <w:i/>
                      <w:sz w:val="18"/>
                      <w:szCs w:val="18"/>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细足寄居蟹</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Pagurus gracilipes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大蝼蛄虾</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Upgoebin major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中华绒螯蟹</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Eriocheir sinensis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海岸水虱</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Ligiidae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高脊藤壶</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Balanus cristatus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腔肠动物门</w:t>
                  </w:r>
                </w:p>
              </w:tc>
              <w:tc>
                <w:tcPr>
                  <w:tcW w:w="3640" w:type="dxa"/>
                  <w:shd w:val="clear" w:color="auto" w:fill="auto"/>
                  <w:noWrap/>
                  <w:vAlign w:val="center"/>
                </w:tcPr>
                <w:p>
                  <w:pPr>
                    <w:widowControl/>
                    <w:ind w:firstLine="198" w:firstLineChars="110"/>
                    <w:jc w:val="left"/>
                    <w:rPr>
                      <w:i/>
                      <w:sz w:val="18"/>
                      <w:szCs w:val="18"/>
                    </w:rPr>
                  </w:pPr>
                  <w:r>
                    <w:rPr>
                      <w:i/>
                      <w:sz w:val="18"/>
                      <w:szCs w:val="18"/>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黄海葵</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Anthopieura xanthojrammica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3220" w:type="dxa"/>
                  <w:shd w:val="clear" w:color="auto" w:fill="auto"/>
                  <w:noWrap/>
                  <w:vAlign w:val="center"/>
                </w:tcPr>
                <w:p>
                  <w:pPr>
                    <w:widowControl/>
                    <w:ind w:firstLine="198" w:firstLineChars="110"/>
                    <w:jc w:val="left"/>
                    <w:rPr>
                      <w:sz w:val="18"/>
                      <w:szCs w:val="18"/>
                    </w:rPr>
                  </w:pPr>
                  <w:r>
                    <w:rPr>
                      <w:sz w:val="18"/>
                      <w:szCs w:val="18"/>
                    </w:rPr>
                    <w:t>海蜇</w:t>
                  </w:r>
                </w:p>
              </w:tc>
              <w:tc>
                <w:tcPr>
                  <w:tcW w:w="3640" w:type="dxa"/>
                  <w:shd w:val="clear" w:color="auto" w:fill="auto"/>
                  <w:noWrap/>
                  <w:vAlign w:val="center"/>
                </w:tcPr>
                <w:p>
                  <w:pPr>
                    <w:widowControl/>
                    <w:ind w:firstLine="198" w:firstLineChars="110"/>
                    <w:jc w:val="left"/>
                    <w:rPr>
                      <w:i/>
                      <w:sz w:val="18"/>
                      <w:szCs w:val="18"/>
                    </w:rPr>
                  </w:pPr>
                  <w:r>
                    <w:rPr>
                      <w:i/>
                      <w:sz w:val="18"/>
                      <w:szCs w:val="18"/>
                    </w:rPr>
                    <w:t xml:space="preserve">  Rhopilema esculentum Kishinouye </w:t>
                  </w:r>
                </w:p>
              </w:tc>
            </w:tr>
          </w:tbl>
          <w:p>
            <w:pPr>
              <w:spacing w:line="360" w:lineRule="auto"/>
              <w:ind w:firstLine="480"/>
              <w:rPr>
                <w:sz w:val="24"/>
              </w:rPr>
            </w:pPr>
            <w:r>
              <w:rPr>
                <w:sz w:val="24"/>
              </w:rPr>
              <w:t>(</w:t>
            </w:r>
            <w:r>
              <w:rPr>
                <w:rFonts w:hint="eastAsia"/>
                <w:sz w:val="24"/>
              </w:rPr>
              <w:t>2</w:t>
            </w:r>
            <w:r>
              <w:rPr>
                <w:sz w:val="24"/>
              </w:rPr>
              <w:t>)</w:t>
            </w:r>
            <w:r>
              <w:rPr>
                <w:rFonts w:hint="eastAsia"/>
                <w:sz w:val="24"/>
              </w:rPr>
              <w:t>生物量和密度</w:t>
            </w:r>
          </w:p>
          <w:p>
            <w:pPr>
              <w:spacing w:line="360" w:lineRule="auto"/>
              <w:ind w:firstLine="480"/>
              <w:rPr>
                <w:sz w:val="24"/>
              </w:rPr>
            </w:pPr>
            <w:r>
              <w:rPr>
                <w:rFonts w:hint="eastAsia" w:hAnsi="宋体"/>
                <w:sz w:val="24"/>
              </w:rPr>
              <w:t>调查海域各站位底栖生物栖息密度和生物量见表4.1.4-11。底栖生物栖息密度在33</w:t>
            </w:r>
            <w:r>
              <w:rPr>
                <w:rFonts w:hAnsi="宋体"/>
                <w:sz w:val="24"/>
              </w:rPr>
              <w:t>0</w:t>
            </w:r>
            <w:r>
              <w:rPr>
                <w:rFonts w:hint="eastAsia" w:hAnsi="宋体"/>
                <w:sz w:val="24"/>
              </w:rPr>
              <w:t>~184</w:t>
            </w:r>
            <w:r>
              <w:rPr>
                <w:sz w:val="24"/>
              </w:rPr>
              <w:t>0</w:t>
            </w:r>
            <w:r>
              <w:rPr>
                <w:rFonts w:hint="eastAsia"/>
                <w:sz w:val="24"/>
              </w:rPr>
              <w:t>个</w:t>
            </w:r>
            <w:r>
              <w:rPr>
                <w:sz w:val="24"/>
              </w:rPr>
              <w:t>/m</w:t>
            </w:r>
            <w:r>
              <w:rPr>
                <w:sz w:val="24"/>
                <w:vertAlign w:val="superscript"/>
              </w:rPr>
              <w:t>2</w:t>
            </w:r>
            <w:r>
              <w:rPr>
                <w:rFonts w:hint="eastAsia" w:hAnsi="宋体"/>
                <w:sz w:val="24"/>
              </w:rPr>
              <w:t>之间，生物量在11</w:t>
            </w:r>
            <w:r>
              <w:rPr>
                <w:sz w:val="24"/>
              </w:rPr>
              <w:t>.7</w:t>
            </w:r>
            <w:r>
              <w:rPr>
                <w:rFonts w:hint="eastAsia"/>
                <w:sz w:val="24"/>
              </w:rPr>
              <w:t>0</w:t>
            </w:r>
            <w:r>
              <w:rPr>
                <w:sz w:val="24"/>
              </w:rPr>
              <w:t>~</w:t>
            </w:r>
            <w:r>
              <w:rPr>
                <w:rFonts w:hint="eastAsia"/>
                <w:sz w:val="24"/>
              </w:rPr>
              <w:t>2</w:t>
            </w:r>
            <w:r>
              <w:rPr>
                <w:sz w:val="24"/>
              </w:rPr>
              <w:t>09.28</w:t>
            </w:r>
            <w:r>
              <w:rPr>
                <w:rFonts w:hint="eastAsia"/>
                <w:sz w:val="24"/>
              </w:rPr>
              <w:t xml:space="preserve"> </w:t>
            </w:r>
            <w:r>
              <w:rPr>
                <w:sz w:val="24"/>
              </w:rPr>
              <w:t>g/m</w:t>
            </w:r>
            <w:r>
              <w:rPr>
                <w:sz w:val="24"/>
                <w:vertAlign w:val="superscript"/>
              </w:rPr>
              <w:t>2</w:t>
            </w:r>
            <w:r>
              <w:rPr>
                <w:rFonts w:hint="eastAsia" w:hAnsi="宋体"/>
                <w:sz w:val="24"/>
              </w:rPr>
              <w:t>之间。</w:t>
            </w:r>
          </w:p>
          <w:p>
            <w:pPr>
              <w:pStyle w:val="279"/>
              <w:snapToGrid w:val="0"/>
              <w:spacing w:line="360" w:lineRule="auto"/>
              <w:ind w:firstLine="480"/>
              <w:rPr>
                <w:szCs w:val="21"/>
              </w:rPr>
            </w:pPr>
            <w:r>
              <w:rPr>
                <w:rFonts w:hint="eastAsia"/>
                <w:szCs w:val="21"/>
              </w:rPr>
              <w:t>表4.1.4-11</w:t>
            </w:r>
            <w:r>
              <w:rPr>
                <w:szCs w:val="21"/>
              </w:rPr>
              <w:t xml:space="preserve"> </w:t>
            </w:r>
            <w:r>
              <w:rPr>
                <w:rFonts w:hint="eastAsia"/>
                <w:szCs w:val="21"/>
              </w:rPr>
              <w:t>各站位底栖动物密度和生物量</w:t>
            </w:r>
          </w:p>
          <w:tbl>
            <w:tblPr>
              <w:tblStyle w:val="88"/>
              <w:tblW w:w="6772"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974"/>
              <w:gridCol w:w="2371"/>
              <w:gridCol w:w="242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45" w:hRule="atLeast"/>
                <w:jc w:val="center"/>
              </w:trPr>
              <w:tc>
                <w:tcPr>
                  <w:tcW w:w="1974" w:type="dxa"/>
                  <w:shd w:val="clear" w:color="auto" w:fill="auto"/>
                  <w:noWrap/>
                  <w:vAlign w:val="center"/>
                </w:tcPr>
                <w:p>
                  <w:pPr>
                    <w:widowControl/>
                    <w:ind w:firstLine="361"/>
                    <w:jc w:val="center"/>
                    <w:rPr>
                      <w:b/>
                      <w:szCs w:val="21"/>
                    </w:rPr>
                  </w:pPr>
                  <w:r>
                    <w:rPr>
                      <w:b/>
                      <w:szCs w:val="21"/>
                    </w:rPr>
                    <w:t>站位</w:t>
                  </w:r>
                </w:p>
              </w:tc>
              <w:tc>
                <w:tcPr>
                  <w:tcW w:w="2371" w:type="dxa"/>
                  <w:shd w:val="clear" w:color="auto" w:fill="auto"/>
                  <w:noWrap/>
                  <w:vAlign w:val="center"/>
                </w:tcPr>
                <w:p>
                  <w:pPr>
                    <w:widowControl/>
                    <w:ind w:firstLine="361"/>
                    <w:jc w:val="center"/>
                    <w:rPr>
                      <w:b/>
                      <w:szCs w:val="21"/>
                    </w:rPr>
                  </w:pPr>
                  <w:r>
                    <w:rPr>
                      <w:b/>
                      <w:szCs w:val="21"/>
                    </w:rPr>
                    <w:t>密度（个/m</w:t>
                  </w:r>
                  <w:r>
                    <w:rPr>
                      <w:b/>
                      <w:szCs w:val="21"/>
                      <w:vertAlign w:val="superscript"/>
                    </w:rPr>
                    <w:t>2</w:t>
                  </w:r>
                  <w:r>
                    <w:rPr>
                      <w:b/>
                      <w:szCs w:val="21"/>
                    </w:rPr>
                    <w:t>）</w:t>
                  </w:r>
                </w:p>
              </w:tc>
              <w:tc>
                <w:tcPr>
                  <w:tcW w:w="2427" w:type="dxa"/>
                  <w:shd w:val="clear" w:color="auto" w:fill="auto"/>
                  <w:noWrap/>
                  <w:vAlign w:val="center"/>
                </w:tcPr>
                <w:p>
                  <w:pPr>
                    <w:widowControl/>
                    <w:ind w:firstLine="361"/>
                    <w:jc w:val="center"/>
                    <w:rPr>
                      <w:b/>
                      <w:szCs w:val="21"/>
                    </w:rPr>
                  </w:pPr>
                  <w:r>
                    <w:rPr>
                      <w:b/>
                      <w:szCs w:val="21"/>
                    </w:rPr>
                    <w:t>生物量（g/m</w:t>
                  </w:r>
                  <w:r>
                    <w:rPr>
                      <w:b/>
                      <w:szCs w:val="21"/>
                      <w:vertAlign w:val="superscript"/>
                    </w:rPr>
                    <w:t>2</w:t>
                  </w:r>
                  <w:r>
                    <w:rPr>
                      <w:b/>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widowControl/>
                    <w:ind w:firstLine="360"/>
                    <w:jc w:val="center"/>
                    <w:rPr>
                      <w:szCs w:val="21"/>
                    </w:rPr>
                  </w:pPr>
                  <w:r>
                    <w:rPr>
                      <w:rFonts w:hint="eastAsia"/>
                      <w:szCs w:val="21"/>
                    </w:rPr>
                    <w:t>1</w:t>
                  </w:r>
                </w:p>
              </w:tc>
              <w:tc>
                <w:tcPr>
                  <w:tcW w:w="2371" w:type="dxa"/>
                  <w:shd w:val="clear" w:color="auto" w:fill="auto"/>
                  <w:noWrap/>
                  <w:vAlign w:val="bottom"/>
                </w:tcPr>
                <w:p>
                  <w:pPr>
                    <w:widowControl/>
                    <w:ind w:firstLine="360"/>
                    <w:jc w:val="center"/>
                    <w:rPr>
                      <w:szCs w:val="21"/>
                    </w:rPr>
                  </w:pPr>
                  <w:r>
                    <w:rPr>
                      <w:szCs w:val="21"/>
                    </w:rPr>
                    <w:t>710</w:t>
                  </w:r>
                </w:p>
              </w:tc>
              <w:tc>
                <w:tcPr>
                  <w:tcW w:w="2427" w:type="dxa"/>
                  <w:shd w:val="clear" w:color="auto" w:fill="auto"/>
                  <w:noWrap/>
                  <w:vAlign w:val="bottom"/>
                </w:tcPr>
                <w:p>
                  <w:pPr>
                    <w:widowControl/>
                    <w:ind w:firstLine="360"/>
                    <w:jc w:val="center"/>
                    <w:rPr>
                      <w:szCs w:val="21"/>
                    </w:rPr>
                  </w:pPr>
                  <w:r>
                    <w:rPr>
                      <w:rFonts w:hint="eastAsia"/>
                      <w:szCs w:val="21"/>
                    </w:rPr>
                    <w:t>3</w:t>
                  </w:r>
                  <w:r>
                    <w:rPr>
                      <w:szCs w:val="21"/>
                    </w:rPr>
                    <w:t xml:space="preserve">2.61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widowControl/>
                    <w:ind w:firstLine="360"/>
                    <w:jc w:val="center"/>
                    <w:rPr>
                      <w:szCs w:val="21"/>
                    </w:rPr>
                  </w:pPr>
                  <w:r>
                    <w:rPr>
                      <w:rFonts w:hint="eastAsia"/>
                      <w:szCs w:val="21"/>
                    </w:rPr>
                    <w:t>4</w:t>
                  </w:r>
                </w:p>
              </w:tc>
              <w:tc>
                <w:tcPr>
                  <w:tcW w:w="2371" w:type="dxa"/>
                  <w:shd w:val="clear" w:color="auto" w:fill="auto"/>
                  <w:noWrap/>
                  <w:vAlign w:val="bottom"/>
                </w:tcPr>
                <w:p>
                  <w:pPr>
                    <w:widowControl/>
                    <w:ind w:firstLine="360"/>
                    <w:jc w:val="center"/>
                    <w:rPr>
                      <w:szCs w:val="21"/>
                    </w:rPr>
                  </w:pPr>
                  <w:r>
                    <w:rPr>
                      <w:szCs w:val="21"/>
                    </w:rPr>
                    <w:t>6</w:t>
                  </w:r>
                  <w:r>
                    <w:rPr>
                      <w:rFonts w:hint="eastAsia"/>
                      <w:szCs w:val="21"/>
                    </w:rPr>
                    <w:t>3</w:t>
                  </w:r>
                  <w:r>
                    <w:rPr>
                      <w:szCs w:val="21"/>
                    </w:rPr>
                    <w:t>0</w:t>
                  </w:r>
                </w:p>
              </w:tc>
              <w:tc>
                <w:tcPr>
                  <w:tcW w:w="2427" w:type="dxa"/>
                  <w:shd w:val="clear" w:color="auto" w:fill="auto"/>
                  <w:noWrap/>
                  <w:vAlign w:val="bottom"/>
                </w:tcPr>
                <w:p>
                  <w:pPr>
                    <w:widowControl/>
                    <w:ind w:firstLine="360"/>
                    <w:jc w:val="center"/>
                    <w:rPr>
                      <w:szCs w:val="21"/>
                    </w:rPr>
                  </w:pPr>
                  <w:r>
                    <w:rPr>
                      <w:szCs w:val="21"/>
                    </w:rPr>
                    <w:t xml:space="preserve">60.93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widowControl/>
                    <w:ind w:firstLine="360"/>
                    <w:jc w:val="center"/>
                    <w:rPr>
                      <w:szCs w:val="21"/>
                    </w:rPr>
                  </w:pPr>
                  <w:r>
                    <w:rPr>
                      <w:rFonts w:hint="eastAsia"/>
                      <w:szCs w:val="21"/>
                    </w:rPr>
                    <w:t>5</w:t>
                  </w:r>
                </w:p>
              </w:tc>
              <w:tc>
                <w:tcPr>
                  <w:tcW w:w="2371" w:type="dxa"/>
                  <w:shd w:val="clear" w:color="auto" w:fill="auto"/>
                  <w:noWrap/>
                  <w:vAlign w:val="bottom"/>
                </w:tcPr>
                <w:p>
                  <w:pPr>
                    <w:widowControl/>
                    <w:ind w:firstLine="360"/>
                    <w:jc w:val="center"/>
                    <w:rPr>
                      <w:szCs w:val="21"/>
                    </w:rPr>
                  </w:pPr>
                  <w:r>
                    <w:rPr>
                      <w:rFonts w:hint="eastAsia"/>
                      <w:szCs w:val="21"/>
                    </w:rPr>
                    <w:t>33</w:t>
                  </w:r>
                  <w:r>
                    <w:rPr>
                      <w:szCs w:val="21"/>
                    </w:rPr>
                    <w:t>0</w:t>
                  </w:r>
                </w:p>
              </w:tc>
              <w:tc>
                <w:tcPr>
                  <w:tcW w:w="2427" w:type="dxa"/>
                  <w:shd w:val="clear" w:color="auto" w:fill="auto"/>
                  <w:noWrap/>
                  <w:vAlign w:val="bottom"/>
                </w:tcPr>
                <w:p>
                  <w:pPr>
                    <w:widowControl/>
                    <w:ind w:firstLine="360"/>
                    <w:jc w:val="center"/>
                    <w:rPr>
                      <w:szCs w:val="21"/>
                    </w:rPr>
                  </w:pPr>
                  <w:r>
                    <w:rPr>
                      <w:rFonts w:hint="eastAsia"/>
                      <w:szCs w:val="21"/>
                    </w:rPr>
                    <w:t>1</w:t>
                  </w:r>
                  <w:r>
                    <w:rPr>
                      <w:szCs w:val="21"/>
                    </w:rPr>
                    <w:t xml:space="preserve">7.08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widowControl/>
                    <w:ind w:firstLine="360"/>
                    <w:jc w:val="center"/>
                    <w:rPr>
                      <w:szCs w:val="21"/>
                    </w:rPr>
                  </w:pPr>
                  <w:r>
                    <w:rPr>
                      <w:rFonts w:hint="eastAsia"/>
                      <w:szCs w:val="21"/>
                    </w:rPr>
                    <w:t>7</w:t>
                  </w:r>
                </w:p>
              </w:tc>
              <w:tc>
                <w:tcPr>
                  <w:tcW w:w="2371" w:type="dxa"/>
                  <w:shd w:val="clear" w:color="auto" w:fill="auto"/>
                  <w:noWrap/>
                  <w:vAlign w:val="bottom"/>
                </w:tcPr>
                <w:p>
                  <w:pPr>
                    <w:widowControl/>
                    <w:ind w:firstLine="360"/>
                    <w:jc w:val="center"/>
                    <w:rPr>
                      <w:szCs w:val="21"/>
                    </w:rPr>
                  </w:pPr>
                  <w:r>
                    <w:rPr>
                      <w:rFonts w:hint="eastAsia"/>
                      <w:szCs w:val="21"/>
                    </w:rPr>
                    <w:t>4</w:t>
                  </w:r>
                  <w:r>
                    <w:rPr>
                      <w:szCs w:val="21"/>
                    </w:rPr>
                    <w:t>80</w:t>
                  </w:r>
                </w:p>
              </w:tc>
              <w:tc>
                <w:tcPr>
                  <w:tcW w:w="2427" w:type="dxa"/>
                  <w:shd w:val="clear" w:color="auto" w:fill="auto"/>
                  <w:noWrap/>
                  <w:vAlign w:val="bottom"/>
                </w:tcPr>
                <w:p>
                  <w:pPr>
                    <w:widowControl/>
                    <w:ind w:firstLine="360"/>
                    <w:jc w:val="center"/>
                    <w:rPr>
                      <w:szCs w:val="21"/>
                    </w:rPr>
                  </w:pPr>
                  <w:r>
                    <w:rPr>
                      <w:szCs w:val="21"/>
                    </w:rPr>
                    <w:t xml:space="preserve">27.40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widowControl/>
                    <w:ind w:firstLine="360"/>
                    <w:jc w:val="center"/>
                    <w:rPr>
                      <w:szCs w:val="21"/>
                    </w:rPr>
                  </w:pPr>
                  <w:r>
                    <w:rPr>
                      <w:rFonts w:hint="eastAsia"/>
                      <w:szCs w:val="21"/>
                    </w:rPr>
                    <w:t>9</w:t>
                  </w:r>
                </w:p>
              </w:tc>
              <w:tc>
                <w:tcPr>
                  <w:tcW w:w="2371" w:type="dxa"/>
                  <w:shd w:val="clear" w:color="auto" w:fill="auto"/>
                  <w:noWrap/>
                  <w:vAlign w:val="bottom"/>
                </w:tcPr>
                <w:p>
                  <w:pPr>
                    <w:widowControl/>
                    <w:ind w:firstLine="360"/>
                    <w:jc w:val="center"/>
                    <w:rPr>
                      <w:szCs w:val="21"/>
                    </w:rPr>
                  </w:pPr>
                  <w:r>
                    <w:rPr>
                      <w:rFonts w:hint="eastAsia"/>
                      <w:szCs w:val="21"/>
                    </w:rPr>
                    <w:t>7</w:t>
                  </w:r>
                  <w:r>
                    <w:rPr>
                      <w:szCs w:val="21"/>
                    </w:rPr>
                    <w:t>40</w:t>
                  </w:r>
                </w:p>
              </w:tc>
              <w:tc>
                <w:tcPr>
                  <w:tcW w:w="2427" w:type="dxa"/>
                  <w:shd w:val="clear" w:color="auto" w:fill="auto"/>
                  <w:noWrap/>
                  <w:vAlign w:val="bottom"/>
                </w:tcPr>
                <w:p>
                  <w:pPr>
                    <w:widowControl/>
                    <w:ind w:firstLine="360"/>
                    <w:jc w:val="center"/>
                    <w:rPr>
                      <w:szCs w:val="21"/>
                    </w:rPr>
                  </w:pPr>
                  <w:r>
                    <w:rPr>
                      <w:szCs w:val="21"/>
                    </w:rPr>
                    <w:t xml:space="preserve">109.28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widowControl/>
                    <w:ind w:firstLine="360"/>
                    <w:jc w:val="center"/>
                    <w:rPr>
                      <w:szCs w:val="21"/>
                    </w:rPr>
                  </w:pPr>
                  <w:r>
                    <w:rPr>
                      <w:rFonts w:hint="eastAsia"/>
                      <w:szCs w:val="21"/>
                    </w:rPr>
                    <w:t>12</w:t>
                  </w:r>
                </w:p>
              </w:tc>
              <w:tc>
                <w:tcPr>
                  <w:tcW w:w="2371" w:type="dxa"/>
                  <w:shd w:val="clear" w:color="auto" w:fill="auto"/>
                  <w:noWrap/>
                  <w:vAlign w:val="bottom"/>
                </w:tcPr>
                <w:p>
                  <w:pPr>
                    <w:widowControl/>
                    <w:ind w:firstLine="360"/>
                    <w:jc w:val="center"/>
                    <w:rPr>
                      <w:szCs w:val="21"/>
                    </w:rPr>
                  </w:pPr>
                  <w:r>
                    <w:rPr>
                      <w:rFonts w:hint="eastAsia"/>
                      <w:szCs w:val="21"/>
                    </w:rPr>
                    <w:t>1</w:t>
                  </w:r>
                  <w:r>
                    <w:rPr>
                      <w:szCs w:val="21"/>
                    </w:rPr>
                    <w:t>380</w:t>
                  </w:r>
                </w:p>
              </w:tc>
              <w:tc>
                <w:tcPr>
                  <w:tcW w:w="2427" w:type="dxa"/>
                  <w:shd w:val="clear" w:color="auto" w:fill="auto"/>
                  <w:noWrap/>
                  <w:vAlign w:val="bottom"/>
                </w:tcPr>
                <w:p>
                  <w:pPr>
                    <w:widowControl/>
                    <w:ind w:firstLine="360"/>
                    <w:jc w:val="center"/>
                    <w:rPr>
                      <w:szCs w:val="21"/>
                    </w:rPr>
                  </w:pPr>
                  <w:r>
                    <w:rPr>
                      <w:rFonts w:hint="eastAsia"/>
                      <w:szCs w:val="21"/>
                    </w:rPr>
                    <w:t>11</w:t>
                  </w:r>
                  <w:r>
                    <w:rPr>
                      <w:szCs w:val="21"/>
                    </w:rPr>
                    <w:t>0.</w:t>
                  </w:r>
                  <w:r>
                    <w:rPr>
                      <w:rFonts w:hint="eastAsia"/>
                      <w:szCs w:val="21"/>
                    </w:rPr>
                    <w:t>4</w:t>
                  </w:r>
                  <w:r>
                    <w:rPr>
                      <w:szCs w:val="21"/>
                    </w:rPr>
                    <w:t xml:space="preserve">0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widowControl/>
                    <w:ind w:firstLine="360"/>
                    <w:jc w:val="center"/>
                    <w:rPr>
                      <w:szCs w:val="21"/>
                    </w:rPr>
                  </w:pPr>
                  <w:r>
                    <w:rPr>
                      <w:rFonts w:hint="eastAsia"/>
                      <w:szCs w:val="21"/>
                    </w:rPr>
                    <w:t>13</w:t>
                  </w:r>
                </w:p>
              </w:tc>
              <w:tc>
                <w:tcPr>
                  <w:tcW w:w="2371" w:type="dxa"/>
                  <w:shd w:val="clear" w:color="auto" w:fill="auto"/>
                  <w:noWrap/>
                  <w:vAlign w:val="bottom"/>
                </w:tcPr>
                <w:p>
                  <w:pPr>
                    <w:widowControl/>
                    <w:ind w:firstLine="360"/>
                    <w:jc w:val="center"/>
                    <w:rPr>
                      <w:szCs w:val="21"/>
                    </w:rPr>
                  </w:pPr>
                  <w:r>
                    <w:rPr>
                      <w:rFonts w:hint="eastAsia"/>
                      <w:szCs w:val="21"/>
                    </w:rPr>
                    <w:t>3</w:t>
                  </w:r>
                  <w:r>
                    <w:rPr>
                      <w:szCs w:val="21"/>
                    </w:rPr>
                    <w:t>60</w:t>
                  </w:r>
                </w:p>
              </w:tc>
              <w:tc>
                <w:tcPr>
                  <w:tcW w:w="2427" w:type="dxa"/>
                  <w:shd w:val="clear" w:color="auto" w:fill="auto"/>
                  <w:noWrap/>
                  <w:vAlign w:val="bottom"/>
                </w:tcPr>
                <w:p>
                  <w:pPr>
                    <w:widowControl/>
                    <w:ind w:firstLine="360"/>
                    <w:jc w:val="center"/>
                    <w:rPr>
                      <w:szCs w:val="21"/>
                    </w:rPr>
                  </w:pPr>
                  <w:r>
                    <w:rPr>
                      <w:rFonts w:hint="eastAsia"/>
                      <w:szCs w:val="21"/>
                    </w:rPr>
                    <w:t>11</w:t>
                  </w:r>
                  <w:r>
                    <w:rPr>
                      <w:szCs w:val="21"/>
                    </w:rPr>
                    <w:t>.</w:t>
                  </w:r>
                  <w:r>
                    <w:rPr>
                      <w:rFonts w:hint="eastAsia"/>
                      <w:szCs w:val="21"/>
                    </w:rPr>
                    <w:t>7</w:t>
                  </w:r>
                  <w:r>
                    <w:rPr>
                      <w:szCs w:val="21"/>
                    </w:rPr>
                    <w:t xml:space="preserve">0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widowControl/>
                    <w:ind w:firstLine="360"/>
                    <w:jc w:val="center"/>
                    <w:rPr>
                      <w:szCs w:val="21"/>
                    </w:rPr>
                  </w:pPr>
                  <w:r>
                    <w:rPr>
                      <w:rFonts w:hint="eastAsia"/>
                      <w:szCs w:val="21"/>
                    </w:rPr>
                    <w:t>15</w:t>
                  </w:r>
                </w:p>
              </w:tc>
              <w:tc>
                <w:tcPr>
                  <w:tcW w:w="2371" w:type="dxa"/>
                  <w:shd w:val="clear" w:color="auto" w:fill="auto"/>
                  <w:noWrap/>
                  <w:vAlign w:val="bottom"/>
                </w:tcPr>
                <w:p>
                  <w:pPr>
                    <w:widowControl/>
                    <w:ind w:firstLine="360"/>
                    <w:jc w:val="center"/>
                    <w:rPr>
                      <w:szCs w:val="21"/>
                    </w:rPr>
                  </w:pPr>
                  <w:r>
                    <w:rPr>
                      <w:rFonts w:hint="eastAsia"/>
                      <w:szCs w:val="21"/>
                    </w:rPr>
                    <w:t>9</w:t>
                  </w:r>
                  <w:r>
                    <w:rPr>
                      <w:szCs w:val="21"/>
                    </w:rPr>
                    <w:t>80</w:t>
                  </w:r>
                </w:p>
              </w:tc>
              <w:tc>
                <w:tcPr>
                  <w:tcW w:w="2427" w:type="dxa"/>
                  <w:shd w:val="clear" w:color="auto" w:fill="auto"/>
                  <w:noWrap/>
                  <w:vAlign w:val="bottom"/>
                </w:tcPr>
                <w:p>
                  <w:pPr>
                    <w:widowControl/>
                    <w:ind w:firstLine="360"/>
                    <w:jc w:val="center"/>
                    <w:rPr>
                      <w:szCs w:val="21"/>
                    </w:rPr>
                  </w:pPr>
                  <w:r>
                    <w:rPr>
                      <w:rFonts w:hint="eastAsia"/>
                      <w:szCs w:val="21"/>
                    </w:rPr>
                    <w:t>4</w:t>
                  </w:r>
                  <w:r>
                    <w:rPr>
                      <w:szCs w:val="21"/>
                    </w:rPr>
                    <w:t xml:space="preserve">2.65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ind w:firstLine="360"/>
                    <w:jc w:val="center"/>
                    <w:rPr>
                      <w:bCs/>
                      <w:szCs w:val="21"/>
                    </w:rPr>
                  </w:pPr>
                  <w:r>
                    <w:rPr>
                      <w:rFonts w:hint="eastAsia"/>
                      <w:bCs/>
                      <w:szCs w:val="21"/>
                    </w:rPr>
                    <w:t>16</w:t>
                  </w:r>
                </w:p>
              </w:tc>
              <w:tc>
                <w:tcPr>
                  <w:tcW w:w="2371" w:type="dxa"/>
                  <w:shd w:val="clear" w:color="auto" w:fill="auto"/>
                  <w:noWrap/>
                  <w:vAlign w:val="bottom"/>
                </w:tcPr>
                <w:p>
                  <w:pPr>
                    <w:widowControl/>
                    <w:ind w:firstLine="360"/>
                    <w:jc w:val="center"/>
                    <w:rPr>
                      <w:szCs w:val="21"/>
                    </w:rPr>
                  </w:pPr>
                  <w:r>
                    <w:rPr>
                      <w:szCs w:val="21"/>
                    </w:rPr>
                    <w:t>1</w:t>
                  </w:r>
                  <w:r>
                    <w:rPr>
                      <w:rFonts w:hint="eastAsia"/>
                      <w:szCs w:val="21"/>
                    </w:rPr>
                    <w:t>84</w:t>
                  </w:r>
                  <w:r>
                    <w:rPr>
                      <w:szCs w:val="21"/>
                    </w:rPr>
                    <w:t>0</w:t>
                  </w:r>
                </w:p>
              </w:tc>
              <w:tc>
                <w:tcPr>
                  <w:tcW w:w="2427" w:type="dxa"/>
                  <w:shd w:val="clear" w:color="auto" w:fill="auto"/>
                  <w:noWrap/>
                  <w:vAlign w:val="bottom"/>
                </w:tcPr>
                <w:p>
                  <w:pPr>
                    <w:widowControl/>
                    <w:ind w:firstLine="360"/>
                    <w:jc w:val="center"/>
                    <w:rPr>
                      <w:szCs w:val="21"/>
                    </w:rPr>
                  </w:pPr>
                  <w:r>
                    <w:rPr>
                      <w:rFonts w:hint="eastAsia"/>
                      <w:szCs w:val="21"/>
                    </w:rPr>
                    <w:t>209.28</w:t>
                  </w:r>
                  <w:r>
                    <w:rPr>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ind w:firstLine="360"/>
                    <w:jc w:val="center"/>
                    <w:rPr>
                      <w:bCs/>
                      <w:szCs w:val="21"/>
                    </w:rPr>
                  </w:pPr>
                  <w:r>
                    <w:rPr>
                      <w:rFonts w:hint="eastAsia"/>
                      <w:bCs/>
                      <w:szCs w:val="21"/>
                    </w:rPr>
                    <w:t>17</w:t>
                  </w:r>
                </w:p>
              </w:tc>
              <w:tc>
                <w:tcPr>
                  <w:tcW w:w="2371" w:type="dxa"/>
                  <w:shd w:val="clear" w:color="auto" w:fill="auto"/>
                  <w:noWrap/>
                  <w:vAlign w:val="bottom"/>
                </w:tcPr>
                <w:p>
                  <w:pPr>
                    <w:widowControl/>
                    <w:ind w:firstLine="360"/>
                    <w:jc w:val="center"/>
                    <w:rPr>
                      <w:szCs w:val="21"/>
                    </w:rPr>
                  </w:pPr>
                  <w:r>
                    <w:rPr>
                      <w:szCs w:val="21"/>
                    </w:rPr>
                    <w:t>800</w:t>
                  </w:r>
                </w:p>
              </w:tc>
              <w:tc>
                <w:tcPr>
                  <w:tcW w:w="2427" w:type="dxa"/>
                  <w:shd w:val="clear" w:color="auto" w:fill="auto"/>
                  <w:noWrap/>
                  <w:vAlign w:val="bottom"/>
                </w:tcPr>
                <w:p>
                  <w:pPr>
                    <w:widowControl/>
                    <w:ind w:firstLine="360"/>
                    <w:jc w:val="center"/>
                    <w:rPr>
                      <w:szCs w:val="21"/>
                    </w:rPr>
                  </w:pPr>
                  <w:r>
                    <w:rPr>
                      <w:rFonts w:hint="eastAsia"/>
                      <w:szCs w:val="21"/>
                    </w:rPr>
                    <w:t>6</w:t>
                  </w:r>
                  <w:r>
                    <w:rPr>
                      <w:szCs w:val="21"/>
                    </w:rPr>
                    <w:t xml:space="preserve">6.60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ind w:firstLine="360"/>
                    <w:jc w:val="center"/>
                    <w:rPr>
                      <w:bCs/>
                      <w:szCs w:val="21"/>
                    </w:rPr>
                  </w:pPr>
                  <w:r>
                    <w:rPr>
                      <w:rFonts w:hint="eastAsia"/>
                      <w:bCs/>
                      <w:szCs w:val="21"/>
                    </w:rPr>
                    <w:t>19</w:t>
                  </w:r>
                </w:p>
              </w:tc>
              <w:tc>
                <w:tcPr>
                  <w:tcW w:w="2371" w:type="dxa"/>
                  <w:shd w:val="clear" w:color="auto" w:fill="auto"/>
                  <w:noWrap/>
                  <w:vAlign w:val="bottom"/>
                </w:tcPr>
                <w:p>
                  <w:pPr>
                    <w:widowControl/>
                    <w:ind w:firstLine="360"/>
                    <w:jc w:val="center"/>
                    <w:rPr>
                      <w:szCs w:val="21"/>
                    </w:rPr>
                  </w:pPr>
                  <w:r>
                    <w:rPr>
                      <w:rFonts w:hint="eastAsia"/>
                      <w:szCs w:val="21"/>
                    </w:rPr>
                    <w:t>6</w:t>
                  </w:r>
                  <w:r>
                    <w:rPr>
                      <w:szCs w:val="21"/>
                    </w:rPr>
                    <w:t>20</w:t>
                  </w:r>
                </w:p>
              </w:tc>
              <w:tc>
                <w:tcPr>
                  <w:tcW w:w="2427" w:type="dxa"/>
                  <w:shd w:val="clear" w:color="auto" w:fill="auto"/>
                  <w:noWrap/>
                  <w:vAlign w:val="bottom"/>
                </w:tcPr>
                <w:p>
                  <w:pPr>
                    <w:widowControl/>
                    <w:ind w:firstLine="360"/>
                    <w:jc w:val="center"/>
                    <w:rPr>
                      <w:szCs w:val="21"/>
                    </w:rPr>
                  </w:pPr>
                  <w:r>
                    <w:rPr>
                      <w:rFonts w:hint="eastAsia"/>
                      <w:szCs w:val="21"/>
                    </w:rPr>
                    <w:t>3</w:t>
                  </w:r>
                  <w:r>
                    <w:rPr>
                      <w:szCs w:val="21"/>
                    </w:rPr>
                    <w:t xml:space="preserve">1.20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974" w:type="dxa"/>
                  <w:shd w:val="clear" w:color="auto" w:fill="auto"/>
                  <w:noWrap/>
                  <w:vAlign w:val="bottom"/>
                </w:tcPr>
                <w:p>
                  <w:pPr>
                    <w:ind w:firstLine="360"/>
                    <w:jc w:val="center"/>
                    <w:rPr>
                      <w:rFonts w:eastAsia="等线"/>
                      <w:szCs w:val="21"/>
                    </w:rPr>
                  </w:pPr>
                  <w:r>
                    <w:rPr>
                      <w:rFonts w:hint="eastAsia" w:eastAsia="等线"/>
                      <w:szCs w:val="21"/>
                    </w:rPr>
                    <w:t>20</w:t>
                  </w:r>
                </w:p>
              </w:tc>
              <w:tc>
                <w:tcPr>
                  <w:tcW w:w="2371" w:type="dxa"/>
                  <w:shd w:val="clear" w:color="auto" w:fill="auto"/>
                  <w:noWrap/>
                  <w:vAlign w:val="bottom"/>
                </w:tcPr>
                <w:p>
                  <w:pPr>
                    <w:widowControl/>
                    <w:ind w:firstLine="360"/>
                    <w:jc w:val="center"/>
                    <w:rPr>
                      <w:szCs w:val="21"/>
                    </w:rPr>
                  </w:pPr>
                  <w:r>
                    <w:rPr>
                      <w:rFonts w:hint="eastAsia"/>
                      <w:szCs w:val="21"/>
                    </w:rPr>
                    <w:t>7</w:t>
                  </w:r>
                  <w:r>
                    <w:rPr>
                      <w:szCs w:val="21"/>
                    </w:rPr>
                    <w:t>30</w:t>
                  </w:r>
                </w:p>
              </w:tc>
              <w:tc>
                <w:tcPr>
                  <w:tcW w:w="2427" w:type="dxa"/>
                  <w:shd w:val="clear" w:color="auto" w:fill="auto"/>
                  <w:noWrap/>
                  <w:vAlign w:val="bottom"/>
                </w:tcPr>
                <w:p>
                  <w:pPr>
                    <w:widowControl/>
                    <w:ind w:firstLine="360"/>
                    <w:jc w:val="center"/>
                    <w:rPr>
                      <w:szCs w:val="21"/>
                    </w:rPr>
                  </w:pPr>
                  <w:r>
                    <w:rPr>
                      <w:rFonts w:hint="eastAsia"/>
                      <w:szCs w:val="21"/>
                    </w:rPr>
                    <w:t>3</w:t>
                  </w:r>
                  <w:r>
                    <w:rPr>
                      <w:szCs w:val="21"/>
                    </w:rPr>
                    <w:t xml:space="preserve">1.15 </w:t>
                  </w:r>
                </w:p>
              </w:tc>
            </w:tr>
          </w:tbl>
          <w:p>
            <w:pPr>
              <w:spacing w:line="360" w:lineRule="auto"/>
              <w:ind w:firstLine="480"/>
              <w:rPr>
                <w:rFonts w:ascii="宋体" w:hAnsi="宋体"/>
                <w:sz w:val="24"/>
              </w:rPr>
            </w:pPr>
            <w:r>
              <w:rPr>
                <w:rFonts w:hint="eastAsia" w:ascii="宋体" w:hAnsi="宋体"/>
                <w:sz w:val="24"/>
              </w:rPr>
              <w:t>(</w:t>
            </w:r>
            <w:r>
              <w:rPr>
                <w:rFonts w:ascii="宋体" w:hAnsi="宋体"/>
                <w:sz w:val="24"/>
              </w:rPr>
              <w:t>3)</w:t>
            </w:r>
            <w:r>
              <w:rPr>
                <w:rFonts w:hint="eastAsia" w:ascii="宋体" w:hAnsi="宋体"/>
                <w:sz w:val="24"/>
              </w:rPr>
              <w:t>多样性指数和均匀度</w:t>
            </w:r>
          </w:p>
          <w:p>
            <w:pPr>
              <w:spacing w:line="360" w:lineRule="auto"/>
              <w:ind w:firstLine="240" w:firstLineChars="100"/>
              <w:rPr>
                <w:sz w:val="24"/>
              </w:rPr>
            </w:pPr>
            <w:r>
              <w:rPr>
                <w:rFonts w:hint="eastAsia" w:ascii="宋体" w:hAnsi="宋体"/>
                <w:sz w:val="24"/>
              </w:rPr>
              <w:t>各站位底栖动物群落结构参数（包括物种数、丰富度指数、多样性指数、均匀度指数）均列于</w:t>
            </w:r>
            <w:r>
              <w:rPr>
                <w:sz w:val="24"/>
              </w:rPr>
              <w:t>表</w:t>
            </w:r>
            <w:r>
              <w:rPr>
                <w:rFonts w:hint="eastAsia"/>
                <w:sz w:val="24"/>
              </w:rPr>
              <w:t>4.1</w:t>
            </w:r>
            <w:r>
              <w:rPr>
                <w:sz w:val="24"/>
              </w:rPr>
              <w:t>.4-12</w:t>
            </w:r>
            <w:r>
              <w:rPr>
                <w:rFonts w:hint="eastAsia" w:ascii="宋体" w:hAnsi="宋体"/>
                <w:sz w:val="24"/>
              </w:rPr>
              <w:t>中。</w:t>
            </w:r>
          </w:p>
          <w:p>
            <w:pPr>
              <w:pStyle w:val="279"/>
              <w:snapToGrid w:val="0"/>
              <w:spacing w:line="360" w:lineRule="auto"/>
              <w:ind w:firstLine="480"/>
              <w:rPr>
                <w:szCs w:val="21"/>
              </w:rPr>
            </w:pPr>
            <w:r>
              <w:rPr>
                <w:szCs w:val="21"/>
              </w:rPr>
              <w:t>表</w:t>
            </w:r>
            <w:r>
              <w:rPr>
                <w:rFonts w:hint="eastAsia"/>
                <w:szCs w:val="21"/>
              </w:rPr>
              <w:t>4.1</w:t>
            </w:r>
            <w:r>
              <w:rPr>
                <w:szCs w:val="21"/>
              </w:rPr>
              <w:t>.4-12 各站位底栖动物群落结构的参数</w:t>
            </w:r>
          </w:p>
          <w:tbl>
            <w:tblPr>
              <w:tblStyle w:val="88"/>
              <w:tblW w:w="8269"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98"/>
              <w:gridCol w:w="1561"/>
              <w:gridCol w:w="1842"/>
              <w:gridCol w:w="2057"/>
              <w:gridCol w:w="181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jc w:val="center"/>
              </w:trPr>
              <w:tc>
                <w:tcPr>
                  <w:tcW w:w="998" w:type="dxa"/>
                  <w:shd w:val="clear" w:color="auto" w:fill="auto"/>
                  <w:noWrap/>
                  <w:vAlign w:val="center"/>
                </w:tcPr>
                <w:p>
                  <w:pPr>
                    <w:widowControl/>
                    <w:ind w:firstLine="232" w:firstLineChars="110"/>
                    <w:jc w:val="center"/>
                    <w:rPr>
                      <w:b/>
                      <w:bCs/>
                      <w:szCs w:val="21"/>
                    </w:rPr>
                  </w:pPr>
                  <w:r>
                    <w:rPr>
                      <w:rFonts w:hint="eastAsia"/>
                      <w:b/>
                      <w:bCs/>
                      <w:szCs w:val="21"/>
                    </w:rPr>
                    <w:t>站位</w:t>
                  </w:r>
                </w:p>
              </w:tc>
              <w:tc>
                <w:tcPr>
                  <w:tcW w:w="1561" w:type="dxa"/>
                  <w:shd w:val="clear" w:color="auto" w:fill="auto"/>
                  <w:vAlign w:val="center"/>
                </w:tcPr>
                <w:p>
                  <w:pPr>
                    <w:widowControl/>
                    <w:ind w:firstLine="232" w:firstLineChars="110"/>
                    <w:jc w:val="center"/>
                    <w:rPr>
                      <w:b/>
                      <w:bCs/>
                      <w:szCs w:val="21"/>
                    </w:rPr>
                  </w:pPr>
                  <w:r>
                    <w:rPr>
                      <w:rFonts w:hint="eastAsia"/>
                      <w:b/>
                      <w:bCs/>
                      <w:szCs w:val="21"/>
                    </w:rPr>
                    <w:t>物种数</w:t>
                  </w:r>
                </w:p>
              </w:tc>
              <w:tc>
                <w:tcPr>
                  <w:tcW w:w="1842" w:type="dxa"/>
                  <w:shd w:val="clear" w:color="auto" w:fill="auto"/>
                  <w:vAlign w:val="center"/>
                </w:tcPr>
                <w:p>
                  <w:pPr>
                    <w:widowControl/>
                    <w:ind w:firstLine="232" w:firstLineChars="110"/>
                    <w:jc w:val="center"/>
                    <w:rPr>
                      <w:b/>
                      <w:bCs/>
                      <w:szCs w:val="21"/>
                    </w:rPr>
                  </w:pPr>
                  <w:r>
                    <w:rPr>
                      <w:rFonts w:hint="eastAsia"/>
                      <w:b/>
                      <w:bCs/>
                      <w:szCs w:val="21"/>
                    </w:rPr>
                    <w:t>丰富度指数</w:t>
                  </w:r>
                </w:p>
              </w:tc>
              <w:tc>
                <w:tcPr>
                  <w:tcW w:w="2057" w:type="dxa"/>
                  <w:shd w:val="clear" w:color="auto" w:fill="auto"/>
                  <w:vAlign w:val="center"/>
                </w:tcPr>
                <w:p>
                  <w:pPr>
                    <w:widowControl/>
                    <w:ind w:firstLine="232" w:firstLineChars="110"/>
                    <w:jc w:val="center"/>
                    <w:rPr>
                      <w:b/>
                      <w:bCs/>
                      <w:szCs w:val="21"/>
                    </w:rPr>
                  </w:pPr>
                  <w:r>
                    <w:rPr>
                      <w:rFonts w:hint="eastAsia"/>
                      <w:b/>
                      <w:bCs/>
                      <w:szCs w:val="21"/>
                    </w:rPr>
                    <w:t>多样性指数</w:t>
                  </w:r>
                </w:p>
              </w:tc>
              <w:tc>
                <w:tcPr>
                  <w:tcW w:w="1811" w:type="dxa"/>
                  <w:shd w:val="clear" w:color="auto" w:fill="auto"/>
                  <w:vAlign w:val="center"/>
                </w:tcPr>
                <w:p>
                  <w:pPr>
                    <w:widowControl/>
                    <w:ind w:firstLine="232" w:firstLineChars="110"/>
                    <w:jc w:val="center"/>
                    <w:rPr>
                      <w:b/>
                      <w:bCs/>
                      <w:szCs w:val="21"/>
                    </w:rPr>
                  </w:pPr>
                  <w:r>
                    <w:rPr>
                      <w:rFonts w:hint="eastAsia"/>
                      <w:b/>
                      <w:bCs/>
                      <w:szCs w:val="21"/>
                    </w:rPr>
                    <w:t>均匀度指数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1</w:t>
                  </w:r>
                </w:p>
              </w:tc>
              <w:tc>
                <w:tcPr>
                  <w:tcW w:w="1561" w:type="dxa"/>
                  <w:shd w:val="clear" w:color="auto" w:fill="auto"/>
                  <w:noWrap/>
                  <w:vAlign w:val="center"/>
                </w:tcPr>
                <w:p>
                  <w:pPr>
                    <w:widowControl/>
                    <w:ind w:firstLine="231" w:firstLineChars="110"/>
                    <w:jc w:val="center"/>
                    <w:rPr>
                      <w:szCs w:val="21"/>
                    </w:rPr>
                  </w:pPr>
                  <w:r>
                    <w:rPr>
                      <w:rFonts w:hint="eastAsia"/>
                      <w:szCs w:val="21"/>
                    </w:rPr>
                    <w:t>16</w:t>
                  </w:r>
                </w:p>
              </w:tc>
              <w:tc>
                <w:tcPr>
                  <w:tcW w:w="1842" w:type="dxa"/>
                  <w:shd w:val="clear" w:color="auto" w:fill="auto"/>
                  <w:noWrap/>
                  <w:vAlign w:val="center"/>
                </w:tcPr>
                <w:p>
                  <w:pPr>
                    <w:widowControl/>
                    <w:ind w:firstLine="231" w:firstLineChars="110"/>
                    <w:jc w:val="center"/>
                    <w:rPr>
                      <w:szCs w:val="21"/>
                    </w:rPr>
                  </w:pPr>
                  <w:r>
                    <w:rPr>
                      <w:rFonts w:hint="eastAsia"/>
                      <w:szCs w:val="21"/>
                    </w:rPr>
                    <w:t>2.28</w:t>
                  </w:r>
                </w:p>
              </w:tc>
              <w:tc>
                <w:tcPr>
                  <w:tcW w:w="2057" w:type="dxa"/>
                  <w:shd w:val="clear" w:color="auto" w:fill="auto"/>
                  <w:noWrap/>
                  <w:vAlign w:val="center"/>
                </w:tcPr>
                <w:p>
                  <w:pPr>
                    <w:widowControl/>
                    <w:ind w:firstLine="231" w:firstLineChars="110"/>
                    <w:jc w:val="center"/>
                    <w:rPr>
                      <w:szCs w:val="21"/>
                    </w:rPr>
                  </w:pPr>
                  <w:r>
                    <w:rPr>
                      <w:rFonts w:hint="eastAsia"/>
                      <w:szCs w:val="21"/>
                    </w:rPr>
                    <w:t>1.65</w:t>
                  </w:r>
                </w:p>
              </w:tc>
              <w:tc>
                <w:tcPr>
                  <w:tcW w:w="1811" w:type="dxa"/>
                  <w:shd w:val="clear" w:color="auto" w:fill="auto"/>
                  <w:noWrap/>
                  <w:vAlign w:val="bottom"/>
                </w:tcPr>
                <w:p>
                  <w:pPr>
                    <w:widowControl/>
                    <w:ind w:firstLine="231" w:firstLineChars="110"/>
                    <w:jc w:val="center"/>
                    <w:rPr>
                      <w:szCs w:val="21"/>
                    </w:rPr>
                  </w:pPr>
                  <w:r>
                    <w:rPr>
                      <w:rFonts w:hint="eastAsia"/>
                      <w:szCs w:val="21"/>
                    </w:rPr>
                    <w:t>0.41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4</w:t>
                  </w:r>
                </w:p>
              </w:tc>
              <w:tc>
                <w:tcPr>
                  <w:tcW w:w="1561" w:type="dxa"/>
                  <w:shd w:val="clear" w:color="auto" w:fill="auto"/>
                  <w:noWrap/>
                  <w:vAlign w:val="center"/>
                </w:tcPr>
                <w:p>
                  <w:pPr>
                    <w:widowControl/>
                    <w:ind w:firstLine="231" w:firstLineChars="110"/>
                    <w:jc w:val="center"/>
                    <w:rPr>
                      <w:szCs w:val="21"/>
                    </w:rPr>
                  </w:pPr>
                  <w:r>
                    <w:rPr>
                      <w:rFonts w:hint="eastAsia"/>
                      <w:szCs w:val="21"/>
                    </w:rPr>
                    <w:t>12</w:t>
                  </w:r>
                </w:p>
              </w:tc>
              <w:tc>
                <w:tcPr>
                  <w:tcW w:w="1842" w:type="dxa"/>
                  <w:shd w:val="clear" w:color="auto" w:fill="auto"/>
                  <w:noWrap/>
                  <w:vAlign w:val="center"/>
                </w:tcPr>
                <w:p>
                  <w:pPr>
                    <w:widowControl/>
                    <w:ind w:firstLine="231" w:firstLineChars="110"/>
                    <w:jc w:val="center"/>
                    <w:rPr>
                      <w:szCs w:val="21"/>
                    </w:rPr>
                  </w:pPr>
                  <w:r>
                    <w:rPr>
                      <w:rFonts w:hint="eastAsia"/>
                      <w:szCs w:val="21"/>
                    </w:rPr>
                    <w:t>2.6</w:t>
                  </w:r>
                </w:p>
              </w:tc>
              <w:tc>
                <w:tcPr>
                  <w:tcW w:w="2057" w:type="dxa"/>
                  <w:shd w:val="clear" w:color="auto" w:fill="auto"/>
                  <w:noWrap/>
                  <w:vAlign w:val="center"/>
                </w:tcPr>
                <w:p>
                  <w:pPr>
                    <w:widowControl/>
                    <w:ind w:firstLine="231" w:firstLineChars="110"/>
                    <w:jc w:val="center"/>
                    <w:rPr>
                      <w:szCs w:val="21"/>
                    </w:rPr>
                  </w:pPr>
                  <w:r>
                    <w:rPr>
                      <w:rFonts w:hint="eastAsia"/>
                      <w:szCs w:val="21"/>
                    </w:rPr>
                    <w:t>1.88</w:t>
                  </w:r>
                </w:p>
              </w:tc>
              <w:tc>
                <w:tcPr>
                  <w:tcW w:w="1811" w:type="dxa"/>
                  <w:shd w:val="clear" w:color="auto" w:fill="auto"/>
                  <w:noWrap/>
                  <w:vAlign w:val="bottom"/>
                </w:tcPr>
                <w:p>
                  <w:pPr>
                    <w:ind w:firstLine="231" w:firstLineChars="110"/>
                    <w:jc w:val="center"/>
                    <w:rPr>
                      <w:szCs w:val="21"/>
                    </w:rPr>
                  </w:pPr>
                  <w:r>
                    <w:rPr>
                      <w:rFonts w:hint="eastAsia"/>
                      <w:szCs w:val="21"/>
                    </w:rPr>
                    <w:t>0.52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5</w:t>
                  </w:r>
                </w:p>
              </w:tc>
              <w:tc>
                <w:tcPr>
                  <w:tcW w:w="1561" w:type="dxa"/>
                  <w:shd w:val="clear" w:color="auto" w:fill="auto"/>
                  <w:noWrap/>
                  <w:vAlign w:val="center"/>
                </w:tcPr>
                <w:p>
                  <w:pPr>
                    <w:widowControl/>
                    <w:ind w:firstLine="231" w:firstLineChars="110"/>
                    <w:jc w:val="center"/>
                    <w:rPr>
                      <w:szCs w:val="21"/>
                    </w:rPr>
                  </w:pPr>
                  <w:r>
                    <w:rPr>
                      <w:rFonts w:hint="eastAsia"/>
                      <w:szCs w:val="21"/>
                    </w:rPr>
                    <w:t>10</w:t>
                  </w:r>
                </w:p>
              </w:tc>
              <w:tc>
                <w:tcPr>
                  <w:tcW w:w="1842" w:type="dxa"/>
                  <w:shd w:val="clear" w:color="auto" w:fill="auto"/>
                  <w:noWrap/>
                  <w:vAlign w:val="center"/>
                </w:tcPr>
                <w:p>
                  <w:pPr>
                    <w:widowControl/>
                    <w:ind w:firstLine="231" w:firstLineChars="110"/>
                    <w:jc w:val="center"/>
                    <w:rPr>
                      <w:szCs w:val="21"/>
                    </w:rPr>
                  </w:pPr>
                  <w:r>
                    <w:rPr>
                      <w:rFonts w:hint="eastAsia"/>
                      <w:szCs w:val="21"/>
                    </w:rPr>
                    <w:t>1.75</w:t>
                  </w:r>
                </w:p>
              </w:tc>
              <w:tc>
                <w:tcPr>
                  <w:tcW w:w="2057" w:type="dxa"/>
                  <w:shd w:val="clear" w:color="auto" w:fill="auto"/>
                  <w:noWrap/>
                  <w:vAlign w:val="center"/>
                </w:tcPr>
                <w:p>
                  <w:pPr>
                    <w:widowControl/>
                    <w:ind w:firstLine="231" w:firstLineChars="110"/>
                    <w:jc w:val="center"/>
                    <w:rPr>
                      <w:szCs w:val="21"/>
                    </w:rPr>
                  </w:pPr>
                  <w:r>
                    <w:rPr>
                      <w:rFonts w:hint="eastAsia"/>
                      <w:szCs w:val="21"/>
                    </w:rPr>
                    <w:t>1.28</w:t>
                  </w:r>
                </w:p>
              </w:tc>
              <w:tc>
                <w:tcPr>
                  <w:tcW w:w="1811" w:type="dxa"/>
                  <w:shd w:val="clear" w:color="auto" w:fill="auto"/>
                  <w:noWrap/>
                  <w:vAlign w:val="bottom"/>
                </w:tcPr>
                <w:p>
                  <w:pPr>
                    <w:ind w:firstLine="231" w:firstLineChars="110"/>
                    <w:jc w:val="center"/>
                    <w:rPr>
                      <w:szCs w:val="21"/>
                    </w:rPr>
                  </w:pPr>
                  <w:r>
                    <w:rPr>
                      <w:rFonts w:hint="eastAsia"/>
                      <w:szCs w:val="21"/>
                    </w:rPr>
                    <w:t>0.39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7</w:t>
                  </w:r>
                </w:p>
              </w:tc>
              <w:tc>
                <w:tcPr>
                  <w:tcW w:w="1561" w:type="dxa"/>
                  <w:shd w:val="clear" w:color="auto" w:fill="auto"/>
                  <w:noWrap/>
                  <w:vAlign w:val="center"/>
                </w:tcPr>
                <w:p>
                  <w:pPr>
                    <w:widowControl/>
                    <w:ind w:firstLine="231" w:firstLineChars="110"/>
                    <w:jc w:val="center"/>
                    <w:rPr>
                      <w:szCs w:val="21"/>
                    </w:rPr>
                  </w:pPr>
                  <w:r>
                    <w:rPr>
                      <w:rFonts w:hint="eastAsia"/>
                      <w:szCs w:val="21"/>
                    </w:rPr>
                    <w:t>18</w:t>
                  </w:r>
                </w:p>
              </w:tc>
              <w:tc>
                <w:tcPr>
                  <w:tcW w:w="1842" w:type="dxa"/>
                  <w:shd w:val="clear" w:color="auto" w:fill="auto"/>
                  <w:noWrap/>
                  <w:vAlign w:val="center"/>
                </w:tcPr>
                <w:p>
                  <w:pPr>
                    <w:widowControl/>
                    <w:ind w:firstLine="231" w:firstLineChars="110"/>
                    <w:jc w:val="center"/>
                    <w:rPr>
                      <w:szCs w:val="21"/>
                    </w:rPr>
                  </w:pPr>
                  <w:r>
                    <w:rPr>
                      <w:rFonts w:hint="eastAsia"/>
                      <w:szCs w:val="21"/>
                    </w:rPr>
                    <w:t>2.2</w:t>
                  </w:r>
                </w:p>
              </w:tc>
              <w:tc>
                <w:tcPr>
                  <w:tcW w:w="2057" w:type="dxa"/>
                  <w:shd w:val="clear" w:color="auto" w:fill="auto"/>
                  <w:noWrap/>
                  <w:vAlign w:val="center"/>
                </w:tcPr>
                <w:p>
                  <w:pPr>
                    <w:widowControl/>
                    <w:ind w:firstLine="231" w:firstLineChars="110"/>
                    <w:jc w:val="center"/>
                    <w:rPr>
                      <w:szCs w:val="21"/>
                    </w:rPr>
                  </w:pPr>
                  <w:r>
                    <w:rPr>
                      <w:rFonts w:hint="eastAsia"/>
                      <w:szCs w:val="21"/>
                    </w:rPr>
                    <w:t>2.03</w:t>
                  </w:r>
                </w:p>
              </w:tc>
              <w:tc>
                <w:tcPr>
                  <w:tcW w:w="1811" w:type="dxa"/>
                  <w:shd w:val="clear" w:color="auto" w:fill="auto"/>
                  <w:noWrap/>
                  <w:vAlign w:val="bottom"/>
                </w:tcPr>
                <w:p>
                  <w:pPr>
                    <w:ind w:firstLine="231" w:firstLineChars="110"/>
                    <w:jc w:val="center"/>
                    <w:rPr>
                      <w:szCs w:val="21"/>
                    </w:rPr>
                  </w:pPr>
                  <w:r>
                    <w:rPr>
                      <w:rFonts w:hint="eastAsia"/>
                      <w:szCs w:val="21"/>
                    </w:rPr>
                    <w:t>0.49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9</w:t>
                  </w:r>
                </w:p>
              </w:tc>
              <w:tc>
                <w:tcPr>
                  <w:tcW w:w="1561" w:type="dxa"/>
                  <w:shd w:val="clear" w:color="auto" w:fill="auto"/>
                  <w:noWrap/>
                  <w:vAlign w:val="center"/>
                </w:tcPr>
                <w:p>
                  <w:pPr>
                    <w:widowControl/>
                    <w:ind w:firstLine="231" w:firstLineChars="110"/>
                    <w:jc w:val="center"/>
                    <w:rPr>
                      <w:szCs w:val="21"/>
                    </w:rPr>
                  </w:pPr>
                  <w:r>
                    <w:rPr>
                      <w:rFonts w:hint="eastAsia"/>
                      <w:szCs w:val="21"/>
                    </w:rPr>
                    <w:t>30</w:t>
                  </w:r>
                </w:p>
              </w:tc>
              <w:tc>
                <w:tcPr>
                  <w:tcW w:w="1842" w:type="dxa"/>
                  <w:shd w:val="clear" w:color="auto" w:fill="auto"/>
                  <w:noWrap/>
                  <w:vAlign w:val="center"/>
                </w:tcPr>
                <w:p>
                  <w:pPr>
                    <w:widowControl/>
                    <w:ind w:firstLine="231" w:firstLineChars="110"/>
                    <w:jc w:val="center"/>
                    <w:rPr>
                      <w:szCs w:val="21"/>
                    </w:rPr>
                  </w:pPr>
                  <w:r>
                    <w:rPr>
                      <w:rFonts w:hint="eastAsia"/>
                      <w:szCs w:val="21"/>
                    </w:rPr>
                    <w:t>3.16</w:t>
                  </w:r>
                </w:p>
              </w:tc>
              <w:tc>
                <w:tcPr>
                  <w:tcW w:w="2057" w:type="dxa"/>
                  <w:shd w:val="clear" w:color="auto" w:fill="auto"/>
                  <w:noWrap/>
                  <w:vAlign w:val="center"/>
                </w:tcPr>
                <w:p>
                  <w:pPr>
                    <w:widowControl/>
                    <w:ind w:firstLine="231" w:firstLineChars="110"/>
                    <w:jc w:val="center"/>
                    <w:rPr>
                      <w:szCs w:val="21"/>
                    </w:rPr>
                  </w:pPr>
                  <w:r>
                    <w:rPr>
                      <w:rFonts w:hint="eastAsia"/>
                      <w:szCs w:val="21"/>
                    </w:rPr>
                    <w:t>2.17</w:t>
                  </w:r>
                </w:p>
              </w:tc>
              <w:tc>
                <w:tcPr>
                  <w:tcW w:w="1811" w:type="dxa"/>
                  <w:shd w:val="clear" w:color="auto" w:fill="auto"/>
                  <w:noWrap/>
                  <w:vAlign w:val="bottom"/>
                </w:tcPr>
                <w:p>
                  <w:pPr>
                    <w:ind w:firstLine="231" w:firstLineChars="110"/>
                    <w:jc w:val="center"/>
                    <w:rPr>
                      <w:szCs w:val="21"/>
                    </w:rPr>
                  </w:pPr>
                  <w:r>
                    <w:rPr>
                      <w:rFonts w:hint="eastAsia"/>
                      <w:szCs w:val="21"/>
                    </w:rPr>
                    <w:t>0.44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12</w:t>
                  </w:r>
                </w:p>
              </w:tc>
              <w:tc>
                <w:tcPr>
                  <w:tcW w:w="1561" w:type="dxa"/>
                  <w:shd w:val="clear" w:color="auto" w:fill="auto"/>
                  <w:noWrap/>
                  <w:vAlign w:val="center"/>
                </w:tcPr>
                <w:p>
                  <w:pPr>
                    <w:widowControl/>
                    <w:ind w:firstLine="231" w:firstLineChars="110"/>
                    <w:jc w:val="center"/>
                    <w:rPr>
                      <w:szCs w:val="21"/>
                    </w:rPr>
                  </w:pPr>
                  <w:r>
                    <w:rPr>
                      <w:rFonts w:hint="eastAsia"/>
                      <w:szCs w:val="21"/>
                    </w:rPr>
                    <w:t>41</w:t>
                  </w:r>
                </w:p>
              </w:tc>
              <w:tc>
                <w:tcPr>
                  <w:tcW w:w="1842" w:type="dxa"/>
                  <w:shd w:val="clear" w:color="auto" w:fill="auto"/>
                  <w:noWrap/>
                  <w:vAlign w:val="center"/>
                </w:tcPr>
                <w:p>
                  <w:pPr>
                    <w:widowControl/>
                    <w:ind w:firstLine="231" w:firstLineChars="110"/>
                    <w:jc w:val="center"/>
                    <w:rPr>
                      <w:szCs w:val="21"/>
                    </w:rPr>
                  </w:pPr>
                  <w:r>
                    <w:rPr>
                      <w:rFonts w:hint="eastAsia"/>
                      <w:szCs w:val="21"/>
                    </w:rPr>
                    <w:t>3.22</w:t>
                  </w:r>
                </w:p>
              </w:tc>
              <w:tc>
                <w:tcPr>
                  <w:tcW w:w="2057" w:type="dxa"/>
                  <w:shd w:val="clear" w:color="auto" w:fill="auto"/>
                  <w:noWrap/>
                  <w:vAlign w:val="center"/>
                </w:tcPr>
                <w:p>
                  <w:pPr>
                    <w:widowControl/>
                    <w:ind w:firstLine="231" w:firstLineChars="110"/>
                    <w:jc w:val="center"/>
                    <w:rPr>
                      <w:szCs w:val="21"/>
                    </w:rPr>
                  </w:pPr>
                  <w:r>
                    <w:rPr>
                      <w:rFonts w:hint="eastAsia"/>
                      <w:szCs w:val="21"/>
                    </w:rPr>
                    <w:t>3.16</w:t>
                  </w:r>
                </w:p>
              </w:tc>
              <w:tc>
                <w:tcPr>
                  <w:tcW w:w="1811" w:type="dxa"/>
                  <w:shd w:val="clear" w:color="auto" w:fill="auto"/>
                  <w:noWrap/>
                  <w:vAlign w:val="bottom"/>
                </w:tcPr>
                <w:p>
                  <w:pPr>
                    <w:ind w:firstLine="231" w:firstLineChars="110"/>
                    <w:jc w:val="center"/>
                    <w:rPr>
                      <w:szCs w:val="21"/>
                    </w:rPr>
                  </w:pPr>
                  <w:r>
                    <w:rPr>
                      <w:rFonts w:hint="eastAsia"/>
                      <w:szCs w:val="21"/>
                    </w:rPr>
                    <w:t>0.59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13</w:t>
                  </w:r>
                </w:p>
              </w:tc>
              <w:tc>
                <w:tcPr>
                  <w:tcW w:w="1561" w:type="dxa"/>
                  <w:shd w:val="clear" w:color="auto" w:fill="auto"/>
                  <w:noWrap/>
                  <w:vAlign w:val="center"/>
                </w:tcPr>
                <w:p>
                  <w:pPr>
                    <w:widowControl/>
                    <w:ind w:firstLine="231" w:firstLineChars="110"/>
                    <w:jc w:val="center"/>
                    <w:rPr>
                      <w:szCs w:val="21"/>
                    </w:rPr>
                  </w:pPr>
                  <w:r>
                    <w:rPr>
                      <w:rFonts w:hint="eastAsia"/>
                      <w:szCs w:val="21"/>
                    </w:rPr>
                    <w:t>20</w:t>
                  </w:r>
                </w:p>
              </w:tc>
              <w:tc>
                <w:tcPr>
                  <w:tcW w:w="1842" w:type="dxa"/>
                  <w:shd w:val="clear" w:color="auto" w:fill="auto"/>
                  <w:noWrap/>
                  <w:vAlign w:val="center"/>
                </w:tcPr>
                <w:p>
                  <w:pPr>
                    <w:widowControl/>
                    <w:ind w:firstLine="231" w:firstLineChars="110"/>
                    <w:jc w:val="center"/>
                    <w:rPr>
                      <w:szCs w:val="21"/>
                    </w:rPr>
                  </w:pPr>
                  <w:r>
                    <w:rPr>
                      <w:rFonts w:hint="eastAsia"/>
                      <w:szCs w:val="21"/>
                    </w:rPr>
                    <w:t>2.06</w:t>
                  </w:r>
                </w:p>
              </w:tc>
              <w:tc>
                <w:tcPr>
                  <w:tcW w:w="2057" w:type="dxa"/>
                  <w:shd w:val="clear" w:color="auto" w:fill="auto"/>
                  <w:noWrap/>
                  <w:vAlign w:val="center"/>
                </w:tcPr>
                <w:p>
                  <w:pPr>
                    <w:widowControl/>
                    <w:ind w:firstLine="231" w:firstLineChars="110"/>
                    <w:jc w:val="center"/>
                    <w:rPr>
                      <w:szCs w:val="21"/>
                    </w:rPr>
                  </w:pPr>
                  <w:r>
                    <w:rPr>
                      <w:rFonts w:hint="eastAsia"/>
                      <w:szCs w:val="21"/>
                    </w:rPr>
                    <w:t>2.86</w:t>
                  </w:r>
                </w:p>
              </w:tc>
              <w:tc>
                <w:tcPr>
                  <w:tcW w:w="1811" w:type="dxa"/>
                  <w:shd w:val="clear" w:color="auto" w:fill="auto"/>
                  <w:noWrap/>
                  <w:vAlign w:val="bottom"/>
                </w:tcPr>
                <w:p>
                  <w:pPr>
                    <w:ind w:firstLine="231" w:firstLineChars="110"/>
                    <w:jc w:val="center"/>
                    <w:rPr>
                      <w:szCs w:val="21"/>
                    </w:rPr>
                  </w:pPr>
                  <w:r>
                    <w:rPr>
                      <w:rFonts w:hint="eastAsia"/>
                      <w:szCs w:val="21"/>
                    </w:rPr>
                    <w:t>0.66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15</w:t>
                  </w:r>
                </w:p>
              </w:tc>
              <w:tc>
                <w:tcPr>
                  <w:tcW w:w="1561" w:type="dxa"/>
                  <w:shd w:val="clear" w:color="auto" w:fill="auto"/>
                  <w:noWrap/>
                  <w:vAlign w:val="center"/>
                </w:tcPr>
                <w:p>
                  <w:pPr>
                    <w:widowControl/>
                    <w:ind w:firstLine="231" w:firstLineChars="110"/>
                    <w:jc w:val="center"/>
                    <w:rPr>
                      <w:szCs w:val="21"/>
                    </w:rPr>
                  </w:pPr>
                  <w:r>
                    <w:rPr>
                      <w:rFonts w:hint="eastAsia"/>
                      <w:szCs w:val="21"/>
                    </w:rPr>
                    <w:t>39</w:t>
                  </w:r>
                </w:p>
              </w:tc>
              <w:tc>
                <w:tcPr>
                  <w:tcW w:w="1842" w:type="dxa"/>
                  <w:shd w:val="clear" w:color="auto" w:fill="auto"/>
                  <w:noWrap/>
                  <w:vAlign w:val="center"/>
                </w:tcPr>
                <w:p>
                  <w:pPr>
                    <w:widowControl/>
                    <w:ind w:firstLine="231" w:firstLineChars="110"/>
                    <w:jc w:val="center"/>
                    <w:rPr>
                      <w:szCs w:val="21"/>
                    </w:rPr>
                  </w:pPr>
                  <w:r>
                    <w:rPr>
                      <w:rFonts w:hint="eastAsia"/>
                      <w:szCs w:val="21"/>
                    </w:rPr>
                    <w:t>3.12</w:t>
                  </w:r>
                </w:p>
              </w:tc>
              <w:tc>
                <w:tcPr>
                  <w:tcW w:w="2057" w:type="dxa"/>
                  <w:shd w:val="clear" w:color="auto" w:fill="auto"/>
                  <w:noWrap/>
                  <w:vAlign w:val="center"/>
                </w:tcPr>
                <w:p>
                  <w:pPr>
                    <w:widowControl/>
                    <w:ind w:firstLine="231" w:firstLineChars="110"/>
                    <w:jc w:val="center"/>
                    <w:rPr>
                      <w:szCs w:val="21"/>
                    </w:rPr>
                  </w:pPr>
                  <w:r>
                    <w:rPr>
                      <w:rFonts w:hint="eastAsia"/>
                      <w:szCs w:val="21"/>
                    </w:rPr>
                    <w:t>2.81</w:t>
                  </w:r>
                </w:p>
              </w:tc>
              <w:tc>
                <w:tcPr>
                  <w:tcW w:w="1811" w:type="dxa"/>
                  <w:shd w:val="clear" w:color="auto" w:fill="auto"/>
                  <w:noWrap/>
                  <w:vAlign w:val="bottom"/>
                </w:tcPr>
                <w:p>
                  <w:pPr>
                    <w:ind w:firstLine="231" w:firstLineChars="110"/>
                    <w:jc w:val="center"/>
                    <w:rPr>
                      <w:szCs w:val="21"/>
                    </w:rPr>
                  </w:pPr>
                  <w:r>
                    <w:rPr>
                      <w:rFonts w:hint="eastAsia"/>
                      <w:szCs w:val="21"/>
                    </w:rPr>
                    <w:t>0.53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16</w:t>
                  </w:r>
                </w:p>
              </w:tc>
              <w:tc>
                <w:tcPr>
                  <w:tcW w:w="1561" w:type="dxa"/>
                  <w:shd w:val="clear" w:color="auto" w:fill="auto"/>
                  <w:noWrap/>
                  <w:vAlign w:val="center"/>
                </w:tcPr>
                <w:p>
                  <w:pPr>
                    <w:widowControl/>
                    <w:ind w:firstLine="231" w:firstLineChars="110"/>
                    <w:jc w:val="center"/>
                    <w:rPr>
                      <w:szCs w:val="21"/>
                    </w:rPr>
                  </w:pPr>
                  <w:r>
                    <w:rPr>
                      <w:rFonts w:hint="eastAsia"/>
                      <w:szCs w:val="21"/>
                    </w:rPr>
                    <w:t>49</w:t>
                  </w:r>
                </w:p>
              </w:tc>
              <w:tc>
                <w:tcPr>
                  <w:tcW w:w="1842" w:type="dxa"/>
                  <w:shd w:val="clear" w:color="auto" w:fill="auto"/>
                  <w:noWrap/>
                  <w:vAlign w:val="center"/>
                </w:tcPr>
                <w:p>
                  <w:pPr>
                    <w:widowControl/>
                    <w:ind w:firstLine="231" w:firstLineChars="110"/>
                    <w:jc w:val="center"/>
                    <w:rPr>
                      <w:szCs w:val="21"/>
                    </w:rPr>
                  </w:pPr>
                  <w:r>
                    <w:rPr>
                      <w:rFonts w:hint="eastAsia"/>
                      <w:szCs w:val="21"/>
                    </w:rPr>
                    <w:t>4.06</w:t>
                  </w:r>
                </w:p>
              </w:tc>
              <w:tc>
                <w:tcPr>
                  <w:tcW w:w="2057" w:type="dxa"/>
                  <w:shd w:val="clear" w:color="auto" w:fill="auto"/>
                  <w:noWrap/>
                  <w:vAlign w:val="center"/>
                </w:tcPr>
                <w:p>
                  <w:pPr>
                    <w:widowControl/>
                    <w:ind w:firstLine="231" w:firstLineChars="110"/>
                    <w:jc w:val="center"/>
                    <w:rPr>
                      <w:szCs w:val="21"/>
                    </w:rPr>
                  </w:pPr>
                  <w:r>
                    <w:rPr>
                      <w:rFonts w:hint="eastAsia"/>
                      <w:szCs w:val="21"/>
                    </w:rPr>
                    <w:t>3.47</w:t>
                  </w:r>
                </w:p>
              </w:tc>
              <w:tc>
                <w:tcPr>
                  <w:tcW w:w="1811" w:type="dxa"/>
                  <w:shd w:val="clear" w:color="auto" w:fill="auto"/>
                  <w:noWrap/>
                  <w:vAlign w:val="bottom"/>
                </w:tcPr>
                <w:p>
                  <w:pPr>
                    <w:widowControl/>
                    <w:ind w:firstLine="231" w:firstLineChars="110"/>
                    <w:jc w:val="center"/>
                    <w:rPr>
                      <w:szCs w:val="21"/>
                    </w:rPr>
                  </w:pPr>
                  <w:r>
                    <w:rPr>
                      <w:rFonts w:hint="eastAsia"/>
                      <w:szCs w:val="21"/>
                    </w:rPr>
                    <w:t>0.62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17</w:t>
                  </w:r>
                </w:p>
              </w:tc>
              <w:tc>
                <w:tcPr>
                  <w:tcW w:w="1561" w:type="dxa"/>
                  <w:shd w:val="clear" w:color="auto" w:fill="auto"/>
                  <w:noWrap/>
                  <w:vAlign w:val="center"/>
                </w:tcPr>
                <w:p>
                  <w:pPr>
                    <w:widowControl/>
                    <w:ind w:firstLine="231" w:firstLineChars="110"/>
                    <w:jc w:val="center"/>
                    <w:rPr>
                      <w:szCs w:val="21"/>
                    </w:rPr>
                  </w:pPr>
                  <w:r>
                    <w:rPr>
                      <w:rFonts w:hint="eastAsia"/>
                      <w:szCs w:val="21"/>
                    </w:rPr>
                    <w:t>24</w:t>
                  </w:r>
                </w:p>
              </w:tc>
              <w:tc>
                <w:tcPr>
                  <w:tcW w:w="1842" w:type="dxa"/>
                  <w:shd w:val="clear" w:color="auto" w:fill="auto"/>
                  <w:noWrap/>
                  <w:vAlign w:val="center"/>
                </w:tcPr>
                <w:p>
                  <w:pPr>
                    <w:widowControl/>
                    <w:ind w:firstLine="231" w:firstLineChars="110"/>
                    <w:jc w:val="center"/>
                    <w:rPr>
                      <w:szCs w:val="21"/>
                    </w:rPr>
                  </w:pPr>
                  <w:r>
                    <w:rPr>
                      <w:rFonts w:hint="eastAsia"/>
                      <w:szCs w:val="21"/>
                    </w:rPr>
                    <w:t>2.48</w:t>
                  </w:r>
                </w:p>
              </w:tc>
              <w:tc>
                <w:tcPr>
                  <w:tcW w:w="2057" w:type="dxa"/>
                  <w:shd w:val="clear" w:color="auto" w:fill="auto"/>
                  <w:noWrap/>
                  <w:vAlign w:val="center"/>
                </w:tcPr>
                <w:p>
                  <w:pPr>
                    <w:widowControl/>
                    <w:ind w:firstLine="231" w:firstLineChars="110"/>
                    <w:jc w:val="center"/>
                    <w:rPr>
                      <w:szCs w:val="21"/>
                    </w:rPr>
                  </w:pPr>
                  <w:r>
                    <w:rPr>
                      <w:rFonts w:hint="eastAsia"/>
                      <w:szCs w:val="21"/>
                    </w:rPr>
                    <w:t>3.08</w:t>
                  </w:r>
                </w:p>
              </w:tc>
              <w:tc>
                <w:tcPr>
                  <w:tcW w:w="1811" w:type="dxa"/>
                  <w:shd w:val="clear" w:color="auto" w:fill="auto"/>
                  <w:noWrap/>
                  <w:vAlign w:val="bottom"/>
                </w:tcPr>
                <w:p>
                  <w:pPr>
                    <w:widowControl/>
                    <w:ind w:firstLine="231" w:firstLineChars="110"/>
                    <w:jc w:val="center"/>
                    <w:rPr>
                      <w:szCs w:val="21"/>
                    </w:rPr>
                  </w:pPr>
                  <w:r>
                    <w:rPr>
                      <w:rFonts w:hint="eastAsia"/>
                      <w:szCs w:val="21"/>
                    </w:rPr>
                    <w:t>0.67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19</w:t>
                  </w:r>
                </w:p>
              </w:tc>
              <w:tc>
                <w:tcPr>
                  <w:tcW w:w="1561" w:type="dxa"/>
                  <w:shd w:val="clear" w:color="auto" w:fill="auto"/>
                  <w:noWrap/>
                  <w:vAlign w:val="center"/>
                </w:tcPr>
                <w:p>
                  <w:pPr>
                    <w:widowControl/>
                    <w:ind w:firstLine="231" w:firstLineChars="110"/>
                    <w:jc w:val="center"/>
                    <w:rPr>
                      <w:szCs w:val="21"/>
                    </w:rPr>
                  </w:pPr>
                  <w:r>
                    <w:rPr>
                      <w:rFonts w:hint="eastAsia"/>
                      <w:szCs w:val="21"/>
                    </w:rPr>
                    <w:t>17</w:t>
                  </w:r>
                </w:p>
              </w:tc>
              <w:tc>
                <w:tcPr>
                  <w:tcW w:w="1842" w:type="dxa"/>
                  <w:shd w:val="clear" w:color="auto" w:fill="auto"/>
                  <w:noWrap/>
                  <w:vAlign w:val="center"/>
                </w:tcPr>
                <w:p>
                  <w:pPr>
                    <w:widowControl/>
                    <w:ind w:firstLine="231" w:firstLineChars="110"/>
                    <w:jc w:val="center"/>
                    <w:rPr>
                      <w:szCs w:val="21"/>
                    </w:rPr>
                  </w:pPr>
                  <w:r>
                    <w:rPr>
                      <w:rFonts w:hint="eastAsia"/>
                      <w:szCs w:val="21"/>
                    </w:rPr>
                    <w:t>1.14</w:t>
                  </w:r>
                </w:p>
              </w:tc>
              <w:tc>
                <w:tcPr>
                  <w:tcW w:w="2057" w:type="dxa"/>
                  <w:shd w:val="clear" w:color="auto" w:fill="auto"/>
                  <w:noWrap/>
                  <w:vAlign w:val="center"/>
                </w:tcPr>
                <w:p>
                  <w:pPr>
                    <w:widowControl/>
                    <w:ind w:firstLine="231" w:firstLineChars="110"/>
                    <w:jc w:val="center"/>
                    <w:rPr>
                      <w:szCs w:val="21"/>
                    </w:rPr>
                  </w:pPr>
                  <w:r>
                    <w:rPr>
                      <w:rFonts w:hint="eastAsia"/>
                      <w:szCs w:val="21"/>
                    </w:rPr>
                    <w:t>1.69</w:t>
                  </w:r>
                </w:p>
              </w:tc>
              <w:tc>
                <w:tcPr>
                  <w:tcW w:w="1811" w:type="dxa"/>
                  <w:shd w:val="clear" w:color="auto" w:fill="auto"/>
                  <w:noWrap/>
                  <w:vAlign w:val="bottom"/>
                </w:tcPr>
                <w:p>
                  <w:pPr>
                    <w:widowControl/>
                    <w:ind w:firstLine="231" w:firstLineChars="110"/>
                    <w:jc w:val="center"/>
                    <w:rPr>
                      <w:szCs w:val="21"/>
                    </w:rPr>
                  </w:pPr>
                  <w:r>
                    <w:rPr>
                      <w:rFonts w:hint="eastAsia"/>
                      <w:szCs w:val="21"/>
                    </w:rPr>
                    <w:t>0.41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jc w:val="center"/>
              </w:trPr>
              <w:tc>
                <w:tcPr>
                  <w:tcW w:w="998" w:type="dxa"/>
                  <w:shd w:val="clear" w:color="auto" w:fill="auto"/>
                  <w:noWrap/>
                  <w:vAlign w:val="bottom"/>
                </w:tcPr>
                <w:p>
                  <w:pPr>
                    <w:widowControl/>
                    <w:ind w:firstLine="231" w:firstLineChars="110"/>
                    <w:jc w:val="center"/>
                    <w:rPr>
                      <w:szCs w:val="21"/>
                    </w:rPr>
                  </w:pPr>
                  <w:r>
                    <w:rPr>
                      <w:rFonts w:hint="eastAsia"/>
                      <w:szCs w:val="21"/>
                    </w:rPr>
                    <w:t>20</w:t>
                  </w:r>
                </w:p>
              </w:tc>
              <w:tc>
                <w:tcPr>
                  <w:tcW w:w="1561" w:type="dxa"/>
                  <w:shd w:val="clear" w:color="auto" w:fill="auto"/>
                  <w:noWrap/>
                  <w:vAlign w:val="center"/>
                </w:tcPr>
                <w:p>
                  <w:pPr>
                    <w:widowControl/>
                    <w:ind w:firstLine="231" w:firstLineChars="110"/>
                    <w:jc w:val="center"/>
                    <w:rPr>
                      <w:szCs w:val="21"/>
                    </w:rPr>
                  </w:pPr>
                  <w:r>
                    <w:rPr>
                      <w:rFonts w:hint="eastAsia"/>
                      <w:szCs w:val="21"/>
                    </w:rPr>
                    <w:t>26</w:t>
                  </w:r>
                </w:p>
              </w:tc>
              <w:tc>
                <w:tcPr>
                  <w:tcW w:w="1842" w:type="dxa"/>
                  <w:shd w:val="clear" w:color="auto" w:fill="auto"/>
                  <w:noWrap/>
                  <w:vAlign w:val="center"/>
                </w:tcPr>
                <w:p>
                  <w:pPr>
                    <w:widowControl/>
                    <w:ind w:firstLine="231" w:firstLineChars="110"/>
                    <w:jc w:val="center"/>
                    <w:rPr>
                      <w:szCs w:val="21"/>
                    </w:rPr>
                  </w:pPr>
                  <w:r>
                    <w:rPr>
                      <w:rFonts w:hint="eastAsia"/>
                      <w:szCs w:val="21"/>
                    </w:rPr>
                    <w:t>1.68</w:t>
                  </w:r>
                </w:p>
              </w:tc>
              <w:tc>
                <w:tcPr>
                  <w:tcW w:w="2057" w:type="dxa"/>
                  <w:shd w:val="clear" w:color="auto" w:fill="auto"/>
                  <w:noWrap/>
                  <w:vAlign w:val="center"/>
                </w:tcPr>
                <w:p>
                  <w:pPr>
                    <w:widowControl/>
                    <w:ind w:firstLine="231" w:firstLineChars="110"/>
                    <w:jc w:val="center"/>
                    <w:rPr>
                      <w:szCs w:val="21"/>
                    </w:rPr>
                  </w:pPr>
                  <w:r>
                    <w:rPr>
                      <w:rFonts w:hint="eastAsia"/>
                      <w:szCs w:val="21"/>
                    </w:rPr>
                    <w:t>1.11</w:t>
                  </w:r>
                </w:p>
              </w:tc>
              <w:tc>
                <w:tcPr>
                  <w:tcW w:w="1811" w:type="dxa"/>
                  <w:shd w:val="clear" w:color="auto" w:fill="auto"/>
                  <w:noWrap/>
                  <w:vAlign w:val="bottom"/>
                </w:tcPr>
                <w:p>
                  <w:pPr>
                    <w:widowControl/>
                    <w:ind w:firstLine="231" w:firstLineChars="110"/>
                    <w:jc w:val="center"/>
                    <w:rPr>
                      <w:szCs w:val="21"/>
                    </w:rPr>
                  </w:pPr>
                  <w:r>
                    <w:rPr>
                      <w:rFonts w:hint="eastAsia"/>
                      <w:szCs w:val="21"/>
                    </w:rPr>
                    <w:t>0.24</w:t>
                  </w:r>
                </w:p>
              </w:tc>
            </w:tr>
          </w:tbl>
          <w:p>
            <w:pPr>
              <w:pStyle w:val="39"/>
              <w:adjustRightInd w:val="0"/>
              <w:snapToGrid w:val="0"/>
              <w:spacing w:line="360" w:lineRule="auto"/>
              <w:ind w:left="0" w:firstLine="482" w:firstLineChars="200"/>
              <w:rPr>
                <w:b/>
              </w:rPr>
            </w:pPr>
            <w:r>
              <w:rPr>
                <w:b/>
              </w:rPr>
              <w:t xml:space="preserve">4.2 </w:t>
            </w:r>
            <w:r>
              <w:rPr>
                <w:rFonts w:hint="eastAsia"/>
                <w:b/>
              </w:rPr>
              <w:t>历史调查海洋环境质量评价</w:t>
            </w:r>
          </w:p>
          <w:p>
            <w:pPr>
              <w:pStyle w:val="266"/>
              <w:spacing w:line="360" w:lineRule="auto"/>
              <w:ind w:firstLine="482" w:firstLineChars="200"/>
              <w:jc w:val="both"/>
              <w:rPr>
                <w:b/>
                <w:color w:val="auto"/>
              </w:rPr>
            </w:pPr>
            <w:bookmarkStart w:id="17" w:name="_Toc519208665"/>
            <w:r>
              <w:rPr>
                <w:b/>
                <w:color w:val="auto"/>
              </w:rPr>
              <w:t xml:space="preserve">4.2.1 </w:t>
            </w:r>
            <w:r>
              <w:rPr>
                <w:rFonts w:hint="eastAsia"/>
                <w:b/>
                <w:color w:val="auto"/>
              </w:rPr>
              <w:t>调查范围与站位布设</w:t>
            </w:r>
            <w:bookmarkEnd w:id="17"/>
          </w:p>
          <w:p>
            <w:pPr>
              <w:pStyle w:val="266"/>
              <w:spacing w:line="360" w:lineRule="auto"/>
              <w:ind w:firstLine="480" w:firstLineChars="200"/>
              <w:jc w:val="both"/>
              <w:rPr>
                <w:color w:val="auto"/>
              </w:rPr>
            </w:pPr>
            <w:r>
              <w:rPr>
                <w:rFonts w:hint="eastAsia"/>
                <w:color w:val="auto"/>
              </w:rPr>
              <w:t>收集了威海市海洋与渔业监测减灾中心2017年5月在威海湾内进行的24个水质调查结果，</w:t>
            </w:r>
            <w:r>
              <w:rPr>
                <w:color w:val="auto"/>
              </w:rPr>
              <w:t>调查项目与站位分布详见表</w:t>
            </w:r>
            <w:r>
              <w:rPr>
                <w:rFonts w:hint="eastAsia"/>
                <w:color w:val="auto"/>
              </w:rPr>
              <w:t>4</w:t>
            </w:r>
            <w:r>
              <w:rPr>
                <w:color w:val="auto"/>
              </w:rPr>
              <w:t>.</w:t>
            </w:r>
            <w:r>
              <w:rPr>
                <w:rFonts w:hint="eastAsia"/>
                <w:color w:val="auto"/>
              </w:rPr>
              <w:t>2.</w:t>
            </w:r>
            <w:r>
              <w:rPr>
                <w:color w:val="auto"/>
              </w:rPr>
              <w:t>2和图</w:t>
            </w:r>
            <w:r>
              <w:rPr>
                <w:rFonts w:hint="eastAsia"/>
                <w:color w:val="auto"/>
              </w:rPr>
              <w:t>4</w:t>
            </w:r>
            <w:r>
              <w:rPr>
                <w:color w:val="auto"/>
              </w:rPr>
              <w:t>.</w:t>
            </w:r>
            <w:r>
              <w:rPr>
                <w:rFonts w:hint="eastAsia"/>
                <w:color w:val="auto"/>
              </w:rPr>
              <w:t>2.</w:t>
            </w:r>
            <w:r>
              <w:rPr>
                <w:color w:val="auto"/>
              </w:rPr>
              <w:t>2。</w:t>
            </w:r>
          </w:p>
          <w:p>
            <w:pPr>
              <w:spacing w:line="360" w:lineRule="auto"/>
              <w:ind w:firstLine="420" w:firstLineChars="200"/>
              <w:rPr>
                <w:sz w:val="24"/>
              </w:rPr>
            </w:pPr>
            <w:r>
              <w:drawing>
                <wp:anchor distT="0" distB="0" distL="114300" distR="114300" simplePos="0" relativeHeight="251964416" behindDoc="0" locked="0" layoutInCell="1" allowOverlap="1">
                  <wp:simplePos x="0" y="0"/>
                  <wp:positionH relativeFrom="column">
                    <wp:posOffset>-59055</wp:posOffset>
                  </wp:positionH>
                  <wp:positionV relativeFrom="paragraph">
                    <wp:posOffset>529590</wp:posOffset>
                  </wp:positionV>
                  <wp:extent cx="5370830" cy="3994150"/>
                  <wp:effectExtent l="0" t="0" r="1270" b="6350"/>
                  <wp:wrapNone/>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5370830" cy="3994150"/>
                          </a:xfrm>
                          <a:prstGeom prst="rect">
                            <a:avLst/>
                          </a:prstGeom>
                          <a:noFill/>
                          <a:ln>
                            <a:noFill/>
                          </a:ln>
                        </pic:spPr>
                      </pic:pic>
                    </a:graphicData>
                  </a:graphic>
                </wp:anchor>
              </w:drawing>
            </w:r>
            <w:r>
              <w:rPr>
                <w:sz w:val="24"/>
              </w:rPr>
              <w:t>调查采样、层次及测试分析方法均按《海洋监测规范》（GB</w:t>
            </w:r>
            <w:r>
              <w:rPr>
                <w:rFonts w:hint="eastAsia"/>
                <w:sz w:val="24"/>
              </w:rPr>
              <w:t xml:space="preserve"> </w:t>
            </w:r>
            <w:r>
              <w:rPr>
                <w:sz w:val="24"/>
              </w:rPr>
              <w:t>17378-2007）、《海洋倾倒区监测技术规程》规定的方法执行。</w:t>
            </w:r>
          </w:p>
          <w:p>
            <w:pPr>
              <w:spacing w:line="360" w:lineRule="auto"/>
              <w:ind w:firstLine="480" w:firstLineChars="200"/>
              <w:rPr>
                <w:sz w:val="24"/>
              </w:rPr>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spacing w:line="360" w:lineRule="auto"/>
              <w:ind w:firstLine="420" w:firstLineChars="200"/>
            </w:pPr>
          </w:p>
          <w:p>
            <w:pPr>
              <w:pStyle w:val="279"/>
              <w:snapToGrid w:val="0"/>
              <w:ind w:firstLine="480"/>
              <w:rPr>
                <w:szCs w:val="21"/>
              </w:rPr>
            </w:pPr>
            <w:r>
              <w:rPr>
                <w:szCs w:val="21"/>
              </w:rPr>
              <w:t>图</w:t>
            </w:r>
            <w:r>
              <w:rPr>
                <w:rFonts w:hint="eastAsia"/>
                <w:szCs w:val="21"/>
              </w:rPr>
              <w:t>4</w:t>
            </w:r>
            <w:r>
              <w:rPr>
                <w:szCs w:val="21"/>
              </w:rPr>
              <w:t>.</w:t>
            </w:r>
            <w:r>
              <w:rPr>
                <w:rFonts w:hint="eastAsia"/>
                <w:szCs w:val="21"/>
              </w:rPr>
              <w:t>2.</w:t>
            </w:r>
            <w:r>
              <w:rPr>
                <w:szCs w:val="21"/>
              </w:rPr>
              <w:t>2调查站位图（2017年5月）</w:t>
            </w:r>
          </w:p>
          <w:p>
            <w:pPr>
              <w:pStyle w:val="279"/>
              <w:snapToGrid w:val="0"/>
              <w:ind w:firstLine="480"/>
              <w:rPr>
                <w:szCs w:val="21"/>
              </w:rPr>
            </w:pPr>
            <w:r>
              <w:rPr>
                <w:szCs w:val="21"/>
              </w:rPr>
              <w:t>表</w:t>
            </w:r>
            <w:r>
              <w:rPr>
                <w:rFonts w:hint="eastAsia"/>
                <w:szCs w:val="21"/>
              </w:rPr>
              <w:t>4</w:t>
            </w:r>
            <w:r>
              <w:rPr>
                <w:szCs w:val="21"/>
              </w:rPr>
              <w:t>.</w:t>
            </w:r>
            <w:r>
              <w:rPr>
                <w:rFonts w:hint="eastAsia"/>
                <w:szCs w:val="21"/>
              </w:rPr>
              <w:t>2.</w:t>
            </w:r>
            <w:r>
              <w:rPr>
                <w:szCs w:val="21"/>
              </w:rPr>
              <w:t>2 调查站位表（2017年5月）</w:t>
            </w:r>
          </w:p>
          <w:tbl>
            <w:tblPr>
              <w:tblStyle w:val="88"/>
              <w:tblW w:w="8269" w:type="dxa"/>
              <w:jc w:val="center"/>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413"/>
              <w:gridCol w:w="2644"/>
              <w:gridCol w:w="2800"/>
              <w:gridCol w:w="1412"/>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站号</w:t>
                  </w:r>
                </w:p>
              </w:tc>
              <w:tc>
                <w:tcPr>
                  <w:tcW w:w="2644" w:type="dxa"/>
                  <w:shd w:val="clear" w:color="auto" w:fill="auto"/>
                  <w:noWrap/>
                  <w:vAlign w:val="center"/>
                </w:tcPr>
                <w:p>
                  <w:pPr>
                    <w:widowControl/>
                    <w:jc w:val="center"/>
                    <w:rPr>
                      <w:kern w:val="0"/>
                      <w:sz w:val="22"/>
                    </w:rPr>
                  </w:pPr>
                  <w:r>
                    <w:rPr>
                      <w:kern w:val="0"/>
                      <w:sz w:val="22"/>
                    </w:rPr>
                    <w:t>纬度</w:t>
                  </w:r>
                </w:p>
              </w:tc>
              <w:tc>
                <w:tcPr>
                  <w:tcW w:w="2800" w:type="dxa"/>
                  <w:shd w:val="clear" w:color="auto" w:fill="auto"/>
                  <w:noWrap/>
                  <w:vAlign w:val="center"/>
                </w:tcPr>
                <w:p>
                  <w:pPr>
                    <w:widowControl/>
                    <w:jc w:val="center"/>
                    <w:rPr>
                      <w:kern w:val="0"/>
                      <w:sz w:val="22"/>
                    </w:rPr>
                  </w:pPr>
                  <w:r>
                    <w:rPr>
                      <w:kern w:val="0"/>
                      <w:sz w:val="22"/>
                    </w:rPr>
                    <w:t>经度</w:t>
                  </w:r>
                </w:p>
              </w:tc>
              <w:tc>
                <w:tcPr>
                  <w:tcW w:w="1412" w:type="dxa"/>
                  <w:shd w:val="clear" w:color="auto" w:fill="auto"/>
                  <w:noWrap/>
                  <w:vAlign w:val="center"/>
                </w:tcPr>
                <w:p>
                  <w:pPr>
                    <w:widowControl/>
                    <w:jc w:val="center"/>
                    <w:rPr>
                      <w:kern w:val="0"/>
                      <w:sz w:val="22"/>
                    </w:rPr>
                  </w:pPr>
                  <w:r>
                    <w:rPr>
                      <w:kern w:val="0"/>
                      <w:sz w:val="22"/>
                    </w:rPr>
                    <w:t>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w:t>
                  </w:r>
                </w:p>
              </w:tc>
              <w:tc>
                <w:tcPr>
                  <w:tcW w:w="2644" w:type="dxa"/>
                  <w:shd w:val="clear" w:color="auto" w:fill="auto"/>
                  <w:noWrap/>
                  <w:vAlign w:val="center"/>
                </w:tcPr>
                <w:p>
                  <w:pPr>
                    <w:widowControl/>
                    <w:jc w:val="center"/>
                    <w:rPr>
                      <w:kern w:val="0"/>
                      <w:sz w:val="22"/>
                    </w:rPr>
                  </w:pPr>
                  <w:r>
                    <w:rPr>
                      <w:kern w:val="0"/>
                      <w:sz w:val="22"/>
                    </w:rPr>
                    <w:t>37°37′06.00″</w:t>
                  </w:r>
                </w:p>
              </w:tc>
              <w:tc>
                <w:tcPr>
                  <w:tcW w:w="2800" w:type="dxa"/>
                  <w:shd w:val="clear" w:color="auto" w:fill="auto"/>
                  <w:noWrap/>
                  <w:vAlign w:val="center"/>
                </w:tcPr>
                <w:p>
                  <w:pPr>
                    <w:widowControl/>
                    <w:jc w:val="center"/>
                    <w:rPr>
                      <w:kern w:val="0"/>
                      <w:sz w:val="22"/>
                    </w:rPr>
                  </w:pPr>
                  <w:r>
                    <w:rPr>
                      <w:kern w:val="0"/>
                      <w:sz w:val="22"/>
                    </w:rPr>
                    <w:t>122°11′58.00″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D2</w:t>
                  </w:r>
                </w:p>
              </w:tc>
              <w:tc>
                <w:tcPr>
                  <w:tcW w:w="2644" w:type="dxa"/>
                  <w:shd w:val="clear" w:color="auto" w:fill="auto"/>
                  <w:noWrap/>
                  <w:vAlign w:val="center"/>
                </w:tcPr>
                <w:p>
                  <w:pPr>
                    <w:widowControl/>
                    <w:jc w:val="center"/>
                    <w:rPr>
                      <w:kern w:val="0"/>
                      <w:sz w:val="22"/>
                    </w:rPr>
                  </w:pPr>
                  <w:r>
                    <w:rPr>
                      <w:kern w:val="0"/>
                      <w:sz w:val="22"/>
                    </w:rPr>
                    <w:t>37°34′48.00″</w:t>
                  </w:r>
                </w:p>
              </w:tc>
              <w:tc>
                <w:tcPr>
                  <w:tcW w:w="2800" w:type="dxa"/>
                  <w:shd w:val="clear" w:color="auto" w:fill="auto"/>
                  <w:noWrap/>
                  <w:vAlign w:val="center"/>
                </w:tcPr>
                <w:p>
                  <w:pPr>
                    <w:widowControl/>
                    <w:jc w:val="center"/>
                    <w:rPr>
                      <w:kern w:val="0"/>
                      <w:sz w:val="22"/>
                    </w:rPr>
                  </w:pPr>
                  <w:r>
                    <w:rPr>
                      <w:kern w:val="0"/>
                      <w:sz w:val="22"/>
                    </w:rPr>
                    <w:t>122°08′52.00″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D3</w:t>
                  </w:r>
                </w:p>
              </w:tc>
              <w:tc>
                <w:tcPr>
                  <w:tcW w:w="2644" w:type="dxa"/>
                  <w:shd w:val="clear" w:color="auto" w:fill="auto"/>
                  <w:noWrap/>
                  <w:vAlign w:val="center"/>
                </w:tcPr>
                <w:p>
                  <w:pPr>
                    <w:widowControl/>
                    <w:jc w:val="center"/>
                    <w:rPr>
                      <w:kern w:val="0"/>
                      <w:sz w:val="22"/>
                    </w:rPr>
                  </w:pPr>
                  <w:r>
                    <w:rPr>
                      <w:kern w:val="0"/>
                      <w:sz w:val="22"/>
                    </w:rPr>
                    <w:t>37°34′29.40″</w:t>
                  </w:r>
                </w:p>
              </w:tc>
              <w:tc>
                <w:tcPr>
                  <w:tcW w:w="2800" w:type="dxa"/>
                  <w:shd w:val="clear" w:color="auto" w:fill="auto"/>
                  <w:noWrap/>
                  <w:vAlign w:val="center"/>
                </w:tcPr>
                <w:p>
                  <w:pPr>
                    <w:widowControl/>
                    <w:jc w:val="center"/>
                    <w:rPr>
                      <w:kern w:val="0"/>
                      <w:sz w:val="22"/>
                    </w:rPr>
                  </w:pPr>
                  <w:r>
                    <w:rPr>
                      <w:kern w:val="0"/>
                      <w:sz w:val="22"/>
                    </w:rPr>
                    <w:t>122°07′20.59″</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D4</w:t>
                  </w:r>
                </w:p>
              </w:tc>
              <w:tc>
                <w:tcPr>
                  <w:tcW w:w="2644" w:type="dxa"/>
                  <w:shd w:val="clear" w:color="auto" w:fill="auto"/>
                  <w:noWrap/>
                  <w:vAlign w:val="center"/>
                </w:tcPr>
                <w:p>
                  <w:pPr>
                    <w:widowControl/>
                    <w:jc w:val="center"/>
                    <w:rPr>
                      <w:kern w:val="0"/>
                      <w:sz w:val="22"/>
                    </w:rPr>
                  </w:pPr>
                  <w:r>
                    <w:rPr>
                      <w:kern w:val="0"/>
                      <w:sz w:val="22"/>
                    </w:rPr>
                    <w:t>37°34′40.00″</w:t>
                  </w:r>
                </w:p>
              </w:tc>
              <w:tc>
                <w:tcPr>
                  <w:tcW w:w="2800" w:type="dxa"/>
                  <w:shd w:val="clear" w:color="auto" w:fill="auto"/>
                  <w:noWrap/>
                  <w:vAlign w:val="center"/>
                </w:tcPr>
                <w:p>
                  <w:pPr>
                    <w:widowControl/>
                    <w:jc w:val="center"/>
                    <w:rPr>
                      <w:kern w:val="0"/>
                      <w:sz w:val="22"/>
                    </w:rPr>
                  </w:pPr>
                  <w:r>
                    <w:rPr>
                      <w:kern w:val="0"/>
                      <w:sz w:val="22"/>
                    </w:rPr>
                    <w:t>122°05′59.00″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D5</w:t>
                  </w:r>
                </w:p>
              </w:tc>
              <w:tc>
                <w:tcPr>
                  <w:tcW w:w="2644" w:type="dxa"/>
                  <w:shd w:val="clear" w:color="auto" w:fill="auto"/>
                  <w:noWrap/>
                  <w:vAlign w:val="center"/>
                </w:tcPr>
                <w:p>
                  <w:pPr>
                    <w:widowControl/>
                    <w:jc w:val="center"/>
                    <w:rPr>
                      <w:kern w:val="0"/>
                      <w:sz w:val="22"/>
                    </w:rPr>
                  </w:pPr>
                  <w:r>
                    <w:rPr>
                      <w:kern w:val="0"/>
                      <w:sz w:val="22"/>
                    </w:rPr>
                    <w:t>37°33′17.52″</w:t>
                  </w:r>
                </w:p>
              </w:tc>
              <w:tc>
                <w:tcPr>
                  <w:tcW w:w="2800" w:type="dxa"/>
                  <w:shd w:val="clear" w:color="auto" w:fill="auto"/>
                  <w:noWrap/>
                  <w:vAlign w:val="center"/>
                </w:tcPr>
                <w:p>
                  <w:pPr>
                    <w:widowControl/>
                    <w:jc w:val="center"/>
                    <w:rPr>
                      <w:kern w:val="0"/>
                      <w:sz w:val="22"/>
                    </w:rPr>
                  </w:pPr>
                  <w:r>
                    <w:rPr>
                      <w:kern w:val="0"/>
                      <w:sz w:val="22"/>
                    </w:rPr>
                    <w:t>122°06′03.52″</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D6</w:t>
                  </w:r>
                </w:p>
              </w:tc>
              <w:tc>
                <w:tcPr>
                  <w:tcW w:w="2644" w:type="dxa"/>
                  <w:shd w:val="clear" w:color="auto" w:fill="auto"/>
                  <w:noWrap/>
                  <w:vAlign w:val="center"/>
                </w:tcPr>
                <w:p>
                  <w:pPr>
                    <w:widowControl/>
                    <w:jc w:val="center"/>
                    <w:rPr>
                      <w:kern w:val="0"/>
                      <w:sz w:val="22"/>
                    </w:rPr>
                  </w:pPr>
                  <w:r>
                    <w:rPr>
                      <w:kern w:val="0"/>
                      <w:sz w:val="22"/>
                    </w:rPr>
                    <w:t>37°35′59.87″</w:t>
                  </w:r>
                </w:p>
              </w:tc>
              <w:tc>
                <w:tcPr>
                  <w:tcW w:w="2800" w:type="dxa"/>
                  <w:shd w:val="clear" w:color="auto" w:fill="auto"/>
                  <w:noWrap/>
                  <w:vAlign w:val="center"/>
                </w:tcPr>
                <w:p>
                  <w:pPr>
                    <w:widowControl/>
                    <w:jc w:val="center"/>
                    <w:rPr>
                      <w:kern w:val="0"/>
                      <w:sz w:val="22"/>
                    </w:rPr>
                  </w:pPr>
                  <w:r>
                    <w:rPr>
                      <w:kern w:val="0"/>
                      <w:sz w:val="22"/>
                    </w:rPr>
                    <w:t>122°18′00.35″</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D7</w:t>
                  </w:r>
                </w:p>
              </w:tc>
              <w:tc>
                <w:tcPr>
                  <w:tcW w:w="2644" w:type="dxa"/>
                  <w:shd w:val="clear" w:color="auto" w:fill="auto"/>
                  <w:noWrap/>
                  <w:vAlign w:val="center"/>
                </w:tcPr>
                <w:p>
                  <w:pPr>
                    <w:widowControl/>
                    <w:jc w:val="center"/>
                    <w:rPr>
                      <w:kern w:val="0"/>
                      <w:sz w:val="22"/>
                    </w:rPr>
                  </w:pPr>
                  <w:r>
                    <w:rPr>
                      <w:kern w:val="0"/>
                      <w:sz w:val="22"/>
                    </w:rPr>
                    <w:t>37°31′48.98″</w:t>
                  </w:r>
                </w:p>
              </w:tc>
              <w:tc>
                <w:tcPr>
                  <w:tcW w:w="2800" w:type="dxa"/>
                  <w:shd w:val="clear" w:color="auto" w:fill="auto"/>
                  <w:noWrap/>
                  <w:vAlign w:val="center"/>
                </w:tcPr>
                <w:p>
                  <w:pPr>
                    <w:widowControl/>
                    <w:jc w:val="center"/>
                    <w:rPr>
                      <w:kern w:val="0"/>
                      <w:sz w:val="22"/>
                    </w:rPr>
                  </w:pPr>
                  <w:r>
                    <w:rPr>
                      <w:kern w:val="0"/>
                      <w:sz w:val="22"/>
                    </w:rPr>
                    <w:t>122°19′14.57″</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D8</w:t>
                  </w:r>
                </w:p>
              </w:tc>
              <w:tc>
                <w:tcPr>
                  <w:tcW w:w="2644" w:type="dxa"/>
                  <w:shd w:val="clear" w:color="auto" w:fill="auto"/>
                  <w:noWrap/>
                  <w:vAlign w:val="center"/>
                </w:tcPr>
                <w:p>
                  <w:pPr>
                    <w:widowControl/>
                    <w:jc w:val="center"/>
                    <w:rPr>
                      <w:kern w:val="0"/>
                      <w:sz w:val="22"/>
                    </w:rPr>
                  </w:pPr>
                  <w:r>
                    <w:rPr>
                      <w:kern w:val="0"/>
                      <w:sz w:val="22"/>
                    </w:rPr>
                    <w:t>37°28′12.00″</w:t>
                  </w:r>
                </w:p>
              </w:tc>
              <w:tc>
                <w:tcPr>
                  <w:tcW w:w="2800" w:type="dxa"/>
                  <w:shd w:val="clear" w:color="auto" w:fill="auto"/>
                  <w:noWrap/>
                  <w:vAlign w:val="center"/>
                </w:tcPr>
                <w:p>
                  <w:pPr>
                    <w:widowControl/>
                    <w:jc w:val="center"/>
                    <w:rPr>
                      <w:kern w:val="0"/>
                      <w:sz w:val="22"/>
                    </w:rPr>
                  </w:pPr>
                  <w:r>
                    <w:rPr>
                      <w:kern w:val="0"/>
                      <w:sz w:val="22"/>
                    </w:rPr>
                    <w:t>122°16′04.00″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D9</w:t>
                  </w:r>
                </w:p>
              </w:tc>
              <w:tc>
                <w:tcPr>
                  <w:tcW w:w="2644" w:type="dxa"/>
                  <w:shd w:val="clear" w:color="auto" w:fill="auto"/>
                  <w:noWrap/>
                  <w:vAlign w:val="center"/>
                </w:tcPr>
                <w:p>
                  <w:pPr>
                    <w:widowControl/>
                    <w:jc w:val="center"/>
                    <w:rPr>
                      <w:kern w:val="0"/>
                      <w:sz w:val="22"/>
                    </w:rPr>
                  </w:pPr>
                  <w:r>
                    <w:rPr>
                      <w:kern w:val="0"/>
                      <w:sz w:val="22"/>
                    </w:rPr>
                    <w:t>37°28′11.00″</w:t>
                  </w:r>
                </w:p>
              </w:tc>
              <w:tc>
                <w:tcPr>
                  <w:tcW w:w="2800" w:type="dxa"/>
                  <w:shd w:val="clear" w:color="auto" w:fill="auto"/>
                  <w:noWrap/>
                  <w:vAlign w:val="center"/>
                </w:tcPr>
                <w:p>
                  <w:pPr>
                    <w:widowControl/>
                    <w:jc w:val="center"/>
                    <w:rPr>
                      <w:kern w:val="0"/>
                      <w:sz w:val="22"/>
                    </w:rPr>
                  </w:pPr>
                  <w:r>
                    <w:rPr>
                      <w:kern w:val="0"/>
                      <w:sz w:val="22"/>
                    </w:rPr>
                    <w:t>122°19′12.00″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D10</w:t>
                  </w:r>
                </w:p>
              </w:tc>
              <w:tc>
                <w:tcPr>
                  <w:tcW w:w="2644" w:type="dxa"/>
                  <w:shd w:val="clear" w:color="auto" w:fill="auto"/>
                  <w:noWrap/>
                  <w:vAlign w:val="center"/>
                </w:tcPr>
                <w:p>
                  <w:pPr>
                    <w:widowControl/>
                    <w:jc w:val="center"/>
                    <w:rPr>
                      <w:kern w:val="0"/>
                      <w:sz w:val="22"/>
                    </w:rPr>
                  </w:pPr>
                  <w:r>
                    <w:rPr>
                      <w:kern w:val="0"/>
                      <w:sz w:val="22"/>
                    </w:rPr>
                    <w:t>37°27′04.00″</w:t>
                  </w:r>
                </w:p>
              </w:tc>
              <w:tc>
                <w:tcPr>
                  <w:tcW w:w="2800" w:type="dxa"/>
                  <w:shd w:val="clear" w:color="auto" w:fill="auto"/>
                  <w:noWrap/>
                  <w:vAlign w:val="center"/>
                </w:tcPr>
                <w:p>
                  <w:pPr>
                    <w:widowControl/>
                    <w:jc w:val="center"/>
                    <w:rPr>
                      <w:kern w:val="0"/>
                      <w:sz w:val="22"/>
                    </w:rPr>
                  </w:pPr>
                  <w:r>
                    <w:rPr>
                      <w:kern w:val="0"/>
                      <w:sz w:val="22"/>
                    </w:rPr>
                    <w:t>122°20′59.00″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D11</w:t>
                  </w:r>
                </w:p>
              </w:tc>
              <w:tc>
                <w:tcPr>
                  <w:tcW w:w="2644" w:type="dxa"/>
                  <w:shd w:val="clear" w:color="auto" w:fill="auto"/>
                  <w:noWrap/>
                  <w:vAlign w:val="center"/>
                </w:tcPr>
                <w:p>
                  <w:pPr>
                    <w:widowControl/>
                    <w:jc w:val="center"/>
                    <w:rPr>
                      <w:kern w:val="0"/>
                      <w:sz w:val="22"/>
                    </w:rPr>
                  </w:pPr>
                  <w:r>
                    <w:rPr>
                      <w:kern w:val="0"/>
                      <w:sz w:val="22"/>
                    </w:rPr>
                    <w:t>37°25′56.02″</w:t>
                  </w:r>
                </w:p>
              </w:tc>
              <w:tc>
                <w:tcPr>
                  <w:tcW w:w="2800" w:type="dxa"/>
                  <w:shd w:val="clear" w:color="auto" w:fill="auto"/>
                  <w:noWrap/>
                  <w:vAlign w:val="center"/>
                </w:tcPr>
                <w:p>
                  <w:pPr>
                    <w:widowControl/>
                    <w:jc w:val="center"/>
                    <w:rPr>
                      <w:kern w:val="0"/>
                      <w:sz w:val="22"/>
                    </w:rPr>
                  </w:pPr>
                  <w:r>
                    <w:rPr>
                      <w:kern w:val="0"/>
                      <w:sz w:val="22"/>
                    </w:rPr>
                    <w:t>122°17′11.52″</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D12</w:t>
                  </w:r>
                </w:p>
              </w:tc>
              <w:tc>
                <w:tcPr>
                  <w:tcW w:w="2644" w:type="dxa"/>
                  <w:shd w:val="clear" w:color="auto" w:fill="auto"/>
                  <w:noWrap/>
                  <w:vAlign w:val="center"/>
                </w:tcPr>
                <w:p>
                  <w:pPr>
                    <w:widowControl/>
                    <w:jc w:val="center"/>
                    <w:rPr>
                      <w:kern w:val="0"/>
                      <w:sz w:val="22"/>
                    </w:rPr>
                  </w:pPr>
                  <w:r>
                    <w:rPr>
                      <w:kern w:val="0"/>
                      <w:sz w:val="22"/>
                    </w:rPr>
                    <w:t>37°28′42.00″</w:t>
                  </w:r>
                </w:p>
              </w:tc>
              <w:tc>
                <w:tcPr>
                  <w:tcW w:w="2800" w:type="dxa"/>
                  <w:shd w:val="clear" w:color="auto" w:fill="auto"/>
                  <w:noWrap/>
                  <w:vAlign w:val="center"/>
                </w:tcPr>
                <w:p>
                  <w:pPr>
                    <w:widowControl/>
                    <w:jc w:val="center"/>
                    <w:rPr>
                      <w:kern w:val="0"/>
                      <w:sz w:val="22"/>
                    </w:rPr>
                  </w:pPr>
                  <w:r>
                    <w:rPr>
                      <w:kern w:val="0"/>
                      <w:sz w:val="22"/>
                    </w:rPr>
                    <w:t>122°13′08.00″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D13</w:t>
                  </w:r>
                </w:p>
              </w:tc>
              <w:tc>
                <w:tcPr>
                  <w:tcW w:w="2644" w:type="dxa"/>
                  <w:shd w:val="clear" w:color="auto" w:fill="auto"/>
                  <w:noWrap/>
                  <w:vAlign w:val="center"/>
                </w:tcPr>
                <w:p>
                  <w:pPr>
                    <w:widowControl/>
                    <w:jc w:val="center"/>
                    <w:rPr>
                      <w:kern w:val="0"/>
                      <w:sz w:val="22"/>
                    </w:rPr>
                  </w:pPr>
                  <w:r>
                    <w:rPr>
                      <w:kern w:val="0"/>
                      <w:sz w:val="22"/>
                    </w:rPr>
                    <w:t>37°28′48.00″</w:t>
                  </w:r>
                </w:p>
              </w:tc>
              <w:tc>
                <w:tcPr>
                  <w:tcW w:w="2800" w:type="dxa"/>
                  <w:shd w:val="clear" w:color="auto" w:fill="auto"/>
                  <w:noWrap/>
                  <w:vAlign w:val="center"/>
                </w:tcPr>
                <w:p>
                  <w:pPr>
                    <w:widowControl/>
                    <w:jc w:val="center"/>
                    <w:rPr>
                      <w:kern w:val="0"/>
                      <w:sz w:val="22"/>
                    </w:rPr>
                  </w:pPr>
                  <w:r>
                    <w:rPr>
                      <w:kern w:val="0"/>
                      <w:sz w:val="22"/>
                    </w:rPr>
                    <w:t>122°15′00.00″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D14</w:t>
                  </w:r>
                </w:p>
              </w:tc>
              <w:tc>
                <w:tcPr>
                  <w:tcW w:w="2644" w:type="dxa"/>
                  <w:shd w:val="clear" w:color="auto" w:fill="auto"/>
                  <w:noWrap/>
                  <w:vAlign w:val="center"/>
                </w:tcPr>
                <w:p>
                  <w:pPr>
                    <w:widowControl/>
                    <w:jc w:val="center"/>
                    <w:rPr>
                      <w:kern w:val="0"/>
                      <w:sz w:val="22"/>
                    </w:rPr>
                  </w:pPr>
                  <w:r>
                    <w:rPr>
                      <w:kern w:val="0"/>
                      <w:sz w:val="22"/>
                    </w:rPr>
                    <w:t>37°30′04.00″</w:t>
                  </w:r>
                </w:p>
              </w:tc>
              <w:tc>
                <w:tcPr>
                  <w:tcW w:w="2800" w:type="dxa"/>
                  <w:shd w:val="clear" w:color="auto" w:fill="auto"/>
                  <w:noWrap/>
                  <w:vAlign w:val="center"/>
                </w:tcPr>
                <w:p>
                  <w:pPr>
                    <w:widowControl/>
                    <w:jc w:val="center"/>
                    <w:rPr>
                      <w:kern w:val="0"/>
                      <w:sz w:val="22"/>
                    </w:rPr>
                  </w:pPr>
                  <w:r>
                    <w:rPr>
                      <w:kern w:val="0"/>
                      <w:sz w:val="22"/>
                    </w:rPr>
                    <w:t>122°16′48.00″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D15</w:t>
                  </w:r>
                </w:p>
              </w:tc>
              <w:tc>
                <w:tcPr>
                  <w:tcW w:w="2644" w:type="dxa"/>
                  <w:shd w:val="clear" w:color="auto" w:fill="auto"/>
                  <w:noWrap/>
                  <w:vAlign w:val="center"/>
                </w:tcPr>
                <w:p>
                  <w:pPr>
                    <w:widowControl/>
                    <w:jc w:val="center"/>
                    <w:rPr>
                      <w:kern w:val="0"/>
                      <w:sz w:val="22"/>
                    </w:rPr>
                  </w:pPr>
                  <w:r>
                    <w:rPr>
                      <w:kern w:val="0"/>
                      <w:sz w:val="22"/>
                    </w:rPr>
                    <w:t>37°33′02.00″</w:t>
                  </w:r>
                </w:p>
              </w:tc>
              <w:tc>
                <w:tcPr>
                  <w:tcW w:w="2800" w:type="dxa"/>
                  <w:shd w:val="clear" w:color="auto" w:fill="auto"/>
                  <w:noWrap/>
                  <w:vAlign w:val="center"/>
                </w:tcPr>
                <w:p>
                  <w:pPr>
                    <w:widowControl/>
                    <w:jc w:val="center"/>
                    <w:rPr>
                      <w:kern w:val="0"/>
                      <w:sz w:val="22"/>
                    </w:rPr>
                  </w:pPr>
                  <w:r>
                    <w:rPr>
                      <w:kern w:val="0"/>
                      <w:sz w:val="22"/>
                    </w:rPr>
                    <w:t>122°15′00.00″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D16</w:t>
                  </w:r>
                </w:p>
              </w:tc>
              <w:tc>
                <w:tcPr>
                  <w:tcW w:w="2644" w:type="dxa"/>
                  <w:shd w:val="clear" w:color="auto" w:fill="auto"/>
                  <w:noWrap/>
                  <w:vAlign w:val="center"/>
                </w:tcPr>
                <w:p>
                  <w:pPr>
                    <w:widowControl/>
                    <w:jc w:val="center"/>
                    <w:rPr>
                      <w:kern w:val="0"/>
                      <w:sz w:val="22"/>
                    </w:rPr>
                  </w:pPr>
                  <w:r>
                    <w:rPr>
                      <w:kern w:val="0"/>
                      <w:sz w:val="22"/>
                    </w:rPr>
                    <w:t>37°32′58.00″</w:t>
                  </w:r>
                </w:p>
              </w:tc>
              <w:tc>
                <w:tcPr>
                  <w:tcW w:w="2800" w:type="dxa"/>
                  <w:shd w:val="clear" w:color="auto" w:fill="auto"/>
                  <w:noWrap/>
                  <w:vAlign w:val="center"/>
                </w:tcPr>
                <w:p>
                  <w:pPr>
                    <w:widowControl/>
                    <w:jc w:val="center"/>
                    <w:rPr>
                      <w:kern w:val="0"/>
                      <w:sz w:val="22"/>
                    </w:rPr>
                  </w:pPr>
                  <w:r>
                    <w:rPr>
                      <w:kern w:val="0"/>
                      <w:sz w:val="22"/>
                    </w:rPr>
                    <w:t>122°12′03.00″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D17</w:t>
                  </w:r>
                </w:p>
              </w:tc>
              <w:tc>
                <w:tcPr>
                  <w:tcW w:w="2644" w:type="dxa"/>
                  <w:shd w:val="clear" w:color="auto" w:fill="auto"/>
                  <w:noWrap/>
                  <w:vAlign w:val="center"/>
                </w:tcPr>
                <w:p>
                  <w:pPr>
                    <w:widowControl/>
                    <w:jc w:val="center"/>
                    <w:rPr>
                      <w:kern w:val="0"/>
                      <w:sz w:val="22"/>
                    </w:rPr>
                  </w:pPr>
                  <w:r>
                    <w:rPr>
                      <w:kern w:val="0"/>
                      <w:sz w:val="22"/>
                    </w:rPr>
                    <w:t>37°32′57.55″</w:t>
                  </w:r>
                </w:p>
              </w:tc>
              <w:tc>
                <w:tcPr>
                  <w:tcW w:w="2800" w:type="dxa"/>
                  <w:shd w:val="clear" w:color="auto" w:fill="auto"/>
                  <w:noWrap/>
                  <w:vAlign w:val="center"/>
                </w:tcPr>
                <w:p>
                  <w:pPr>
                    <w:widowControl/>
                    <w:jc w:val="center"/>
                    <w:rPr>
                      <w:kern w:val="0"/>
                      <w:sz w:val="22"/>
                    </w:rPr>
                  </w:pPr>
                  <w:r>
                    <w:rPr>
                      <w:kern w:val="0"/>
                      <w:sz w:val="22"/>
                    </w:rPr>
                    <w:t>122°09′27.28″</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D18</w:t>
                  </w:r>
                </w:p>
              </w:tc>
              <w:tc>
                <w:tcPr>
                  <w:tcW w:w="2644" w:type="dxa"/>
                  <w:shd w:val="clear" w:color="auto" w:fill="auto"/>
                  <w:noWrap/>
                  <w:vAlign w:val="center"/>
                </w:tcPr>
                <w:p>
                  <w:pPr>
                    <w:widowControl/>
                    <w:jc w:val="center"/>
                    <w:rPr>
                      <w:kern w:val="0"/>
                      <w:sz w:val="22"/>
                    </w:rPr>
                  </w:pPr>
                  <w:r>
                    <w:rPr>
                      <w:kern w:val="0"/>
                      <w:sz w:val="22"/>
                    </w:rPr>
                    <w:t>37°31′44.00″</w:t>
                  </w:r>
                </w:p>
              </w:tc>
              <w:tc>
                <w:tcPr>
                  <w:tcW w:w="2800" w:type="dxa"/>
                  <w:shd w:val="clear" w:color="auto" w:fill="auto"/>
                  <w:noWrap/>
                  <w:vAlign w:val="center"/>
                </w:tcPr>
                <w:p>
                  <w:pPr>
                    <w:widowControl/>
                    <w:jc w:val="center"/>
                    <w:rPr>
                      <w:kern w:val="0"/>
                      <w:sz w:val="22"/>
                    </w:rPr>
                  </w:pPr>
                  <w:r>
                    <w:rPr>
                      <w:kern w:val="0"/>
                      <w:sz w:val="22"/>
                    </w:rPr>
                    <w:t>122°10′08.00″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D19</w:t>
                  </w:r>
                </w:p>
              </w:tc>
              <w:tc>
                <w:tcPr>
                  <w:tcW w:w="2644" w:type="dxa"/>
                  <w:shd w:val="clear" w:color="auto" w:fill="auto"/>
                  <w:noWrap/>
                  <w:vAlign w:val="center"/>
                </w:tcPr>
                <w:p>
                  <w:pPr>
                    <w:widowControl/>
                    <w:jc w:val="center"/>
                    <w:rPr>
                      <w:kern w:val="0"/>
                      <w:sz w:val="22"/>
                    </w:rPr>
                  </w:pPr>
                  <w:r>
                    <w:rPr>
                      <w:kern w:val="0"/>
                      <w:sz w:val="22"/>
                    </w:rPr>
                    <w:t>37°31′12.00″</w:t>
                  </w:r>
                </w:p>
              </w:tc>
              <w:tc>
                <w:tcPr>
                  <w:tcW w:w="2800" w:type="dxa"/>
                  <w:shd w:val="clear" w:color="auto" w:fill="auto"/>
                  <w:noWrap/>
                  <w:vAlign w:val="center"/>
                </w:tcPr>
                <w:p>
                  <w:pPr>
                    <w:widowControl/>
                    <w:jc w:val="center"/>
                    <w:rPr>
                      <w:kern w:val="0"/>
                      <w:sz w:val="22"/>
                    </w:rPr>
                  </w:pPr>
                  <w:r>
                    <w:rPr>
                      <w:kern w:val="0"/>
                      <w:sz w:val="22"/>
                    </w:rPr>
                    <w:t>122°11′58.00″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D20</w:t>
                  </w:r>
                </w:p>
              </w:tc>
              <w:tc>
                <w:tcPr>
                  <w:tcW w:w="2644" w:type="dxa"/>
                  <w:shd w:val="clear" w:color="auto" w:fill="auto"/>
                  <w:noWrap/>
                  <w:vAlign w:val="center"/>
                </w:tcPr>
                <w:p>
                  <w:pPr>
                    <w:widowControl/>
                    <w:jc w:val="center"/>
                    <w:rPr>
                      <w:kern w:val="0"/>
                      <w:sz w:val="22"/>
                    </w:rPr>
                  </w:pPr>
                  <w:r>
                    <w:rPr>
                      <w:kern w:val="0"/>
                      <w:sz w:val="22"/>
                    </w:rPr>
                    <w:t>37°31′09.00″</w:t>
                  </w:r>
                </w:p>
              </w:tc>
              <w:tc>
                <w:tcPr>
                  <w:tcW w:w="2800" w:type="dxa"/>
                  <w:shd w:val="clear" w:color="auto" w:fill="auto"/>
                  <w:noWrap/>
                  <w:vAlign w:val="center"/>
                </w:tcPr>
                <w:p>
                  <w:pPr>
                    <w:widowControl/>
                    <w:jc w:val="center"/>
                    <w:rPr>
                      <w:kern w:val="0"/>
                      <w:sz w:val="22"/>
                    </w:rPr>
                  </w:pPr>
                  <w:r>
                    <w:rPr>
                      <w:kern w:val="0"/>
                      <w:sz w:val="22"/>
                    </w:rPr>
                    <w:t>122°10′12.00″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D21</w:t>
                  </w:r>
                </w:p>
              </w:tc>
              <w:tc>
                <w:tcPr>
                  <w:tcW w:w="2644" w:type="dxa"/>
                  <w:shd w:val="clear" w:color="auto" w:fill="auto"/>
                  <w:noWrap/>
                  <w:vAlign w:val="center"/>
                </w:tcPr>
                <w:p>
                  <w:pPr>
                    <w:widowControl/>
                    <w:jc w:val="center"/>
                    <w:rPr>
                      <w:kern w:val="0"/>
                      <w:sz w:val="22"/>
                    </w:rPr>
                  </w:pPr>
                  <w:r>
                    <w:rPr>
                      <w:kern w:val="0"/>
                      <w:sz w:val="22"/>
                    </w:rPr>
                    <w:t>37°30′02.00″</w:t>
                  </w:r>
                </w:p>
              </w:tc>
              <w:tc>
                <w:tcPr>
                  <w:tcW w:w="2800" w:type="dxa"/>
                  <w:shd w:val="clear" w:color="auto" w:fill="auto"/>
                  <w:noWrap/>
                  <w:vAlign w:val="center"/>
                </w:tcPr>
                <w:p>
                  <w:pPr>
                    <w:widowControl/>
                    <w:jc w:val="center"/>
                    <w:rPr>
                      <w:kern w:val="0"/>
                      <w:sz w:val="22"/>
                    </w:rPr>
                  </w:pPr>
                  <w:r>
                    <w:rPr>
                      <w:kern w:val="0"/>
                      <w:sz w:val="22"/>
                    </w:rPr>
                    <w:t>122°09′00.00″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D22</w:t>
                  </w:r>
                </w:p>
              </w:tc>
              <w:tc>
                <w:tcPr>
                  <w:tcW w:w="2644" w:type="dxa"/>
                  <w:shd w:val="clear" w:color="auto" w:fill="auto"/>
                  <w:noWrap/>
                  <w:vAlign w:val="center"/>
                </w:tcPr>
                <w:p>
                  <w:pPr>
                    <w:widowControl/>
                    <w:jc w:val="center"/>
                    <w:rPr>
                      <w:kern w:val="0"/>
                      <w:sz w:val="22"/>
                    </w:rPr>
                  </w:pPr>
                  <w:r>
                    <w:rPr>
                      <w:kern w:val="0"/>
                      <w:sz w:val="22"/>
                    </w:rPr>
                    <w:t>37°28′50.00″</w:t>
                  </w:r>
                </w:p>
              </w:tc>
              <w:tc>
                <w:tcPr>
                  <w:tcW w:w="2800" w:type="dxa"/>
                  <w:shd w:val="clear" w:color="auto" w:fill="auto"/>
                  <w:noWrap/>
                  <w:vAlign w:val="center"/>
                </w:tcPr>
                <w:p>
                  <w:pPr>
                    <w:widowControl/>
                    <w:jc w:val="center"/>
                    <w:rPr>
                      <w:kern w:val="0"/>
                      <w:sz w:val="22"/>
                    </w:rPr>
                  </w:pPr>
                  <w:r>
                    <w:rPr>
                      <w:kern w:val="0"/>
                      <w:sz w:val="22"/>
                    </w:rPr>
                    <w:t>122°10′48.00″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D23</w:t>
                  </w:r>
                </w:p>
              </w:tc>
              <w:tc>
                <w:tcPr>
                  <w:tcW w:w="2644" w:type="dxa"/>
                  <w:shd w:val="clear" w:color="auto" w:fill="auto"/>
                  <w:noWrap/>
                  <w:vAlign w:val="center"/>
                </w:tcPr>
                <w:p>
                  <w:pPr>
                    <w:widowControl/>
                    <w:jc w:val="center"/>
                    <w:rPr>
                      <w:kern w:val="0"/>
                      <w:sz w:val="22"/>
                    </w:rPr>
                  </w:pPr>
                  <w:r>
                    <w:rPr>
                      <w:kern w:val="0"/>
                      <w:sz w:val="22"/>
                    </w:rPr>
                    <w:t>37°28′07.00″</w:t>
                  </w:r>
                </w:p>
              </w:tc>
              <w:tc>
                <w:tcPr>
                  <w:tcW w:w="2800" w:type="dxa"/>
                  <w:shd w:val="clear" w:color="auto" w:fill="auto"/>
                  <w:noWrap/>
                  <w:vAlign w:val="center"/>
                </w:tcPr>
                <w:p>
                  <w:pPr>
                    <w:widowControl/>
                    <w:jc w:val="center"/>
                    <w:rPr>
                      <w:kern w:val="0"/>
                      <w:sz w:val="22"/>
                    </w:rPr>
                  </w:pPr>
                  <w:r>
                    <w:rPr>
                      <w:kern w:val="0"/>
                      <w:sz w:val="22"/>
                    </w:rPr>
                    <w:t>122°10′14.00″</w:t>
                  </w:r>
                </w:p>
              </w:tc>
              <w:tc>
                <w:tcPr>
                  <w:tcW w:w="1412" w:type="dxa"/>
                  <w:shd w:val="clear" w:color="auto" w:fill="auto"/>
                  <w:noWrap/>
                  <w:vAlign w:val="center"/>
                </w:tcPr>
                <w:p>
                  <w:pPr>
                    <w:widowControl/>
                    <w:jc w:val="center"/>
                    <w:rPr>
                      <w:kern w:val="0"/>
                      <w:sz w:val="22"/>
                    </w:rPr>
                  </w:pPr>
                  <w:r>
                    <w:rPr>
                      <w:kern w:val="0"/>
                      <w:sz w:val="22"/>
                    </w:rPr>
                    <w:t>水质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15" w:hRule="atLeast"/>
                <w:jc w:val="center"/>
              </w:trPr>
              <w:tc>
                <w:tcPr>
                  <w:tcW w:w="1413" w:type="dxa"/>
                  <w:shd w:val="clear" w:color="auto" w:fill="auto"/>
                  <w:noWrap/>
                  <w:vAlign w:val="center"/>
                </w:tcPr>
                <w:p>
                  <w:pPr>
                    <w:widowControl/>
                    <w:jc w:val="center"/>
                    <w:rPr>
                      <w:kern w:val="0"/>
                      <w:sz w:val="22"/>
                    </w:rPr>
                  </w:pPr>
                  <w:r>
                    <w:rPr>
                      <w:kern w:val="0"/>
                      <w:sz w:val="22"/>
                    </w:rPr>
                    <w:t>D24</w:t>
                  </w:r>
                </w:p>
              </w:tc>
              <w:tc>
                <w:tcPr>
                  <w:tcW w:w="2644" w:type="dxa"/>
                  <w:shd w:val="clear" w:color="auto" w:fill="auto"/>
                  <w:noWrap/>
                  <w:vAlign w:val="center"/>
                </w:tcPr>
                <w:p>
                  <w:pPr>
                    <w:widowControl/>
                    <w:jc w:val="center"/>
                    <w:rPr>
                      <w:kern w:val="0"/>
                      <w:sz w:val="22"/>
                    </w:rPr>
                  </w:pPr>
                  <w:r>
                    <w:rPr>
                      <w:kern w:val="0"/>
                      <w:sz w:val="22"/>
                    </w:rPr>
                    <w:t>37°27′04.00″</w:t>
                  </w:r>
                </w:p>
              </w:tc>
              <w:tc>
                <w:tcPr>
                  <w:tcW w:w="2800" w:type="dxa"/>
                  <w:shd w:val="clear" w:color="auto" w:fill="auto"/>
                  <w:noWrap/>
                  <w:vAlign w:val="center"/>
                </w:tcPr>
                <w:p>
                  <w:pPr>
                    <w:widowControl/>
                    <w:jc w:val="center"/>
                    <w:rPr>
                      <w:kern w:val="0"/>
                      <w:sz w:val="22"/>
                    </w:rPr>
                  </w:pPr>
                  <w:r>
                    <w:rPr>
                      <w:kern w:val="0"/>
                      <w:sz w:val="22"/>
                    </w:rPr>
                    <w:t>122°10′48.00″</w:t>
                  </w:r>
                </w:p>
              </w:tc>
              <w:tc>
                <w:tcPr>
                  <w:tcW w:w="1412" w:type="dxa"/>
                  <w:shd w:val="clear" w:color="auto" w:fill="auto"/>
                  <w:noWrap/>
                  <w:vAlign w:val="center"/>
                </w:tcPr>
                <w:p>
                  <w:pPr>
                    <w:widowControl/>
                    <w:jc w:val="center"/>
                    <w:rPr>
                      <w:kern w:val="0"/>
                      <w:sz w:val="22"/>
                    </w:rPr>
                  </w:pPr>
                  <w:r>
                    <w:rPr>
                      <w:kern w:val="0"/>
                      <w:sz w:val="22"/>
                    </w:rPr>
                    <w:t>水质</w:t>
                  </w:r>
                </w:p>
              </w:tc>
            </w:tr>
          </w:tbl>
          <w:p>
            <w:pPr>
              <w:pStyle w:val="5"/>
              <w:tabs>
                <w:tab w:val="clear" w:pos="360"/>
              </w:tabs>
              <w:ind w:left="0" w:firstLine="480"/>
              <w:rPr>
                <w:rFonts w:ascii="Times New Roman" w:hAnsi="Times New Roman"/>
                <w:b/>
              </w:rPr>
            </w:pPr>
            <w:bookmarkStart w:id="18" w:name="_Toc519208666"/>
            <w:r>
              <w:rPr>
                <w:rFonts w:hint="eastAsia" w:ascii="Times New Roman" w:hAnsi="Times New Roman"/>
                <w:b/>
              </w:rPr>
              <w:t>4</w:t>
            </w:r>
            <w:r>
              <w:rPr>
                <w:rFonts w:ascii="Times New Roman" w:hAnsi="Times New Roman"/>
                <w:b/>
              </w:rPr>
              <w:t>.</w:t>
            </w:r>
            <w:r>
              <w:rPr>
                <w:rFonts w:hint="eastAsia" w:ascii="Times New Roman" w:hAnsi="Times New Roman"/>
                <w:b/>
              </w:rPr>
              <w:t>2</w:t>
            </w:r>
            <w:r>
              <w:rPr>
                <w:rFonts w:ascii="Times New Roman" w:hAnsi="Times New Roman"/>
                <w:b/>
              </w:rPr>
              <w:t>.2 调查项目与测试方法</w:t>
            </w:r>
            <w:bookmarkEnd w:id="18"/>
          </w:p>
          <w:p>
            <w:pPr>
              <w:spacing w:line="360" w:lineRule="auto"/>
              <w:ind w:left="-141" w:leftChars="-67" w:firstLine="482" w:firstLineChars="200"/>
              <w:rPr>
                <w:b/>
                <w:sz w:val="24"/>
              </w:rPr>
            </w:pPr>
            <w:r>
              <w:rPr>
                <w:b/>
                <w:sz w:val="24"/>
              </w:rPr>
              <w:t>1</w:t>
            </w:r>
            <w:r>
              <w:rPr>
                <w:rFonts w:hint="eastAsia"/>
                <w:b/>
                <w:sz w:val="24"/>
              </w:rPr>
              <w:t>.</w:t>
            </w:r>
            <w:r>
              <w:rPr>
                <w:b/>
                <w:sz w:val="24"/>
              </w:rPr>
              <w:t>调查项目</w:t>
            </w:r>
          </w:p>
          <w:p>
            <w:pPr>
              <w:spacing w:line="360" w:lineRule="auto"/>
              <w:ind w:left="-141" w:leftChars="-67" w:firstLine="480" w:firstLineChars="200"/>
              <w:rPr>
                <w:sz w:val="24"/>
              </w:rPr>
            </w:pPr>
            <w:r>
              <w:rPr>
                <w:rFonts w:hint="eastAsia" w:ascii="宋体" w:hAnsi="宋体" w:cs="宋体"/>
                <w:sz w:val="24"/>
              </w:rPr>
              <w:t>①</w:t>
            </w:r>
            <w:r>
              <w:rPr>
                <w:sz w:val="24"/>
              </w:rPr>
              <w:t>水质</w:t>
            </w:r>
          </w:p>
          <w:p>
            <w:pPr>
              <w:spacing w:line="360" w:lineRule="auto"/>
              <w:ind w:left="-141" w:leftChars="-67" w:firstLine="480" w:firstLineChars="200"/>
              <w:rPr>
                <w:sz w:val="24"/>
              </w:rPr>
            </w:pPr>
            <w:r>
              <w:rPr>
                <w:rFonts w:hint="eastAsia"/>
                <w:sz w:val="24"/>
              </w:rPr>
              <w:t>水温、盐度、悬浮物、pH、溶解氧、化学需氧量、无机氮、活性磷酸盐、汞、铜、锌、铅、镉、铬、石油类、硫化物</w:t>
            </w:r>
          </w:p>
          <w:p>
            <w:pPr>
              <w:spacing w:line="360" w:lineRule="auto"/>
              <w:ind w:left="-141" w:leftChars="-67" w:firstLine="480" w:firstLineChars="200"/>
              <w:rPr>
                <w:sz w:val="24"/>
              </w:rPr>
            </w:pPr>
            <w:r>
              <w:rPr>
                <w:rFonts w:hint="eastAsia" w:ascii="宋体" w:hAnsi="宋体" w:cs="宋体"/>
                <w:sz w:val="24"/>
              </w:rPr>
              <w:t>②</w:t>
            </w:r>
            <w:r>
              <w:rPr>
                <w:sz w:val="24"/>
              </w:rPr>
              <w:t>沉积物</w:t>
            </w:r>
          </w:p>
          <w:p>
            <w:pPr>
              <w:spacing w:line="360" w:lineRule="auto"/>
              <w:ind w:left="-141" w:leftChars="-67" w:firstLine="480" w:firstLineChars="200"/>
              <w:rPr>
                <w:sz w:val="24"/>
              </w:rPr>
            </w:pPr>
            <w:r>
              <w:rPr>
                <w:sz w:val="24"/>
              </w:rPr>
              <w:t>粒度、有机碳、硫化物、汞、铜、铅、锌、镉、铬、石油类</w:t>
            </w:r>
          </w:p>
          <w:p>
            <w:pPr>
              <w:spacing w:line="360" w:lineRule="auto"/>
              <w:ind w:left="-141" w:leftChars="-67" w:firstLine="482" w:firstLineChars="200"/>
              <w:rPr>
                <w:b/>
                <w:sz w:val="24"/>
              </w:rPr>
            </w:pPr>
            <w:r>
              <w:rPr>
                <w:b/>
                <w:bCs/>
                <w:sz w:val="24"/>
              </w:rPr>
              <w:t>2</w:t>
            </w:r>
            <w:r>
              <w:rPr>
                <w:rFonts w:hint="eastAsia" w:eastAsia="宋体e眠副浡渀."/>
                <w:b/>
                <w:sz w:val="24"/>
              </w:rPr>
              <w:t>.</w:t>
            </w:r>
            <w:r>
              <w:rPr>
                <w:rFonts w:eastAsia="宋体e眠副浡渀."/>
                <w:b/>
                <w:sz w:val="24"/>
              </w:rPr>
              <w:t>分析方法及检出限</w:t>
            </w:r>
          </w:p>
          <w:p>
            <w:pPr>
              <w:spacing w:line="360" w:lineRule="auto"/>
              <w:ind w:left="-141" w:leftChars="-67" w:firstLine="480" w:firstLineChars="200"/>
              <w:rPr>
                <w:rFonts w:eastAsia="宋体e眠副浡渀."/>
                <w:sz w:val="24"/>
              </w:rPr>
            </w:pPr>
            <w:r>
              <w:rPr>
                <w:rFonts w:eastAsia="宋体e眠副浡渀."/>
                <w:sz w:val="24"/>
              </w:rPr>
              <w:t>调查中水质、沉积物和生物样品的采集、保存、运输和分析均按照《海洋监测规范》（GB</w:t>
            </w:r>
            <w:r>
              <w:rPr>
                <w:rFonts w:hint="eastAsia" w:eastAsia="宋体e眠副浡渀."/>
                <w:sz w:val="24"/>
              </w:rPr>
              <w:t xml:space="preserve"> </w:t>
            </w:r>
            <w:r>
              <w:rPr>
                <w:rFonts w:eastAsia="宋体e眠副浡渀."/>
                <w:sz w:val="24"/>
              </w:rPr>
              <w:t>17378-2007）和《海洋调查规范》（GB</w:t>
            </w:r>
            <w:r>
              <w:rPr>
                <w:rFonts w:hint="eastAsia" w:eastAsia="宋体e眠副浡渀."/>
                <w:sz w:val="24"/>
              </w:rPr>
              <w:t xml:space="preserve"> </w:t>
            </w:r>
            <w:r>
              <w:rPr>
                <w:rFonts w:eastAsia="宋体e眠副浡渀."/>
                <w:sz w:val="24"/>
              </w:rPr>
              <w:t>12763-2007）执行。其中沉积物有机碳分析方法采用GB/T</w:t>
            </w:r>
            <w:r>
              <w:rPr>
                <w:rFonts w:hint="eastAsia" w:eastAsia="宋体e眠副浡渀."/>
                <w:sz w:val="24"/>
              </w:rPr>
              <w:t xml:space="preserve"> </w:t>
            </w:r>
            <w:r>
              <w:rPr>
                <w:rFonts w:eastAsia="宋体e眠副浡渀."/>
                <w:sz w:val="24"/>
              </w:rPr>
              <w:t>12763.8-2007中的分析方法，粒度采用GB/T</w:t>
            </w:r>
            <w:r>
              <w:rPr>
                <w:rFonts w:hint="eastAsia" w:eastAsia="宋体e眠副浡渀."/>
                <w:sz w:val="24"/>
              </w:rPr>
              <w:t xml:space="preserve"> </w:t>
            </w:r>
            <w:r>
              <w:rPr>
                <w:rFonts w:eastAsia="宋体e眠副浡渀."/>
                <w:sz w:val="24"/>
              </w:rPr>
              <w:t>13909-1992的分析方法，具体见表</w:t>
            </w:r>
            <w:r>
              <w:rPr>
                <w:rFonts w:hint="eastAsia" w:eastAsia="宋体e眠副浡渀."/>
                <w:sz w:val="24"/>
              </w:rPr>
              <w:t>4</w:t>
            </w:r>
            <w:r>
              <w:rPr>
                <w:rFonts w:eastAsia="宋体e眠副浡渀."/>
                <w:sz w:val="24"/>
              </w:rPr>
              <w:t>.</w:t>
            </w:r>
            <w:r>
              <w:rPr>
                <w:rFonts w:hint="eastAsia" w:eastAsia="宋体e眠副浡渀."/>
                <w:sz w:val="24"/>
              </w:rPr>
              <w:t>2.3</w:t>
            </w:r>
            <w:r>
              <w:rPr>
                <w:rFonts w:eastAsia="宋体e眠副浡渀."/>
                <w:sz w:val="24"/>
              </w:rPr>
              <w:t>。</w:t>
            </w:r>
          </w:p>
          <w:p>
            <w:pPr>
              <w:pStyle w:val="279"/>
              <w:snapToGrid w:val="0"/>
              <w:spacing w:line="360" w:lineRule="auto"/>
              <w:ind w:firstLine="480"/>
              <w:rPr>
                <w:szCs w:val="21"/>
              </w:rPr>
            </w:pPr>
            <w:r>
              <w:rPr>
                <w:szCs w:val="21"/>
              </w:rPr>
              <w:t>表</w:t>
            </w:r>
            <w:r>
              <w:rPr>
                <w:rFonts w:hint="eastAsia"/>
                <w:szCs w:val="21"/>
              </w:rPr>
              <w:t xml:space="preserve">4.2.3 </w:t>
            </w:r>
            <w:r>
              <w:rPr>
                <w:szCs w:val="21"/>
              </w:rPr>
              <w:t xml:space="preserve"> 水质、沉积物和生物调查项目的分析方法及检出限</w:t>
            </w:r>
          </w:p>
          <w:tbl>
            <w:tblPr>
              <w:tblStyle w:val="88"/>
              <w:tblW w:w="8419" w:type="dxa"/>
              <w:jc w:val="center"/>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052"/>
              <w:gridCol w:w="1314"/>
              <w:gridCol w:w="2982"/>
              <w:gridCol w:w="1221"/>
              <w:gridCol w:w="1850"/>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restart"/>
                  <w:vAlign w:val="center"/>
                </w:tcPr>
                <w:p>
                  <w:pPr>
                    <w:widowControl/>
                    <w:jc w:val="center"/>
                    <w:rPr>
                      <w:kern w:val="0"/>
                      <w:szCs w:val="21"/>
                    </w:rPr>
                  </w:pPr>
                  <w:r>
                    <w:rPr>
                      <w:kern w:val="0"/>
                      <w:szCs w:val="21"/>
                    </w:rPr>
                    <w:t>介质</w:t>
                  </w:r>
                </w:p>
              </w:tc>
              <w:tc>
                <w:tcPr>
                  <w:tcW w:w="1314" w:type="dxa"/>
                  <w:vMerge w:val="restart"/>
                  <w:vAlign w:val="center"/>
                </w:tcPr>
                <w:p>
                  <w:pPr>
                    <w:widowControl/>
                    <w:jc w:val="center"/>
                    <w:rPr>
                      <w:kern w:val="0"/>
                      <w:szCs w:val="21"/>
                    </w:rPr>
                  </w:pPr>
                  <w:r>
                    <w:rPr>
                      <w:kern w:val="0"/>
                      <w:szCs w:val="21"/>
                    </w:rPr>
                    <w:t>测定项目</w:t>
                  </w:r>
                </w:p>
              </w:tc>
              <w:tc>
                <w:tcPr>
                  <w:tcW w:w="2982" w:type="dxa"/>
                  <w:vMerge w:val="restart"/>
                  <w:vAlign w:val="center"/>
                </w:tcPr>
                <w:p>
                  <w:pPr>
                    <w:widowControl/>
                    <w:jc w:val="center"/>
                    <w:rPr>
                      <w:kern w:val="0"/>
                      <w:szCs w:val="21"/>
                    </w:rPr>
                  </w:pPr>
                  <w:r>
                    <w:rPr>
                      <w:kern w:val="0"/>
                      <w:szCs w:val="21"/>
                    </w:rPr>
                    <w:t>分析方法</w:t>
                  </w:r>
                </w:p>
              </w:tc>
              <w:tc>
                <w:tcPr>
                  <w:tcW w:w="1221" w:type="dxa"/>
                  <w:vAlign w:val="center"/>
                </w:tcPr>
                <w:p>
                  <w:pPr>
                    <w:widowControl/>
                    <w:jc w:val="center"/>
                    <w:rPr>
                      <w:kern w:val="0"/>
                      <w:szCs w:val="21"/>
                    </w:rPr>
                  </w:pPr>
                  <w:r>
                    <w:rPr>
                      <w:kern w:val="0"/>
                      <w:szCs w:val="21"/>
                    </w:rPr>
                    <w:t>检出限</w:t>
                  </w:r>
                </w:p>
              </w:tc>
              <w:tc>
                <w:tcPr>
                  <w:tcW w:w="1850" w:type="dxa"/>
                  <w:vMerge w:val="restart"/>
                  <w:vAlign w:val="center"/>
                </w:tcPr>
                <w:p>
                  <w:pPr>
                    <w:widowControl/>
                    <w:jc w:val="center"/>
                    <w:rPr>
                      <w:kern w:val="0"/>
                      <w:szCs w:val="21"/>
                    </w:rPr>
                  </w:pPr>
                  <w:r>
                    <w:rPr>
                      <w:kern w:val="0"/>
                      <w:szCs w:val="21"/>
                    </w:rPr>
                    <w:t>引用标准</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PrEx>
              <w:trPr>
                <w:trHeight w:val="341" w:hRule="atLeast"/>
                <w:jc w:val="center"/>
              </w:trPr>
              <w:tc>
                <w:tcPr>
                  <w:tcW w:w="1052" w:type="dxa"/>
                  <w:vMerge w:val="continue"/>
                  <w:vAlign w:val="center"/>
                </w:tcPr>
                <w:p>
                  <w:pPr>
                    <w:widowControl/>
                    <w:jc w:val="center"/>
                    <w:rPr>
                      <w:kern w:val="0"/>
                      <w:szCs w:val="21"/>
                    </w:rPr>
                  </w:pPr>
                </w:p>
              </w:tc>
              <w:tc>
                <w:tcPr>
                  <w:tcW w:w="1314" w:type="dxa"/>
                  <w:vMerge w:val="continue"/>
                  <w:vAlign w:val="center"/>
                </w:tcPr>
                <w:p>
                  <w:pPr>
                    <w:widowControl/>
                    <w:jc w:val="center"/>
                    <w:rPr>
                      <w:kern w:val="0"/>
                      <w:szCs w:val="21"/>
                    </w:rPr>
                  </w:pPr>
                </w:p>
              </w:tc>
              <w:tc>
                <w:tcPr>
                  <w:tcW w:w="2982" w:type="dxa"/>
                  <w:vMerge w:val="continue"/>
                  <w:vAlign w:val="center"/>
                </w:tcPr>
                <w:p>
                  <w:pPr>
                    <w:widowControl/>
                    <w:jc w:val="center"/>
                    <w:rPr>
                      <w:kern w:val="0"/>
                      <w:szCs w:val="21"/>
                    </w:rPr>
                  </w:pPr>
                </w:p>
              </w:tc>
              <w:tc>
                <w:tcPr>
                  <w:tcW w:w="1221" w:type="dxa"/>
                  <w:vAlign w:val="center"/>
                </w:tcPr>
                <w:p>
                  <w:pPr>
                    <w:widowControl/>
                    <w:jc w:val="center"/>
                    <w:rPr>
                      <w:kern w:val="0"/>
                      <w:szCs w:val="21"/>
                    </w:rPr>
                  </w:pPr>
                  <w:r>
                    <w:rPr>
                      <w:kern w:val="0"/>
                      <w:szCs w:val="21"/>
                    </w:rPr>
                    <w:t>（μg/L）</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restart"/>
                  <w:vAlign w:val="center"/>
                </w:tcPr>
                <w:p>
                  <w:pPr>
                    <w:widowControl/>
                    <w:jc w:val="center"/>
                    <w:rPr>
                      <w:kern w:val="0"/>
                      <w:szCs w:val="21"/>
                    </w:rPr>
                  </w:pPr>
                  <w:r>
                    <w:rPr>
                      <w:kern w:val="0"/>
                      <w:szCs w:val="21"/>
                    </w:rPr>
                    <w:t>水质</w:t>
                  </w:r>
                </w:p>
              </w:tc>
              <w:tc>
                <w:tcPr>
                  <w:tcW w:w="1314" w:type="dxa"/>
                  <w:noWrap/>
                  <w:vAlign w:val="center"/>
                </w:tcPr>
                <w:p>
                  <w:pPr>
                    <w:widowControl/>
                    <w:jc w:val="center"/>
                    <w:rPr>
                      <w:kern w:val="0"/>
                      <w:szCs w:val="21"/>
                    </w:rPr>
                  </w:pPr>
                  <w:r>
                    <w:rPr>
                      <w:kern w:val="0"/>
                      <w:szCs w:val="21"/>
                    </w:rPr>
                    <w:t>水温</w:t>
                  </w:r>
                </w:p>
              </w:tc>
              <w:tc>
                <w:tcPr>
                  <w:tcW w:w="2982" w:type="dxa"/>
                  <w:noWrap/>
                  <w:vAlign w:val="center"/>
                </w:tcPr>
                <w:p>
                  <w:pPr>
                    <w:widowControl/>
                    <w:jc w:val="center"/>
                    <w:rPr>
                      <w:kern w:val="0"/>
                      <w:szCs w:val="21"/>
                    </w:rPr>
                  </w:pPr>
                  <w:r>
                    <w:rPr>
                      <w:kern w:val="0"/>
                      <w:szCs w:val="21"/>
                    </w:rPr>
                    <w:t>颠倒温度计法</w:t>
                  </w:r>
                </w:p>
              </w:tc>
              <w:tc>
                <w:tcPr>
                  <w:tcW w:w="1221" w:type="dxa"/>
                  <w:noWrap/>
                  <w:vAlign w:val="center"/>
                </w:tcPr>
                <w:p>
                  <w:pPr>
                    <w:widowControl/>
                    <w:jc w:val="center"/>
                    <w:rPr>
                      <w:szCs w:val="21"/>
                    </w:rPr>
                  </w:pPr>
                </w:p>
              </w:tc>
              <w:tc>
                <w:tcPr>
                  <w:tcW w:w="1850" w:type="dxa"/>
                  <w:vMerge w:val="restart"/>
                  <w:noWrap/>
                  <w:vAlign w:val="center"/>
                </w:tcPr>
                <w:p>
                  <w:pPr>
                    <w:widowControl/>
                    <w:jc w:val="center"/>
                    <w:rPr>
                      <w:kern w:val="0"/>
                      <w:szCs w:val="21"/>
                    </w:rPr>
                  </w:pPr>
                  <w:r>
                    <w:rPr>
                      <w:kern w:val="0"/>
                      <w:szCs w:val="21"/>
                    </w:rPr>
                    <w:t>GB</w:t>
                  </w:r>
                  <w:r>
                    <w:rPr>
                      <w:rFonts w:hint="eastAsia"/>
                      <w:kern w:val="0"/>
                      <w:szCs w:val="21"/>
                    </w:rPr>
                    <w:t xml:space="preserve"> </w:t>
                  </w:r>
                  <w:r>
                    <w:rPr>
                      <w:kern w:val="0"/>
                      <w:szCs w:val="21"/>
                    </w:rPr>
                    <w:t>12763.2-2007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水深</w:t>
                  </w:r>
                </w:p>
              </w:tc>
              <w:tc>
                <w:tcPr>
                  <w:tcW w:w="2982" w:type="dxa"/>
                  <w:noWrap/>
                  <w:vAlign w:val="center"/>
                </w:tcPr>
                <w:p>
                  <w:pPr>
                    <w:widowControl/>
                    <w:jc w:val="center"/>
                    <w:rPr>
                      <w:kern w:val="0"/>
                      <w:szCs w:val="21"/>
                    </w:rPr>
                  </w:pPr>
                  <w:r>
                    <w:rPr>
                      <w:kern w:val="0"/>
                      <w:szCs w:val="21"/>
                    </w:rPr>
                    <w:t>钢丝绳测深</w:t>
                  </w:r>
                </w:p>
              </w:tc>
              <w:tc>
                <w:tcPr>
                  <w:tcW w:w="1221" w:type="dxa"/>
                  <w:noWrap/>
                  <w:vAlign w:val="center"/>
                </w:tcPr>
                <w:p>
                  <w:pPr>
                    <w:widowControl/>
                    <w:jc w:val="center"/>
                    <w:rPr>
                      <w:szCs w:val="21"/>
                    </w:rPr>
                  </w:pP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pH</w:t>
                  </w:r>
                </w:p>
              </w:tc>
              <w:tc>
                <w:tcPr>
                  <w:tcW w:w="2982" w:type="dxa"/>
                  <w:noWrap/>
                  <w:vAlign w:val="center"/>
                </w:tcPr>
                <w:p>
                  <w:pPr>
                    <w:widowControl/>
                    <w:jc w:val="center"/>
                    <w:rPr>
                      <w:kern w:val="0"/>
                      <w:szCs w:val="21"/>
                    </w:rPr>
                  </w:pPr>
                  <w:r>
                    <w:rPr>
                      <w:kern w:val="0"/>
                      <w:szCs w:val="21"/>
                    </w:rPr>
                    <w:t>pH计法</w:t>
                  </w:r>
                </w:p>
              </w:tc>
              <w:tc>
                <w:tcPr>
                  <w:tcW w:w="1221" w:type="dxa"/>
                  <w:noWrap/>
                  <w:vAlign w:val="center"/>
                </w:tcPr>
                <w:p>
                  <w:pPr>
                    <w:widowControl/>
                    <w:jc w:val="center"/>
                    <w:rPr>
                      <w:szCs w:val="21"/>
                    </w:rPr>
                  </w:pPr>
                </w:p>
              </w:tc>
              <w:tc>
                <w:tcPr>
                  <w:tcW w:w="1850" w:type="dxa"/>
                  <w:vMerge w:val="restart"/>
                  <w:noWrap/>
                  <w:vAlign w:val="center"/>
                </w:tcPr>
                <w:p>
                  <w:pPr>
                    <w:widowControl/>
                    <w:jc w:val="center"/>
                    <w:rPr>
                      <w:kern w:val="0"/>
                      <w:szCs w:val="21"/>
                    </w:rPr>
                  </w:pPr>
                  <w:r>
                    <w:rPr>
                      <w:kern w:val="0"/>
                      <w:szCs w:val="21"/>
                    </w:rPr>
                    <w:t>GB</w:t>
                  </w:r>
                  <w:r>
                    <w:rPr>
                      <w:rFonts w:hint="eastAsia"/>
                      <w:kern w:val="0"/>
                      <w:szCs w:val="21"/>
                    </w:rPr>
                    <w:t xml:space="preserve"> </w:t>
                  </w:r>
                  <w:r>
                    <w:rPr>
                      <w:kern w:val="0"/>
                      <w:szCs w:val="21"/>
                    </w:rPr>
                    <w:t>17378.4-2007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盐度</w:t>
                  </w:r>
                </w:p>
              </w:tc>
              <w:tc>
                <w:tcPr>
                  <w:tcW w:w="2982" w:type="dxa"/>
                  <w:noWrap/>
                  <w:vAlign w:val="center"/>
                </w:tcPr>
                <w:p>
                  <w:pPr>
                    <w:widowControl/>
                    <w:jc w:val="center"/>
                    <w:rPr>
                      <w:kern w:val="0"/>
                      <w:szCs w:val="21"/>
                    </w:rPr>
                  </w:pPr>
                  <w:r>
                    <w:rPr>
                      <w:kern w:val="0"/>
                      <w:szCs w:val="21"/>
                    </w:rPr>
                    <w:t>盐度计法</w:t>
                  </w:r>
                </w:p>
              </w:tc>
              <w:tc>
                <w:tcPr>
                  <w:tcW w:w="1221" w:type="dxa"/>
                  <w:noWrap/>
                  <w:vAlign w:val="center"/>
                </w:tcPr>
                <w:p>
                  <w:pPr>
                    <w:widowControl/>
                    <w:jc w:val="center"/>
                    <w:rPr>
                      <w:szCs w:val="21"/>
                    </w:rPr>
                  </w:pP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溶解氧</w:t>
                  </w:r>
                </w:p>
              </w:tc>
              <w:tc>
                <w:tcPr>
                  <w:tcW w:w="2982" w:type="dxa"/>
                  <w:noWrap/>
                  <w:vAlign w:val="center"/>
                </w:tcPr>
                <w:p>
                  <w:pPr>
                    <w:widowControl/>
                    <w:jc w:val="center"/>
                    <w:rPr>
                      <w:kern w:val="0"/>
                      <w:szCs w:val="21"/>
                    </w:rPr>
                  </w:pPr>
                  <w:r>
                    <w:rPr>
                      <w:kern w:val="0"/>
                      <w:szCs w:val="21"/>
                    </w:rPr>
                    <w:t>碘量法</w:t>
                  </w:r>
                </w:p>
              </w:tc>
              <w:tc>
                <w:tcPr>
                  <w:tcW w:w="1221" w:type="dxa"/>
                  <w:noWrap/>
                  <w:vAlign w:val="center"/>
                </w:tcPr>
                <w:p>
                  <w:pPr>
                    <w:widowControl/>
                    <w:jc w:val="center"/>
                    <w:rPr>
                      <w:szCs w:val="21"/>
                    </w:rPr>
                  </w:pP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化学需氧量</w:t>
                  </w:r>
                </w:p>
              </w:tc>
              <w:tc>
                <w:tcPr>
                  <w:tcW w:w="2982" w:type="dxa"/>
                  <w:noWrap/>
                  <w:vAlign w:val="center"/>
                </w:tcPr>
                <w:p>
                  <w:pPr>
                    <w:widowControl/>
                    <w:jc w:val="center"/>
                    <w:rPr>
                      <w:kern w:val="0"/>
                      <w:szCs w:val="21"/>
                    </w:rPr>
                  </w:pPr>
                  <w:r>
                    <w:rPr>
                      <w:kern w:val="0"/>
                      <w:szCs w:val="21"/>
                    </w:rPr>
                    <w:t>碱性高锰酸钾法</w:t>
                  </w:r>
                </w:p>
              </w:tc>
              <w:tc>
                <w:tcPr>
                  <w:tcW w:w="1221" w:type="dxa"/>
                  <w:noWrap/>
                  <w:vAlign w:val="center"/>
                </w:tcPr>
                <w:p>
                  <w:pPr>
                    <w:widowControl/>
                    <w:jc w:val="center"/>
                    <w:rPr>
                      <w:szCs w:val="21"/>
                    </w:rPr>
                  </w:pP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悬浮物</w:t>
                  </w:r>
                </w:p>
              </w:tc>
              <w:tc>
                <w:tcPr>
                  <w:tcW w:w="2982" w:type="dxa"/>
                  <w:noWrap/>
                  <w:vAlign w:val="center"/>
                </w:tcPr>
                <w:p>
                  <w:pPr>
                    <w:widowControl/>
                    <w:jc w:val="center"/>
                    <w:rPr>
                      <w:kern w:val="0"/>
                      <w:szCs w:val="21"/>
                    </w:rPr>
                  </w:pPr>
                  <w:r>
                    <w:rPr>
                      <w:kern w:val="0"/>
                      <w:szCs w:val="21"/>
                    </w:rPr>
                    <w:t>重量法</w:t>
                  </w:r>
                </w:p>
              </w:tc>
              <w:tc>
                <w:tcPr>
                  <w:tcW w:w="1221" w:type="dxa"/>
                  <w:noWrap/>
                  <w:vAlign w:val="center"/>
                </w:tcPr>
                <w:p>
                  <w:pPr>
                    <w:widowControl/>
                    <w:jc w:val="center"/>
                    <w:rPr>
                      <w:szCs w:val="21"/>
                    </w:rPr>
                  </w:pP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石油类</w:t>
                  </w:r>
                </w:p>
              </w:tc>
              <w:tc>
                <w:tcPr>
                  <w:tcW w:w="2982" w:type="dxa"/>
                  <w:noWrap/>
                  <w:vAlign w:val="center"/>
                </w:tcPr>
                <w:p>
                  <w:pPr>
                    <w:widowControl/>
                    <w:jc w:val="center"/>
                    <w:rPr>
                      <w:kern w:val="0"/>
                      <w:szCs w:val="21"/>
                    </w:rPr>
                  </w:pPr>
                  <w:r>
                    <w:rPr>
                      <w:kern w:val="0"/>
                      <w:szCs w:val="21"/>
                    </w:rPr>
                    <w:t>紫外分光光度法</w:t>
                  </w:r>
                </w:p>
              </w:tc>
              <w:tc>
                <w:tcPr>
                  <w:tcW w:w="1221" w:type="dxa"/>
                  <w:noWrap/>
                  <w:vAlign w:val="center"/>
                </w:tcPr>
                <w:p>
                  <w:pPr>
                    <w:widowControl/>
                    <w:jc w:val="center"/>
                    <w:rPr>
                      <w:kern w:val="0"/>
                      <w:szCs w:val="21"/>
                    </w:rPr>
                  </w:pPr>
                  <w:r>
                    <w:rPr>
                      <w:kern w:val="0"/>
                      <w:szCs w:val="21"/>
                    </w:rPr>
                    <w:t>3.5</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汞</w:t>
                  </w:r>
                </w:p>
              </w:tc>
              <w:tc>
                <w:tcPr>
                  <w:tcW w:w="2982" w:type="dxa"/>
                  <w:noWrap/>
                  <w:vAlign w:val="center"/>
                </w:tcPr>
                <w:p>
                  <w:pPr>
                    <w:widowControl/>
                    <w:jc w:val="center"/>
                    <w:rPr>
                      <w:kern w:val="0"/>
                      <w:szCs w:val="21"/>
                    </w:rPr>
                  </w:pPr>
                  <w:r>
                    <w:rPr>
                      <w:kern w:val="0"/>
                      <w:szCs w:val="21"/>
                    </w:rPr>
                    <w:t>原子荧光法</w:t>
                  </w:r>
                </w:p>
              </w:tc>
              <w:tc>
                <w:tcPr>
                  <w:tcW w:w="1221" w:type="dxa"/>
                  <w:noWrap/>
                  <w:vAlign w:val="center"/>
                </w:tcPr>
                <w:p>
                  <w:pPr>
                    <w:widowControl/>
                    <w:jc w:val="center"/>
                    <w:rPr>
                      <w:kern w:val="0"/>
                      <w:szCs w:val="21"/>
                    </w:rPr>
                  </w:pPr>
                  <w:r>
                    <w:rPr>
                      <w:kern w:val="0"/>
                      <w:szCs w:val="21"/>
                    </w:rPr>
                    <w:t>1.0×10</w:t>
                  </w:r>
                  <w:r>
                    <w:rPr>
                      <w:kern w:val="0"/>
                      <w:szCs w:val="21"/>
                      <w:vertAlign w:val="superscript"/>
                    </w:rPr>
                    <w:t>-3</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氨盐</w:t>
                  </w:r>
                </w:p>
              </w:tc>
              <w:tc>
                <w:tcPr>
                  <w:tcW w:w="2982" w:type="dxa"/>
                  <w:noWrap/>
                  <w:vAlign w:val="center"/>
                </w:tcPr>
                <w:p>
                  <w:pPr>
                    <w:widowControl/>
                    <w:jc w:val="center"/>
                    <w:rPr>
                      <w:kern w:val="0"/>
                      <w:szCs w:val="21"/>
                    </w:rPr>
                  </w:pPr>
                  <w:r>
                    <w:rPr>
                      <w:kern w:val="0"/>
                      <w:szCs w:val="21"/>
                    </w:rPr>
                    <w:t>流动分析法</w:t>
                  </w:r>
                </w:p>
              </w:tc>
              <w:tc>
                <w:tcPr>
                  <w:tcW w:w="1221" w:type="dxa"/>
                  <w:noWrap/>
                  <w:vAlign w:val="center"/>
                </w:tcPr>
                <w:p>
                  <w:pPr>
                    <w:widowControl/>
                    <w:jc w:val="center"/>
                    <w:rPr>
                      <w:kern w:val="0"/>
                      <w:szCs w:val="21"/>
                    </w:rPr>
                  </w:pPr>
                  <w:r>
                    <w:rPr>
                      <w:kern w:val="0"/>
                      <w:szCs w:val="21"/>
                    </w:rPr>
                    <w:t>1.08</w:t>
                  </w:r>
                </w:p>
              </w:tc>
              <w:tc>
                <w:tcPr>
                  <w:tcW w:w="1850" w:type="dxa"/>
                  <w:vMerge w:val="restart"/>
                  <w:noWrap/>
                  <w:vAlign w:val="center"/>
                </w:tcPr>
                <w:p>
                  <w:pPr>
                    <w:widowControl/>
                    <w:jc w:val="center"/>
                    <w:rPr>
                      <w:kern w:val="0"/>
                      <w:szCs w:val="21"/>
                    </w:rPr>
                  </w:pPr>
                  <w:r>
                    <w:rPr>
                      <w:kern w:val="0"/>
                      <w:szCs w:val="21"/>
                    </w:rPr>
                    <w:t>GB</w:t>
                  </w:r>
                  <w:r>
                    <w:rPr>
                      <w:rFonts w:hint="eastAsia"/>
                      <w:kern w:val="0"/>
                      <w:szCs w:val="21"/>
                    </w:rPr>
                    <w:t xml:space="preserve"> </w:t>
                  </w:r>
                  <w:r>
                    <w:rPr>
                      <w:kern w:val="0"/>
                      <w:szCs w:val="21"/>
                    </w:rPr>
                    <w:t>17378.4-2007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亚硝酸盐</w:t>
                  </w:r>
                </w:p>
              </w:tc>
              <w:tc>
                <w:tcPr>
                  <w:tcW w:w="2982" w:type="dxa"/>
                  <w:noWrap/>
                  <w:vAlign w:val="center"/>
                </w:tcPr>
                <w:p>
                  <w:pPr>
                    <w:widowControl/>
                    <w:jc w:val="center"/>
                    <w:rPr>
                      <w:kern w:val="0"/>
                      <w:szCs w:val="21"/>
                    </w:rPr>
                  </w:pPr>
                  <w:r>
                    <w:rPr>
                      <w:kern w:val="0"/>
                      <w:szCs w:val="21"/>
                    </w:rPr>
                    <w:t>流动分析法</w:t>
                  </w:r>
                </w:p>
              </w:tc>
              <w:tc>
                <w:tcPr>
                  <w:tcW w:w="1221" w:type="dxa"/>
                  <w:noWrap/>
                  <w:vAlign w:val="center"/>
                </w:tcPr>
                <w:p>
                  <w:pPr>
                    <w:widowControl/>
                    <w:jc w:val="center"/>
                    <w:rPr>
                      <w:kern w:val="0"/>
                      <w:szCs w:val="21"/>
                    </w:rPr>
                  </w:pPr>
                  <w:r>
                    <w:rPr>
                      <w:kern w:val="0"/>
                      <w:szCs w:val="21"/>
                    </w:rPr>
                    <w:t>0.35</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硝酸盐</w:t>
                  </w:r>
                </w:p>
              </w:tc>
              <w:tc>
                <w:tcPr>
                  <w:tcW w:w="2982" w:type="dxa"/>
                  <w:noWrap/>
                  <w:vAlign w:val="center"/>
                </w:tcPr>
                <w:p>
                  <w:pPr>
                    <w:widowControl/>
                    <w:jc w:val="center"/>
                    <w:rPr>
                      <w:kern w:val="0"/>
                      <w:szCs w:val="21"/>
                    </w:rPr>
                  </w:pPr>
                  <w:r>
                    <w:rPr>
                      <w:kern w:val="0"/>
                      <w:szCs w:val="21"/>
                    </w:rPr>
                    <w:t>流动分析法</w:t>
                  </w:r>
                </w:p>
              </w:tc>
              <w:tc>
                <w:tcPr>
                  <w:tcW w:w="1221" w:type="dxa"/>
                  <w:noWrap/>
                  <w:vAlign w:val="center"/>
                </w:tcPr>
                <w:p>
                  <w:pPr>
                    <w:widowControl/>
                    <w:jc w:val="center"/>
                    <w:rPr>
                      <w:kern w:val="0"/>
                      <w:szCs w:val="21"/>
                    </w:rPr>
                  </w:pPr>
                  <w:r>
                    <w:rPr>
                      <w:kern w:val="0"/>
                      <w:szCs w:val="21"/>
                    </w:rPr>
                    <w:t>0.6</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活性磷酸盐</w:t>
                  </w:r>
                </w:p>
              </w:tc>
              <w:tc>
                <w:tcPr>
                  <w:tcW w:w="2982" w:type="dxa"/>
                  <w:noWrap/>
                  <w:vAlign w:val="center"/>
                </w:tcPr>
                <w:p>
                  <w:pPr>
                    <w:widowControl/>
                    <w:jc w:val="center"/>
                    <w:rPr>
                      <w:kern w:val="0"/>
                      <w:szCs w:val="21"/>
                    </w:rPr>
                  </w:pPr>
                  <w:r>
                    <w:rPr>
                      <w:kern w:val="0"/>
                      <w:szCs w:val="21"/>
                    </w:rPr>
                    <w:t>流动分析法</w:t>
                  </w:r>
                </w:p>
              </w:tc>
              <w:tc>
                <w:tcPr>
                  <w:tcW w:w="1221" w:type="dxa"/>
                  <w:noWrap/>
                  <w:vAlign w:val="center"/>
                </w:tcPr>
                <w:p>
                  <w:pPr>
                    <w:widowControl/>
                    <w:jc w:val="center"/>
                    <w:rPr>
                      <w:kern w:val="0"/>
                      <w:szCs w:val="21"/>
                    </w:rPr>
                  </w:pPr>
                  <w:r>
                    <w:rPr>
                      <w:kern w:val="0"/>
                      <w:szCs w:val="21"/>
                    </w:rPr>
                    <w:t>0.72</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铜</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0.2</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铅</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0.03</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锌</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3.1</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镉</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0.01</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总铬</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0.4</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restart"/>
                  <w:noWrap/>
                  <w:vAlign w:val="center"/>
                </w:tcPr>
                <w:p>
                  <w:pPr>
                    <w:widowControl/>
                    <w:jc w:val="center"/>
                    <w:rPr>
                      <w:kern w:val="0"/>
                      <w:szCs w:val="21"/>
                    </w:rPr>
                  </w:pPr>
                  <w:r>
                    <w:rPr>
                      <w:kern w:val="0"/>
                      <w:szCs w:val="21"/>
                    </w:rPr>
                    <w:t>沉积物</w:t>
                  </w:r>
                </w:p>
              </w:tc>
              <w:tc>
                <w:tcPr>
                  <w:tcW w:w="1314" w:type="dxa"/>
                  <w:noWrap/>
                  <w:vAlign w:val="center"/>
                </w:tcPr>
                <w:p>
                  <w:pPr>
                    <w:widowControl/>
                    <w:jc w:val="center"/>
                    <w:rPr>
                      <w:kern w:val="0"/>
                      <w:szCs w:val="21"/>
                    </w:rPr>
                  </w:pPr>
                  <w:r>
                    <w:rPr>
                      <w:kern w:val="0"/>
                      <w:szCs w:val="21"/>
                    </w:rPr>
                    <w:t>石油类</w:t>
                  </w:r>
                </w:p>
              </w:tc>
              <w:tc>
                <w:tcPr>
                  <w:tcW w:w="2982" w:type="dxa"/>
                  <w:noWrap/>
                  <w:vAlign w:val="center"/>
                </w:tcPr>
                <w:p>
                  <w:pPr>
                    <w:widowControl/>
                    <w:jc w:val="center"/>
                    <w:rPr>
                      <w:kern w:val="0"/>
                      <w:szCs w:val="21"/>
                    </w:rPr>
                  </w:pPr>
                  <w:r>
                    <w:rPr>
                      <w:kern w:val="0"/>
                      <w:szCs w:val="21"/>
                    </w:rPr>
                    <w:t>紫外分光光度法</w:t>
                  </w:r>
                </w:p>
              </w:tc>
              <w:tc>
                <w:tcPr>
                  <w:tcW w:w="1221" w:type="dxa"/>
                  <w:noWrap/>
                  <w:vAlign w:val="center"/>
                </w:tcPr>
                <w:p>
                  <w:pPr>
                    <w:widowControl/>
                    <w:jc w:val="center"/>
                    <w:rPr>
                      <w:kern w:val="0"/>
                      <w:szCs w:val="21"/>
                    </w:rPr>
                  </w:pPr>
                  <w:r>
                    <w:rPr>
                      <w:kern w:val="0"/>
                      <w:szCs w:val="21"/>
                    </w:rPr>
                    <w:t>3×10</w:t>
                  </w:r>
                  <w:r>
                    <w:rPr>
                      <w:kern w:val="0"/>
                      <w:szCs w:val="21"/>
                      <w:vertAlign w:val="superscript"/>
                    </w:rPr>
                    <w:t>-6</w:t>
                  </w:r>
                </w:p>
              </w:tc>
              <w:tc>
                <w:tcPr>
                  <w:tcW w:w="1850" w:type="dxa"/>
                  <w:vMerge w:val="restart"/>
                  <w:noWrap/>
                  <w:vAlign w:val="center"/>
                </w:tcPr>
                <w:p>
                  <w:pPr>
                    <w:widowControl/>
                    <w:jc w:val="center"/>
                    <w:rPr>
                      <w:kern w:val="0"/>
                      <w:szCs w:val="21"/>
                    </w:rPr>
                  </w:pPr>
                  <w:r>
                    <w:rPr>
                      <w:kern w:val="0"/>
                      <w:szCs w:val="21"/>
                    </w:rPr>
                    <w:t>GB</w:t>
                  </w:r>
                  <w:r>
                    <w:rPr>
                      <w:rFonts w:hint="eastAsia"/>
                      <w:kern w:val="0"/>
                      <w:szCs w:val="21"/>
                    </w:rPr>
                    <w:t xml:space="preserve"> </w:t>
                  </w:r>
                  <w:r>
                    <w:rPr>
                      <w:kern w:val="0"/>
                      <w:szCs w:val="21"/>
                    </w:rPr>
                    <w:t>17378.5-2007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硫化物</w:t>
                  </w:r>
                </w:p>
              </w:tc>
              <w:tc>
                <w:tcPr>
                  <w:tcW w:w="2982" w:type="dxa"/>
                  <w:noWrap/>
                  <w:vAlign w:val="center"/>
                </w:tcPr>
                <w:p>
                  <w:pPr>
                    <w:widowControl/>
                    <w:jc w:val="center"/>
                    <w:rPr>
                      <w:kern w:val="0"/>
                      <w:szCs w:val="21"/>
                    </w:rPr>
                  </w:pPr>
                  <w:r>
                    <w:rPr>
                      <w:kern w:val="0"/>
                      <w:szCs w:val="21"/>
                    </w:rPr>
                    <w:t>碘量法</w:t>
                  </w:r>
                </w:p>
              </w:tc>
              <w:tc>
                <w:tcPr>
                  <w:tcW w:w="1221" w:type="dxa"/>
                  <w:noWrap/>
                  <w:vAlign w:val="center"/>
                </w:tcPr>
                <w:p>
                  <w:pPr>
                    <w:widowControl/>
                    <w:jc w:val="center"/>
                    <w:rPr>
                      <w:kern w:val="0"/>
                      <w:szCs w:val="21"/>
                    </w:rPr>
                  </w:pPr>
                  <w:r>
                    <w:rPr>
                      <w:kern w:val="0"/>
                      <w:szCs w:val="21"/>
                    </w:rPr>
                    <w:t>4×10</w:t>
                  </w:r>
                  <w:r>
                    <w:rPr>
                      <w:kern w:val="0"/>
                      <w:szCs w:val="21"/>
                      <w:vertAlign w:val="superscript"/>
                    </w:rPr>
                    <w:t>-6</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汞</w:t>
                  </w:r>
                </w:p>
              </w:tc>
              <w:tc>
                <w:tcPr>
                  <w:tcW w:w="2982" w:type="dxa"/>
                  <w:noWrap/>
                  <w:vAlign w:val="center"/>
                </w:tcPr>
                <w:p>
                  <w:pPr>
                    <w:widowControl/>
                    <w:jc w:val="center"/>
                    <w:rPr>
                      <w:kern w:val="0"/>
                      <w:szCs w:val="21"/>
                    </w:rPr>
                  </w:pPr>
                  <w:r>
                    <w:rPr>
                      <w:kern w:val="0"/>
                      <w:szCs w:val="21"/>
                    </w:rPr>
                    <w:t>原子荧光法</w:t>
                  </w:r>
                </w:p>
              </w:tc>
              <w:tc>
                <w:tcPr>
                  <w:tcW w:w="1221" w:type="dxa"/>
                  <w:noWrap/>
                  <w:vAlign w:val="center"/>
                </w:tcPr>
                <w:p>
                  <w:pPr>
                    <w:widowControl/>
                    <w:jc w:val="center"/>
                    <w:rPr>
                      <w:kern w:val="0"/>
                      <w:szCs w:val="21"/>
                    </w:rPr>
                  </w:pPr>
                  <w:r>
                    <w:rPr>
                      <w:kern w:val="0"/>
                      <w:szCs w:val="21"/>
                    </w:rPr>
                    <w:t>1</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锌</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6</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铅</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1</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铜</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0.5</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镉</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0.04</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铬</w:t>
                  </w:r>
                </w:p>
              </w:tc>
              <w:tc>
                <w:tcPr>
                  <w:tcW w:w="2982" w:type="dxa"/>
                  <w:noWrap/>
                  <w:vAlign w:val="center"/>
                </w:tcPr>
                <w:p>
                  <w:pPr>
                    <w:widowControl/>
                    <w:jc w:val="center"/>
                    <w:rPr>
                      <w:kern w:val="0"/>
                      <w:szCs w:val="21"/>
                    </w:rPr>
                  </w:pPr>
                  <w:r>
                    <w:rPr>
                      <w:kern w:val="0"/>
                      <w:szCs w:val="21"/>
                    </w:rPr>
                    <w:t>原子吸收分光光度法</w:t>
                  </w:r>
                </w:p>
              </w:tc>
              <w:tc>
                <w:tcPr>
                  <w:tcW w:w="1221" w:type="dxa"/>
                  <w:noWrap/>
                  <w:vAlign w:val="center"/>
                </w:tcPr>
                <w:p>
                  <w:pPr>
                    <w:widowControl/>
                    <w:jc w:val="center"/>
                    <w:rPr>
                      <w:kern w:val="0"/>
                      <w:szCs w:val="21"/>
                    </w:rPr>
                  </w:pPr>
                  <w:r>
                    <w:rPr>
                      <w:kern w:val="0"/>
                      <w:szCs w:val="21"/>
                    </w:rPr>
                    <w:t>2</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有机碳</w:t>
                  </w:r>
                </w:p>
              </w:tc>
              <w:tc>
                <w:tcPr>
                  <w:tcW w:w="2982" w:type="dxa"/>
                  <w:noWrap/>
                  <w:vAlign w:val="center"/>
                </w:tcPr>
                <w:p>
                  <w:pPr>
                    <w:widowControl/>
                    <w:jc w:val="center"/>
                    <w:rPr>
                      <w:kern w:val="0"/>
                      <w:szCs w:val="21"/>
                    </w:rPr>
                  </w:pPr>
                  <w:r>
                    <w:rPr>
                      <w:kern w:val="0"/>
                      <w:szCs w:val="21"/>
                    </w:rPr>
                    <w:t>元素分析仪法</w:t>
                  </w:r>
                </w:p>
              </w:tc>
              <w:tc>
                <w:tcPr>
                  <w:tcW w:w="1221" w:type="dxa"/>
                  <w:noWrap/>
                  <w:vAlign w:val="center"/>
                </w:tcPr>
                <w:p>
                  <w:pPr>
                    <w:widowControl/>
                    <w:jc w:val="center"/>
                    <w:rPr>
                      <w:kern w:val="0"/>
                      <w:szCs w:val="21"/>
                    </w:rPr>
                  </w:pPr>
                  <w:r>
                    <w:rPr>
                      <w:kern w:val="0"/>
                      <w:szCs w:val="21"/>
                    </w:rPr>
                    <w:t>1×10</w:t>
                  </w:r>
                  <w:r>
                    <w:rPr>
                      <w:kern w:val="0"/>
                      <w:szCs w:val="21"/>
                      <w:vertAlign w:val="superscript"/>
                    </w:rPr>
                    <w:t>-6</w:t>
                  </w:r>
                </w:p>
              </w:tc>
              <w:tc>
                <w:tcPr>
                  <w:tcW w:w="1850" w:type="dxa"/>
                  <w:vMerge w:val="continue"/>
                  <w:vAlign w:val="center"/>
                </w:tcPr>
                <w:p>
                  <w:pPr>
                    <w:widowControl/>
                    <w:jc w:val="center"/>
                    <w:rPr>
                      <w:kern w:val="0"/>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341" w:hRule="atLeast"/>
                <w:jc w:val="center"/>
              </w:trPr>
              <w:tc>
                <w:tcPr>
                  <w:tcW w:w="1052" w:type="dxa"/>
                  <w:vMerge w:val="continue"/>
                  <w:vAlign w:val="center"/>
                </w:tcPr>
                <w:p>
                  <w:pPr>
                    <w:widowControl/>
                    <w:jc w:val="center"/>
                    <w:rPr>
                      <w:kern w:val="0"/>
                      <w:szCs w:val="21"/>
                    </w:rPr>
                  </w:pPr>
                </w:p>
              </w:tc>
              <w:tc>
                <w:tcPr>
                  <w:tcW w:w="1314" w:type="dxa"/>
                  <w:noWrap/>
                  <w:vAlign w:val="center"/>
                </w:tcPr>
                <w:p>
                  <w:pPr>
                    <w:widowControl/>
                    <w:jc w:val="center"/>
                    <w:rPr>
                      <w:kern w:val="0"/>
                      <w:szCs w:val="21"/>
                    </w:rPr>
                  </w:pPr>
                  <w:r>
                    <w:rPr>
                      <w:kern w:val="0"/>
                      <w:szCs w:val="21"/>
                    </w:rPr>
                    <w:t>粒度</w:t>
                  </w:r>
                </w:p>
              </w:tc>
              <w:tc>
                <w:tcPr>
                  <w:tcW w:w="2982" w:type="dxa"/>
                  <w:noWrap/>
                  <w:vAlign w:val="center"/>
                </w:tcPr>
                <w:p>
                  <w:pPr>
                    <w:widowControl/>
                    <w:jc w:val="center"/>
                    <w:rPr>
                      <w:kern w:val="0"/>
                      <w:szCs w:val="21"/>
                    </w:rPr>
                  </w:pPr>
                  <w:r>
                    <w:rPr>
                      <w:kern w:val="0"/>
                      <w:szCs w:val="21"/>
                    </w:rPr>
                    <w:t>筛析法、沉析法</w:t>
                  </w:r>
                </w:p>
              </w:tc>
              <w:tc>
                <w:tcPr>
                  <w:tcW w:w="1221" w:type="dxa"/>
                  <w:noWrap/>
                  <w:vAlign w:val="center"/>
                </w:tcPr>
                <w:p>
                  <w:pPr>
                    <w:widowControl/>
                    <w:jc w:val="center"/>
                    <w:rPr>
                      <w:szCs w:val="21"/>
                    </w:rPr>
                  </w:pPr>
                </w:p>
              </w:tc>
              <w:tc>
                <w:tcPr>
                  <w:tcW w:w="1850" w:type="dxa"/>
                  <w:vMerge w:val="continue"/>
                  <w:vAlign w:val="center"/>
                </w:tcPr>
                <w:p>
                  <w:pPr>
                    <w:widowControl/>
                    <w:jc w:val="center"/>
                    <w:rPr>
                      <w:kern w:val="0"/>
                      <w:szCs w:val="21"/>
                    </w:rPr>
                  </w:pPr>
                </w:p>
              </w:tc>
            </w:tr>
          </w:tbl>
          <w:p>
            <w:pPr>
              <w:pStyle w:val="5"/>
              <w:tabs>
                <w:tab w:val="clear" w:pos="360"/>
              </w:tabs>
              <w:ind w:firstLineChars="0"/>
              <w:rPr>
                <w:rFonts w:ascii="Times New Roman" w:hAnsi="Times New Roman"/>
                <w:b/>
              </w:rPr>
            </w:pPr>
            <w:bookmarkStart w:id="19" w:name="_Toc519208667"/>
            <w:r>
              <w:rPr>
                <w:rFonts w:hint="eastAsia" w:ascii="Times New Roman" w:hAnsi="Times New Roman"/>
                <w:b/>
              </w:rPr>
              <w:t>4</w:t>
            </w:r>
            <w:r>
              <w:rPr>
                <w:rFonts w:ascii="Times New Roman" w:hAnsi="Times New Roman"/>
                <w:b/>
              </w:rPr>
              <w:t>.</w:t>
            </w:r>
            <w:r>
              <w:rPr>
                <w:rFonts w:hint="eastAsia" w:ascii="Times New Roman" w:hAnsi="Times New Roman"/>
                <w:b/>
              </w:rPr>
              <w:t>2</w:t>
            </w:r>
            <w:r>
              <w:rPr>
                <w:rFonts w:ascii="Times New Roman" w:hAnsi="Times New Roman"/>
                <w:b/>
              </w:rPr>
              <w:t>.3 调查质量保证措施</w:t>
            </w:r>
            <w:bookmarkEnd w:id="19"/>
          </w:p>
          <w:p>
            <w:pPr>
              <w:spacing w:line="360" w:lineRule="auto"/>
              <w:ind w:firstLine="480" w:firstLineChars="200"/>
              <w:rPr>
                <w:sz w:val="24"/>
              </w:rPr>
            </w:pPr>
            <w:r>
              <w:rPr>
                <w:sz w:val="24"/>
              </w:rPr>
              <w:t>按《海洋监测规范》（GB</w:t>
            </w:r>
            <w:r>
              <w:rPr>
                <w:rFonts w:hint="eastAsia"/>
                <w:sz w:val="24"/>
              </w:rPr>
              <w:t xml:space="preserve"> </w:t>
            </w:r>
            <w:r>
              <w:rPr>
                <w:sz w:val="24"/>
              </w:rPr>
              <w:t>17378-2007）和《海洋调查规范》（GB/T</w:t>
            </w:r>
            <w:r>
              <w:rPr>
                <w:rFonts w:hint="eastAsia"/>
                <w:sz w:val="24"/>
              </w:rPr>
              <w:t xml:space="preserve"> </w:t>
            </w:r>
            <w:r>
              <w:rPr>
                <w:sz w:val="24"/>
              </w:rPr>
              <w:t>12763-2007）执行。</w:t>
            </w:r>
          </w:p>
          <w:p>
            <w:pPr>
              <w:spacing w:line="360" w:lineRule="auto"/>
              <w:ind w:firstLine="482" w:firstLineChars="200"/>
              <w:rPr>
                <w:b/>
                <w:sz w:val="24"/>
              </w:rPr>
            </w:pPr>
            <w:r>
              <w:rPr>
                <w:rFonts w:hint="eastAsia"/>
                <w:b/>
                <w:sz w:val="24"/>
              </w:rPr>
              <w:t>1</w:t>
            </w:r>
            <w:r>
              <w:rPr>
                <w:b/>
                <w:sz w:val="24"/>
              </w:rPr>
              <w:t>.监测工作的准备阶段</w:t>
            </w:r>
          </w:p>
          <w:p>
            <w:pPr>
              <w:spacing w:line="360" w:lineRule="auto"/>
              <w:ind w:firstLine="480" w:firstLineChars="200"/>
              <w:rPr>
                <w:sz w:val="24"/>
              </w:rPr>
            </w:pPr>
            <w:r>
              <w:rPr>
                <w:sz w:val="24"/>
              </w:rPr>
              <w:t>三氮、活性磷酸盐等营养盐项目出海之前进行试剂空白检查。</w:t>
            </w:r>
          </w:p>
          <w:p>
            <w:pPr>
              <w:spacing w:line="360" w:lineRule="auto"/>
              <w:ind w:firstLine="480" w:firstLineChars="200"/>
              <w:rPr>
                <w:sz w:val="24"/>
              </w:rPr>
            </w:pPr>
            <w:r>
              <w:rPr>
                <w:sz w:val="24"/>
              </w:rPr>
              <w:t>油类出海之前进行试剂检查。</w:t>
            </w:r>
          </w:p>
          <w:p>
            <w:pPr>
              <w:spacing w:line="360" w:lineRule="auto"/>
              <w:ind w:firstLine="480" w:firstLineChars="200"/>
              <w:rPr>
                <w:sz w:val="24"/>
              </w:rPr>
            </w:pPr>
            <w:r>
              <w:rPr>
                <w:sz w:val="24"/>
              </w:rPr>
              <w:t>重金属Hg进行试剂检查，以及样品瓶空白10%抽样检查。</w:t>
            </w:r>
          </w:p>
          <w:p>
            <w:pPr>
              <w:spacing w:line="360" w:lineRule="auto"/>
              <w:ind w:firstLine="480" w:firstLineChars="200"/>
              <w:rPr>
                <w:sz w:val="24"/>
              </w:rPr>
            </w:pPr>
            <w:r>
              <w:rPr>
                <w:sz w:val="24"/>
              </w:rPr>
              <w:t>pH计、分光光度计等仪器设备须进行仪器设备运行检查。</w:t>
            </w:r>
          </w:p>
          <w:p>
            <w:pPr>
              <w:spacing w:line="360" w:lineRule="auto"/>
              <w:ind w:firstLine="480" w:firstLineChars="200"/>
              <w:rPr>
                <w:sz w:val="24"/>
              </w:rPr>
            </w:pPr>
            <w:r>
              <w:rPr>
                <w:sz w:val="24"/>
              </w:rPr>
              <w:t>采水器须清洗干净，并进行功能检查。</w:t>
            </w:r>
          </w:p>
          <w:p>
            <w:pPr>
              <w:spacing w:line="360" w:lineRule="auto"/>
              <w:ind w:firstLine="480" w:firstLineChars="200"/>
              <w:rPr>
                <w:sz w:val="24"/>
              </w:rPr>
            </w:pPr>
            <w:r>
              <w:rPr>
                <w:sz w:val="24"/>
              </w:rPr>
              <w:t>现场检测所用的仪器设备必须为计量检定合格的仪器。</w:t>
            </w:r>
          </w:p>
          <w:p>
            <w:pPr>
              <w:spacing w:line="360" w:lineRule="auto"/>
              <w:ind w:firstLine="482" w:firstLineChars="200"/>
              <w:rPr>
                <w:b/>
                <w:sz w:val="24"/>
              </w:rPr>
            </w:pPr>
            <w:r>
              <w:rPr>
                <w:rFonts w:hint="eastAsia"/>
                <w:b/>
                <w:sz w:val="24"/>
              </w:rPr>
              <w:t>2</w:t>
            </w:r>
            <w:r>
              <w:rPr>
                <w:b/>
                <w:sz w:val="24"/>
              </w:rPr>
              <w:t>.现场监测阶段：</w:t>
            </w:r>
          </w:p>
          <w:p>
            <w:pPr>
              <w:spacing w:line="360" w:lineRule="auto"/>
              <w:ind w:firstLine="480" w:firstLineChars="200"/>
              <w:rPr>
                <w:sz w:val="24"/>
              </w:rPr>
            </w:pPr>
            <w:r>
              <w:rPr>
                <w:sz w:val="24"/>
              </w:rPr>
              <w:t>采样时必须采集监测站位10%现场平行样，其中水质DO、油类做100%的原始平行样。</w:t>
            </w:r>
          </w:p>
          <w:p>
            <w:pPr>
              <w:spacing w:line="360" w:lineRule="auto"/>
              <w:ind w:firstLine="480" w:firstLineChars="200"/>
              <w:rPr>
                <w:sz w:val="24"/>
              </w:rPr>
            </w:pPr>
            <w:r>
              <w:rPr>
                <w:sz w:val="24"/>
              </w:rPr>
              <w:t>三氮、活性磷酸盐、重金属、硫化物、有机碳做不少于5%的内控样。</w:t>
            </w:r>
          </w:p>
          <w:p>
            <w:pPr>
              <w:spacing w:line="360" w:lineRule="auto"/>
              <w:ind w:firstLine="480" w:firstLineChars="200"/>
              <w:rPr>
                <w:kern w:val="0"/>
                <w:sz w:val="24"/>
              </w:rPr>
            </w:pPr>
            <w:r>
              <w:rPr>
                <w:kern w:val="0"/>
                <w:sz w:val="24"/>
              </w:rPr>
              <w:t>盐度、pH在每批次测定前，仪器都须定标。</w:t>
            </w:r>
          </w:p>
          <w:p>
            <w:pPr>
              <w:pStyle w:val="5"/>
              <w:tabs>
                <w:tab w:val="clear" w:pos="360"/>
              </w:tabs>
              <w:ind w:firstLineChars="0"/>
              <w:rPr>
                <w:rFonts w:ascii="Times New Roman" w:hAnsi="Times New Roman"/>
                <w:b/>
              </w:rPr>
            </w:pPr>
            <w:bookmarkStart w:id="20" w:name="_Toc519208668"/>
            <w:r>
              <w:rPr>
                <w:rFonts w:hint="eastAsia" w:ascii="Times New Roman" w:hAnsi="Times New Roman"/>
                <w:b/>
              </w:rPr>
              <w:t>4</w:t>
            </w:r>
            <w:r>
              <w:rPr>
                <w:rFonts w:ascii="Times New Roman" w:hAnsi="Times New Roman"/>
                <w:b/>
              </w:rPr>
              <w:t>.</w:t>
            </w:r>
            <w:r>
              <w:rPr>
                <w:rFonts w:hint="eastAsia" w:ascii="Times New Roman" w:hAnsi="Times New Roman"/>
                <w:b/>
              </w:rPr>
              <w:t>2</w:t>
            </w:r>
            <w:r>
              <w:rPr>
                <w:rFonts w:ascii="Times New Roman" w:hAnsi="Times New Roman"/>
                <w:b/>
              </w:rPr>
              <w:t>.</w:t>
            </w:r>
            <w:r>
              <w:rPr>
                <w:rFonts w:hint="eastAsia" w:ascii="Times New Roman" w:hAnsi="Times New Roman"/>
                <w:b/>
              </w:rPr>
              <w:t>4</w:t>
            </w:r>
            <w:r>
              <w:rPr>
                <w:rFonts w:ascii="Times New Roman" w:hAnsi="Times New Roman"/>
                <w:b/>
              </w:rPr>
              <w:t xml:space="preserve"> 环境质量现状评价概况</w:t>
            </w:r>
            <w:bookmarkEnd w:id="20"/>
          </w:p>
          <w:p>
            <w:pPr>
              <w:pStyle w:val="6"/>
              <w:tabs>
                <w:tab w:val="clear" w:pos="360"/>
              </w:tabs>
              <w:spacing w:line="360" w:lineRule="auto"/>
              <w:ind w:firstLineChars="0"/>
              <w:rPr>
                <w:rFonts w:hAnsi="Times New Roman"/>
                <w:sz w:val="24"/>
                <w:szCs w:val="24"/>
              </w:rPr>
            </w:pPr>
            <w:r>
              <w:rPr>
                <w:rFonts w:hint="eastAsia" w:hAnsi="Times New Roman"/>
                <w:sz w:val="24"/>
                <w:szCs w:val="24"/>
              </w:rPr>
              <w:t>4</w:t>
            </w:r>
            <w:r>
              <w:rPr>
                <w:rFonts w:hAnsi="Times New Roman"/>
                <w:sz w:val="24"/>
                <w:szCs w:val="24"/>
              </w:rPr>
              <w:t>.</w:t>
            </w:r>
            <w:r>
              <w:rPr>
                <w:rFonts w:hint="eastAsia" w:hAnsi="Times New Roman"/>
                <w:sz w:val="24"/>
                <w:szCs w:val="24"/>
              </w:rPr>
              <w:t>2</w:t>
            </w:r>
            <w:r>
              <w:rPr>
                <w:rFonts w:hAnsi="Times New Roman"/>
                <w:sz w:val="24"/>
                <w:szCs w:val="24"/>
              </w:rPr>
              <w:t>.4.1 评价范围及评价因子</w:t>
            </w:r>
          </w:p>
          <w:p>
            <w:pPr>
              <w:pStyle w:val="266"/>
              <w:spacing w:line="360" w:lineRule="auto"/>
              <w:ind w:firstLine="480" w:firstLineChars="200"/>
              <w:jc w:val="both"/>
              <w:rPr>
                <w:color w:val="auto"/>
              </w:rPr>
            </w:pPr>
            <w:r>
              <w:rPr>
                <w:color w:val="auto"/>
              </w:rPr>
              <w:t>海水</w:t>
            </w:r>
            <w:r>
              <w:rPr>
                <w:rFonts w:hint="eastAsia"/>
                <w:color w:val="auto"/>
              </w:rPr>
              <w:t>水质</w:t>
            </w:r>
            <w:r>
              <w:rPr>
                <w:color w:val="auto"/>
              </w:rPr>
              <w:t>：pH、DO、COD、无机氮、活性磷酸盐、石油类、锌、镉、铅、铜、总汞、砷、总铬，共13项。</w:t>
            </w:r>
          </w:p>
          <w:p>
            <w:pPr>
              <w:pStyle w:val="266"/>
              <w:spacing w:line="360" w:lineRule="auto"/>
              <w:ind w:firstLine="480" w:firstLineChars="200"/>
              <w:jc w:val="both"/>
              <w:rPr>
                <w:color w:val="auto"/>
              </w:rPr>
            </w:pPr>
            <w:r>
              <w:rPr>
                <w:color w:val="auto"/>
              </w:rPr>
              <w:t>海洋沉积物质量：锌、镉、铅、铜、汞、铬、石油类、硫化物、有机碳，共10项。</w:t>
            </w:r>
          </w:p>
          <w:p>
            <w:pPr>
              <w:pStyle w:val="6"/>
              <w:tabs>
                <w:tab w:val="clear" w:pos="360"/>
              </w:tabs>
              <w:spacing w:line="360" w:lineRule="auto"/>
              <w:ind w:firstLineChars="0"/>
              <w:rPr>
                <w:rFonts w:hAnsi="Times New Roman"/>
                <w:sz w:val="24"/>
                <w:szCs w:val="24"/>
              </w:rPr>
            </w:pPr>
            <w:r>
              <w:rPr>
                <w:rFonts w:hint="eastAsia" w:hAnsi="Times New Roman"/>
                <w:sz w:val="24"/>
                <w:szCs w:val="24"/>
              </w:rPr>
              <w:t>4</w:t>
            </w:r>
            <w:r>
              <w:rPr>
                <w:rFonts w:hAnsi="Times New Roman"/>
                <w:sz w:val="24"/>
                <w:szCs w:val="24"/>
              </w:rPr>
              <w:t>.</w:t>
            </w:r>
            <w:r>
              <w:rPr>
                <w:rFonts w:hint="eastAsia" w:hAnsi="Times New Roman"/>
                <w:sz w:val="24"/>
                <w:szCs w:val="24"/>
              </w:rPr>
              <w:t>2</w:t>
            </w:r>
            <w:r>
              <w:rPr>
                <w:rFonts w:hAnsi="Times New Roman"/>
                <w:sz w:val="24"/>
                <w:szCs w:val="24"/>
              </w:rPr>
              <w:t>.</w:t>
            </w:r>
            <w:r>
              <w:rPr>
                <w:rFonts w:hint="eastAsia" w:hAnsi="Times New Roman"/>
                <w:sz w:val="24"/>
                <w:szCs w:val="24"/>
              </w:rPr>
              <w:t>4</w:t>
            </w:r>
            <w:r>
              <w:rPr>
                <w:rFonts w:hAnsi="Times New Roman"/>
                <w:sz w:val="24"/>
                <w:szCs w:val="24"/>
              </w:rPr>
              <w:t>.2 评价方法</w:t>
            </w:r>
          </w:p>
          <w:p>
            <w:pPr>
              <w:spacing w:line="360" w:lineRule="auto"/>
              <w:ind w:firstLine="480" w:firstLineChars="200"/>
              <w:rPr>
                <w:sz w:val="24"/>
              </w:rPr>
            </w:pPr>
            <w:r>
              <w:rPr>
                <w:sz w:val="24"/>
              </w:rPr>
              <w:t>水质、沉积物评价方法采用单因子污染指数法，生物评价采用生物群落定性、定量分析，并采用多样性指数、均匀度指数、丰都指数评价群落健康状况。</w:t>
            </w:r>
          </w:p>
          <w:p>
            <w:pPr>
              <w:spacing w:line="360" w:lineRule="auto"/>
              <w:ind w:firstLine="482" w:firstLineChars="200"/>
              <w:rPr>
                <w:b/>
                <w:sz w:val="24"/>
              </w:rPr>
            </w:pPr>
            <w:r>
              <w:rPr>
                <w:b/>
                <w:sz w:val="24"/>
              </w:rPr>
              <w:t>1</w:t>
            </w:r>
            <w:r>
              <w:rPr>
                <w:rFonts w:hint="eastAsia"/>
                <w:b/>
                <w:sz w:val="24"/>
              </w:rPr>
              <w:t>.</w:t>
            </w:r>
            <w:r>
              <w:rPr>
                <w:b/>
                <w:sz w:val="24"/>
              </w:rPr>
              <w:t>水质评价方法</w:t>
            </w:r>
          </w:p>
          <w:p>
            <w:pPr>
              <w:adjustRightInd w:val="0"/>
              <w:snapToGrid w:val="0"/>
              <w:spacing w:line="360" w:lineRule="auto"/>
              <w:ind w:firstLine="480" w:firstLineChars="200"/>
              <w:rPr>
                <w:sz w:val="24"/>
              </w:rPr>
            </w:pPr>
            <w:r>
              <w:rPr>
                <w:rFonts w:hint="eastAsia" w:ascii="宋体" w:hAnsi="宋体" w:cs="宋体"/>
                <w:sz w:val="24"/>
              </w:rPr>
              <w:t>①</w:t>
            </w:r>
            <w:r>
              <w:rPr>
                <w:sz w:val="24"/>
              </w:rPr>
              <w:t>一般水质因子采用标准指数法进行评价，按下列公式计算：</w:t>
            </w:r>
          </w:p>
          <w:p>
            <w:pPr>
              <w:adjustRightInd w:val="0"/>
              <w:snapToGrid w:val="0"/>
              <w:spacing w:line="360" w:lineRule="auto"/>
              <w:jc w:val="center"/>
              <w:rPr>
                <w:b/>
                <w:sz w:val="24"/>
              </w:rPr>
            </w:pPr>
            <w:r>
              <w:rPr>
                <w:position w:val="-12"/>
                <w:sz w:val="24"/>
              </w:rPr>
              <w:drawing>
                <wp:inline distT="0" distB="0" distL="0" distR="0">
                  <wp:extent cx="788035" cy="262890"/>
                  <wp:effectExtent l="0" t="0" r="0" b="381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a:xfrm>
                            <a:off x="0" y="0"/>
                            <a:ext cx="788035" cy="262890"/>
                          </a:xfrm>
                          <a:prstGeom prst="rect">
                            <a:avLst/>
                          </a:prstGeom>
                          <a:noFill/>
                          <a:ln>
                            <a:noFill/>
                          </a:ln>
                        </pic:spPr>
                      </pic:pic>
                    </a:graphicData>
                  </a:graphic>
                </wp:inline>
              </w:drawing>
            </w:r>
          </w:p>
          <w:p>
            <w:pPr>
              <w:adjustRightInd w:val="0"/>
              <w:snapToGrid w:val="0"/>
              <w:spacing w:line="360" w:lineRule="auto"/>
              <w:ind w:firstLine="480" w:firstLineChars="200"/>
              <w:rPr>
                <w:sz w:val="24"/>
              </w:rPr>
            </w:pPr>
            <w:r>
              <w:rPr>
                <w:sz w:val="24"/>
              </w:rPr>
              <w:t>式中：</w:t>
            </w:r>
          </w:p>
          <w:p>
            <w:pPr>
              <w:adjustRightInd w:val="0"/>
              <w:snapToGrid w:val="0"/>
              <w:spacing w:line="360" w:lineRule="auto"/>
              <w:ind w:firstLine="1080" w:firstLineChars="450"/>
              <w:rPr>
                <w:sz w:val="24"/>
              </w:rPr>
            </w:pPr>
            <w:r>
              <w:rPr>
                <w:i/>
                <w:sz w:val="24"/>
              </w:rPr>
              <w:t>Ii</w:t>
            </w:r>
            <w:r>
              <w:rPr>
                <w:sz w:val="24"/>
              </w:rPr>
              <w:t>——i项评价因子的标准指数；</w:t>
            </w:r>
          </w:p>
          <w:p>
            <w:pPr>
              <w:adjustRightInd w:val="0"/>
              <w:snapToGrid w:val="0"/>
              <w:spacing w:line="360" w:lineRule="auto"/>
              <w:ind w:firstLine="960" w:firstLineChars="400"/>
              <w:rPr>
                <w:sz w:val="24"/>
              </w:rPr>
            </w:pPr>
            <w:r>
              <w:rPr>
                <w:i/>
                <w:sz w:val="24"/>
              </w:rPr>
              <w:t xml:space="preserve"> Ci</w:t>
            </w:r>
            <w:r>
              <w:rPr>
                <w:sz w:val="24"/>
              </w:rPr>
              <w:t>——i项评价因子的实测浓度；</w:t>
            </w:r>
          </w:p>
          <w:p>
            <w:pPr>
              <w:adjustRightInd w:val="0"/>
              <w:snapToGrid w:val="0"/>
              <w:spacing w:line="360" w:lineRule="auto"/>
              <w:ind w:firstLine="1080" w:firstLineChars="450"/>
              <w:rPr>
                <w:sz w:val="24"/>
              </w:rPr>
            </w:pPr>
            <w:r>
              <w:rPr>
                <w:i/>
                <w:sz w:val="24"/>
              </w:rPr>
              <w:t>Si</w:t>
            </w:r>
            <w:r>
              <w:rPr>
                <w:sz w:val="24"/>
              </w:rPr>
              <w:t>——i项评价因子的评价标准值。</w:t>
            </w:r>
          </w:p>
          <w:p>
            <w:pPr>
              <w:adjustRightInd w:val="0"/>
              <w:snapToGrid w:val="0"/>
              <w:spacing w:line="360" w:lineRule="auto"/>
              <w:ind w:firstLine="480" w:firstLineChars="200"/>
              <w:rPr>
                <w:sz w:val="24"/>
              </w:rPr>
            </w:pPr>
            <w:r>
              <w:rPr>
                <w:rFonts w:hint="eastAsia" w:ascii="宋体" w:hAnsi="宋体" w:cs="宋体"/>
                <w:sz w:val="24"/>
              </w:rPr>
              <w:t>②</w:t>
            </w:r>
            <w:r>
              <w:rPr>
                <w:sz w:val="24"/>
              </w:rPr>
              <w:t>溶解氧（DO）采用下式计算：</w:t>
            </w:r>
          </w:p>
          <w:p>
            <w:pPr>
              <w:adjustRightInd w:val="0"/>
              <w:snapToGrid w:val="0"/>
              <w:spacing w:line="360" w:lineRule="auto"/>
              <w:jc w:val="center"/>
              <w:rPr>
                <w:sz w:val="24"/>
              </w:rPr>
            </w:pPr>
            <w:r>
              <w:rPr>
                <w:sz w:val="24"/>
              </w:rPr>
              <w:t>I</w:t>
            </w:r>
            <w:r>
              <w:rPr>
                <w:sz w:val="24"/>
                <w:vertAlign w:val="subscript"/>
              </w:rPr>
              <w:t>i</w:t>
            </w:r>
            <w:r>
              <w:rPr>
                <w:sz w:val="24"/>
              </w:rPr>
              <w:t>（DO）=|DO</w:t>
            </w:r>
            <w:r>
              <w:rPr>
                <w:sz w:val="24"/>
                <w:vertAlign w:val="subscript"/>
              </w:rPr>
              <w:t>f</w:t>
            </w:r>
            <w:r>
              <w:rPr>
                <w:sz w:val="24"/>
              </w:rPr>
              <w:t>-DO|/（DO</w:t>
            </w:r>
            <w:r>
              <w:rPr>
                <w:sz w:val="24"/>
                <w:vertAlign w:val="subscript"/>
              </w:rPr>
              <w:t>f</w:t>
            </w:r>
            <w:r>
              <w:rPr>
                <w:sz w:val="24"/>
              </w:rPr>
              <w:t>-DOs）  DO</w:t>
            </w:r>
            <w:r>
              <w:rPr>
                <w:rFonts w:hint="eastAsia" w:ascii="宋体" w:hAnsi="宋体" w:cs="宋体"/>
                <w:sz w:val="24"/>
              </w:rPr>
              <w:t>≧</w:t>
            </w:r>
            <w:r>
              <w:rPr>
                <w:sz w:val="24"/>
              </w:rPr>
              <w:t>DOs</w:t>
            </w:r>
          </w:p>
          <w:p>
            <w:pPr>
              <w:adjustRightInd w:val="0"/>
              <w:snapToGrid w:val="0"/>
              <w:spacing w:line="360" w:lineRule="auto"/>
              <w:jc w:val="center"/>
              <w:rPr>
                <w:sz w:val="24"/>
                <w:lang w:val="pt-BR"/>
              </w:rPr>
            </w:pPr>
            <w:r>
              <w:rPr>
                <w:sz w:val="24"/>
                <w:lang w:val="pt-BR"/>
              </w:rPr>
              <w:t>I</w:t>
            </w:r>
            <w:r>
              <w:rPr>
                <w:sz w:val="24"/>
                <w:vertAlign w:val="subscript"/>
                <w:lang w:val="pt-BR"/>
              </w:rPr>
              <w:t>i</w:t>
            </w:r>
            <w:r>
              <w:rPr>
                <w:sz w:val="24"/>
                <w:lang w:val="pt-BR"/>
              </w:rPr>
              <w:t>（DO）=10-9DO/ DOs      DO&lt; DOs</w:t>
            </w:r>
          </w:p>
          <w:p>
            <w:pPr>
              <w:adjustRightInd w:val="0"/>
              <w:snapToGrid w:val="0"/>
              <w:spacing w:line="360" w:lineRule="auto"/>
              <w:jc w:val="center"/>
              <w:rPr>
                <w:sz w:val="24"/>
              </w:rPr>
            </w:pPr>
            <w:r>
              <w:rPr>
                <w:sz w:val="24"/>
              </w:rPr>
              <w:t>DO</w:t>
            </w:r>
            <w:r>
              <w:rPr>
                <w:sz w:val="24"/>
                <w:vertAlign w:val="subscript"/>
              </w:rPr>
              <w:t xml:space="preserve">f </w:t>
            </w:r>
            <w:r>
              <w:rPr>
                <w:sz w:val="24"/>
              </w:rPr>
              <w:t>= 468/ (31.6+t)</w:t>
            </w:r>
          </w:p>
          <w:p>
            <w:pPr>
              <w:adjustRightInd w:val="0"/>
              <w:snapToGrid w:val="0"/>
              <w:spacing w:line="360" w:lineRule="auto"/>
              <w:ind w:firstLine="480" w:firstLineChars="200"/>
              <w:rPr>
                <w:sz w:val="24"/>
              </w:rPr>
            </w:pPr>
            <w:r>
              <w:rPr>
                <w:sz w:val="24"/>
              </w:rPr>
              <w:t>式中：</w:t>
            </w:r>
          </w:p>
          <w:p>
            <w:pPr>
              <w:adjustRightInd w:val="0"/>
              <w:snapToGrid w:val="0"/>
              <w:spacing w:line="360" w:lineRule="auto"/>
              <w:ind w:firstLine="1200" w:firstLineChars="500"/>
              <w:rPr>
                <w:sz w:val="24"/>
              </w:rPr>
            </w:pPr>
            <w:r>
              <w:rPr>
                <w:sz w:val="24"/>
              </w:rPr>
              <w:t>I</w:t>
            </w:r>
            <w:r>
              <w:rPr>
                <w:sz w:val="24"/>
                <w:vertAlign w:val="subscript"/>
              </w:rPr>
              <w:t>i</w:t>
            </w:r>
            <w:r>
              <w:rPr>
                <w:rFonts w:hint="eastAsia"/>
                <w:sz w:val="24"/>
              </w:rPr>
              <w:t>(</w:t>
            </w:r>
            <w:r>
              <w:rPr>
                <w:sz w:val="24"/>
              </w:rPr>
              <w:t>DO</w:t>
            </w:r>
            <w:r>
              <w:rPr>
                <w:rFonts w:hint="eastAsia"/>
                <w:sz w:val="24"/>
              </w:rPr>
              <w:t>)</w:t>
            </w:r>
            <w:r>
              <w:rPr>
                <w:rFonts w:hint="eastAsia" w:ascii="宋体" w:hAnsi="宋体"/>
                <w:sz w:val="24"/>
              </w:rPr>
              <w:t xml:space="preserve"> ――</w:t>
            </w:r>
            <w:r>
              <w:rPr>
                <w:sz w:val="24"/>
              </w:rPr>
              <w:t>溶解氧标准指数；</w:t>
            </w:r>
          </w:p>
          <w:p>
            <w:pPr>
              <w:adjustRightInd w:val="0"/>
              <w:snapToGrid w:val="0"/>
              <w:spacing w:line="360" w:lineRule="auto"/>
              <w:ind w:firstLine="480" w:firstLineChars="200"/>
              <w:rPr>
                <w:sz w:val="24"/>
              </w:rPr>
            </w:pPr>
            <w:r>
              <w:rPr>
                <w:sz w:val="24"/>
              </w:rPr>
              <w:t xml:space="preserve">      DO</w:t>
            </w:r>
            <w:r>
              <w:rPr>
                <w:sz w:val="24"/>
                <w:vertAlign w:val="subscript"/>
              </w:rPr>
              <w:t>f</w:t>
            </w:r>
            <w:r>
              <w:rPr>
                <w:rFonts w:hint="eastAsia" w:ascii="宋体" w:hAnsi="宋体"/>
                <w:sz w:val="24"/>
              </w:rPr>
              <w:t>――</w:t>
            </w:r>
            <w:r>
              <w:rPr>
                <w:sz w:val="24"/>
              </w:rPr>
              <w:t>现场水温及氯度条件下，水样中氧饱和浓度（mg/L）；</w:t>
            </w:r>
          </w:p>
          <w:p>
            <w:pPr>
              <w:adjustRightInd w:val="0"/>
              <w:snapToGrid w:val="0"/>
              <w:spacing w:line="360" w:lineRule="auto"/>
              <w:ind w:firstLine="480" w:firstLineChars="200"/>
              <w:rPr>
                <w:sz w:val="24"/>
              </w:rPr>
            </w:pPr>
            <w:r>
              <w:rPr>
                <w:sz w:val="24"/>
              </w:rPr>
              <w:t xml:space="preserve">      DOs</w:t>
            </w:r>
            <w:r>
              <w:rPr>
                <w:rFonts w:hint="eastAsia" w:ascii="宋体" w:hAnsi="宋体"/>
                <w:sz w:val="24"/>
              </w:rPr>
              <w:t>――</w:t>
            </w:r>
            <w:r>
              <w:rPr>
                <w:sz w:val="24"/>
              </w:rPr>
              <w:t>溶解氧标准值（mg/L）；</w:t>
            </w:r>
          </w:p>
          <w:p>
            <w:pPr>
              <w:adjustRightInd w:val="0"/>
              <w:snapToGrid w:val="0"/>
              <w:spacing w:line="360" w:lineRule="auto"/>
              <w:ind w:firstLine="1200" w:firstLineChars="500"/>
              <w:rPr>
                <w:sz w:val="24"/>
              </w:rPr>
            </w:pPr>
            <w:r>
              <w:rPr>
                <w:sz w:val="24"/>
              </w:rPr>
              <w:t>t</w:t>
            </w:r>
            <w:r>
              <w:rPr>
                <w:rFonts w:hint="eastAsia" w:ascii="宋体" w:hAnsi="宋体"/>
                <w:sz w:val="24"/>
              </w:rPr>
              <w:t>――</w:t>
            </w:r>
            <w:r>
              <w:rPr>
                <w:sz w:val="24"/>
              </w:rPr>
              <w:t>现场温度。</w:t>
            </w:r>
          </w:p>
          <w:p>
            <w:pPr>
              <w:adjustRightInd w:val="0"/>
              <w:snapToGrid w:val="0"/>
              <w:spacing w:line="360" w:lineRule="auto"/>
              <w:ind w:firstLine="480" w:firstLineChars="200"/>
              <w:rPr>
                <w:sz w:val="24"/>
              </w:rPr>
            </w:pPr>
            <w:r>
              <w:rPr>
                <w:rFonts w:hint="eastAsia" w:ascii="宋体" w:hAnsi="宋体" w:cs="宋体"/>
                <w:sz w:val="24"/>
              </w:rPr>
              <w:t>③</w:t>
            </w:r>
            <w:r>
              <w:rPr>
                <w:sz w:val="24"/>
              </w:rPr>
              <w:t>pH</w:t>
            </w:r>
          </w:p>
          <w:p>
            <w:pPr>
              <w:adjustRightInd w:val="0"/>
              <w:snapToGrid w:val="0"/>
              <w:spacing w:line="360" w:lineRule="auto"/>
              <w:ind w:firstLine="480" w:firstLineChars="200"/>
              <w:rPr>
                <w:sz w:val="24"/>
              </w:rPr>
            </w:pPr>
            <w:r>
              <w:rPr>
                <w:sz w:val="24"/>
              </w:rPr>
              <w:t>pH有其特殊性，它的评价标准值为7.8~8.5，计算式为：</w:t>
            </w:r>
          </w:p>
          <w:p>
            <w:pPr>
              <w:adjustRightInd w:val="0"/>
              <w:snapToGrid w:val="0"/>
              <w:spacing w:line="360" w:lineRule="auto"/>
              <w:ind w:firstLine="480" w:firstLineChars="200"/>
              <w:jc w:val="center"/>
              <w:rPr>
                <w:sz w:val="24"/>
              </w:rPr>
            </w:pPr>
            <w:r>
              <w:rPr>
                <w:sz w:val="24"/>
              </w:rPr>
              <w:t>IpH.i=|Ci-8.15|/（C</w:t>
            </w:r>
            <w:r>
              <w:rPr>
                <w:sz w:val="24"/>
                <w:vertAlign w:val="subscript"/>
              </w:rPr>
              <w:t>上</w:t>
            </w:r>
            <w:r>
              <w:rPr>
                <w:sz w:val="24"/>
              </w:rPr>
              <w:t>-8.15）</w:t>
            </w:r>
          </w:p>
          <w:p>
            <w:pPr>
              <w:adjustRightInd w:val="0"/>
              <w:snapToGrid w:val="0"/>
              <w:spacing w:line="360" w:lineRule="auto"/>
              <w:ind w:firstLine="480" w:firstLineChars="200"/>
              <w:rPr>
                <w:sz w:val="24"/>
              </w:rPr>
            </w:pPr>
            <w:r>
              <w:rPr>
                <w:sz w:val="24"/>
              </w:rPr>
              <w:t>式中：</w:t>
            </w:r>
          </w:p>
          <w:p>
            <w:pPr>
              <w:adjustRightInd w:val="0"/>
              <w:snapToGrid w:val="0"/>
              <w:spacing w:line="360" w:lineRule="auto"/>
              <w:ind w:firstLine="1200" w:firstLineChars="500"/>
              <w:rPr>
                <w:sz w:val="24"/>
              </w:rPr>
            </w:pPr>
            <w:r>
              <w:rPr>
                <w:sz w:val="24"/>
              </w:rPr>
              <w:t>IpH.i</w:t>
            </w:r>
            <w:r>
              <w:rPr>
                <w:rFonts w:hint="eastAsia" w:ascii="宋体" w:hAnsi="宋体"/>
                <w:sz w:val="24"/>
              </w:rPr>
              <w:t>――</w:t>
            </w:r>
            <w:r>
              <w:rPr>
                <w:sz w:val="24"/>
              </w:rPr>
              <w:t>pH的标准指数；</w:t>
            </w:r>
          </w:p>
          <w:p>
            <w:pPr>
              <w:adjustRightInd w:val="0"/>
              <w:snapToGrid w:val="0"/>
              <w:spacing w:line="360" w:lineRule="auto"/>
              <w:ind w:firstLine="480" w:firstLineChars="200"/>
              <w:rPr>
                <w:sz w:val="24"/>
              </w:rPr>
            </w:pPr>
            <w:r>
              <w:rPr>
                <w:sz w:val="24"/>
              </w:rPr>
              <w:t xml:space="preserve">      C</w:t>
            </w:r>
            <w:r>
              <w:rPr>
                <w:rFonts w:hint="eastAsia" w:ascii="宋体" w:hAnsi="宋体"/>
                <w:sz w:val="24"/>
              </w:rPr>
              <w:t>――</w:t>
            </w:r>
            <w:r>
              <w:rPr>
                <w:sz w:val="24"/>
              </w:rPr>
              <w:t>pH评价标准上限值；</w:t>
            </w:r>
          </w:p>
          <w:p>
            <w:pPr>
              <w:adjustRightInd w:val="0"/>
              <w:snapToGrid w:val="0"/>
              <w:spacing w:line="360" w:lineRule="auto"/>
              <w:ind w:firstLine="480" w:firstLineChars="200"/>
              <w:rPr>
                <w:sz w:val="24"/>
              </w:rPr>
            </w:pPr>
            <w:r>
              <w:rPr>
                <w:sz w:val="24"/>
              </w:rPr>
              <w:t xml:space="preserve">      C</w:t>
            </w:r>
            <w:r>
              <w:rPr>
                <w:sz w:val="24"/>
                <w:vertAlign w:val="subscript"/>
              </w:rPr>
              <w:t>i</w:t>
            </w:r>
            <w:r>
              <w:rPr>
                <w:rFonts w:hint="eastAsia" w:ascii="宋体" w:hAnsi="宋体"/>
                <w:sz w:val="24"/>
              </w:rPr>
              <w:t>――</w:t>
            </w:r>
            <w:r>
              <w:rPr>
                <w:sz w:val="24"/>
              </w:rPr>
              <w:t>pH的实测值。</w:t>
            </w:r>
          </w:p>
          <w:p>
            <w:pPr>
              <w:spacing w:line="360" w:lineRule="auto"/>
              <w:ind w:firstLine="482" w:firstLineChars="200"/>
              <w:rPr>
                <w:rFonts w:eastAsia="宋体e眠副浡渀."/>
                <w:b/>
                <w:sz w:val="24"/>
              </w:rPr>
            </w:pPr>
            <w:r>
              <w:rPr>
                <w:b/>
                <w:bCs/>
                <w:sz w:val="24"/>
              </w:rPr>
              <w:t>2</w:t>
            </w:r>
            <w:r>
              <w:rPr>
                <w:rFonts w:hint="eastAsia" w:eastAsia="宋体e眠副浡渀."/>
                <w:b/>
                <w:sz w:val="24"/>
              </w:rPr>
              <w:t>.</w:t>
            </w:r>
            <w:r>
              <w:rPr>
                <w:rFonts w:eastAsia="宋体e眠副浡渀."/>
                <w:b/>
                <w:sz w:val="24"/>
              </w:rPr>
              <w:t>沉积物评价方法</w:t>
            </w:r>
          </w:p>
          <w:p>
            <w:pPr>
              <w:adjustRightInd w:val="0"/>
              <w:snapToGrid w:val="0"/>
              <w:spacing w:line="360" w:lineRule="auto"/>
              <w:ind w:firstLine="480" w:firstLineChars="200"/>
              <w:rPr>
                <w:kern w:val="44"/>
                <w:sz w:val="24"/>
              </w:rPr>
            </w:pPr>
            <w:r>
              <w:rPr>
                <w:kern w:val="44"/>
                <w:sz w:val="24"/>
              </w:rPr>
              <w:t>沉积物环境质量评价采用单因子标准指数法进行，公式如下：</w:t>
            </w:r>
          </w:p>
          <w:p>
            <w:pPr>
              <w:adjustRightInd w:val="0"/>
              <w:snapToGrid w:val="0"/>
              <w:spacing w:line="360" w:lineRule="auto"/>
              <w:jc w:val="center"/>
              <w:rPr>
                <w:kern w:val="44"/>
                <w:sz w:val="24"/>
              </w:rPr>
            </w:pPr>
            <w:r>
              <w:rPr>
                <w:kern w:val="44"/>
                <w:sz w:val="24"/>
              </w:rPr>
              <w:t>I</w:t>
            </w:r>
            <w:r>
              <w:rPr>
                <w:kern w:val="44"/>
                <w:sz w:val="24"/>
                <w:vertAlign w:val="subscript"/>
              </w:rPr>
              <w:t>i</w:t>
            </w:r>
            <w:r>
              <w:rPr>
                <w:kern w:val="44"/>
                <w:sz w:val="24"/>
              </w:rPr>
              <w:t>=C</w:t>
            </w:r>
            <w:r>
              <w:rPr>
                <w:kern w:val="44"/>
                <w:sz w:val="24"/>
                <w:vertAlign w:val="subscript"/>
              </w:rPr>
              <w:t>i</w:t>
            </w:r>
            <w:r>
              <w:rPr>
                <w:kern w:val="44"/>
                <w:sz w:val="24"/>
              </w:rPr>
              <w:t>/S</w:t>
            </w:r>
            <w:r>
              <w:rPr>
                <w:kern w:val="44"/>
                <w:sz w:val="24"/>
                <w:vertAlign w:val="subscript"/>
              </w:rPr>
              <w:t>i</w:t>
            </w:r>
          </w:p>
          <w:p>
            <w:pPr>
              <w:adjustRightInd w:val="0"/>
              <w:snapToGrid w:val="0"/>
              <w:spacing w:line="360" w:lineRule="auto"/>
              <w:ind w:firstLine="480" w:firstLineChars="200"/>
              <w:rPr>
                <w:kern w:val="44"/>
                <w:sz w:val="24"/>
              </w:rPr>
            </w:pPr>
            <w:r>
              <w:rPr>
                <w:kern w:val="44"/>
                <w:sz w:val="24"/>
              </w:rPr>
              <w:t>式中：</w:t>
            </w:r>
          </w:p>
          <w:p>
            <w:pPr>
              <w:adjustRightInd w:val="0"/>
              <w:snapToGrid w:val="0"/>
              <w:spacing w:line="360" w:lineRule="auto"/>
              <w:ind w:firstLine="960" w:firstLineChars="400"/>
              <w:rPr>
                <w:kern w:val="44"/>
                <w:sz w:val="24"/>
              </w:rPr>
            </w:pPr>
            <w:r>
              <w:rPr>
                <w:kern w:val="44"/>
                <w:sz w:val="24"/>
              </w:rPr>
              <w:t>I</w:t>
            </w:r>
            <w:r>
              <w:rPr>
                <w:kern w:val="44"/>
                <w:sz w:val="24"/>
                <w:vertAlign w:val="subscript"/>
              </w:rPr>
              <w:t>i</w:t>
            </w:r>
            <w:r>
              <w:rPr>
                <w:rFonts w:hint="eastAsia" w:ascii="宋体" w:hAnsi="宋体"/>
                <w:sz w:val="24"/>
              </w:rPr>
              <w:t>――</w:t>
            </w:r>
            <w:r>
              <w:rPr>
                <w:kern w:val="44"/>
                <w:sz w:val="24"/>
              </w:rPr>
              <w:t>i项评价因子的标准指数；</w:t>
            </w:r>
          </w:p>
          <w:p>
            <w:pPr>
              <w:adjustRightInd w:val="0"/>
              <w:snapToGrid w:val="0"/>
              <w:spacing w:line="360" w:lineRule="auto"/>
              <w:ind w:firstLine="960" w:firstLineChars="400"/>
              <w:rPr>
                <w:kern w:val="44"/>
                <w:sz w:val="24"/>
              </w:rPr>
            </w:pPr>
            <w:r>
              <w:rPr>
                <w:kern w:val="44"/>
                <w:sz w:val="24"/>
              </w:rPr>
              <w:t>C</w:t>
            </w:r>
            <w:r>
              <w:rPr>
                <w:kern w:val="44"/>
                <w:sz w:val="24"/>
                <w:vertAlign w:val="subscript"/>
              </w:rPr>
              <w:t>i</w:t>
            </w:r>
            <w:r>
              <w:rPr>
                <w:rFonts w:hint="eastAsia" w:ascii="宋体" w:hAnsi="宋体"/>
                <w:sz w:val="24"/>
              </w:rPr>
              <w:t>――</w:t>
            </w:r>
            <w:r>
              <w:rPr>
                <w:kern w:val="44"/>
                <w:sz w:val="24"/>
              </w:rPr>
              <w:t>i项评价因子的实测浓度；</w:t>
            </w:r>
          </w:p>
          <w:p>
            <w:pPr>
              <w:adjustRightInd w:val="0"/>
              <w:snapToGrid w:val="0"/>
              <w:spacing w:line="360" w:lineRule="auto"/>
              <w:ind w:firstLine="960" w:firstLineChars="400"/>
              <w:rPr>
                <w:kern w:val="44"/>
                <w:sz w:val="24"/>
              </w:rPr>
            </w:pPr>
            <w:r>
              <w:rPr>
                <w:kern w:val="44"/>
                <w:sz w:val="24"/>
              </w:rPr>
              <w:t>S</w:t>
            </w:r>
            <w:r>
              <w:rPr>
                <w:kern w:val="44"/>
                <w:sz w:val="24"/>
                <w:vertAlign w:val="subscript"/>
              </w:rPr>
              <w:t>i</w:t>
            </w:r>
            <w:r>
              <w:rPr>
                <w:rFonts w:hint="eastAsia" w:ascii="宋体" w:hAnsi="宋体"/>
                <w:sz w:val="24"/>
              </w:rPr>
              <w:t>――</w:t>
            </w:r>
            <w:r>
              <w:rPr>
                <w:kern w:val="44"/>
                <w:sz w:val="24"/>
              </w:rPr>
              <w:t>i项评价因子的评价标准值。</w:t>
            </w:r>
          </w:p>
          <w:p>
            <w:pPr>
              <w:pStyle w:val="6"/>
              <w:tabs>
                <w:tab w:val="clear" w:pos="360"/>
              </w:tabs>
              <w:spacing w:line="360" w:lineRule="auto"/>
              <w:ind w:left="0" w:firstLine="482"/>
              <w:rPr>
                <w:rFonts w:hAnsi="Times New Roman"/>
                <w:sz w:val="24"/>
                <w:szCs w:val="24"/>
              </w:rPr>
            </w:pPr>
            <w:r>
              <w:rPr>
                <w:rFonts w:hint="eastAsia" w:hAnsi="Times New Roman"/>
                <w:sz w:val="24"/>
                <w:szCs w:val="24"/>
              </w:rPr>
              <w:t>4</w:t>
            </w:r>
            <w:r>
              <w:rPr>
                <w:rFonts w:hAnsi="Times New Roman"/>
                <w:sz w:val="24"/>
                <w:szCs w:val="24"/>
              </w:rPr>
              <w:t>.</w:t>
            </w:r>
            <w:r>
              <w:rPr>
                <w:rFonts w:hint="eastAsia" w:hAnsi="Times New Roman"/>
                <w:sz w:val="24"/>
                <w:szCs w:val="24"/>
              </w:rPr>
              <w:t>2</w:t>
            </w:r>
            <w:r>
              <w:rPr>
                <w:rFonts w:hAnsi="Times New Roman"/>
                <w:sz w:val="24"/>
                <w:szCs w:val="24"/>
              </w:rPr>
              <w:t>.</w:t>
            </w:r>
            <w:r>
              <w:rPr>
                <w:rFonts w:hint="eastAsia" w:hAnsi="Times New Roman"/>
                <w:sz w:val="24"/>
                <w:szCs w:val="24"/>
              </w:rPr>
              <w:t>4</w:t>
            </w:r>
            <w:r>
              <w:rPr>
                <w:rFonts w:hAnsi="Times New Roman"/>
                <w:sz w:val="24"/>
                <w:szCs w:val="24"/>
              </w:rPr>
              <w:t>.3评价标准</w:t>
            </w:r>
          </w:p>
          <w:p>
            <w:pPr>
              <w:spacing w:line="360" w:lineRule="auto"/>
              <w:ind w:firstLine="480" w:firstLineChars="200"/>
              <w:rPr>
                <w:sz w:val="24"/>
              </w:rPr>
            </w:pPr>
            <w:r>
              <w:rPr>
                <w:rFonts w:hint="eastAsia"/>
                <w:sz w:val="24"/>
              </w:rPr>
              <w:t>根据2017年5月各调查站位所在《山东省海洋功能区划（2011-2020 年）》的环境保护要求，D1、D6，D2、D4、D7、D15、D16，D9、D10、D13、D14、D19、D22、D23、D24位于农渔业区，D3、D5、D17，D11位于旅游休闲娱乐区，水质评价标准采用《海水水质标准》（GB 3097-1997）中的二类水质标准；D8、D12，D18、D20、D21位于港口航运区，水质评价标准采用三类水质标准。</w:t>
            </w:r>
          </w:p>
          <w:p>
            <w:pPr>
              <w:pStyle w:val="279"/>
              <w:snapToGrid w:val="0"/>
              <w:spacing w:line="360" w:lineRule="auto"/>
              <w:ind w:firstLine="480"/>
              <w:rPr>
                <w:rFonts w:hAnsi="黑体"/>
                <w:sz w:val="24"/>
              </w:rPr>
            </w:pPr>
            <w:r>
              <w:rPr>
                <w:szCs w:val="21"/>
              </w:rPr>
              <w:t>表</w:t>
            </w:r>
            <w:r>
              <w:rPr>
                <w:rFonts w:hint="eastAsia"/>
                <w:szCs w:val="21"/>
              </w:rPr>
              <w:t xml:space="preserve">4.2.4  </w:t>
            </w:r>
            <w:r>
              <w:rPr>
                <w:szCs w:val="21"/>
              </w:rPr>
              <w:t xml:space="preserve"> 调查站位所在功能区划环境保护要求明细表</w:t>
            </w:r>
          </w:p>
          <w:tbl>
            <w:tblPr>
              <w:tblStyle w:val="88"/>
              <w:tblW w:w="8354" w:type="dxa"/>
              <w:jc w:val="center"/>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249"/>
              <w:gridCol w:w="2089"/>
              <w:gridCol w:w="5016"/>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PrEx>
              <w:trPr>
                <w:trHeight w:val="269" w:hRule="atLeast"/>
                <w:jc w:val="center"/>
              </w:trPr>
              <w:tc>
                <w:tcPr>
                  <w:tcW w:w="124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调查站位</w:t>
                  </w:r>
                </w:p>
              </w:tc>
              <w:tc>
                <w:tcPr>
                  <w:tcW w:w="208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所在海域功能区划</w:t>
                  </w:r>
                </w:p>
              </w:tc>
              <w:tc>
                <w:tcPr>
                  <w:tcW w:w="5016"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环境保护要求</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PrEx>
              <w:trPr>
                <w:trHeight w:val="269" w:hRule="atLeast"/>
                <w:jc w:val="center"/>
              </w:trPr>
              <w:tc>
                <w:tcPr>
                  <w:tcW w:w="124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D1、D6</w:t>
                  </w:r>
                </w:p>
              </w:tc>
              <w:tc>
                <w:tcPr>
                  <w:tcW w:w="208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烟台-威海北近海农渔业区</w:t>
                  </w:r>
                </w:p>
                <w:p>
                  <w:pPr>
                    <w:widowControl/>
                    <w:spacing w:line="320" w:lineRule="atLeast"/>
                    <w:jc w:val="center"/>
                    <w:rPr>
                      <w:rFonts w:cs="宋体"/>
                      <w:kern w:val="0"/>
                      <w:szCs w:val="21"/>
                    </w:rPr>
                  </w:pPr>
                  <w:r>
                    <w:rPr>
                      <w:rFonts w:hint="eastAsia" w:cs="宋体"/>
                      <w:kern w:val="0"/>
                      <w:szCs w:val="21"/>
                    </w:rPr>
                    <w:t>(B1-1)</w:t>
                  </w:r>
                </w:p>
              </w:tc>
              <w:tc>
                <w:tcPr>
                  <w:tcW w:w="5016" w:type="dxa"/>
                  <w:shd w:val="clear" w:color="auto" w:fill="auto"/>
                  <w:noWrap/>
                  <w:vAlign w:val="center"/>
                </w:tcPr>
                <w:p>
                  <w:pPr>
                    <w:widowControl/>
                    <w:spacing w:line="320" w:lineRule="atLeast"/>
                    <w:ind w:left="-111" w:leftChars="-53"/>
                    <w:jc w:val="center"/>
                    <w:rPr>
                      <w:rFonts w:cs="宋体"/>
                      <w:kern w:val="0"/>
                      <w:szCs w:val="21"/>
                    </w:rPr>
                  </w:pPr>
                  <w:r>
                    <w:rPr>
                      <w:rFonts w:hint="eastAsia" w:cs="宋体"/>
                      <w:kern w:val="0"/>
                      <w:szCs w:val="21"/>
                    </w:rPr>
                    <w:t>加强海域污染防治和环境质量监测。水产种质资源保护区海水水质、海洋沉积物质量和海洋生物质量均执行一类标准。其它海域海水水质不劣于二类标准、海洋沉积物质量和海洋生物质量均执行一类标准。</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269" w:hRule="atLeast"/>
                <w:jc w:val="center"/>
              </w:trPr>
              <w:tc>
                <w:tcPr>
                  <w:tcW w:w="124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D2、D4、D7、D15、D16</w:t>
                  </w:r>
                </w:p>
              </w:tc>
              <w:tc>
                <w:tcPr>
                  <w:tcW w:w="208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威海北农渔业区</w:t>
                  </w:r>
                </w:p>
                <w:p>
                  <w:pPr>
                    <w:widowControl/>
                    <w:spacing w:line="320" w:lineRule="atLeast"/>
                    <w:jc w:val="center"/>
                    <w:rPr>
                      <w:rFonts w:cs="宋体"/>
                      <w:kern w:val="0"/>
                      <w:szCs w:val="21"/>
                    </w:rPr>
                  </w:pPr>
                  <w:r>
                    <w:rPr>
                      <w:rFonts w:hint="eastAsia" w:cs="宋体"/>
                      <w:kern w:val="0"/>
                      <w:szCs w:val="21"/>
                    </w:rPr>
                    <w:t>（A1-17）</w:t>
                  </w:r>
                </w:p>
              </w:tc>
              <w:tc>
                <w:tcPr>
                  <w:tcW w:w="5016" w:type="dxa"/>
                  <w:shd w:val="clear" w:color="auto" w:fill="auto"/>
                  <w:noWrap/>
                  <w:vAlign w:val="center"/>
                </w:tcPr>
                <w:p>
                  <w:pPr>
                    <w:widowControl/>
                    <w:spacing w:line="320" w:lineRule="atLeast"/>
                    <w:ind w:left="-111" w:leftChars="-53"/>
                    <w:jc w:val="center"/>
                    <w:rPr>
                      <w:rFonts w:cs="宋体"/>
                      <w:kern w:val="0"/>
                      <w:szCs w:val="21"/>
                    </w:rPr>
                  </w:pPr>
                  <w:r>
                    <w:rPr>
                      <w:rFonts w:hint="eastAsia" w:cs="宋体"/>
                      <w:kern w:val="0"/>
                      <w:szCs w:val="21"/>
                    </w:rPr>
                    <w:t>加强海域污染防治和监测。渔业设施建设区海水水质不劣于二类（渔港区执行不劣于现状海水水质标准），海洋沉积物质量和海洋生物质量均不劣于二类标准。水产种质资源保护区、捕捞区海水水质、海洋沉积物质量和海洋生物质量均不劣于一类标准。其它海域海水水质不劣于二类标准，海洋沉积物质量和海洋生物质量均不劣于一类标准。</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269" w:hRule="atLeast"/>
                <w:jc w:val="center"/>
              </w:trPr>
              <w:tc>
                <w:tcPr>
                  <w:tcW w:w="124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D3、D5、D17</w:t>
                  </w:r>
                </w:p>
              </w:tc>
              <w:tc>
                <w:tcPr>
                  <w:tcW w:w="208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威海市区北部旅游休闲娱乐</w:t>
                  </w:r>
                </w:p>
                <w:p>
                  <w:pPr>
                    <w:widowControl/>
                    <w:spacing w:line="320" w:lineRule="atLeast"/>
                    <w:jc w:val="center"/>
                    <w:rPr>
                      <w:rFonts w:cs="宋体"/>
                      <w:kern w:val="0"/>
                      <w:szCs w:val="21"/>
                    </w:rPr>
                  </w:pPr>
                  <w:r>
                    <w:rPr>
                      <w:rFonts w:hint="eastAsia" w:cs="宋体"/>
                      <w:kern w:val="0"/>
                      <w:szCs w:val="21"/>
                    </w:rPr>
                    <w:t>(A5-20)</w:t>
                  </w:r>
                </w:p>
              </w:tc>
              <w:tc>
                <w:tcPr>
                  <w:tcW w:w="5016" w:type="dxa"/>
                  <w:shd w:val="clear" w:color="auto" w:fill="auto"/>
                  <w:noWrap/>
                  <w:vAlign w:val="center"/>
                </w:tcPr>
                <w:p>
                  <w:pPr>
                    <w:widowControl/>
                    <w:spacing w:line="320" w:lineRule="atLeast"/>
                    <w:ind w:left="-111" w:leftChars="-53"/>
                    <w:jc w:val="center"/>
                    <w:rPr>
                      <w:rFonts w:cs="宋体"/>
                      <w:kern w:val="0"/>
                      <w:szCs w:val="21"/>
                    </w:rPr>
                  </w:pPr>
                  <w:r>
                    <w:rPr>
                      <w:rFonts w:hint="eastAsia" w:cs="宋体"/>
                      <w:kern w:val="0"/>
                      <w:szCs w:val="21"/>
                    </w:rPr>
                    <w:t>本海域文体休闲娱乐区海水水质不劣于二类标准，海洋沉积物质量和海洋生物质量均不劣于一类标准；风景旅游区海水水质不劣于二类标准，海洋沉积物质量和海洋生物质量均不劣于二类标准。</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269" w:hRule="atLeast"/>
                <w:jc w:val="center"/>
              </w:trPr>
              <w:tc>
                <w:tcPr>
                  <w:tcW w:w="124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D8、D12</w:t>
                  </w:r>
                </w:p>
              </w:tc>
              <w:tc>
                <w:tcPr>
                  <w:tcW w:w="208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威海南港口航运区</w:t>
                  </w:r>
                </w:p>
                <w:p>
                  <w:pPr>
                    <w:widowControl/>
                    <w:spacing w:line="320" w:lineRule="atLeast"/>
                    <w:jc w:val="center"/>
                    <w:rPr>
                      <w:rFonts w:cs="宋体"/>
                      <w:kern w:val="0"/>
                      <w:szCs w:val="21"/>
                    </w:rPr>
                  </w:pPr>
                  <w:r>
                    <w:rPr>
                      <w:rFonts w:hint="eastAsia" w:cs="宋体"/>
                      <w:kern w:val="0"/>
                      <w:szCs w:val="21"/>
                    </w:rPr>
                    <w:t>（A2-15）</w:t>
                  </w:r>
                </w:p>
              </w:tc>
              <w:tc>
                <w:tcPr>
                  <w:tcW w:w="5016" w:type="dxa"/>
                  <w:shd w:val="clear" w:color="auto" w:fill="auto"/>
                  <w:noWrap/>
                  <w:vAlign w:val="center"/>
                </w:tcPr>
                <w:p>
                  <w:pPr>
                    <w:widowControl/>
                    <w:spacing w:line="320" w:lineRule="atLeast"/>
                    <w:ind w:left="-111" w:leftChars="-53"/>
                    <w:jc w:val="center"/>
                    <w:rPr>
                      <w:rFonts w:cs="宋体"/>
                      <w:kern w:val="0"/>
                      <w:szCs w:val="21"/>
                    </w:rPr>
                  </w:pPr>
                  <w:r>
                    <w:rPr>
                      <w:rFonts w:hint="eastAsia" w:cs="宋体"/>
                      <w:kern w:val="0"/>
                      <w:szCs w:val="21"/>
                    </w:rPr>
                    <w:t>加强海域污染防治和监测。港口区海域海水水质不劣于四类标准，海洋沉积物质量和海洋生物质量均不劣于三类标准。航道及锚地海域海水水质不劣于三类标准，海洋沉积物质量和海洋生物质量均不劣于二类标准。</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269" w:hRule="atLeast"/>
                <w:jc w:val="center"/>
              </w:trPr>
              <w:tc>
                <w:tcPr>
                  <w:tcW w:w="124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D9、D10、D13、D14、D19、D22、D23、D24</w:t>
                  </w:r>
                </w:p>
              </w:tc>
              <w:tc>
                <w:tcPr>
                  <w:tcW w:w="208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刘公岛-鸡鸣岛农渔业区</w:t>
                  </w:r>
                </w:p>
                <w:p>
                  <w:pPr>
                    <w:widowControl/>
                    <w:spacing w:line="320" w:lineRule="atLeast"/>
                    <w:jc w:val="center"/>
                    <w:rPr>
                      <w:rFonts w:cs="宋体"/>
                      <w:kern w:val="0"/>
                      <w:szCs w:val="21"/>
                    </w:rPr>
                  </w:pPr>
                  <w:r>
                    <w:rPr>
                      <w:rFonts w:hint="eastAsia" w:cs="宋体"/>
                      <w:kern w:val="0"/>
                      <w:szCs w:val="21"/>
                    </w:rPr>
                    <w:t>（A1-18）</w:t>
                  </w:r>
                </w:p>
              </w:tc>
              <w:tc>
                <w:tcPr>
                  <w:tcW w:w="5016" w:type="dxa"/>
                  <w:shd w:val="clear" w:color="auto" w:fill="auto"/>
                  <w:noWrap/>
                  <w:vAlign w:val="center"/>
                </w:tcPr>
                <w:p>
                  <w:pPr>
                    <w:widowControl/>
                    <w:spacing w:line="320" w:lineRule="atLeast"/>
                    <w:ind w:left="-111" w:leftChars="-53"/>
                    <w:jc w:val="center"/>
                    <w:rPr>
                      <w:rFonts w:cs="宋体"/>
                      <w:kern w:val="0"/>
                      <w:szCs w:val="21"/>
                    </w:rPr>
                  </w:pPr>
                  <w:r>
                    <w:rPr>
                      <w:rFonts w:hint="eastAsia" w:cs="宋体"/>
                      <w:kern w:val="0"/>
                      <w:szCs w:val="21"/>
                    </w:rPr>
                    <w:t>加强海域污染防治和监测。渔业设施建设区海水水质不劣于二类（渔港区执行不劣于现状海水水质标准），海洋沉积物质量和海洋生物质量均不劣于二类标准。水产种质资源保护区、捕捞区海水水质、海洋沉积物质量和海洋生物质量均不劣于一类标准。其它海域海水水质不劣于二类标准，海洋沉积物质量和海洋生物质量均不劣于一类标准。</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269" w:hRule="atLeast"/>
                <w:jc w:val="center"/>
              </w:trPr>
              <w:tc>
                <w:tcPr>
                  <w:tcW w:w="124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D11</w:t>
                  </w:r>
                </w:p>
              </w:tc>
              <w:tc>
                <w:tcPr>
                  <w:tcW w:w="208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威海沙龙王家村北旅游休闲娱乐区（A5-24）</w:t>
                  </w:r>
                </w:p>
              </w:tc>
              <w:tc>
                <w:tcPr>
                  <w:tcW w:w="5016" w:type="dxa"/>
                  <w:shd w:val="clear" w:color="auto" w:fill="auto"/>
                  <w:noWrap/>
                  <w:vAlign w:val="center"/>
                </w:tcPr>
                <w:p>
                  <w:pPr>
                    <w:widowControl/>
                    <w:spacing w:line="320" w:lineRule="atLeast"/>
                    <w:ind w:left="-111" w:leftChars="-53"/>
                    <w:jc w:val="center"/>
                    <w:rPr>
                      <w:rFonts w:cs="宋体"/>
                      <w:kern w:val="0"/>
                      <w:szCs w:val="21"/>
                    </w:rPr>
                  </w:pPr>
                  <w:r>
                    <w:rPr>
                      <w:rFonts w:hint="eastAsia" w:cs="宋体"/>
                      <w:kern w:val="0"/>
                      <w:szCs w:val="21"/>
                    </w:rPr>
                    <w:t>本海域文体休闲娱乐区海水水质不劣于二类标准，海洋沉积物质量和海洋生物质量均不劣于一类标准；风景旅游区海水水质不劣于二类标准，海洋沉积物质量和海洋生物质量均不劣于二类标准。劣于三类标准，海洋沉积物质量、海洋生物质量不劣于二类标准。</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trHeight w:val="269" w:hRule="atLeast"/>
                <w:jc w:val="center"/>
              </w:trPr>
              <w:tc>
                <w:tcPr>
                  <w:tcW w:w="124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D18、D20、D21</w:t>
                  </w:r>
                </w:p>
              </w:tc>
              <w:tc>
                <w:tcPr>
                  <w:tcW w:w="2089" w:type="dxa"/>
                  <w:shd w:val="clear" w:color="auto" w:fill="auto"/>
                  <w:noWrap/>
                  <w:vAlign w:val="center"/>
                </w:tcPr>
                <w:p>
                  <w:pPr>
                    <w:widowControl/>
                    <w:spacing w:line="320" w:lineRule="atLeast"/>
                    <w:jc w:val="center"/>
                    <w:rPr>
                      <w:rFonts w:cs="宋体"/>
                      <w:kern w:val="0"/>
                      <w:szCs w:val="21"/>
                    </w:rPr>
                  </w:pPr>
                  <w:r>
                    <w:rPr>
                      <w:rFonts w:hint="eastAsia" w:cs="宋体"/>
                      <w:kern w:val="0"/>
                      <w:szCs w:val="21"/>
                    </w:rPr>
                    <w:t>威海港口航运区</w:t>
                  </w:r>
                </w:p>
                <w:p>
                  <w:pPr>
                    <w:widowControl/>
                    <w:spacing w:line="320" w:lineRule="atLeast"/>
                    <w:jc w:val="center"/>
                    <w:rPr>
                      <w:rFonts w:cs="宋体"/>
                      <w:kern w:val="0"/>
                      <w:szCs w:val="21"/>
                    </w:rPr>
                  </w:pPr>
                  <w:r>
                    <w:rPr>
                      <w:rFonts w:hint="eastAsia" w:cs="宋体"/>
                      <w:kern w:val="0"/>
                      <w:szCs w:val="21"/>
                    </w:rPr>
                    <w:t>（A2-13）</w:t>
                  </w:r>
                </w:p>
              </w:tc>
              <w:tc>
                <w:tcPr>
                  <w:tcW w:w="5016" w:type="dxa"/>
                  <w:shd w:val="clear" w:color="auto" w:fill="auto"/>
                  <w:noWrap/>
                  <w:vAlign w:val="center"/>
                </w:tcPr>
                <w:p>
                  <w:pPr>
                    <w:widowControl/>
                    <w:spacing w:line="320" w:lineRule="atLeast"/>
                    <w:ind w:left="-111" w:leftChars="-53"/>
                    <w:jc w:val="center"/>
                    <w:rPr>
                      <w:rFonts w:cs="宋体"/>
                      <w:kern w:val="0"/>
                      <w:szCs w:val="21"/>
                    </w:rPr>
                  </w:pPr>
                  <w:r>
                    <w:rPr>
                      <w:rFonts w:hint="eastAsia" w:cs="宋体"/>
                      <w:kern w:val="0"/>
                      <w:szCs w:val="21"/>
                    </w:rPr>
                    <w:t>加强海域污染防治和监测。航道及锚地海域海水水质不劣于三类标准，海洋沉积物质量和海洋生物质量均不劣于二类标准。避免对临近海洋保护区等敏感区产生影响。</w:t>
                  </w:r>
                </w:p>
              </w:tc>
            </w:tr>
          </w:tbl>
          <w:p>
            <w:pPr>
              <w:pStyle w:val="39"/>
              <w:adjustRightInd w:val="0"/>
              <w:snapToGrid w:val="0"/>
              <w:spacing w:line="360" w:lineRule="auto"/>
              <w:ind w:left="0" w:firstLine="482" w:firstLineChars="200"/>
              <w:rPr>
                <w:b/>
              </w:rPr>
            </w:pPr>
            <w:r>
              <w:rPr>
                <w:rFonts w:hint="eastAsia"/>
                <w:b/>
              </w:rPr>
              <w:t>4.2.5</w:t>
            </w:r>
            <w:r>
              <w:rPr>
                <w:b/>
              </w:rPr>
              <w:t xml:space="preserve"> </w:t>
            </w:r>
            <w:r>
              <w:rPr>
                <w:rFonts w:hint="eastAsia"/>
                <w:b/>
              </w:rPr>
              <w:t>水质评价结果</w:t>
            </w:r>
          </w:p>
          <w:p>
            <w:pPr>
              <w:spacing w:line="360" w:lineRule="auto"/>
              <w:ind w:firstLine="482" w:firstLineChars="200"/>
              <w:rPr>
                <w:b/>
                <w:sz w:val="24"/>
              </w:rPr>
            </w:pPr>
            <w:r>
              <w:rPr>
                <w:rFonts w:hint="eastAsia"/>
                <w:b/>
                <w:sz w:val="24"/>
              </w:rPr>
              <w:t>2</w:t>
            </w:r>
            <w:r>
              <w:rPr>
                <w:b/>
                <w:sz w:val="24"/>
              </w:rPr>
              <w:t>017</w:t>
            </w:r>
            <w:r>
              <w:rPr>
                <w:rFonts w:hint="eastAsia"/>
                <w:b/>
                <w:sz w:val="24"/>
              </w:rPr>
              <w:t>年5月监测与评价结果</w:t>
            </w:r>
          </w:p>
          <w:p>
            <w:pPr>
              <w:pStyle w:val="39"/>
              <w:adjustRightInd w:val="0"/>
              <w:snapToGrid w:val="0"/>
              <w:spacing w:line="360" w:lineRule="auto"/>
              <w:ind w:left="0" w:firstLine="480" w:firstLineChars="200"/>
            </w:pPr>
            <w:r>
              <w:rPr>
                <w:rFonts w:hint="eastAsia"/>
              </w:rPr>
              <w:t>2017年5月</w:t>
            </w:r>
            <w:r>
              <w:t>水质监测结果见表</w:t>
            </w:r>
            <w:r>
              <w:rPr>
                <w:rFonts w:hint="eastAsia"/>
              </w:rPr>
              <w:t>4.2.6。</w:t>
            </w:r>
          </w:p>
          <w:p>
            <w:pPr>
              <w:pStyle w:val="279"/>
              <w:snapToGrid w:val="0"/>
              <w:spacing w:line="360" w:lineRule="auto"/>
              <w:ind w:firstLine="480"/>
              <w:rPr>
                <w:szCs w:val="21"/>
              </w:rPr>
            </w:pPr>
            <w:r>
              <w:rPr>
                <w:rFonts w:hint="eastAsia"/>
                <w:szCs w:val="21"/>
              </w:rPr>
              <w:t>表4.2.6</w:t>
            </w:r>
            <w:r>
              <w:rPr>
                <w:szCs w:val="21"/>
              </w:rPr>
              <w:t xml:space="preserve">  </w:t>
            </w:r>
            <w:r>
              <w:rPr>
                <w:rFonts w:hint="eastAsia"/>
                <w:szCs w:val="21"/>
              </w:rPr>
              <w:t>水质监测结果（</w:t>
            </w:r>
            <w:r>
              <w:rPr>
                <w:szCs w:val="21"/>
              </w:rPr>
              <w:t>2017</w:t>
            </w:r>
            <w:r>
              <w:rPr>
                <w:rFonts w:hint="eastAsia"/>
                <w:szCs w:val="21"/>
              </w:rPr>
              <w:t>年</w:t>
            </w:r>
            <w:r>
              <w:rPr>
                <w:szCs w:val="21"/>
              </w:rPr>
              <w:t>5</w:t>
            </w:r>
            <w:r>
              <w:rPr>
                <w:rFonts w:hint="eastAsia"/>
                <w:szCs w:val="21"/>
              </w:rPr>
              <w:t>月）</w:t>
            </w:r>
          </w:p>
          <w:tbl>
            <w:tblPr>
              <w:tblStyle w:val="88"/>
              <w:tblW w:w="8296" w:type="dxa"/>
              <w:jc w:val="center"/>
              <w:tblInd w:w="0" w:type="dxa"/>
              <w:tblLayout w:type="fixed"/>
              <w:tblCellMar>
                <w:top w:w="0" w:type="dxa"/>
                <w:left w:w="108" w:type="dxa"/>
                <w:bottom w:w="0" w:type="dxa"/>
                <w:right w:w="108" w:type="dxa"/>
              </w:tblCellMar>
            </w:tblPr>
            <w:tblGrid>
              <w:gridCol w:w="568"/>
              <w:gridCol w:w="568"/>
              <w:gridCol w:w="714"/>
              <w:gridCol w:w="577"/>
              <w:gridCol w:w="704"/>
              <w:gridCol w:w="567"/>
              <w:gridCol w:w="576"/>
              <w:gridCol w:w="566"/>
              <w:gridCol w:w="567"/>
              <w:gridCol w:w="567"/>
              <w:gridCol w:w="567"/>
              <w:gridCol w:w="572"/>
              <w:gridCol w:w="567"/>
              <w:gridCol w:w="616"/>
            </w:tblGrid>
            <w:tr>
              <w:tblPrEx>
                <w:tblLayout w:type="fixed"/>
                <w:tblCellMar>
                  <w:top w:w="0" w:type="dxa"/>
                  <w:left w:w="108" w:type="dxa"/>
                  <w:bottom w:w="0" w:type="dxa"/>
                  <w:right w:w="108" w:type="dxa"/>
                </w:tblCellMar>
              </w:tblPrEx>
              <w:trPr>
                <w:trHeight w:val="319" w:hRule="atLeast"/>
                <w:tblHeader/>
                <w:jc w:val="center"/>
              </w:trPr>
              <w:tc>
                <w:tcPr>
                  <w:tcW w:w="56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站位</w:t>
                  </w:r>
                </w:p>
              </w:tc>
              <w:tc>
                <w:tcPr>
                  <w:tcW w:w="56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pH</w:t>
                  </w:r>
                </w:p>
              </w:tc>
              <w:tc>
                <w:tcPr>
                  <w:tcW w:w="714"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盐度</w:t>
                  </w:r>
                </w:p>
              </w:tc>
              <w:tc>
                <w:tcPr>
                  <w:tcW w:w="577"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溶解氧</w:t>
                  </w:r>
                </w:p>
              </w:tc>
              <w:tc>
                <w:tcPr>
                  <w:tcW w:w="704"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化学</w:t>
                  </w:r>
                </w:p>
                <w:p>
                  <w:pPr>
                    <w:widowControl/>
                    <w:jc w:val="center"/>
                    <w:rPr>
                      <w:kern w:val="0"/>
                      <w:sz w:val="18"/>
                      <w:szCs w:val="18"/>
                    </w:rPr>
                  </w:pPr>
                  <w:r>
                    <w:rPr>
                      <w:rFonts w:hint="eastAsia"/>
                      <w:kern w:val="0"/>
                      <w:sz w:val="18"/>
                      <w:szCs w:val="18"/>
                    </w:rPr>
                    <w:t>耗氧量</w:t>
                  </w:r>
                </w:p>
              </w:tc>
              <w:tc>
                <w:tcPr>
                  <w:tcW w:w="567"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悬浮物</w:t>
                  </w:r>
                </w:p>
              </w:tc>
              <w:tc>
                <w:tcPr>
                  <w:tcW w:w="5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磷酸盐</w:t>
                  </w:r>
                </w:p>
              </w:tc>
              <w:tc>
                <w:tcPr>
                  <w:tcW w:w="56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亚硝酸盐</w:t>
                  </w:r>
                  <w:r>
                    <w:rPr>
                      <w:kern w:val="0"/>
                      <w:sz w:val="18"/>
                      <w:szCs w:val="18"/>
                    </w:rPr>
                    <w:t>-</w:t>
                  </w:r>
                  <w:r>
                    <w:rPr>
                      <w:rFonts w:hint="eastAsia"/>
                      <w:kern w:val="0"/>
                      <w:sz w:val="18"/>
                      <w:szCs w:val="18"/>
                    </w:rPr>
                    <w:t>氮</w:t>
                  </w:r>
                </w:p>
              </w:tc>
              <w:tc>
                <w:tcPr>
                  <w:tcW w:w="567"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硝酸盐</w:t>
                  </w:r>
                  <w:r>
                    <w:rPr>
                      <w:kern w:val="0"/>
                      <w:sz w:val="18"/>
                      <w:szCs w:val="18"/>
                    </w:rPr>
                    <w:t>-</w:t>
                  </w:r>
                  <w:r>
                    <w:rPr>
                      <w:rFonts w:hint="eastAsia"/>
                      <w:kern w:val="0"/>
                      <w:sz w:val="18"/>
                      <w:szCs w:val="18"/>
                    </w:rPr>
                    <w:t>氮</w:t>
                  </w:r>
                </w:p>
              </w:tc>
              <w:tc>
                <w:tcPr>
                  <w:tcW w:w="567"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氨</w:t>
                  </w:r>
                  <w:r>
                    <w:rPr>
                      <w:kern w:val="0"/>
                      <w:sz w:val="18"/>
                      <w:szCs w:val="18"/>
                    </w:rPr>
                    <w:t>-</w:t>
                  </w:r>
                  <w:r>
                    <w:rPr>
                      <w:rFonts w:hint="eastAsia"/>
                      <w:kern w:val="0"/>
                      <w:sz w:val="18"/>
                      <w:szCs w:val="18"/>
                    </w:rPr>
                    <w:t>氮</w:t>
                  </w:r>
                </w:p>
              </w:tc>
              <w:tc>
                <w:tcPr>
                  <w:tcW w:w="567"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kern w:val="0"/>
                      <w:sz w:val="18"/>
                      <w:szCs w:val="18"/>
                    </w:rPr>
                  </w:pPr>
                  <w:r>
                    <w:rPr>
                      <w:rFonts w:hint="eastAsia" w:cs="宋体"/>
                      <w:kern w:val="0"/>
                      <w:sz w:val="18"/>
                      <w:szCs w:val="18"/>
                    </w:rPr>
                    <w:t>无机氮</w:t>
                  </w:r>
                </w:p>
              </w:tc>
              <w:tc>
                <w:tcPr>
                  <w:tcW w:w="572"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石油类</w:t>
                  </w:r>
                </w:p>
              </w:tc>
              <w:tc>
                <w:tcPr>
                  <w:tcW w:w="567"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总氮</w:t>
                  </w:r>
                </w:p>
              </w:tc>
              <w:tc>
                <w:tcPr>
                  <w:tcW w:w="61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rFonts w:hint="eastAsia"/>
                      <w:kern w:val="0"/>
                      <w:sz w:val="18"/>
                      <w:szCs w:val="18"/>
                    </w:rPr>
                    <w:t>总磷</w:t>
                  </w:r>
                </w:p>
              </w:tc>
            </w:tr>
            <w:tr>
              <w:tblPrEx>
                <w:tblLayout w:type="fixed"/>
                <w:tblCellMar>
                  <w:top w:w="0" w:type="dxa"/>
                  <w:left w:w="108" w:type="dxa"/>
                  <w:bottom w:w="0" w:type="dxa"/>
                  <w:right w:w="108" w:type="dxa"/>
                </w:tblCellMar>
              </w:tblPrEx>
              <w:trPr>
                <w:trHeight w:val="319" w:hRule="atLeast"/>
                <w:tblHeader/>
                <w:jc w:val="center"/>
              </w:trPr>
              <w:tc>
                <w:tcPr>
                  <w:tcW w:w="56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 w:val="18"/>
                      <w:szCs w:val="18"/>
                    </w:rPr>
                  </w:pPr>
                </w:p>
              </w:tc>
              <w:tc>
                <w:tcPr>
                  <w:tcW w:w="71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 w:val="18"/>
                      <w:szCs w:val="18"/>
                    </w:rPr>
                  </w:pPr>
                </w:p>
              </w:tc>
              <w:tc>
                <w:tcPr>
                  <w:tcW w:w="577"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70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567"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576"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566"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567"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567"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567"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572"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567"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c>
                <w:tcPr>
                  <w:tcW w:w="616"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mg/L</w:t>
                  </w:r>
                </w:p>
              </w:tc>
            </w:tr>
            <w:tr>
              <w:tblPrEx>
                <w:tblLayout w:type="fixed"/>
                <w:tblCellMar>
                  <w:top w:w="0" w:type="dxa"/>
                  <w:left w:w="108" w:type="dxa"/>
                  <w:bottom w:w="0" w:type="dxa"/>
                  <w:right w:w="108" w:type="dxa"/>
                </w:tblCellMar>
              </w:tblPrEx>
              <w:trPr>
                <w:trHeight w:val="402"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8.03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31.940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9.61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0.924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41.0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0.005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0.034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0.059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0.400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0.021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8.01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31.772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9.66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0.912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25.0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0.028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0.068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0.415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0.011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8.02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32.088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9.77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0.904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25.0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0.000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0.024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0.062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0.403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0.024 </w:t>
                  </w:r>
                </w:p>
              </w:tc>
            </w:tr>
            <w:tr>
              <w:tblPrEx>
                <w:tblLayout w:type="fixed"/>
                <w:tblCellMar>
                  <w:top w:w="0" w:type="dxa"/>
                  <w:left w:w="108" w:type="dxa"/>
                  <w:bottom w:w="0" w:type="dxa"/>
                  <w:right w:w="108" w:type="dxa"/>
                </w:tblCellMar>
              </w:tblPrEx>
              <w:trPr>
                <w:trHeight w:val="402"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D2</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8.02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31.998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9.89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0.952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23.5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0.028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0.062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0.019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0.398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0.025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8.03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31.726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9.64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0.928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22.0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0.043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0.028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0.072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0.457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0.016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8.04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31.959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9.74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0.880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24.0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0.039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0.106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0.390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0.038 </w:t>
                  </w:r>
                </w:p>
              </w:tc>
            </w:tr>
            <w:tr>
              <w:tblPrEx>
                <w:tblLayout w:type="fixed"/>
                <w:tblCellMar>
                  <w:top w:w="0" w:type="dxa"/>
                  <w:left w:w="108" w:type="dxa"/>
                  <w:bottom w:w="0" w:type="dxa"/>
                  <w:right w:w="108" w:type="dxa"/>
                </w:tblCellMar>
              </w:tblPrEx>
              <w:trPr>
                <w:trHeight w:val="402"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D3</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8.03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31.846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9.30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0.852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18.5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0.028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0.069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0.012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0.383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0.023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8.10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31.996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9.71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0.880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20.0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0.039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0.073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0.369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0.037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8.07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32.039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9.62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0.872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24.5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0.062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0.438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0.018 </w:t>
                  </w:r>
                </w:p>
              </w:tc>
            </w:tr>
            <w:tr>
              <w:tblPrEx>
                <w:tblLayout w:type="fixed"/>
                <w:tblCellMar>
                  <w:top w:w="0" w:type="dxa"/>
                  <w:left w:w="108" w:type="dxa"/>
                  <w:bottom w:w="0" w:type="dxa"/>
                  <w:right w:w="108" w:type="dxa"/>
                </w:tblCellMar>
              </w:tblPrEx>
              <w:trPr>
                <w:trHeight w:val="402"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D4</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8.04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32.041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9.52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0.864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18.5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0.067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0.017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0.397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0.012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8.10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31.948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9.26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0.864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31.0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0.032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0.069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0.385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0.020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8.08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31.811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9.30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0.924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27.5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0.022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0.038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0.060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0.366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0.025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8.05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31.751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9.48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0.908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22.5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0.037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0.097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0.412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0.038 </w:t>
                  </w:r>
                </w:p>
              </w:tc>
            </w:tr>
            <w:tr>
              <w:tblPrEx>
                <w:tblLayout w:type="fixed"/>
                <w:tblCellMar>
                  <w:top w:w="0" w:type="dxa"/>
                  <w:left w:w="108" w:type="dxa"/>
                  <w:bottom w:w="0" w:type="dxa"/>
                  <w:right w:w="108" w:type="dxa"/>
                </w:tblCellMar>
              </w:tblPrEx>
              <w:trPr>
                <w:trHeight w:val="402"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D5</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7.99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31.954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9.60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0.960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26.0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0.039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0.064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0.104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0.454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0.033 </w:t>
                  </w:r>
                </w:p>
              </w:tc>
            </w:tr>
            <w:tr>
              <w:tblPrEx>
                <w:tblLayout w:type="fixed"/>
                <w:tblCellMar>
                  <w:top w:w="0" w:type="dxa"/>
                  <w:left w:w="108" w:type="dxa"/>
                  <w:bottom w:w="0" w:type="dxa"/>
                  <w:right w:w="108" w:type="dxa"/>
                </w:tblCellMar>
              </w:tblPrEx>
              <w:trPr>
                <w:trHeight w:val="402"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7.97 </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31.887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9.17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0.944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28.5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0.044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0.085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0.446 </w:t>
                  </w:r>
                </w:p>
              </w:tc>
              <w:tc>
                <w:tcPr>
                  <w:tcW w:w="61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0.022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D6</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8.20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31.824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8.83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0.849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3.50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0.001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0.002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0.025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0.019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0.046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0.020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0.384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0.024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8.21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31.802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8.61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0.837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7.50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0.001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0.043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0.383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0.009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D7</w:t>
                  </w:r>
                </w:p>
              </w:tc>
              <w:tc>
                <w:tcPr>
                  <w:tcW w:w="568" w:type="dxa"/>
                  <w:tcBorders>
                    <w:top w:val="single" w:color="auto" w:sz="4" w:space="0"/>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8.13 </w:t>
                  </w:r>
                </w:p>
              </w:tc>
              <w:tc>
                <w:tcPr>
                  <w:tcW w:w="714" w:type="dxa"/>
                  <w:tcBorders>
                    <w:top w:val="single" w:color="auto" w:sz="4" w:space="0"/>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32.230 </w:t>
                  </w:r>
                </w:p>
              </w:tc>
              <w:tc>
                <w:tcPr>
                  <w:tcW w:w="577" w:type="dxa"/>
                  <w:tcBorders>
                    <w:top w:val="single" w:color="auto" w:sz="4" w:space="0"/>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7.98 </w:t>
                  </w:r>
                </w:p>
              </w:tc>
              <w:tc>
                <w:tcPr>
                  <w:tcW w:w="704" w:type="dxa"/>
                  <w:tcBorders>
                    <w:top w:val="single" w:color="auto" w:sz="4" w:space="0"/>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0.928 </w:t>
                  </w:r>
                </w:p>
              </w:tc>
              <w:tc>
                <w:tcPr>
                  <w:tcW w:w="567" w:type="dxa"/>
                  <w:tcBorders>
                    <w:top w:val="single" w:color="auto" w:sz="4" w:space="0"/>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10.0 </w:t>
                  </w:r>
                </w:p>
              </w:tc>
              <w:tc>
                <w:tcPr>
                  <w:tcW w:w="576"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0.003 </w:t>
                  </w:r>
                </w:p>
              </w:tc>
              <w:tc>
                <w:tcPr>
                  <w:tcW w:w="566"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w:t>
                  </w:r>
                </w:p>
              </w:tc>
              <w:tc>
                <w:tcPr>
                  <w:tcW w:w="567"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0.022 </w:t>
                  </w:r>
                </w:p>
              </w:tc>
              <w:tc>
                <w:tcPr>
                  <w:tcW w:w="567"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0.020 </w:t>
                  </w:r>
                </w:p>
              </w:tc>
              <w:tc>
                <w:tcPr>
                  <w:tcW w:w="567" w:type="dxa"/>
                  <w:tcBorders>
                    <w:top w:val="single" w:color="auto" w:sz="4" w:space="0"/>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0.043 </w:t>
                  </w:r>
                </w:p>
              </w:tc>
              <w:tc>
                <w:tcPr>
                  <w:tcW w:w="572" w:type="dxa"/>
                  <w:tcBorders>
                    <w:top w:val="single" w:color="auto" w:sz="4" w:space="0"/>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0.016 </w:t>
                  </w:r>
                </w:p>
              </w:tc>
              <w:tc>
                <w:tcPr>
                  <w:tcW w:w="567"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0.420 </w:t>
                  </w:r>
                </w:p>
              </w:tc>
              <w:tc>
                <w:tcPr>
                  <w:tcW w:w="616"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0.017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8.09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32.214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7.93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0.956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5.00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0.028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0.164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0.193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0.393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0.016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D8</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8.23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31.500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8.68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0.826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17.5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0.005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0.003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0.174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0.050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0.227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0.016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0.314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0.013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8.25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31.705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8.70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0.822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14.5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0.036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0.062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0.338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0.014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D9</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8.15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31.948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8.61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0.790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11.0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0.034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0.024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0.058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0.019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0.282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0.009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8.21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31.864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8.58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0.893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14.0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0.030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0.051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0.317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0.018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D10</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8.08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32.013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8.82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0.818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16.0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0.030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0.055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0.030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0.264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0.005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8.12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31.835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8.26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0.909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24.5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0.030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0.055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0.276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0.003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8.10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31.856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8.50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0.929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14.0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0.030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0.028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0.058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0.252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0.007 </w:t>
                  </w:r>
                </w:p>
              </w:tc>
            </w:tr>
            <w:tr>
              <w:tblPrEx>
                <w:tblLayout w:type="fixed"/>
                <w:tblCellMar>
                  <w:top w:w="0" w:type="dxa"/>
                  <w:left w:w="108" w:type="dxa"/>
                  <w:bottom w:w="0" w:type="dxa"/>
                  <w:right w:w="108" w:type="dxa"/>
                </w:tblCellMar>
              </w:tblPrEx>
              <w:trPr>
                <w:trHeight w:val="319" w:hRule="atLeast"/>
                <w:jc w:val="center"/>
              </w:trPr>
              <w:tc>
                <w:tcPr>
                  <w:tcW w:w="568" w:type="dxa"/>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D11</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8.20 </w:t>
                  </w:r>
                </w:p>
              </w:tc>
              <w:tc>
                <w:tcPr>
                  <w:tcW w:w="714" w:type="dxa"/>
                  <w:tcBorders>
                    <w:top w:val="nil"/>
                    <w:left w:val="nil"/>
                    <w:bottom w:val="single" w:color="auto" w:sz="4" w:space="0"/>
                    <w:right w:val="single" w:color="auto" w:sz="4" w:space="0"/>
                  </w:tcBorders>
                  <w:shd w:val="clear" w:color="auto" w:fill="auto"/>
                  <w:noWrap/>
                  <w:vAlign w:val="bottom"/>
                </w:tcPr>
                <w:p>
                  <w:pPr>
                    <w:widowControl/>
                    <w:jc w:val="center"/>
                    <w:rPr>
                      <w:kern w:val="0"/>
                      <w:sz w:val="18"/>
                      <w:szCs w:val="18"/>
                    </w:rPr>
                  </w:pPr>
                  <w:r>
                    <w:rPr>
                      <w:kern w:val="0"/>
                      <w:sz w:val="18"/>
                      <w:szCs w:val="18"/>
                    </w:rPr>
                    <w:t xml:space="preserve">31.991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8.83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0.826</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10.0 </w:t>
                  </w:r>
                </w:p>
              </w:tc>
              <w:tc>
                <w:tcPr>
                  <w:tcW w:w="57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0.027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0.053 </w:t>
                  </w:r>
                </w:p>
              </w:tc>
              <w:tc>
                <w:tcPr>
                  <w:tcW w:w="572"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0.019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0.273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0.006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D12</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8.08</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31.176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9.16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0.883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23.5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0.010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0.015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0.083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0.134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0.244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0.014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8.11</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32.082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8.80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0.879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14.0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0.050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0.135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0.186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0.208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0.013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D13</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8.05</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31.862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8.59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0.855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21.5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0.007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0.002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0.030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0.014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0.046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0.211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0.016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8.07</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31.848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8.90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0.847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24.0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0.006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0.026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0.038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0.098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0.014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D14</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8.21</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32.127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8.90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0.947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9.50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0.000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0.023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0.029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0.052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0.017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0.119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0.007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8.2</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31.902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9.07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0.959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13.5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0.028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0.062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0.133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0.015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D15</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8.14</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31.930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9.20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0.995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14.5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0.023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0.147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0.171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0.019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1.260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0.040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8.11</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31.777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8.42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0.967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9.50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0.018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0.084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0.101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0.115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0.011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8.17</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32.138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9.27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0.959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9.00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0.118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0.139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0.145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0.019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D16</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8.15</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32.054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9.00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0.959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15.5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0.002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0.022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0.028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0.050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0.135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0.015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8.19</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31.890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9.15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0.951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13.0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0.020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0.045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0.159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0.007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8.14</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32.008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8.60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0.951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8.00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0.003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0.022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0.051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0.073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0.091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0.009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D17</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8.15</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32.062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9.37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0.935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23.5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0.023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0.040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0.064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0.033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0.116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0.006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8.17</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32.027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8.97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0.923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17.0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0.058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0.120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0.006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D18</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8.11</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32.002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9.37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0.963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10.0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0.005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0.022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0.033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0.056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0.019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0.126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0.016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single" w:color="auto" w:sz="4" w:space="0"/>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8.14</w:t>
                  </w:r>
                </w:p>
              </w:tc>
              <w:tc>
                <w:tcPr>
                  <w:tcW w:w="714"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31.603 </w:t>
                  </w:r>
                </w:p>
              </w:tc>
              <w:tc>
                <w:tcPr>
                  <w:tcW w:w="577" w:type="dxa"/>
                  <w:tcBorders>
                    <w:top w:val="single" w:color="auto" w:sz="4" w:space="0"/>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9.04 </w:t>
                  </w:r>
                </w:p>
              </w:tc>
              <w:tc>
                <w:tcPr>
                  <w:tcW w:w="704" w:type="dxa"/>
                  <w:tcBorders>
                    <w:top w:val="single" w:color="auto" w:sz="4" w:space="0"/>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0.979 </w:t>
                  </w:r>
                </w:p>
              </w:tc>
              <w:tc>
                <w:tcPr>
                  <w:tcW w:w="567" w:type="dxa"/>
                  <w:tcBorders>
                    <w:top w:val="single" w:color="auto" w:sz="4" w:space="0"/>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9.00 </w:t>
                  </w:r>
                </w:p>
              </w:tc>
              <w:tc>
                <w:tcPr>
                  <w:tcW w:w="576"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0.003 </w:t>
                  </w:r>
                </w:p>
              </w:tc>
              <w:tc>
                <w:tcPr>
                  <w:tcW w:w="566" w:type="dxa"/>
                  <w:tcBorders>
                    <w:top w:val="single" w:color="auto" w:sz="4" w:space="0"/>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0.041 </w:t>
                  </w:r>
                </w:p>
              </w:tc>
              <w:tc>
                <w:tcPr>
                  <w:tcW w:w="567"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0.027 </w:t>
                  </w:r>
                </w:p>
              </w:tc>
              <w:tc>
                <w:tcPr>
                  <w:tcW w:w="567" w:type="dxa"/>
                  <w:tcBorders>
                    <w:top w:val="single" w:color="auto" w:sz="4" w:space="0"/>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0.070 </w:t>
                  </w:r>
                </w:p>
              </w:tc>
              <w:tc>
                <w:tcPr>
                  <w:tcW w:w="572" w:type="dxa"/>
                  <w:tcBorders>
                    <w:top w:val="single" w:color="auto" w:sz="4" w:space="0"/>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single" w:color="auto" w:sz="4" w:space="0"/>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0.144 </w:t>
                  </w:r>
                </w:p>
              </w:tc>
              <w:tc>
                <w:tcPr>
                  <w:tcW w:w="616" w:type="dxa"/>
                  <w:tcBorders>
                    <w:top w:val="single" w:color="auto" w:sz="4" w:space="0"/>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0.022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8.12</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32.125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8.97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0.963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10.0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0.006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0.029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0.033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0.064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0.183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0.016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D19</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8.23</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31.816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9.03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0.979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13.5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0.005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0.018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0.044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0.122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0.010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8.2</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31.999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9.18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0.911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10.0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0.024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0.060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0.127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0.006 </w:t>
                  </w:r>
                </w:p>
              </w:tc>
            </w:tr>
            <w:tr>
              <w:tblPrEx>
                <w:tblLayout w:type="fixed"/>
                <w:tblCellMar>
                  <w:top w:w="0" w:type="dxa"/>
                  <w:left w:w="108" w:type="dxa"/>
                  <w:bottom w:w="0" w:type="dxa"/>
                  <w:right w:w="108" w:type="dxa"/>
                </w:tblCellMar>
              </w:tblPrEx>
              <w:trPr>
                <w:trHeight w:val="319" w:hRule="atLeast"/>
                <w:jc w:val="center"/>
              </w:trPr>
              <w:tc>
                <w:tcPr>
                  <w:tcW w:w="5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D20</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8.17</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32.093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9.17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0.919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10.5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0.039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0.037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0.077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0.157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0.006 </w:t>
                  </w:r>
                </w:p>
              </w:tc>
            </w:tr>
            <w:tr>
              <w:tblPrEx>
                <w:tblLayout w:type="fixed"/>
                <w:tblCellMar>
                  <w:top w:w="0" w:type="dxa"/>
                  <w:left w:w="108" w:type="dxa"/>
                  <w:bottom w:w="0" w:type="dxa"/>
                  <w:right w:w="108" w:type="dxa"/>
                </w:tblCellMar>
              </w:tblPrEx>
              <w:trPr>
                <w:trHeight w:val="319" w:hRule="atLeast"/>
                <w:jc w:val="center"/>
              </w:trPr>
              <w:tc>
                <w:tcPr>
                  <w:tcW w:w="568" w:type="dxa"/>
                  <w:vMerge w:val="continue"/>
                  <w:tcBorders>
                    <w:top w:val="nil"/>
                    <w:left w:val="single" w:color="auto" w:sz="4" w:space="0"/>
                    <w:bottom w:val="single" w:color="auto" w:sz="4" w:space="0"/>
                    <w:right w:val="single" w:color="auto" w:sz="4" w:space="0"/>
                  </w:tcBorders>
                  <w:vAlign w:val="center"/>
                </w:tcPr>
                <w:p>
                  <w:pPr>
                    <w:widowControl/>
                    <w:jc w:val="left"/>
                    <w:rPr>
                      <w:kern w:val="0"/>
                      <w:sz w:val="18"/>
                      <w:szCs w:val="18"/>
                    </w:rPr>
                  </w:pP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8.19</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30.988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9.02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0.955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10.0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0.005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0.031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0.047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0.078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0.157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0.009 </w:t>
                  </w:r>
                </w:p>
              </w:tc>
            </w:tr>
            <w:tr>
              <w:tblPrEx>
                <w:tblLayout w:type="fixed"/>
                <w:tblCellMar>
                  <w:top w:w="0" w:type="dxa"/>
                  <w:left w:w="108" w:type="dxa"/>
                  <w:bottom w:w="0" w:type="dxa"/>
                  <w:right w:w="108" w:type="dxa"/>
                </w:tblCellMar>
              </w:tblPrEx>
              <w:trPr>
                <w:trHeight w:val="319" w:hRule="atLeast"/>
                <w:jc w:val="center"/>
              </w:trPr>
              <w:tc>
                <w:tcPr>
                  <w:tcW w:w="568" w:type="dxa"/>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D21</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8.22</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32.100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9.18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0.943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11.0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0.006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0.024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0.008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0.032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0.165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0.012 </w:t>
                  </w:r>
                </w:p>
              </w:tc>
            </w:tr>
            <w:tr>
              <w:tblPrEx>
                <w:tblLayout w:type="fixed"/>
                <w:tblCellMar>
                  <w:top w:w="0" w:type="dxa"/>
                  <w:left w:w="108" w:type="dxa"/>
                  <w:bottom w:w="0" w:type="dxa"/>
                  <w:right w:w="108" w:type="dxa"/>
                </w:tblCellMar>
              </w:tblPrEx>
              <w:trPr>
                <w:trHeight w:val="319" w:hRule="atLeast"/>
                <w:jc w:val="center"/>
              </w:trPr>
              <w:tc>
                <w:tcPr>
                  <w:tcW w:w="568" w:type="dxa"/>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D22</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8.25</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32.123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8.7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0.895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18.0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0.004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0.019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0.059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0.078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0.031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0.147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0.009 </w:t>
                  </w:r>
                </w:p>
              </w:tc>
            </w:tr>
            <w:tr>
              <w:tblPrEx>
                <w:tblLayout w:type="fixed"/>
                <w:tblCellMar>
                  <w:top w:w="0" w:type="dxa"/>
                  <w:left w:w="108" w:type="dxa"/>
                  <w:bottom w:w="0" w:type="dxa"/>
                  <w:right w:w="108" w:type="dxa"/>
                </w:tblCellMar>
              </w:tblPrEx>
              <w:trPr>
                <w:trHeight w:val="319" w:hRule="atLeast"/>
                <w:jc w:val="center"/>
              </w:trPr>
              <w:tc>
                <w:tcPr>
                  <w:tcW w:w="568" w:type="dxa"/>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D23</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8.2</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31.805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8.72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0.927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13.0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0.001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0.028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0.010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0.037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0.025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0.151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0.004 </w:t>
                  </w:r>
                </w:p>
              </w:tc>
            </w:tr>
            <w:tr>
              <w:tblPrEx>
                <w:tblLayout w:type="fixed"/>
                <w:tblCellMar>
                  <w:top w:w="0" w:type="dxa"/>
                  <w:left w:w="108" w:type="dxa"/>
                  <w:bottom w:w="0" w:type="dxa"/>
                  <w:right w:w="108" w:type="dxa"/>
                </w:tblCellMar>
              </w:tblPrEx>
              <w:trPr>
                <w:trHeight w:val="319" w:hRule="atLeast"/>
                <w:jc w:val="center"/>
              </w:trPr>
              <w:tc>
                <w:tcPr>
                  <w:tcW w:w="568" w:type="dxa"/>
                  <w:tcBorders>
                    <w:top w:val="nil"/>
                    <w:left w:val="single" w:color="auto" w:sz="4" w:space="0"/>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D24</w:t>
                  </w:r>
                </w:p>
              </w:tc>
              <w:tc>
                <w:tcPr>
                  <w:tcW w:w="568"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8.23</w:t>
                  </w:r>
                </w:p>
              </w:tc>
              <w:tc>
                <w:tcPr>
                  <w:tcW w:w="714" w:type="dxa"/>
                  <w:tcBorders>
                    <w:top w:val="nil"/>
                    <w:left w:val="nil"/>
                    <w:bottom w:val="single" w:color="auto" w:sz="4" w:space="0"/>
                    <w:right w:val="single" w:color="auto" w:sz="4" w:space="0"/>
                  </w:tcBorders>
                  <w:shd w:val="clear" w:color="auto" w:fill="auto"/>
                  <w:noWrap/>
                  <w:vAlign w:val="center"/>
                </w:tcPr>
                <w:p>
                  <w:pPr>
                    <w:widowControl/>
                    <w:jc w:val="center"/>
                    <w:rPr>
                      <w:kern w:val="0"/>
                      <w:sz w:val="18"/>
                      <w:szCs w:val="18"/>
                    </w:rPr>
                  </w:pPr>
                  <w:r>
                    <w:rPr>
                      <w:kern w:val="0"/>
                      <w:sz w:val="18"/>
                      <w:szCs w:val="18"/>
                    </w:rPr>
                    <w:t xml:space="preserve">30.419 </w:t>
                  </w:r>
                </w:p>
              </w:tc>
              <w:tc>
                <w:tcPr>
                  <w:tcW w:w="57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9.33 </w:t>
                  </w:r>
                </w:p>
              </w:tc>
              <w:tc>
                <w:tcPr>
                  <w:tcW w:w="704"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0.959 </w:t>
                  </w:r>
                </w:p>
              </w:tc>
              <w:tc>
                <w:tcPr>
                  <w:tcW w:w="567" w:type="dxa"/>
                  <w:tcBorders>
                    <w:top w:val="nil"/>
                    <w:left w:val="nil"/>
                    <w:bottom w:val="single" w:color="auto" w:sz="4" w:space="0"/>
                    <w:right w:val="single" w:color="auto" w:sz="4" w:space="0"/>
                  </w:tcBorders>
                  <w:shd w:val="clear" w:color="auto" w:fill="auto"/>
                  <w:vAlign w:val="center"/>
                </w:tcPr>
                <w:p>
                  <w:pPr>
                    <w:widowControl/>
                    <w:jc w:val="center"/>
                    <w:rPr>
                      <w:kern w:val="0"/>
                      <w:sz w:val="18"/>
                      <w:szCs w:val="18"/>
                    </w:rPr>
                  </w:pPr>
                  <w:r>
                    <w:rPr>
                      <w:kern w:val="0"/>
                      <w:sz w:val="18"/>
                      <w:szCs w:val="18"/>
                    </w:rPr>
                    <w:t xml:space="preserve">10.0 </w:t>
                  </w:r>
                </w:p>
              </w:tc>
              <w:tc>
                <w:tcPr>
                  <w:tcW w:w="57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0.006 </w:t>
                  </w:r>
                </w:p>
              </w:tc>
              <w:tc>
                <w:tcPr>
                  <w:tcW w:w="566"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0.001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0.029 </w:t>
                  </w:r>
                </w:p>
              </w:tc>
              <w:tc>
                <w:tcPr>
                  <w:tcW w:w="567"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0.017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0.046 </w:t>
                  </w:r>
                </w:p>
              </w:tc>
              <w:tc>
                <w:tcPr>
                  <w:tcW w:w="572"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0.036 </w:t>
                  </w:r>
                </w:p>
              </w:tc>
              <w:tc>
                <w:tcPr>
                  <w:tcW w:w="567" w:type="dxa"/>
                  <w:tcBorders>
                    <w:top w:val="nil"/>
                    <w:left w:val="nil"/>
                    <w:bottom w:val="single" w:color="auto" w:sz="4" w:space="0"/>
                    <w:right w:val="single" w:color="auto" w:sz="4" w:space="0"/>
                  </w:tcBorders>
                  <w:shd w:val="clear" w:color="auto" w:fill="auto"/>
                  <w:noWrap/>
                </w:tcPr>
                <w:p>
                  <w:pPr>
                    <w:widowControl/>
                    <w:jc w:val="center"/>
                    <w:rPr>
                      <w:kern w:val="0"/>
                      <w:sz w:val="18"/>
                      <w:szCs w:val="18"/>
                    </w:rPr>
                  </w:pPr>
                  <w:r>
                    <w:rPr>
                      <w:kern w:val="0"/>
                      <w:sz w:val="18"/>
                      <w:szCs w:val="18"/>
                    </w:rPr>
                    <w:t xml:space="preserve">0.173 </w:t>
                  </w:r>
                </w:p>
              </w:tc>
              <w:tc>
                <w:tcPr>
                  <w:tcW w:w="616" w:type="dxa"/>
                  <w:tcBorders>
                    <w:top w:val="nil"/>
                    <w:left w:val="nil"/>
                    <w:bottom w:val="single" w:color="auto" w:sz="4" w:space="0"/>
                    <w:right w:val="single" w:color="auto" w:sz="4" w:space="0"/>
                  </w:tcBorders>
                  <w:shd w:val="clear" w:color="auto" w:fill="auto"/>
                </w:tcPr>
                <w:p>
                  <w:pPr>
                    <w:widowControl/>
                    <w:jc w:val="center"/>
                    <w:rPr>
                      <w:kern w:val="0"/>
                      <w:sz w:val="18"/>
                      <w:szCs w:val="18"/>
                    </w:rPr>
                  </w:pPr>
                  <w:r>
                    <w:rPr>
                      <w:kern w:val="0"/>
                      <w:sz w:val="18"/>
                      <w:szCs w:val="18"/>
                    </w:rPr>
                    <w:t xml:space="preserve">0.010 </w:t>
                  </w:r>
                </w:p>
              </w:tc>
            </w:tr>
          </w:tbl>
          <w:p>
            <w:pPr>
              <w:pStyle w:val="39"/>
              <w:adjustRightInd w:val="0"/>
              <w:snapToGrid w:val="0"/>
              <w:spacing w:line="336" w:lineRule="auto"/>
              <w:ind w:left="0" w:firstLine="480" w:firstLineChars="200"/>
            </w:pPr>
            <w:r>
              <w:t>结果表明，调查海域水质均符合第一类海水水质标准，符合功能区需求；不同区域磷酸盐浓度有较大差异。</w:t>
            </w:r>
          </w:p>
          <w:p>
            <w:pPr>
              <w:pStyle w:val="39"/>
              <w:adjustRightInd w:val="0"/>
              <w:snapToGrid w:val="0"/>
              <w:spacing w:line="336" w:lineRule="auto"/>
              <w:ind w:left="0" w:firstLine="480" w:firstLineChars="200"/>
            </w:pPr>
            <w:r>
              <w:rPr>
                <w:rFonts w:hint="eastAsia"/>
              </w:rPr>
              <w:t>综上所述，威海湾及其临近海域中各评价因子含量均满足所在功能区海水水质标准要求，水质较好。</w:t>
            </w:r>
          </w:p>
          <w:p>
            <w:pPr>
              <w:pStyle w:val="39"/>
              <w:adjustRightInd w:val="0"/>
              <w:snapToGrid w:val="0"/>
              <w:spacing w:line="336" w:lineRule="auto"/>
              <w:ind w:left="0" w:firstLine="482" w:firstLineChars="200"/>
              <w:rPr>
                <w:b/>
              </w:rPr>
            </w:pPr>
            <w:r>
              <w:rPr>
                <w:rFonts w:hint="eastAsia"/>
                <w:b/>
              </w:rPr>
              <w:t>4.2.6沉积物评价结果</w:t>
            </w:r>
          </w:p>
          <w:p>
            <w:pPr>
              <w:spacing w:line="336" w:lineRule="auto"/>
              <w:ind w:firstLine="480" w:firstLineChars="200"/>
              <w:rPr>
                <w:sz w:val="24"/>
              </w:rPr>
            </w:pPr>
            <w:r>
              <w:rPr>
                <w:sz w:val="24"/>
              </w:rPr>
              <w:t>选取总汞、铜、铅、锌、镉、铬、油类、硫化物、有机碳作为评价因子，采用《海洋沉积物质量》（GB18668-2002）中的一类标准进行评价，调查海域沉积物污染指数统计结果见表</w:t>
            </w:r>
            <w:r>
              <w:rPr>
                <w:rFonts w:hint="eastAsia"/>
                <w:sz w:val="24"/>
              </w:rPr>
              <w:t>4.2.7</w:t>
            </w:r>
            <w:r>
              <w:rPr>
                <w:sz w:val="24"/>
              </w:rPr>
              <w:t>。</w:t>
            </w:r>
          </w:p>
          <w:p>
            <w:pPr>
              <w:pStyle w:val="279"/>
              <w:snapToGrid w:val="0"/>
              <w:spacing w:line="336" w:lineRule="auto"/>
              <w:ind w:firstLine="480"/>
              <w:rPr>
                <w:szCs w:val="21"/>
              </w:rPr>
            </w:pPr>
            <w:r>
              <w:rPr>
                <w:szCs w:val="21"/>
              </w:rPr>
              <w:t>表</w:t>
            </w:r>
            <w:r>
              <w:rPr>
                <w:rFonts w:hint="eastAsia"/>
                <w:szCs w:val="21"/>
              </w:rPr>
              <w:t xml:space="preserve">4.2.7  </w:t>
            </w:r>
            <w:r>
              <w:rPr>
                <w:szCs w:val="21"/>
              </w:rPr>
              <w:t>沉积物污染指数统计表</w:t>
            </w:r>
          </w:p>
          <w:tbl>
            <w:tblPr>
              <w:tblStyle w:val="88"/>
              <w:tblW w:w="8190" w:type="dxa"/>
              <w:jc w:val="center"/>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
            <w:tblGrid>
              <w:gridCol w:w="1002"/>
              <w:gridCol w:w="773"/>
              <w:gridCol w:w="717"/>
              <w:gridCol w:w="717"/>
              <w:gridCol w:w="717"/>
              <w:gridCol w:w="708"/>
              <w:gridCol w:w="717"/>
              <w:gridCol w:w="773"/>
              <w:gridCol w:w="1033"/>
              <w:gridCol w:w="1033"/>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10"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站号</w:t>
                  </w:r>
                </w:p>
              </w:tc>
              <w:tc>
                <w:tcPr>
                  <w:tcW w:w="773"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总汞</w:t>
                  </w:r>
                </w:p>
              </w:tc>
              <w:tc>
                <w:tcPr>
                  <w:tcW w:w="717"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铜</w:t>
                  </w:r>
                </w:p>
              </w:tc>
              <w:tc>
                <w:tcPr>
                  <w:tcW w:w="717"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铅</w:t>
                  </w:r>
                </w:p>
              </w:tc>
              <w:tc>
                <w:tcPr>
                  <w:tcW w:w="717"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锌</w:t>
                  </w:r>
                </w:p>
              </w:tc>
              <w:tc>
                <w:tcPr>
                  <w:tcW w:w="708"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镉</w:t>
                  </w:r>
                </w:p>
              </w:tc>
              <w:tc>
                <w:tcPr>
                  <w:tcW w:w="717"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铬</w:t>
                  </w:r>
                </w:p>
              </w:tc>
              <w:tc>
                <w:tcPr>
                  <w:tcW w:w="773"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油类</w:t>
                  </w:r>
                </w:p>
              </w:tc>
              <w:tc>
                <w:tcPr>
                  <w:tcW w:w="1033"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硫化物</w:t>
                  </w:r>
                </w:p>
              </w:tc>
              <w:tc>
                <w:tcPr>
                  <w:tcW w:w="1033" w:type="dxa"/>
                  <w:shd w:val="clear" w:color="auto" w:fill="FFFFFF"/>
                  <w:vAlign w:val="center"/>
                </w:tcPr>
                <w:p>
                  <w:pPr>
                    <w:pStyle w:val="1320"/>
                    <w:shd w:val="clear" w:color="auto" w:fill="auto"/>
                    <w:adjustRightInd w:val="0"/>
                    <w:snapToGrid w:val="0"/>
                    <w:spacing w:line="320" w:lineRule="atLeast"/>
                    <w:jc w:val="center"/>
                    <w:rPr>
                      <w:kern w:val="2"/>
                      <w:sz w:val="18"/>
                      <w:szCs w:val="18"/>
                    </w:rPr>
                  </w:pPr>
                  <w:r>
                    <w:rPr>
                      <w:rStyle w:val="1321"/>
                      <w:rFonts w:hint="default" w:ascii="Times New Roman" w:hAnsi="Times New Roman" w:cs="Times New Roman"/>
                      <w:color w:val="auto"/>
                      <w:sz w:val="18"/>
                      <w:szCs w:val="18"/>
                    </w:rPr>
                    <w:t>有机碳</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P01</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1.05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0.60</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0.49</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0.14</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0.53</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0.25</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P03</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0.53</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0.12</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0.30</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0.35</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0.25</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P05</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1.07</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0.59</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0.44</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0.20</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0.30</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0.12</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0.23</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P07</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1.09</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0.57</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0.45</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0.18</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0.30</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0.19</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P08</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1.07</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0.66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0.53</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0.18</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0.30</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0.22</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Pll</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0.95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0.66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0.53</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0.29</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0.14</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P12</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0.94</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0.57</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0.47</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0.23</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0.28</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0.23</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P13</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1.07</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0.63</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0.48</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0.22</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0.26</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0.23</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P14</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0.97</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0.62</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0.46</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0.14</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0.25</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0.23</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0.25</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P16</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1.06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0.79</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0.49</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0.35</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0.23</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10"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P20</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1.18</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0.65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0.51</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0.33</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0.33</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P21</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1.14</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0.67</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0.58</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0.18</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0.32</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0.18</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0.22</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最大值</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1.18</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0.79</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0.58</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0.53</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0.27</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最小值</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0.94</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0.44</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0.12</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0.23</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0.12</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22"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平均值</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1.06</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0.63</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0.50</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0.18</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0.31</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0.07</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0.24</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0.23</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 w:type="dxa"/>
                  <w:bottom w:w="0" w:type="dxa"/>
                  <w:right w:w="10" w:type="dxa"/>
                </w:tblCellMar>
              </w:tblPrEx>
              <w:trPr>
                <w:trHeight w:val="310" w:hRule="atLeast"/>
                <w:jc w:val="center"/>
              </w:trPr>
              <w:tc>
                <w:tcPr>
                  <w:tcW w:w="1002"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超标率</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75%</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w:t>
                  </w:r>
                </w:p>
              </w:tc>
              <w:tc>
                <w:tcPr>
                  <w:tcW w:w="708"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w:t>
                  </w:r>
                </w:p>
              </w:tc>
              <w:tc>
                <w:tcPr>
                  <w:tcW w:w="717"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w:t>
                  </w:r>
                </w:p>
              </w:tc>
              <w:tc>
                <w:tcPr>
                  <w:tcW w:w="77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w:t>
                  </w:r>
                </w:p>
              </w:tc>
              <w:tc>
                <w:tcPr>
                  <w:tcW w:w="1033" w:type="dxa"/>
                  <w:shd w:val="clear" w:color="auto" w:fill="FFFFFF"/>
                  <w:vAlign w:val="center"/>
                </w:tcPr>
                <w:p>
                  <w:pPr>
                    <w:pStyle w:val="1320"/>
                    <w:shd w:val="clear" w:color="auto" w:fill="auto"/>
                    <w:adjustRightInd w:val="0"/>
                    <w:snapToGrid w:val="0"/>
                    <w:spacing w:line="320" w:lineRule="atLeast"/>
                    <w:jc w:val="center"/>
                    <w:rPr>
                      <w:rStyle w:val="1321"/>
                      <w:rFonts w:hint="default" w:ascii="Times New Roman" w:hAnsi="Times New Roman" w:cs="Times New Roman"/>
                      <w:color w:val="auto"/>
                      <w:kern w:val="2"/>
                      <w:sz w:val="18"/>
                      <w:szCs w:val="18"/>
                    </w:rPr>
                  </w:pPr>
                  <w:r>
                    <w:rPr>
                      <w:rStyle w:val="1321"/>
                      <w:rFonts w:hint="default" w:ascii="Times New Roman" w:hAnsi="Times New Roman" w:cs="Times New Roman"/>
                      <w:color w:val="auto"/>
                      <w:sz w:val="18"/>
                      <w:szCs w:val="18"/>
                    </w:rPr>
                    <w:t>0.0</w:t>
                  </w:r>
                </w:p>
              </w:tc>
            </w:tr>
          </w:tbl>
          <w:p>
            <w:pPr>
              <w:pStyle w:val="39"/>
              <w:adjustRightInd w:val="0"/>
              <w:snapToGrid w:val="0"/>
              <w:spacing w:line="312" w:lineRule="auto"/>
              <w:ind w:left="0" w:firstLine="480" w:firstLineChars="200"/>
            </w:pPr>
            <w:r>
              <w:rPr>
                <w:kern w:val="0"/>
              </w:rPr>
              <w:t>评价结果显示，威海湾及其临近海域的表层沉积物中总汞、铜、铅、锌、镉、铬、油类、硫化物、有机碳各项监测指标均符合一类沉积物质量标准，铜含量略高，污染指数范围为0.94~1.18，超标率为75%。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845" w:hRule="atLeast"/>
          <w:jc w:val="center"/>
        </w:trPr>
        <w:tc>
          <w:tcPr>
            <w:tcW w:w="8505" w:type="dxa"/>
          </w:tcPr>
          <w:p>
            <w:pPr>
              <w:spacing w:before="120" w:line="440" w:lineRule="exact"/>
              <w:rPr>
                <w:spacing w:val="6"/>
              </w:rPr>
            </w:pPr>
            <w:r>
              <w:rPr>
                <w:rFonts w:eastAsia="楷体_GB2312"/>
                <w:sz w:val="24"/>
              </w:rPr>
              <w:t>主要环境保护目标(列出名单及保护级别)：</w:t>
            </w:r>
          </w:p>
          <w:p>
            <w:pPr>
              <w:adjustRightInd w:val="0"/>
              <w:snapToGrid w:val="0"/>
              <w:spacing w:line="440" w:lineRule="exact"/>
              <w:ind w:firstLine="480" w:firstLineChars="200"/>
              <w:rPr>
                <w:sz w:val="24"/>
              </w:rPr>
            </w:pPr>
            <w:r>
              <w:rPr>
                <w:rFonts w:hint="eastAsia"/>
                <w:sz w:val="24"/>
              </w:rPr>
              <w:t>本工程位于威海市华能威海电厂内一期老厂房区域，东侧为电厂二期机组、南侧为化学制水车间、西侧临威海港、北侧临海，现状为空地，仅水泵房及汽机房可利旧。项目厂区周围主要是工业区，1km范围内主要敏感保护目标见表</w:t>
            </w:r>
            <w:r>
              <w:rPr>
                <w:sz w:val="24"/>
              </w:rPr>
              <w:t>10</w:t>
            </w:r>
            <w:r>
              <w:rPr>
                <w:rFonts w:hint="eastAsia"/>
                <w:sz w:val="24"/>
              </w:rPr>
              <w:t>，具体分布见附图2。</w:t>
            </w:r>
          </w:p>
          <w:p>
            <w:pPr>
              <w:adjustRightInd w:val="0"/>
              <w:snapToGrid w:val="0"/>
              <w:spacing w:line="360" w:lineRule="auto"/>
              <w:jc w:val="center"/>
              <w:rPr>
                <w:b/>
                <w:sz w:val="24"/>
                <w:szCs w:val="22"/>
              </w:rPr>
            </w:pPr>
            <w:r>
              <w:rPr>
                <w:rFonts w:hint="eastAsia"/>
                <w:b/>
                <w:sz w:val="24"/>
                <w:szCs w:val="22"/>
              </w:rPr>
              <w:t>表</w:t>
            </w:r>
            <w:r>
              <w:rPr>
                <w:b/>
                <w:sz w:val="24"/>
                <w:szCs w:val="22"/>
              </w:rPr>
              <w:t xml:space="preserve">10 </w:t>
            </w:r>
            <w:r>
              <w:rPr>
                <w:rFonts w:hint="eastAsia"/>
                <w:b/>
                <w:sz w:val="24"/>
                <w:szCs w:val="22"/>
              </w:rPr>
              <w:t>项目周围主要环境敏感保护目标</w:t>
            </w:r>
          </w:p>
          <w:tbl>
            <w:tblPr>
              <w:tblStyle w:val="88"/>
              <w:tblW w:w="82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1"/>
              <w:gridCol w:w="413"/>
              <w:gridCol w:w="1636"/>
              <w:gridCol w:w="629"/>
              <w:gridCol w:w="1155"/>
              <w:gridCol w:w="1100"/>
              <w:gridCol w:w="29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431" w:type="dxa"/>
                  <w:shd w:val="clear" w:color="auto" w:fill="auto"/>
                  <w:vAlign w:val="center"/>
                </w:tcPr>
                <w:p>
                  <w:pPr>
                    <w:pStyle w:val="203"/>
                    <w:rPr>
                      <w:kern w:val="0"/>
                      <w:szCs w:val="21"/>
                    </w:rPr>
                  </w:pPr>
                  <w:r>
                    <w:rPr>
                      <w:rFonts w:hint="eastAsia"/>
                      <w:kern w:val="0"/>
                      <w:szCs w:val="21"/>
                    </w:rPr>
                    <w:t>序号</w:t>
                  </w:r>
                </w:p>
              </w:tc>
              <w:tc>
                <w:tcPr>
                  <w:tcW w:w="2049" w:type="dxa"/>
                  <w:gridSpan w:val="2"/>
                  <w:shd w:val="clear" w:color="auto" w:fill="auto"/>
                  <w:vAlign w:val="center"/>
                </w:tcPr>
                <w:p>
                  <w:pPr>
                    <w:pStyle w:val="203"/>
                    <w:rPr>
                      <w:kern w:val="0"/>
                      <w:szCs w:val="21"/>
                    </w:rPr>
                  </w:pPr>
                  <w:r>
                    <w:rPr>
                      <w:rFonts w:hint="eastAsia"/>
                      <w:kern w:val="0"/>
                      <w:szCs w:val="21"/>
                    </w:rPr>
                    <w:t>敏感保护目标名称</w:t>
                  </w:r>
                </w:p>
              </w:tc>
              <w:tc>
                <w:tcPr>
                  <w:tcW w:w="629" w:type="dxa"/>
                  <w:shd w:val="clear" w:color="auto" w:fill="auto"/>
                  <w:vAlign w:val="center"/>
                </w:tcPr>
                <w:p>
                  <w:pPr>
                    <w:pStyle w:val="203"/>
                    <w:rPr>
                      <w:kern w:val="0"/>
                      <w:szCs w:val="21"/>
                    </w:rPr>
                  </w:pPr>
                  <w:r>
                    <w:rPr>
                      <w:rFonts w:hint="eastAsia"/>
                      <w:kern w:val="0"/>
                      <w:szCs w:val="21"/>
                    </w:rPr>
                    <w:t>方位</w:t>
                  </w:r>
                </w:p>
              </w:tc>
              <w:tc>
                <w:tcPr>
                  <w:tcW w:w="1155" w:type="dxa"/>
                  <w:shd w:val="clear" w:color="auto" w:fill="auto"/>
                  <w:vAlign w:val="center"/>
                </w:tcPr>
                <w:p>
                  <w:pPr>
                    <w:pStyle w:val="203"/>
                    <w:rPr>
                      <w:kern w:val="0"/>
                      <w:szCs w:val="21"/>
                    </w:rPr>
                  </w:pPr>
                  <w:r>
                    <w:rPr>
                      <w:rFonts w:hint="eastAsia"/>
                      <w:kern w:val="0"/>
                      <w:szCs w:val="21"/>
                    </w:rPr>
                    <w:t>相对距离</w:t>
                  </w:r>
                </w:p>
              </w:tc>
              <w:tc>
                <w:tcPr>
                  <w:tcW w:w="1100" w:type="dxa"/>
                  <w:shd w:val="clear" w:color="auto" w:fill="auto"/>
                  <w:vAlign w:val="center"/>
                </w:tcPr>
                <w:p>
                  <w:pPr>
                    <w:pStyle w:val="203"/>
                    <w:rPr>
                      <w:kern w:val="0"/>
                      <w:szCs w:val="21"/>
                    </w:rPr>
                  </w:pPr>
                  <w:r>
                    <w:rPr>
                      <w:rFonts w:hint="eastAsia"/>
                      <w:kern w:val="0"/>
                      <w:szCs w:val="21"/>
                    </w:rPr>
                    <w:t>保护对象</w:t>
                  </w:r>
                </w:p>
              </w:tc>
              <w:tc>
                <w:tcPr>
                  <w:tcW w:w="2908" w:type="dxa"/>
                  <w:shd w:val="clear" w:color="auto" w:fill="auto"/>
                  <w:vAlign w:val="center"/>
                </w:tcPr>
                <w:p>
                  <w:pPr>
                    <w:pStyle w:val="203"/>
                    <w:rPr>
                      <w:kern w:val="0"/>
                      <w:szCs w:val="21"/>
                    </w:rPr>
                  </w:pPr>
                  <w:r>
                    <w:rPr>
                      <w:rFonts w:hint="eastAsia"/>
                      <w:kern w:val="0"/>
                      <w:szCs w:val="21"/>
                    </w:rPr>
                    <w:t>控制目标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431" w:type="dxa"/>
                  <w:vMerge w:val="restart"/>
                  <w:shd w:val="clear" w:color="auto" w:fill="auto"/>
                  <w:vAlign w:val="center"/>
                </w:tcPr>
                <w:p>
                  <w:pPr>
                    <w:pStyle w:val="203"/>
                    <w:rPr>
                      <w:kern w:val="0"/>
                      <w:szCs w:val="21"/>
                    </w:rPr>
                  </w:pPr>
                  <w:r>
                    <w:rPr>
                      <w:rFonts w:hint="eastAsia"/>
                      <w:kern w:val="0"/>
                      <w:szCs w:val="21"/>
                    </w:rPr>
                    <w:t>1</w:t>
                  </w:r>
                </w:p>
              </w:tc>
              <w:tc>
                <w:tcPr>
                  <w:tcW w:w="413" w:type="dxa"/>
                  <w:vMerge w:val="restart"/>
                  <w:shd w:val="clear" w:color="auto" w:fill="auto"/>
                  <w:vAlign w:val="center"/>
                </w:tcPr>
                <w:p>
                  <w:pPr>
                    <w:pStyle w:val="203"/>
                    <w:rPr>
                      <w:kern w:val="0"/>
                      <w:szCs w:val="21"/>
                    </w:rPr>
                  </w:pPr>
                  <w:r>
                    <w:rPr>
                      <w:rFonts w:hint="eastAsia"/>
                      <w:kern w:val="0"/>
                      <w:szCs w:val="21"/>
                    </w:rPr>
                    <w:t>海域</w:t>
                  </w:r>
                </w:p>
              </w:tc>
              <w:tc>
                <w:tcPr>
                  <w:tcW w:w="1636" w:type="dxa"/>
                  <w:shd w:val="clear" w:color="auto" w:fill="auto"/>
                  <w:vAlign w:val="center"/>
                </w:tcPr>
                <w:p>
                  <w:pPr>
                    <w:pStyle w:val="203"/>
                    <w:rPr>
                      <w:kern w:val="0"/>
                      <w:szCs w:val="21"/>
                    </w:rPr>
                  </w:pPr>
                  <w:r>
                    <w:rPr>
                      <w:kern w:val="0"/>
                      <w:szCs w:val="21"/>
                    </w:rPr>
                    <w:t>威海南港口航运区</w:t>
                  </w:r>
                </w:p>
              </w:tc>
              <w:tc>
                <w:tcPr>
                  <w:tcW w:w="629" w:type="dxa"/>
                  <w:shd w:val="clear" w:color="auto" w:fill="auto"/>
                  <w:vAlign w:val="center"/>
                </w:tcPr>
                <w:p>
                  <w:pPr>
                    <w:pStyle w:val="203"/>
                    <w:rPr>
                      <w:kern w:val="0"/>
                      <w:szCs w:val="21"/>
                    </w:rPr>
                  </w:pPr>
                  <w:r>
                    <w:rPr>
                      <w:rFonts w:hint="eastAsia"/>
                      <w:kern w:val="0"/>
                      <w:szCs w:val="21"/>
                    </w:rPr>
                    <w:t>N</w:t>
                  </w:r>
                </w:p>
              </w:tc>
              <w:tc>
                <w:tcPr>
                  <w:tcW w:w="1155" w:type="dxa"/>
                  <w:shd w:val="clear" w:color="auto" w:fill="auto"/>
                  <w:vAlign w:val="center"/>
                </w:tcPr>
                <w:p>
                  <w:pPr>
                    <w:pStyle w:val="203"/>
                    <w:rPr>
                      <w:kern w:val="0"/>
                      <w:szCs w:val="21"/>
                    </w:rPr>
                  </w:pPr>
                  <w:r>
                    <w:rPr>
                      <w:rFonts w:hint="eastAsia"/>
                      <w:kern w:val="0"/>
                      <w:szCs w:val="21"/>
                    </w:rPr>
                    <w:t>紧邻</w:t>
                  </w:r>
                </w:p>
              </w:tc>
              <w:tc>
                <w:tcPr>
                  <w:tcW w:w="1100" w:type="dxa"/>
                  <w:shd w:val="clear" w:color="auto" w:fill="auto"/>
                  <w:vAlign w:val="center"/>
                </w:tcPr>
                <w:p>
                  <w:pPr>
                    <w:pStyle w:val="203"/>
                    <w:rPr>
                      <w:kern w:val="0"/>
                      <w:szCs w:val="21"/>
                    </w:rPr>
                  </w:pPr>
                  <w:r>
                    <w:rPr>
                      <w:rFonts w:hint="eastAsia"/>
                      <w:kern w:val="0"/>
                      <w:szCs w:val="21"/>
                    </w:rPr>
                    <w:t>港口水深地形条件</w:t>
                  </w:r>
                </w:p>
              </w:tc>
              <w:tc>
                <w:tcPr>
                  <w:tcW w:w="2908" w:type="dxa"/>
                  <w:shd w:val="clear" w:color="auto" w:fill="auto"/>
                  <w:vAlign w:val="center"/>
                </w:tcPr>
                <w:p>
                  <w:pPr>
                    <w:pStyle w:val="203"/>
                    <w:rPr>
                      <w:kern w:val="0"/>
                      <w:szCs w:val="21"/>
                    </w:rPr>
                  </w:pPr>
                  <w:r>
                    <w:rPr>
                      <w:rFonts w:hint="eastAsia"/>
                      <w:kern w:val="0"/>
                      <w:szCs w:val="21"/>
                    </w:rPr>
                    <w:t>海域海水水质不劣于三类标准，海洋沉积物质量和海洋生物质量均不劣于二类标准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431" w:type="dxa"/>
                  <w:vMerge w:val="continue"/>
                  <w:shd w:val="clear" w:color="auto" w:fill="auto"/>
                  <w:vAlign w:val="center"/>
                </w:tcPr>
                <w:p>
                  <w:pPr>
                    <w:pStyle w:val="203"/>
                    <w:rPr>
                      <w:kern w:val="0"/>
                      <w:szCs w:val="21"/>
                    </w:rPr>
                  </w:pPr>
                </w:p>
              </w:tc>
              <w:tc>
                <w:tcPr>
                  <w:tcW w:w="413" w:type="dxa"/>
                  <w:vMerge w:val="continue"/>
                  <w:shd w:val="clear" w:color="auto" w:fill="auto"/>
                  <w:vAlign w:val="center"/>
                </w:tcPr>
                <w:p>
                  <w:pPr>
                    <w:pStyle w:val="203"/>
                    <w:rPr>
                      <w:kern w:val="0"/>
                      <w:szCs w:val="21"/>
                    </w:rPr>
                  </w:pPr>
                </w:p>
              </w:tc>
              <w:tc>
                <w:tcPr>
                  <w:tcW w:w="1636" w:type="dxa"/>
                  <w:shd w:val="clear" w:color="auto" w:fill="auto"/>
                  <w:vAlign w:val="center"/>
                </w:tcPr>
                <w:p>
                  <w:pPr>
                    <w:pStyle w:val="203"/>
                    <w:rPr>
                      <w:kern w:val="0"/>
                      <w:szCs w:val="21"/>
                    </w:rPr>
                  </w:pPr>
                  <w:r>
                    <w:rPr>
                      <w:kern w:val="0"/>
                      <w:szCs w:val="21"/>
                    </w:rPr>
                    <w:t>威海湾旅游休闲娱乐区</w:t>
                  </w:r>
                </w:p>
              </w:tc>
              <w:tc>
                <w:tcPr>
                  <w:tcW w:w="629" w:type="dxa"/>
                  <w:shd w:val="clear" w:color="auto" w:fill="auto"/>
                  <w:vAlign w:val="center"/>
                </w:tcPr>
                <w:p>
                  <w:pPr>
                    <w:pStyle w:val="203"/>
                    <w:rPr>
                      <w:kern w:val="0"/>
                      <w:szCs w:val="21"/>
                    </w:rPr>
                  </w:pPr>
                  <w:r>
                    <w:rPr>
                      <w:rFonts w:hint="eastAsia"/>
                      <w:kern w:val="0"/>
                      <w:szCs w:val="21"/>
                    </w:rPr>
                    <w:t>W</w:t>
                  </w:r>
                </w:p>
              </w:tc>
              <w:tc>
                <w:tcPr>
                  <w:tcW w:w="1155" w:type="dxa"/>
                  <w:shd w:val="clear" w:color="auto" w:fill="auto"/>
                  <w:vAlign w:val="center"/>
                </w:tcPr>
                <w:p>
                  <w:pPr>
                    <w:pStyle w:val="203"/>
                    <w:rPr>
                      <w:kern w:val="0"/>
                      <w:szCs w:val="21"/>
                    </w:rPr>
                  </w:pPr>
                  <w:r>
                    <w:rPr>
                      <w:rFonts w:hint="eastAsia"/>
                      <w:kern w:val="0"/>
                      <w:szCs w:val="21"/>
                    </w:rPr>
                    <w:t>2</w:t>
                  </w:r>
                  <w:r>
                    <w:rPr>
                      <w:kern w:val="0"/>
                      <w:szCs w:val="21"/>
                    </w:rPr>
                    <w:t>500</w:t>
                  </w:r>
                  <w:r>
                    <w:rPr>
                      <w:rFonts w:hint="eastAsia"/>
                      <w:kern w:val="0"/>
                      <w:szCs w:val="21"/>
                    </w:rPr>
                    <w:t>m</w:t>
                  </w:r>
                </w:p>
              </w:tc>
              <w:tc>
                <w:tcPr>
                  <w:tcW w:w="1100" w:type="dxa"/>
                  <w:shd w:val="clear" w:color="auto" w:fill="auto"/>
                  <w:vAlign w:val="center"/>
                </w:tcPr>
                <w:p>
                  <w:pPr>
                    <w:pStyle w:val="203"/>
                    <w:rPr>
                      <w:kern w:val="0"/>
                      <w:szCs w:val="21"/>
                    </w:rPr>
                  </w:pPr>
                  <w:r>
                    <w:rPr>
                      <w:rFonts w:hint="eastAsia"/>
                      <w:kern w:val="0"/>
                      <w:szCs w:val="21"/>
                    </w:rPr>
                    <w:t>自然景观、海岸线</w:t>
                  </w:r>
                </w:p>
              </w:tc>
              <w:tc>
                <w:tcPr>
                  <w:tcW w:w="2908" w:type="dxa"/>
                  <w:shd w:val="clear" w:color="auto" w:fill="auto"/>
                  <w:vAlign w:val="center"/>
                </w:tcPr>
                <w:p>
                  <w:pPr>
                    <w:pStyle w:val="203"/>
                    <w:rPr>
                      <w:kern w:val="0"/>
                      <w:szCs w:val="21"/>
                    </w:rPr>
                  </w:pPr>
                  <w:r>
                    <w:rPr>
                      <w:rFonts w:hint="eastAsia"/>
                      <w:kern w:val="0"/>
                      <w:szCs w:val="21"/>
                    </w:rPr>
                    <w:t>海水水质不劣于二类标准，海洋沉积物质量和海洋生物质量均不劣于一类标准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431" w:type="dxa"/>
                  <w:vMerge w:val="continue"/>
                  <w:shd w:val="clear" w:color="auto" w:fill="auto"/>
                  <w:vAlign w:val="center"/>
                </w:tcPr>
                <w:p>
                  <w:pPr>
                    <w:pStyle w:val="203"/>
                    <w:rPr>
                      <w:kern w:val="0"/>
                      <w:szCs w:val="21"/>
                    </w:rPr>
                  </w:pPr>
                </w:p>
              </w:tc>
              <w:tc>
                <w:tcPr>
                  <w:tcW w:w="413" w:type="dxa"/>
                  <w:vMerge w:val="continue"/>
                  <w:shd w:val="clear" w:color="auto" w:fill="auto"/>
                  <w:vAlign w:val="center"/>
                </w:tcPr>
                <w:p>
                  <w:pPr>
                    <w:pStyle w:val="203"/>
                    <w:rPr>
                      <w:kern w:val="0"/>
                      <w:szCs w:val="21"/>
                    </w:rPr>
                  </w:pPr>
                </w:p>
              </w:tc>
              <w:tc>
                <w:tcPr>
                  <w:tcW w:w="1636" w:type="dxa"/>
                  <w:shd w:val="clear" w:color="auto" w:fill="auto"/>
                  <w:vAlign w:val="center"/>
                </w:tcPr>
                <w:p>
                  <w:pPr>
                    <w:pStyle w:val="203"/>
                    <w:rPr>
                      <w:kern w:val="0"/>
                      <w:szCs w:val="21"/>
                    </w:rPr>
                  </w:pPr>
                  <w:r>
                    <w:rPr>
                      <w:rFonts w:hint="eastAsia"/>
                      <w:kern w:val="0"/>
                      <w:szCs w:val="21"/>
                    </w:rPr>
                    <w:t>刘公岛-鸡鸣岛农渔业区</w:t>
                  </w:r>
                </w:p>
              </w:tc>
              <w:tc>
                <w:tcPr>
                  <w:tcW w:w="629" w:type="dxa"/>
                  <w:shd w:val="clear" w:color="auto" w:fill="auto"/>
                  <w:vAlign w:val="center"/>
                </w:tcPr>
                <w:p>
                  <w:pPr>
                    <w:pStyle w:val="203"/>
                    <w:rPr>
                      <w:kern w:val="0"/>
                      <w:szCs w:val="21"/>
                    </w:rPr>
                  </w:pPr>
                  <w:r>
                    <w:rPr>
                      <w:rFonts w:hint="eastAsia"/>
                      <w:kern w:val="0"/>
                      <w:szCs w:val="21"/>
                    </w:rPr>
                    <w:t>N</w:t>
                  </w:r>
                  <w:r>
                    <w:rPr>
                      <w:kern w:val="0"/>
                      <w:szCs w:val="21"/>
                    </w:rPr>
                    <w:t>W</w:t>
                  </w:r>
                </w:p>
              </w:tc>
              <w:tc>
                <w:tcPr>
                  <w:tcW w:w="1155" w:type="dxa"/>
                  <w:shd w:val="clear" w:color="auto" w:fill="auto"/>
                  <w:vAlign w:val="center"/>
                </w:tcPr>
                <w:p>
                  <w:pPr>
                    <w:pStyle w:val="203"/>
                    <w:rPr>
                      <w:kern w:val="0"/>
                      <w:szCs w:val="21"/>
                    </w:rPr>
                  </w:pPr>
                  <w:r>
                    <w:rPr>
                      <w:rFonts w:hint="eastAsia"/>
                      <w:kern w:val="0"/>
                      <w:szCs w:val="21"/>
                    </w:rPr>
                    <w:t>1</w:t>
                  </w:r>
                  <w:r>
                    <w:rPr>
                      <w:kern w:val="0"/>
                      <w:szCs w:val="21"/>
                    </w:rPr>
                    <w:t>360</w:t>
                  </w:r>
                  <w:r>
                    <w:rPr>
                      <w:rFonts w:hint="eastAsia"/>
                      <w:kern w:val="0"/>
                      <w:szCs w:val="21"/>
                    </w:rPr>
                    <w:t>m</w:t>
                  </w:r>
                </w:p>
              </w:tc>
              <w:tc>
                <w:tcPr>
                  <w:tcW w:w="1100" w:type="dxa"/>
                  <w:shd w:val="clear" w:color="auto" w:fill="auto"/>
                  <w:vAlign w:val="center"/>
                </w:tcPr>
                <w:p>
                  <w:pPr>
                    <w:pStyle w:val="203"/>
                    <w:rPr>
                      <w:kern w:val="0"/>
                      <w:szCs w:val="21"/>
                    </w:rPr>
                  </w:pPr>
                  <w:r>
                    <w:rPr>
                      <w:rFonts w:hint="eastAsia"/>
                      <w:sz w:val="19"/>
                      <w:szCs w:val="19"/>
                    </w:rPr>
                    <w:t>传统渔业资源、生物资源</w:t>
                  </w:r>
                </w:p>
              </w:tc>
              <w:tc>
                <w:tcPr>
                  <w:tcW w:w="2908" w:type="dxa"/>
                  <w:shd w:val="clear" w:color="auto" w:fill="auto"/>
                  <w:vAlign w:val="center"/>
                </w:tcPr>
                <w:p>
                  <w:pPr>
                    <w:pStyle w:val="203"/>
                    <w:rPr>
                      <w:kern w:val="0"/>
                      <w:szCs w:val="21"/>
                    </w:rPr>
                  </w:pPr>
                  <w:r>
                    <w:rPr>
                      <w:rFonts w:hint="eastAsia"/>
                      <w:kern w:val="0"/>
                      <w:szCs w:val="21"/>
                    </w:rPr>
                    <w:t>海水水质、海洋沉积物质量和海洋生物质量均不劣于一类标准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431" w:type="dxa"/>
                  <w:vMerge w:val="continue"/>
                  <w:shd w:val="clear" w:color="auto" w:fill="auto"/>
                  <w:vAlign w:val="center"/>
                </w:tcPr>
                <w:p>
                  <w:pPr>
                    <w:pStyle w:val="203"/>
                    <w:rPr>
                      <w:kern w:val="0"/>
                      <w:szCs w:val="21"/>
                    </w:rPr>
                  </w:pPr>
                </w:p>
              </w:tc>
              <w:tc>
                <w:tcPr>
                  <w:tcW w:w="413" w:type="dxa"/>
                  <w:vMerge w:val="continue"/>
                  <w:shd w:val="clear" w:color="auto" w:fill="auto"/>
                  <w:vAlign w:val="center"/>
                </w:tcPr>
                <w:p>
                  <w:pPr>
                    <w:pStyle w:val="203"/>
                    <w:rPr>
                      <w:kern w:val="0"/>
                      <w:szCs w:val="21"/>
                    </w:rPr>
                  </w:pPr>
                </w:p>
              </w:tc>
              <w:tc>
                <w:tcPr>
                  <w:tcW w:w="1636" w:type="dxa"/>
                  <w:shd w:val="clear" w:color="auto" w:fill="auto"/>
                  <w:vAlign w:val="center"/>
                </w:tcPr>
                <w:p>
                  <w:pPr>
                    <w:pStyle w:val="203"/>
                    <w:rPr>
                      <w:kern w:val="0"/>
                      <w:szCs w:val="21"/>
                    </w:rPr>
                  </w:pPr>
                  <w:r>
                    <w:rPr>
                      <w:kern w:val="0"/>
                      <w:szCs w:val="21"/>
                    </w:rPr>
                    <w:t>威海刘公岛海洋保护区</w:t>
                  </w:r>
                </w:p>
              </w:tc>
              <w:tc>
                <w:tcPr>
                  <w:tcW w:w="629" w:type="dxa"/>
                  <w:shd w:val="clear" w:color="auto" w:fill="auto"/>
                  <w:vAlign w:val="center"/>
                </w:tcPr>
                <w:p>
                  <w:pPr>
                    <w:pStyle w:val="203"/>
                    <w:rPr>
                      <w:kern w:val="0"/>
                      <w:szCs w:val="21"/>
                    </w:rPr>
                  </w:pPr>
                  <w:r>
                    <w:rPr>
                      <w:rFonts w:hint="eastAsia"/>
                      <w:kern w:val="0"/>
                      <w:szCs w:val="21"/>
                    </w:rPr>
                    <w:t>N</w:t>
                  </w:r>
                  <w:r>
                    <w:rPr>
                      <w:kern w:val="0"/>
                      <w:szCs w:val="21"/>
                    </w:rPr>
                    <w:t>W</w:t>
                  </w:r>
                </w:p>
              </w:tc>
              <w:tc>
                <w:tcPr>
                  <w:tcW w:w="1155" w:type="dxa"/>
                  <w:shd w:val="clear" w:color="auto" w:fill="auto"/>
                  <w:vAlign w:val="center"/>
                </w:tcPr>
                <w:p>
                  <w:pPr>
                    <w:pStyle w:val="203"/>
                    <w:rPr>
                      <w:kern w:val="0"/>
                      <w:szCs w:val="21"/>
                    </w:rPr>
                  </w:pPr>
                  <w:r>
                    <w:rPr>
                      <w:rFonts w:hint="eastAsia"/>
                      <w:kern w:val="0"/>
                      <w:szCs w:val="21"/>
                    </w:rPr>
                    <w:t>4000m</w:t>
                  </w:r>
                </w:p>
              </w:tc>
              <w:tc>
                <w:tcPr>
                  <w:tcW w:w="1100" w:type="dxa"/>
                  <w:shd w:val="clear" w:color="auto" w:fill="auto"/>
                  <w:vAlign w:val="center"/>
                </w:tcPr>
                <w:p>
                  <w:pPr>
                    <w:pStyle w:val="203"/>
                    <w:rPr>
                      <w:kern w:val="0"/>
                      <w:szCs w:val="21"/>
                    </w:rPr>
                  </w:pPr>
                  <w:r>
                    <w:rPr>
                      <w:rFonts w:hint="eastAsia"/>
                      <w:kern w:val="0"/>
                      <w:szCs w:val="21"/>
                    </w:rPr>
                    <w:t>海岛生态系统、人文历史遗迹</w:t>
                  </w:r>
                </w:p>
              </w:tc>
              <w:tc>
                <w:tcPr>
                  <w:tcW w:w="2908" w:type="dxa"/>
                  <w:shd w:val="clear" w:color="auto" w:fill="auto"/>
                  <w:vAlign w:val="center"/>
                </w:tcPr>
                <w:p>
                  <w:pPr>
                    <w:pStyle w:val="203"/>
                    <w:rPr>
                      <w:kern w:val="0"/>
                      <w:szCs w:val="21"/>
                    </w:rPr>
                  </w:pPr>
                  <w:r>
                    <w:rPr>
                      <w:rFonts w:hint="eastAsia"/>
                      <w:kern w:val="0"/>
                      <w:szCs w:val="21"/>
                    </w:rPr>
                    <w:t>海水水质不劣于二类标准，海洋沉积物质量和海洋生物质量不劣于一类标准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431" w:type="dxa"/>
                  <w:vMerge w:val="continue"/>
                  <w:shd w:val="clear" w:color="auto" w:fill="auto"/>
                  <w:vAlign w:val="center"/>
                </w:tcPr>
                <w:p>
                  <w:pPr>
                    <w:pStyle w:val="203"/>
                    <w:rPr>
                      <w:kern w:val="0"/>
                      <w:szCs w:val="21"/>
                    </w:rPr>
                  </w:pPr>
                </w:p>
              </w:tc>
              <w:tc>
                <w:tcPr>
                  <w:tcW w:w="413" w:type="dxa"/>
                  <w:vMerge w:val="continue"/>
                  <w:shd w:val="clear" w:color="auto" w:fill="auto"/>
                  <w:vAlign w:val="center"/>
                </w:tcPr>
                <w:p>
                  <w:pPr>
                    <w:pStyle w:val="203"/>
                    <w:rPr>
                      <w:kern w:val="0"/>
                      <w:szCs w:val="21"/>
                    </w:rPr>
                  </w:pPr>
                </w:p>
              </w:tc>
              <w:tc>
                <w:tcPr>
                  <w:tcW w:w="1636" w:type="dxa"/>
                  <w:shd w:val="clear" w:color="auto" w:fill="auto"/>
                  <w:vAlign w:val="center"/>
                </w:tcPr>
                <w:p>
                  <w:pPr>
                    <w:pStyle w:val="203"/>
                    <w:rPr>
                      <w:kern w:val="0"/>
                      <w:szCs w:val="21"/>
                    </w:rPr>
                  </w:pPr>
                  <w:r>
                    <w:rPr>
                      <w:kern w:val="0"/>
                      <w:szCs w:val="21"/>
                    </w:rPr>
                    <w:t>威海港口航运区</w:t>
                  </w:r>
                </w:p>
              </w:tc>
              <w:tc>
                <w:tcPr>
                  <w:tcW w:w="629" w:type="dxa"/>
                  <w:shd w:val="clear" w:color="auto" w:fill="auto"/>
                  <w:vAlign w:val="center"/>
                </w:tcPr>
                <w:p>
                  <w:pPr>
                    <w:pStyle w:val="203"/>
                    <w:rPr>
                      <w:kern w:val="0"/>
                      <w:szCs w:val="21"/>
                    </w:rPr>
                  </w:pPr>
                  <w:r>
                    <w:rPr>
                      <w:rFonts w:hint="eastAsia"/>
                      <w:kern w:val="0"/>
                      <w:szCs w:val="21"/>
                    </w:rPr>
                    <w:t>N</w:t>
                  </w:r>
                  <w:r>
                    <w:rPr>
                      <w:kern w:val="0"/>
                      <w:szCs w:val="21"/>
                    </w:rPr>
                    <w:t>W</w:t>
                  </w:r>
                </w:p>
              </w:tc>
              <w:tc>
                <w:tcPr>
                  <w:tcW w:w="1155" w:type="dxa"/>
                  <w:shd w:val="clear" w:color="auto" w:fill="auto"/>
                  <w:vAlign w:val="center"/>
                </w:tcPr>
                <w:p>
                  <w:pPr>
                    <w:pStyle w:val="203"/>
                    <w:rPr>
                      <w:kern w:val="0"/>
                      <w:szCs w:val="21"/>
                    </w:rPr>
                  </w:pPr>
                  <w:r>
                    <w:rPr>
                      <w:rFonts w:hint="eastAsia"/>
                      <w:kern w:val="0"/>
                      <w:szCs w:val="21"/>
                    </w:rPr>
                    <w:t>3</w:t>
                  </w:r>
                  <w:r>
                    <w:rPr>
                      <w:kern w:val="0"/>
                      <w:szCs w:val="21"/>
                    </w:rPr>
                    <w:t>300</w:t>
                  </w:r>
                  <w:r>
                    <w:rPr>
                      <w:rFonts w:hint="eastAsia"/>
                      <w:kern w:val="0"/>
                      <w:szCs w:val="21"/>
                    </w:rPr>
                    <w:t>m</w:t>
                  </w:r>
                </w:p>
              </w:tc>
              <w:tc>
                <w:tcPr>
                  <w:tcW w:w="1100" w:type="dxa"/>
                  <w:shd w:val="clear" w:color="auto" w:fill="auto"/>
                  <w:vAlign w:val="center"/>
                </w:tcPr>
                <w:p>
                  <w:pPr>
                    <w:pStyle w:val="203"/>
                    <w:rPr>
                      <w:kern w:val="0"/>
                      <w:szCs w:val="21"/>
                    </w:rPr>
                  </w:pPr>
                  <w:r>
                    <w:rPr>
                      <w:rFonts w:hint="eastAsia"/>
                      <w:kern w:val="0"/>
                      <w:szCs w:val="21"/>
                    </w:rPr>
                    <w:t>港口水深地形条件</w:t>
                  </w:r>
                </w:p>
              </w:tc>
              <w:tc>
                <w:tcPr>
                  <w:tcW w:w="2908" w:type="dxa"/>
                  <w:shd w:val="clear" w:color="auto" w:fill="auto"/>
                  <w:vAlign w:val="center"/>
                </w:tcPr>
                <w:p>
                  <w:pPr>
                    <w:pStyle w:val="203"/>
                    <w:rPr>
                      <w:kern w:val="0"/>
                      <w:szCs w:val="21"/>
                    </w:rPr>
                  </w:pPr>
                  <w:r>
                    <w:rPr>
                      <w:rFonts w:hint="eastAsia"/>
                      <w:kern w:val="0"/>
                      <w:szCs w:val="21"/>
                    </w:rPr>
                    <w:t>海水水质不劣于三类标准，海洋沉积物质量和海洋生物质量均不劣于二类标准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5" w:hRule="atLeast"/>
              </w:trPr>
              <w:tc>
                <w:tcPr>
                  <w:tcW w:w="431" w:type="dxa"/>
                  <w:shd w:val="clear" w:color="auto" w:fill="auto"/>
                  <w:vAlign w:val="center"/>
                </w:tcPr>
                <w:p>
                  <w:pPr>
                    <w:pStyle w:val="203"/>
                    <w:rPr>
                      <w:kern w:val="0"/>
                      <w:szCs w:val="21"/>
                    </w:rPr>
                  </w:pPr>
                  <w:r>
                    <w:rPr>
                      <w:rFonts w:hint="eastAsia"/>
                      <w:kern w:val="0"/>
                      <w:szCs w:val="21"/>
                    </w:rPr>
                    <w:t>2</w:t>
                  </w:r>
                </w:p>
              </w:tc>
              <w:tc>
                <w:tcPr>
                  <w:tcW w:w="2049" w:type="dxa"/>
                  <w:gridSpan w:val="2"/>
                  <w:shd w:val="clear" w:color="auto" w:fill="auto"/>
                  <w:vAlign w:val="center"/>
                </w:tcPr>
                <w:p>
                  <w:pPr>
                    <w:pStyle w:val="203"/>
                    <w:rPr>
                      <w:kern w:val="0"/>
                      <w:szCs w:val="21"/>
                    </w:rPr>
                  </w:pPr>
                  <w:r>
                    <w:rPr>
                      <w:rFonts w:hint="eastAsia"/>
                      <w:kern w:val="0"/>
                      <w:szCs w:val="21"/>
                    </w:rPr>
                    <w:t>海埠社区</w:t>
                  </w:r>
                </w:p>
              </w:tc>
              <w:tc>
                <w:tcPr>
                  <w:tcW w:w="629" w:type="dxa"/>
                  <w:shd w:val="clear" w:color="auto" w:fill="auto"/>
                  <w:vAlign w:val="center"/>
                </w:tcPr>
                <w:p>
                  <w:pPr>
                    <w:pStyle w:val="203"/>
                    <w:rPr>
                      <w:kern w:val="0"/>
                      <w:szCs w:val="21"/>
                    </w:rPr>
                  </w:pPr>
                  <w:r>
                    <w:rPr>
                      <w:rFonts w:hint="eastAsia"/>
                      <w:kern w:val="0"/>
                      <w:szCs w:val="21"/>
                    </w:rPr>
                    <w:t>S</w:t>
                  </w:r>
                </w:p>
              </w:tc>
              <w:tc>
                <w:tcPr>
                  <w:tcW w:w="1155" w:type="dxa"/>
                  <w:shd w:val="clear" w:color="auto" w:fill="auto"/>
                  <w:vAlign w:val="center"/>
                </w:tcPr>
                <w:p>
                  <w:pPr>
                    <w:pStyle w:val="203"/>
                    <w:rPr>
                      <w:kern w:val="0"/>
                      <w:szCs w:val="21"/>
                    </w:rPr>
                  </w:pPr>
                  <w:r>
                    <w:rPr>
                      <w:kern w:val="0"/>
                      <w:szCs w:val="21"/>
                    </w:rPr>
                    <w:t>523</w:t>
                  </w:r>
                  <w:r>
                    <w:rPr>
                      <w:rFonts w:hint="eastAsia"/>
                      <w:kern w:val="0"/>
                      <w:szCs w:val="21"/>
                    </w:rPr>
                    <w:t>m</w:t>
                  </w:r>
                </w:p>
              </w:tc>
              <w:tc>
                <w:tcPr>
                  <w:tcW w:w="1100" w:type="dxa"/>
                  <w:shd w:val="clear" w:color="auto" w:fill="auto"/>
                  <w:vAlign w:val="center"/>
                </w:tcPr>
                <w:p>
                  <w:pPr>
                    <w:pStyle w:val="203"/>
                    <w:rPr>
                      <w:kern w:val="0"/>
                      <w:szCs w:val="21"/>
                    </w:rPr>
                  </w:pPr>
                  <w:r>
                    <w:rPr>
                      <w:rFonts w:hint="eastAsia"/>
                      <w:kern w:val="0"/>
                      <w:szCs w:val="21"/>
                    </w:rPr>
                    <w:t>居民</w:t>
                  </w:r>
                </w:p>
              </w:tc>
              <w:tc>
                <w:tcPr>
                  <w:tcW w:w="2908" w:type="dxa"/>
                  <w:vMerge w:val="restart"/>
                  <w:shd w:val="clear" w:color="auto" w:fill="auto"/>
                  <w:vAlign w:val="center"/>
                </w:tcPr>
                <w:p>
                  <w:pPr>
                    <w:pStyle w:val="203"/>
                    <w:rPr>
                      <w:kern w:val="0"/>
                      <w:szCs w:val="21"/>
                    </w:rPr>
                  </w:pPr>
                  <w:r>
                    <w:rPr>
                      <w:rFonts w:hint="eastAsia"/>
                      <w:kern w:val="0"/>
                      <w:szCs w:val="21"/>
                    </w:rPr>
                    <w:t>《环境空气质量标准》（GB3095-2012）表1中的二级标准；《声环境质量标准》（GB3096 -2008）中的</w:t>
                  </w:r>
                  <w:r>
                    <w:rPr>
                      <w:kern w:val="0"/>
                      <w:szCs w:val="21"/>
                    </w:rPr>
                    <w:t>2</w:t>
                  </w:r>
                  <w:r>
                    <w:rPr>
                      <w:rFonts w:hint="eastAsia"/>
                      <w:kern w:val="0"/>
                      <w:szCs w:val="21"/>
                    </w:rPr>
                    <w:t>类区标准要求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trPr>
              <w:tc>
                <w:tcPr>
                  <w:tcW w:w="431" w:type="dxa"/>
                  <w:shd w:val="clear" w:color="auto" w:fill="auto"/>
                  <w:vAlign w:val="center"/>
                </w:tcPr>
                <w:p>
                  <w:pPr>
                    <w:pStyle w:val="203"/>
                    <w:rPr>
                      <w:kern w:val="0"/>
                      <w:szCs w:val="21"/>
                    </w:rPr>
                  </w:pPr>
                  <w:r>
                    <w:rPr>
                      <w:rFonts w:hint="eastAsia"/>
                      <w:kern w:val="0"/>
                      <w:szCs w:val="21"/>
                    </w:rPr>
                    <w:t>3</w:t>
                  </w:r>
                </w:p>
              </w:tc>
              <w:tc>
                <w:tcPr>
                  <w:tcW w:w="2049" w:type="dxa"/>
                  <w:gridSpan w:val="2"/>
                  <w:shd w:val="clear" w:color="auto" w:fill="auto"/>
                  <w:vAlign w:val="center"/>
                </w:tcPr>
                <w:p>
                  <w:pPr>
                    <w:pStyle w:val="203"/>
                    <w:rPr>
                      <w:kern w:val="0"/>
                      <w:szCs w:val="21"/>
                    </w:rPr>
                  </w:pPr>
                  <w:r>
                    <w:rPr>
                      <w:rFonts w:hint="eastAsia"/>
                      <w:kern w:val="0"/>
                      <w:szCs w:val="21"/>
                    </w:rPr>
                    <w:t>海埠小区</w:t>
                  </w:r>
                </w:p>
              </w:tc>
              <w:tc>
                <w:tcPr>
                  <w:tcW w:w="629" w:type="dxa"/>
                  <w:shd w:val="clear" w:color="auto" w:fill="auto"/>
                  <w:vAlign w:val="center"/>
                </w:tcPr>
                <w:p>
                  <w:pPr>
                    <w:pStyle w:val="203"/>
                    <w:rPr>
                      <w:kern w:val="0"/>
                      <w:szCs w:val="21"/>
                    </w:rPr>
                  </w:pPr>
                  <w:r>
                    <w:rPr>
                      <w:rFonts w:hint="eastAsia"/>
                      <w:kern w:val="0"/>
                      <w:szCs w:val="21"/>
                    </w:rPr>
                    <w:t>SE</w:t>
                  </w:r>
                </w:p>
              </w:tc>
              <w:tc>
                <w:tcPr>
                  <w:tcW w:w="1155" w:type="dxa"/>
                  <w:shd w:val="clear" w:color="auto" w:fill="auto"/>
                  <w:vAlign w:val="center"/>
                </w:tcPr>
                <w:p>
                  <w:pPr>
                    <w:pStyle w:val="203"/>
                    <w:rPr>
                      <w:kern w:val="0"/>
                      <w:szCs w:val="21"/>
                    </w:rPr>
                  </w:pPr>
                  <w:r>
                    <w:rPr>
                      <w:kern w:val="0"/>
                      <w:szCs w:val="21"/>
                    </w:rPr>
                    <w:t>455</w:t>
                  </w:r>
                  <w:r>
                    <w:rPr>
                      <w:rFonts w:hint="eastAsia"/>
                      <w:kern w:val="0"/>
                      <w:szCs w:val="21"/>
                    </w:rPr>
                    <w:t>m</w:t>
                  </w:r>
                </w:p>
              </w:tc>
              <w:tc>
                <w:tcPr>
                  <w:tcW w:w="1100" w:type="dxa"/>
                  <w:shd w:val="clear" w:color="auto" w:fill="auto"/>
                  <w:vAlign w:val="center"/>
                </w:tcPr>
                <w:p>
                  <w:pPr>
                    <w:pStyle w:val="203"/>
                    <w:rPr>
                      <w:kern w:val="0"/>
                      <w:szCs w:val="21"/>
                    </w:rPr>
                  </w:pPr>
                  <w:r>
                    <w:rPr>
                      <w:rFonts w:hint="eastAsia"/>
                      <w:kern w:val="0"/>
                      <w:szCs w:val="21"/>
                    </w:rPr>
                    <w:t>居民</w:t>
                  </w:r>
                </w:p>
              </w:tc>
              <w:tc>
                <w:tcPr>
                  <w:tcW w:w="2908" w:type="dxa"/>
                  <w:vMerge w:val="continue"/>
                  <w:shd w:val="clear" w:color="auto" w:fill="auto"/>
                  <w:vAlign w:val="center"/>
                </w:tcPr>
                <w:p>
                  <w:pPr>
                    <w:pStyle w:val="203"/>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431" w:type="dxa"/>
                  <w:shd w:val="clear" w:color="auto" w:fill="auto"/>
                  <w:vAlign w:val="center"/>
                </w:tcPr>
                <w:p>
                  <w:pPr>
                    <w:pStyle w:val="203"/>
                    <w:rPr>
                      <w:kern w:val="0"/>
                      <w:szCs w:val="21"/>
                    </w:rPr>
                  </w:pPr>
                  <w:r>
                    <w:rPr>
                      <w:rFonts w:hint="eastAsia"/>
                      <w:kern w:val="0"/>
                      <w:szCs w:val="21"/>
                    </w:rPr>
                    <w:t>4</w:t>
                  </w:r>
                </w:p>
              </w:tc>
              <w:tc>
                <w:tcPr>
                  <w:tcW w:w="2049" w:type="dxa"/>
                  <w:gridSpan w:val="2"/>
                  <w:shd w:val="clear" w:color="auto" w:fill="auto"/>
                  <w:vAlign w:val="center"/>
                </w:tcPr>
                <w:p>
                  <w:pPr>
                    <w:pStyle w:val="203"/>
                    <w:rPr>
                      <w:kern w:val="0"/>
                      <w:szCs w:val="21"/>
                    </w:rPr>
                  </w:pPr>
                  <w:r>
                    <w:rPr>
                      <w:rFonts w:hint="eastAsia"/>
                      <w:kern w:val="0"/>
                      <w:szCs w:val="21"/>
                    </w:rPr>
                    <w:t>瀚城阳光邑上二期</w:t>
                  </w:r>
                </w:p>
              </w:tc>
              <w:tc>
                <w:tcPr>
                  <w:tcW w:w="629" w:type="dxa"/>
                  <w:shd w:val="clear" w:color="auto" w:fill="auto"/>
                  <w:vAlign w:val="center"/>
                </w:tcPr>
                <w:p>
                  <w:pPr>
                    <w:pStyle w:val="203"/>
                    <w:rPr>
                      <w:kern w:val="0"/>
                      <w:szCs w:val="21"/>
                    </w:rPr>
                  </w:pPr>
                  <w:r>
                    <w:rPr>
                      <w:rFonts w:hint="eastAsia"/>
                      <w:kern w:val="0"/>
                      <w:szCs w:val="21"/>
                    </w:rPr>
                    <w:t>S</w:t>
                  </w:r>
                </w:p>
              </w:tc>
              <w:tc>
                <w:tcPr>
                  <w:tcW w:w="1155" w:type="dxa"/>
                  <w:shd w:val="clear" w:color="auto" w:fill="auto"/>
                  <w:vAlign w:val="center"/>
                </w:tcPr>
                <w:p>
                  <w:pPr>
                    <w:pStyle w:val="203"/>
                    <w:rPr>
                      <w:kern w:val="0"/>
                      <w:szCs w:val="21"/>
                    </w:rPr>
                  </w:pPr>
                  <w:r>
                    <w:rPr>
                      <w:rFonts w:hint="eastAsia"/>
                      <w:kern w:val="0"/>
                      <w:szCs w:val="21"/>
                    </w:rPr>
                    <w:t>6</w:t>
                  </w:r>
                  <w:r>
                    <w:rPr>
                      <w:kern w:val="0"/>
                      <w:szCs w:val="21"/>
                    </w:rPr>
                    <w:t>71m</w:t>
                  </w:r>
                </w:p>
              </w:tc>
              <w:tc>
                <w:tcPr>
                  <w:tcW w:w="1100" w:type="dxa"/>
                  <w:shd w:val="clear" w:color="auto" w:fill="auto"/>
                  <w:vAlign w:val="center"/>
                </w:tcPr>
                <w:p>
                  <w:pPr>
                    <w:pStyle w:val="203"/>
                    <w:rPr>
                      <w:kern w:val="0"/>
                      <w:szCs w:val="21"/>
                    </w:rPr>
                  </w:pPr>
                  <w:r>
                    <w:rPr>
                      <w:rFonts w:hint="eastAsia"/>
                      <w:kern w:val="0"/>
                      <w:szCs w:val="21"/>
                    </w:rPr>
                    <w:t>居民</w:t>
                  </w:r>
                </w:p>
              </w:tc>
              <w:tc>
                <w:tcPr>
                  <w:tcW w:w="2908" w:type="dxa"/>
                  <w:vMerge w:val="continue"/>
                  <w:shd w:val="clear" w:color="auto" w:fill="auto"/>
                  <w:vAlign w:val="center"/>
                </w:tcPr>
                <w:p>
                  <w:pPr>
                    <w:pStyle w:val="203"/>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trPr>
              <w:tc>
                <w:tcPr>
                  <w:tcW w:w="431" w:type="dxa"/>
                  <w:shd w:val="clear" w:color="auto" w:fill="auto"/>
                  <w:vAlign w:val="center"/>
                </w:tcPr>
                <w:p>
                  <w:pPr>
                    <w:pStyle w:val="203"/>
                    <w:rPr>
                      <w:kern w:val="0"/>
                      <w:szCs w:val="21"/>
                    </w:rPr>
                  </w:pPr>
                  <w:r>
                    <w:rPr>
                      <w:rFonts w:hint="eastAsia"/>
                      <w:kern w:val="0"/>
                      <w:szCs w:val="21"/>
                    </w:rPr>
                    <w:t>5</w:t>
                  </w:r>
                </w:p>
              </w:tc>
              <w:tc>
                <w:tcPr>
                  <w:tcW w:w="2049" w:type="dxa"/>
                  <w:gridSpan w:val="2"/>
                  <w:shd w:val="clear" w:color="auto" w:fill="auto"/>
                  <w:vAlign w:val="center"/>
                </w:tcPr>
                <w:p>
                  <w:pPr>
                    <w:pStyle w:val="203"/>
                    <w:rPr>
                      <w:kern w:val="0"/>
                      <w:szCs w:val="21"/>
                    </w:rPr>
                  </w:pPr>
                  <w:r>
                    <w:rPr>
                      <w:rFonts w:hint="eastAsia"/>
                      <w:kern w:val="0"/>
                      <w:szCs w:val="21"/>
                    </w:rPr>
                    <w:t>华能广源新村</w:t>
                  </w:r>
                </w:p>
              </w:tc>
              <w:tc>
                <w:tcPr>
                  <w:tcW w:w="629" w:type="dxa"/>
                  <w:shd w:val="clear" w:color="auto" w:fill="auto"/>
                  <w:vAlign w:val="center"/>
                </w:tcPr>
                <w:p>
                  <w:pPr>
                    <w:pStyle w:val="203"/>
                    <w:rPr>
                      <w:kern w:val="0"/>
                      <w:szCs w:val="21"/>
                    </w:rPr>
                  </w:pPr>
                  <w:r>
                    <w:rPr>
                      <w:rFonts w:hint="eastAsia"/>
                      <w:kern w:val="0"/>
                      <w:szCs w:val="21"/>
                    </w:rPr>
                    <w:t>S</w:t>
                  </w:r>
                </w:p>
              </w:tc>
              <w:tc>
                <w:tcPr>
                  <w:tcW w:w="1155" w:type="dxa"/>
                  <w:shd w:val="clear" w:color="auto" w:fill="auto"/>
                  <w:vAlign w:val="center"/>
                </w:tcPr>
                <w:p>
                  <w:pPr>
                    <w:pStyle w:val="203"/>
                    <w:rPr>
                      <w:kern w:val="0"/>
                      <w:szCs w:val="21"/>
                    </w:rPr>
                  </w:pPr>
                  <w:r>
                    <w:rPr>
                      <w:rFonts w:hint="eastAsia"/>
                      <w:kern w:val="0"/>
                      <w:szCs w:val="21"/>
                    </w:rPr>
                    <w:t>8</w:t>
                  </w:r>
                  <w:r>
                    <w:rPr>
                      <w:kern w:val="0"/>
                      <w:szCs w:val="21"/>
                    </w:rPr>
                    <w:t>00m</w:t>
                  </w:r>
                </w:p>
              </w:tc>
              <w:tc>
                <w:tcPr>
                  <w:tcW w:w="1100" w:type="dxa"/>
                  <w:shd w:val="clear" w:color="auto" w:fill="auto"/>
                  <w:vAlign w:val="center"/>
                </w:tcPr>
                <w:p>
                  <w:pPr>
                    <w:pStyle w:val="203"/>
                    <w:rPr>
                      <w:kern w:val="0"/>
                      <w:szCs w:val="21"/>
                    </w:rPr>
                  </w:pPr>
                  <w:r>
                    <w:rPr>
                      <w:rFonts w:hint="eastAsia"/>
                      <w:kern w:val="0"/>
                      <w:szCs w:val="21"/>
                    </w:rPr>
                    <w:t>居民</w:t>
                  </w:r>
                </w:p>
              </w:tc>
              <w:tc>
                <w:tcPr>
                  <w:tcW w:w="2908" w:type="dxa"/>
                  <w:vMerge w:val="continue"/>
                  <w:shd w:val="clear" w:color="auto" w:fill="auto"/>
                  <w:vAlign w:val="center"/>
                </w:tcPr>
                <w:p>
                  <w:pPr>
                    <w:pStyle w:val="203"/>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4" w:hRule="atLeast"/>
              </w:trPr>
              <w:tc>
                <w:tcPr>
                  <w:tcW w:w="431" w:type="dxa"/>
                  <w:shd w:val="clear" w:color="auto" w:fill="auto"/>
                  <w:vAlign w:val="center"/>
                </w:tcPr>
                <w:p>
                  <w:pPr>
                    <w:pStyle w:val="203"/>
                    <w:rPr>
                      <w:kern w:val="0"/>
                      <w:szCs w:val="21"/>
                    </w:rPr>
                  </w:pPr>
                  <w:r>
                    <w:rPr>
                      <w:rFonts w:hint="eastAsia"/>
                      <w:kern w:val="0"/>
                      <w:szCs w:val="21"/>
                    </w:rPr>
                    <w:t>6</w:t>
                  </w:r>
                </w:p>
              </w:tc>
              <w:tc>
                <w:tcPr>
                  <w:tcW w:w="2049" w:type="dxa"/>
                  <w:gridSpan w:val="2"/>
                  <w:shd w:val="clear" w:color="auto" w:fill="auto"/>
                  <w:vAlign w:val="center"/>
                </w:tcPr>
                <w:p>
                  <w:pPr>
                    <w:pStyle w:val="203"/>
                    <w:rPr>
                      <w:kern w:val="0"/>
                      <w:szCs w:val="21"/>
                    </w:rPr>
                  </w:pPr>
                  <w:r>
                    <w:rPr>
                      <w:rFonts w:hint="eastAsia"/>
                      <w:kern w:val="0"/>
                      <w:szCs w:val="21"/>
                    </w:rPr>
                    <w:t>威海经济技术开发区海埠小学</w:t>
                  </w:r>
                </w:p>
              </w:tc>
              <w:tc>
                <w:tcPr>
                  <w:tcW w:w="629" w:type="dxa"/>
                  <w:shd w:val="clear" w:color="auto" w:fill="auto"/>
                  <w:vAlign w:val="center"/>
                </w:tcPr>
                <w:p>
                  <w:pPr>
                    <w:pStyle w:val="203"/>
                    <w:rPr>
                      <w:kern w:val="0"/>
                      <w:szCs w:val="21"/>
                    </w:rPr>
                  </w:pPr>
                  <w:r>
                    <w:rPr>
                      <w:rFonts w:hint="eastAsia"/>
                      <w:kern w:val="0"/>
                      <w:szCs w:val="21"/>
                    </w:rPr>
                    <w:t>S</w:t>
                  </w:r>
                </w:p>
              </w:tc>
              <w:tc>
                <w:tcPr>
                  <w:tcW w:w="1155" w:type="dxa"/>
                  <w:shd w:val="clear" w:color="auto" w:fill="auto"/>
                  <w:vAlign w:val="center"/>
                </w:tcPr>
                <w:p>
                  <w:pPr>
                    <w:pStyle w:val="203"/>
                    <w:rPr>
                      <w:kern w:val="0"/>
                      <w:szCs w:val="21"/>
                    </w:rPr>
                  </w:pPr>
                  <w:r>
                    <w:rPr>
                      <w:rFonts w:hint="eastAsia"/>
                      <w:kern w:val="0"/>
                      <w:szCs w:val="21"/>
                    </w:rPr>
                    <w:t>9</w:t>
                  </w:r>
                  <w:r>
                    <w:rPr>
                      <w:kern w:val="0"/>
                      <w:szCs w:val="21"/>
                    </w:rPr>
                    <w:t>13m</w:t>
                  </w:r>
                </w:p>
              </w:tc>
              <w:tc>
                <w:tcPr>
                  <w:tcW w:w="1100" w:type="dxa"/>
                  <w:shd w:val="clear" w:color="auto" w:fill="auto"/>
                  <w:vAlign w:val="center"/>
                </w:tcPr>
                <w:p>
                  <w:pPr>
                    <w:pStyle w:val="203"/>
                    <w:rPr>
                      <w:kern w:val="0"/>
                      <w:szCs w:val="21"/>
                    </w:rPr>
                  </w:pPr>
                  <w:r>
                    <w:rPr>
                      <w:rFonts w:hint="eastAsia"/>
                      <w:kern w:val="0"/>
                      <w:szCs w:val="21"/>
                    </w:rPr>
                    <w:t>师生</w:t>
                  </w:r>
                </w:p>
              </w:tc>
              <w:tc>
                <w:tcPr>
                  <w:tcW w:w="2908" w:type="dxa"/>
                  <w:vMerge w:val="continue"/>
                  <w:shd w:val="clear" w:color="auto" w:fill="auto"/>
                  <w:vAlign w:val="center"/>
                </w:tcPr>
                <w:p>
                  <w:pPr>
                    <w:pStyle w:val="203"/>
                    <w:rPr>
                      <w:kern w:val="0"/>
                      <w:szCs w:val="21"/>
                    </w:rPr>
                  </w:pPr>
                </w:p>
              </w:tc>
            </w:tr>
          </w:tbl>
          <w:p>
            <w:pPr>
              <w:adjustRightInd w:val="0"/>
              <w:snapToGrid w:val="0"/>
              <w:spacing w:line="360" w:lineRule="auto"/>
              <w:jc w:val="left"/>
              <w:rPr>
                <w:rFonts w:eastAsia="仿宋_GB2312"/>
              </w:rPr>
            </w:pPr>
          </w:p>
        </w:tc>
      </w:tr>
    </w:tbl>
    <w:p>
      <w:pPr>
        <w:spacing w:line="440" w:lineRule="exact"/>
        <w:outlineLvl w:val="0"/>
        <w:rPr>
          <w:rFonts w:eastAsia="黑体"/>
          <w:sz w:val="30"/>
        </w:rPr>
      </w:pPr>
      <w:r>
        <w:rPr>
          <w:rFonts w:eastAsia="黑体"/>
          <w:sz w:val="30"/>
        </w:rPr>
        <w:t>评价适用标准</w:t>
      </w:r>
    </w:p>
    <w:tbl>
      <w:tblPr>
        <w:tblStyle w:val="88"/>
        <w:tblW w:w="9061"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47"/>
        <w:gridCol w:w="841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PrEx>
        <w:tc>
          <w:tcPr>
            <w:tcW w:w="647" w:type="dxa"/>
            <w:vAlign w:val="center"/>
          </w:tcPr>
          <w:p>
            <w:pPr>
              <w:spacing w:line="440" w:lineRule="exact"/>
              <w:jc w:val="center"/>
              <w:rPr>
                <w:rFonts w:eastAsia="楷体_GB2312"/>
                <w:sz w:val="24"/>
              </w:rPr>
            </w:pPr>
            <w:r>
              <w:rPr>
                <w:rFonts w:eastAsia="楷体_GB2312"/>
                <w:sz w:val="24"/>
              </w:rPr>
              <w:t>环境质量标准</w:t>
            </w:r>
          </w:p>
        </w:tc>
        <w:tc>
          <w:tcPr>
            <w:tcW w:w="8414" w:type="dxa"/>
            <w:vAlign w:val="center"/>
          </w:tcPr>
          <w:p>
            <w:pPr>
              <w:adjustRightInd w:val="0"/>
              <w:snapToGrid w:val="0"/>
              <w:spacing w:line="360" w:lineRule="auto"/>
              <w:ind w:firstLine="480" w:firstLineChars="200"/>
              <w:rPr>
                <w:kern w:val="10"/>
                <w:sz w:val="24"/>
              </w:rPr>
            </w:pPr>
            <w:r>
              <w:rPr>
                <w:rFonts w:hint="eastAsia"/>
                <w:kern w:val="10"/>
                <w:sz w:val="24"/>
              </w:rPr>
              <w:t>(1) 项目所在区域环境空气质量执行《环境空气质量标准》(GB3095-2012)的二级标准，具体限值见表</w:t>
            </w:r>
            <w:r>
              <w:rPr>
                <w:kern w:val="10"/>
                <w:sz w:val="24"/>
              </w:rPr>
              <w:t>11</w:t>
            </w:r>
            <w:r>
              <w:rPr>
                <w:rFonts w:hint="eastAsia"/>
                <w:kern w:val="10"/>
                <w:sz w:val="24"/>
              </w:rPr>
              <w:t>；</w:t>
            </w:r>
          </w:p>
          <w:p>
            <w:pPr>
              <w:tabs>
                <w:tab w:val="left" w:pos="0"/>
              </w:tabs>
              <w:adjustRightInd w:val="0"/>
              <w:snapToGrid w:val="0"/>
              <w:ind w:left="402"/>
              <w:jc w:val="center"/>
              <w:rPr>
                <w:b/>
                <w:sz w:val="24"/>
              </w:rPr>
            </w:pPr>
            <w:r>
              <w:rPr>
                <w:rFonts w:ascii="宋体" w:hAnsi="宋体" w:cs="宋体"/>
                <w:b/>
                <w:sz w:val="24"/>
              </w:rPr>
              <w:t>表</w:t>
            </w:r>
            <w:r>
              <w:rPr>
                <w:b/>
                <w:sz w:val="24"/>
              </w:rPr>
              <w:t xml:space="preserve">11 </w:t>
            </w:r>
            <w:r>
              <w:rPr>
                <w:rFonts w:ascii="宋体" w:hAnsi="宋体" w:cs="宋体"/>
                <w:b/>
                <w:sz w:val="24"/>
              </w:rPr>
              <w:t>大气污染物的浓度限值（</w:t>
            </w:r>
            <w:r>
              <w:rPr>
                <w:sz w:val="24"/>
              </w:rPr>
              <w:t>µg/m</w:t>
            </w:r>
            <w:r>
              <w:rPr>
                <w:sz w:val="24"/>
                <w:vertAlign w:val="superscript"/>
              </w:rPr>
              <w:t>3</w:t>
            </w:r>
            <w:r>
              <w:rPr>
                <w:rFonts w:ascii="宋体" w:hAnsi="宋体" w:cs="宋体"/>
                <w:b/>
                <w:sz w:val="24"/>
              </w:rPr>
              <w:t>）</w:t>
            </w:r>
          </w:p>
          <w:tbl>
            <w:tblPr>
              <w:tblStyle w:val="88"/>
              <w:tblW w:w="75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0"/>
              <w:gridCol w:w="1724"/>
              <w:gridCol w:w="1654"/>
              <w:gridCol w:w="3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jc w:val="center"/>
              </w:trPr>
              <w:tc>
                <w:tcPr>
                  <w:tcW w:w="94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rFonts w:ascii="宋体" w:hAnsi="宋体" w:cs="宋体"/>
                      <w:sz w:val="24"/>
                    </w:rPr>
                    <w:t>污染物</w:t>
                  </w: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rFonts w:ascii="宋体" w:hAnsi="宋体" w:cs="宋体"/>
                      <w:sz w:val="24"/>
                    </w:rPr>
                    <w:t>取值时间</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rFonts w:ascii="宋体" w:hAnsi="宋体" w:cs="宋体"/>
                      <w:sz w:val="24"/>
                    </w:rPr>
                    <w:t>浓度限值</w:t>
                  </w:r>
                </w:p>
              </w:tc>
              <w:tc>
                <w:tcPr>
                  <w:tcW w:w="318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rFonts w:ascii="宋体" w:hAnsi="宋体" w:cs="宋体"/>
                      <w:sz w:val="24"/>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jc w:val="center"/>
              </w:trPr>
              <w:tc>
                <w:tcPr>
                  <w:tcW w:w="940"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SO</w:t>
                  </w:r>
                  <w:r>
                    <w:rPr>
                      <w:sz w:val="24"/>
                      <w:vertAlign w:val="subscript"/>
                    </w:rPr>
                    <w:t>2</w:t>
                  </w: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rFonts w:ascii="宋体" w:hAnsi="宋体" w:cs="宋体"/>
                      <w:sz w:val="24"/>
                    </w:rPr>
                    <w:t>年平均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60</w:t>
                  </w:r>
                </w:p>
              </w:tc>
              <w:tc>
                <w:tcPr>
                  <w:tcW w:w="3182"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rFonts w:ascii="宋体" w:hAnsi="宋体" w:cs="宋体"/>
                      <w:sz w:val="24"/>
                    </w:rPr>
                    <w:t>《环境空气质量标准》</w:t>
                  </w:r>
                </w:p>
                <w:p>
                  <w:pPr>
                    <w:adjustRightInd w:val="0"/>
                    <w:snapToGrid w:val="0"/>
                    <w:jc w:val="center"/>
                    <w:rPr>
                      <w:sz w:val="24"/>
                    </w:rPr>
                  </w:pPr>
                  <w:r>
                    <w:rPr>
                      <w:rFonts w:ascii="宋体" w:hAnsi="宋体" w:cs="宋体"/>
                      <w:sz w:val="24"/>
                    </w:rPr>
                    <w:t>（</w:t>
                  </w:r>
                  <w:r>
                    <w:rPr>
                      <w:sz w:val="24"/>
                    </w:rPr>
                    <w:t>GB3095-2012</w:t>
                  </w:r>
                  <w:r>
                    <w:rPr>
                      <w:rFonts w:ascii="宋体" w:hAnsi="宋体" w:cs="宋体"/>
                      <w:sz w:val="24"/>
                    </w:rPr>
                    <w:t>）中二级标准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jc w:val="center"/>
              </w:trPr>
              <w:tc>
                <w:tcPr>
                  <w:tcW w:w="9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24</w:t>
                  </w:r>
                  <w:r>
                    <w:rPr>
                      <w:rFonts w:ascii="宋体" w:hAnsi="宋体" w:cs="宋体"/>
                      <w:sz w:val="24"/>
                    </w:rPr>
                    <w:t>小时平均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150</w:t>
                  </w:r>
                </w:p>
              </w:tc>
              <w:tc>
                <w:tcPr>
                  <w:tcW w:w="318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jc w:val="center"/>
              </w:trPr>
              <w:tc>
                <w:tcPr>
                  <w:tcW w:w="9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1</w:t>
                  </w:r>
                  <w:r>
                    <w:rPr>
                      <w:rFonts w:ascii="宋体" w:hAnsi="宋体" w:cs="宋体"/>
                      <w:sz w:val="24"/>
                    </w:rPr>
                    <w:t>小时平均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500</w:t>
                  </w:r>
                </w:p>
              </w:tc>
              <w:tc>
                <w:tcPr>
                  <w:tcW w:w="318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jc w:val="center"/>
              </w:trPr>
              <w:tc>
                <w:tcPr>
                  <w:tcW w:w="940"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NO</w:t>
                  </w:r>
                  <w:r>
                    <w:rPr>
                      <w:sz w:val="24"/>
                      <w:vertAlign w:val="subscript"/>
                    </w:rPr>
                    <w:t>2</w:t>
                  </w: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rFonts w:ascii="宋体" w:hAnsi="宋体" w:cs="宋体"/>
                      <w:sz w:val="24"/>
                    </w:rPr>
                    <w:t>年平均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40</w:t>
                  </w:r>
                </w:p>
              </w:tc>
              <w:tc>
                <w:tcPr>
                  <w:tcW w:w="318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exact"/>
                <w:jc w:val="center"/>
              </w:trPr>
              <w:tc>
                <w:tcPr>
                  <w:tcW w:w="9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24</w:t>
                  </w:r>
                  <w:r>
                    <w:rPr>
                      <w:rFonts w:ascii="宋体" w:hAnsi="宋体" w:cs="宋体"/>
                      <w:sz w:val="24"/>
                    </w:rPr>
                    <w:t>小时平均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80</w:t>
                  </w:r>
                </w:p>
              </w:tc>
              <w:tc>
                <w:tcPr>
                  <w:tcW w:w="318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jc w:val="center"/>
              </w:trPr>
              <w:tc>
                <w:tcPr>
                  <w:tcW w:w="9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1</w:t>
                  </w:r>
                  <w:r>
                    <w:rPr>
                      <w:rFonts w:ascii="宋体" w:hAnsi="宋体" w:cs="宋体"/>
                      <w:sz w:val="24"/>
                    </w:rPr>
                    <w:t>小时平均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200</w:t>
                  </w:r>
                </w:p>
              </w:tc>
              <w:tc>
                <w:tcPr>
                  <w:tcW w:w="318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jc w:val="center"/>
              </w:trPr>
              <w:tc>
                <w:tcPr>
                  <w:tcW w:w="940"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PM</w:t>
                  </w:r>
                  <w:r>
                    <w:rPr>
                      <w:sz w:val="24"/>
                      <w:vertAlign w:val="subscript"/>
                    </w:rPr>
                    <w:t>2.5</w:t>
                  </w: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rFonts w:ascii="宋体" w:hAnsi="宋体" w:cs="宋体"/>
                      <w:sz w:val="24"/>
                    </w:rPr>
                    <w:t>年平均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35</w:t>
                  </w:r>
                </w:p>
              </w:tc>
              <w:tc>
                <w:tcPr>
                  <w:tcW w:w="318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jc w:val="center"/>
              </w:trPr>
              <w:tc>
                <w:tcPr>
                  <w:tcW w:w="9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24</w:t>
                  </w:r>
                  <w:r>
                    <w:rPr>
                      <w:rFonts w:ascii="宋体" w:hAnsi="宋体" w:cs="宋体"/>
                      <w:sz w:val="24"/>
                    </w:rPr>
                    <w:t>小时平均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75</w:t>
                  </w:r>
                </w:p>
              </w:tc>
              <w:tc>
                <w:tcPr>
                  <w:tcW w:w="318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jc w:val="center"/>
              </w:trPr>
              <w:tc>
                <w:tcPr>
                  <w:tcW w:w="940"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PM</w:t>
                  </w:r>
                  <w:r>
                    <w:rPr>
                      <w:sz w:val="24"/>
                      <w:vertAlign w:val="subscript"/>
                    </w:rPr>
                    <w:t>10</w:t>
                  </w: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rFonts w:ascii="宋体" w:hAnsi="宋体" w:cs="宋体"/>
                      <w:sz w:val="24"/>
                    </w:rPr>
                    <w:t>年平均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70</w:t>
                  </w:r>
                </w:p>
              </w:tc>
              <w:tc>
                <w:tcPr>
                  <w:tcW w:w="318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jc w:val="center"/>
              </w:trPr>
              <w:tc>
                <w:tcPr>
                  <w:tcW w:w="9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c>
                <w:tcPr>
                  <w:tcW w:w="172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24</w:t>
                  </w:r>
                  <w:r>
                    <w:rPr>
                      <w:rFonts w:ascii="宋体" w:hAnsi="宋体" w:cs="宋体"/>
                      <w:sz w:val="24"/>
                    </w:rPr>
                    <w:t>小时平均</w:t>
                  </w:r>
                </w:p>
              </w:tc>
              <w:tc>
                <w:tcPr>
                  <w:tcW w:w="1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rPr>
                  </w:pPr>
                  <w:r>
                    <w:rPr>
                      <w:sz w:val="24"/>
                    </w:rPr>
                    <w:t>150</w:t>
                  </w:r>
                </w:p>
              </w:tc>
              <w:tc>
                <w:tcPr>
                  <w:tcW w:w="318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rPr>
                  </w:pPr>
                </w:p>
              </w:tc>
            </w:tr>
          </w:tbl>
          <w:p>
            <w:pPr>
              <w:adjustRightInd w:val="0"/>
              <w:snapToGrid w:val="0"/>
              <w:spacing w:line="360" w:lineRule="auto"/>
              <w:ind w:firstLine="480" w:firstLineChars="200"/>
              <w:rPr>
                <w:kern w:val="10"/>
                <w:sz w:val="24"/>
              </w:rPr>
            </w:pPr>
            <w:r>
              <w:rPr>
                <w:rFonts w:hint="eastAsia"/>
                <w:kern w:val="10"/>
                <w:sz w:val="24"/>
              </w:rPr>
              <w:t>(2) 区域声环境质量执行《声环境质量标准》(GB3096-2008)的3类区标准，具体限值见表</w:t>
            </w:r>
            <w:r>
              <w:rPr>
                <w:kern w:val="10"/>
                <w:sz w:val="24"/>
              </w:rPr>
              <w:t>12</w:t>
            </w:r>
            <w:r>
              <w:rPr>
                <w:rFonts w:hint="eastAsia"/>
                <w:kern w:val="10"/>
                <w:sz w:val="24"/>
              </w:rPr>
              <w:t>；</w:t>
            </w:r>
          </w:p>
          <w:p>
            <w:pPr>
              <w:adjustRightInd w:val="0"/>
              <w:snapToGrid w:val="0"/>
              <w:ind w:left="402"/>
              <w:jc w:val="center"/>
              <w:rPr>
                <w:b/>
                <w:sz w:val="24"/>
              </w:rPr>
            </w:pPr>
            <w:r>
              <w:rPr>
                <w:rFonts w:ascii="宋体" w:hAnsi="宋体" w:cs="宋体"/>
                <w:b/>
                <w:sz w:val="24"/>
              </w:rPr>
              <w:t>表</w:t>
            </w:r>
            <w:r>
              <w:rPr>
                <w:b/>
                <w:sz w:val="24"/>
              </w:rPr>
              <w:t xml:space="preserve">12 </w:t>
            </w:r>
            <w:r>
              <w:rPr>
                <w:rFonts w:ascii="宋体" w:hAnsi="宋体" w:cs="宋体"/>
                <w:b/>
                <w:sz w:val="24"/>
              </w:rPr>
              <w:t>环境噪声标准限值</w:t>
            </w:r>
          </w:p>
          <w:tbl>
            <w:tblPr>
              <w:tblStyle w:val="88"/>
              <w:tblW w:w="74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4"/>
              <w:gridCol w:w="2345"/>
              <w:gridCol w:w="29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1" w:hRule="atLeast"/>
              </w:trPr>
              <w:tc>
                <w:tcPr>
                  <w:tcW w:w="220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b/>
                      <w:bCs/>
                      <w:sz w:val="24"/>
                    </w:rPr>
                  </w:pPr>
                  <w:r>
                    <w:rPr>
                      <w:rFonts w:ascii="宋体" w:hAnsi="宋体" w:cs="宋体"/>
                      <w:b/>
                      <w:bCs/>
                      <w:sz w:val="24"/>
                    </w:rPr>
                    <w:t>类别</w:t>
                  </w:r>
                </w:p>
              </w:tc>
              <w:tc>
                <w:tcPr>
                  <w:tcW w:w="234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b/>
                      <w:bCs/>
                      <w:sz w:val="24"/>
                    </w:rPr>
                  </w:pPr>
                  <w:r>
                    <w:rPr>
                      <w:rFonts w:ascii="宋体" w:hAnsi="宋体" w:cs="宋体"/>
                      <w:b/>
                      <w:bCs/>
                      <w:sz w:val="24"/>
                    </w:rPr>
                    <w:t>昼间（</w:t>
                  </w:r>
                  <w:r>
                    <w:rPr>
                      <w:b/>
                      <w:sz w:val="24"/>
                    </w:rPr>
                    <w:t>dB</w:t>
                  </w:r>
                  <w:r>
                    <w:rPr>
                      <w:rFonts w:ascii="宋体" w:hAnsi="宋体" w:cs="宋体"/>
                      <w:b/>
                      <w:sz w:val="24"/>
                    </w:rPr>
                    <w:t>（</w:t>
                  </w:r>
                  <w:r>
                    <w:rPr>
                      <w:b/>
                      <w:sz w:val="24"/>
                    </w:rPr>
                    <w:t>A</w:t>
                  </w:r>
                  <w:r>
                    <w:rPr>
                      <w:rFonts w:ascii="宋体" w:hAnsi="宋体" w:cs="宋体"/>
                      <w:b/>
                      <w:sz w:val="24"/>
                    </w:rPr>
                    <w:t>）</w:t>
                  </w:r>
                  <w:r>
                    <w:rPr>
                      <w:rFonts w:ascii="宋体" w:hAnsi="宋体" w:cs="宋体"/>
                      <w:b/>
                      <w:bCs/>
                      <w:sz w:val="24"/>
                    </w:rPr>
                    <w:t>）</w:t>
                  </w:r>
                </w:p>
              </w:tc>
              <w:tc>
                <w:tcPr>
                  <w:tcW w:w="29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b/>
                      <w:bCs/>
                      <w:sz w:val="24"/>
                    </w:rPr>
                  </w:pPr>
                  <w:r>
                    <w:rPr>
                      <w:rFonts w:ascii="宋体" w:hAnsi="宋体" w:cs="宋体"/>
                      <w:b/>
                      <w:bCs/>
                      <w:sz w:val="24"/>
                    </w:rPr>
                    <w:t>夜间（</w:t>
                  </w:r>
                  <w:r>
                    <w:rPr>
                      <w:b/>
                      <w:sz w:val="24"/>
                    </w:rPr>
                    <w:t>dB</w:t>
                  </w:r>
                  <w:r>
                    <w:rPr>
                      <w:rFonts w:ascii="宋体" w:hAnsi="宋体" w:cs="宋体"/>
                      <w:b/>
                      <w:sz w:val="24"/>
                    </w:rPr>
                    <w:t>（</w:t>
                  </w:r>
                  <w:r>
                    <w:rPr>
                      <w:b/>
                      <w:sz w:val="24"/>
                    </w:rPr>
                    <w:t>A</w:t>
                  </w:r>
                  <w:r>
                    <w:rPr>
                      <w:rFonts w:ascii="宋体" w:hAnsi="宋体" w:cs="宋体"/>
                      <w:b/>
                      <w:sz w:val="24"/>
                    </w:rPr>
                    <w:t>）</w:t>
                  </w:r>
                  <w:r>
                    <w:rPr>
                      <w:rFonts w:ascii="宋体" w:hAnsi="宋体" w:cs="宋体"/>
                      <w:b/>
                      <w:bCs/>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1" w:hRule="atLeast"/>
              </w:trPr>
              <w:tc>
                <w:tcPr>
                  <w:tcW w:w="220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bCs/>
                      <w:sz w:val="24"/>
                    </w:rPr>
                  </w:pPr>
                  <w:r>
                    <w:rPr>
                      <w:bCs/>
                      <w:sz w:val="24"/>
                    </w:rPr>
                    <w:t>3</w:t>
                  </w:r>
                  <w:r>
                    <w:rPr>
                      <w:rFonts w:ascii="宋体" w:hAnsi="宋体" w:cs="宋体"/>
                      <w:bCs/>
                      <w:sz w:val="24"/>
                    </w:rPr>
                    <w:t>类</w:t>
                  </w:r>
                </w:p>
              </w:tc>
              <w:tc>
                <w:tcPr>
                  <w:tcW w:w="234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bCs/>
                      <w:sz w:val="24"/>
                    </w:rPr>
                  </w:pPr>
                  <w:r>
                    <w:rPr>
                      <w:bCs/>
                      <w:sz w:val="24"/>
                    </w:rPr>
                    <w:t>65</w:t>
                  </w:r>
                </w:p>
              </w:tc>
              <w:tc>
                <w:tcPr>
                  <w:tcW w:w="29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bCs/>
                      <w:sz w:val="24"/>
                    </w:rPr>
                  </w:pPr>
                  <w:r>
                    <w:rPr>
                      <w:bCs/>
                      <w:sz w:val="24"/>
                    </w:rPr>
                    <w:t>55</w:t>
                  </w:r>
                </w:p>
              </w:tc>
            </w:tr>
          </w:tbl>
          <w:p>
            <w:pPr>
              <w:adjustRightInd w:val="0"/>
              <w:snapToGrid w:val="0"/>
              <w:spacing w:line="360" w:lineRule="auto"/>
              <w:ind w:firstLine="480" w:firstLineChars="200"/>
              <w:rPr>
                <w:kern w:val="10"/>
                <w:sz w:val="24"/>
              </w:rPr>
            </w:pPr>
            <w:r>
              <w:rPr>
                <w:rFonts w:hint="eastAsia"/>
                <w:kern w:val="10"/>
                <w:sz w:val="24"/>
              </w:rPr>
              <w:t>(</w:t>
            </w:r>
            <w:r>
              <w:rPr>
                <w:kern w:val="10"/>
                <w:sz w:val="24"/>
              </w:rPr>
              <w:t>3</w:t>
            </w:r>
            <w:r>
              <w:rPr>
                <w:rFonts w:hint="eastAsia"/>
                <w:kern w:val="10"/>
                <w:sz w:val="24"/>
              </w:rPr>
              <w:t>) 项目附近海域海水水质执行《海水水质标准》(GB 3097-1997)中的第三类标准。</w:t>
            </w:r>
          </w:p>
          <w:p>
            <w:pPr>
              <w:adjustRightInd w:val="0"/>
              <w:snapToGrid w:val="0"/>
              <w:spacing w:line="360" w:lineRule="auto"/>
              <w:ind w:firstLine="480" w:firstLineChars="200"/>
              <w:rPr>
                <w:kern w:val="10"/>
                <w:sz w:val="24"/>
              </w:rPr>
            </w:pPr>
            <w:r>
              <w:rPr>
                <w:kern w:val="10"/>
                <w:sz w:val="24"/>
              </w:rPr>
              <w:t>(4)</w:t>
            </w:r>
            <w:r>
              <w:rPr>
                <w:rFonts w:hint="eastAsia"/>
                <w:kern w:val="10"/>
                <w:sz w:val="24"/>
              </w:rPr>
              <w:t>海洋环境质量评价标准：</w:t>
            </w:r>
          </w:p>
          <w:p>
            <w:pPr>
              <w:adjustRightInd w:val="0"/>
              <w:snapToGrid w:val="0"/>
              <w:spacing w:line="360" w:lineRule="auto"/>
              <w:ind w:firstLine="480" w:firstLineChars="200"/>
              <w:rPr>
                <w:kern w:val="10"/>
                <w:sz w:val="24"/>
              </w:rPr>
            </w:pPr>
            <w:r>
              <w:rPr>
                <w:rFonts w:hint="eastAsia"/>
                <w:kern w:val="10"/>
                <w:sz w:val="24"/>
              </w:rPr>
              <w:t>①威海刘公岛海洋保护区：海水水质执行《海水水质标准》(GB 3097-1997)中的第二类标准；沉积物执行《海洋沉积物质量》（GB18668-2002）的第一类标准；生物体质量执行《海洋生物质量》（GB18241-2001）中第一类标准。</w:t>
            </w:r>
          </w:p>
          <w:p>
            <w:pPr>
              <w:adjustRightInd w:val="0"/>
              <w:snapToGrid w:val="0"/>
              <w:spacing w:line="360" w:lineRule="auto"/>
              <w:ind w:firstLine="480" w:firstLineChars="200"/>
              <w:rPr>
                <w:kern w:val="10"/>
                <w:sz w:val="24"/>
              </w:rPr>
            </w:pPr>
            <w:r>
              <w:rPr>
                <w:rFonts w:hint="eastAsia"/>
                <w:kern w:val="10"/>
                <w:sz w:val="24"/>
              </w:rPr>
              <w:t>②刘公岛-鸡鸣岛农渔业区：海水水质执行《海水水质标准》(GB 3097-1997)中的第一类标准；沉积物执行《海洋沉积物质量》（GB18668-2002）的第一类标准；生物体质量执行《海洋生物质量》（GB18241-2001）中第一类标准。</w:t>
            </w:r>
          </w:p>
          <w:p>
            <w:pPr>
              <w:adjustRightInd w:val="0"/>
              <w:snapToGrid w:val="0"/>
              <w:spacing w:line="360" w:lineRule="auto"/>
              <w:ind w:firstLine="480" w:firstLineChars="200"/>
              <w:rPr>
                <w:rFonts w:ascii="宋体" w:hAnsi="宋体" w:cs="宋体"/>
                <w:sz w:val="24"/>
              </w:rPr>
            </w:pPr>
            <w:r>
              <w:rPr>
                <w:rFonts w:hint="eastAsia" w:ascii="宋体" w:hAnsi="宋体" w:cs="宋体"/>
                <w:sz w:val="24"/>
              </w:rPr>
              <w:t>③威海湾旅游休闲娱乐区：海水水质执行《海水水质标准》(GB 3097-1997)中的第二类标准；沉积物执行《海洋沉积物质量》（GB18668-2002）的第一类标准；生物体质量执行《海洋生物质量》（GB18241-2001）中第一类标准。</w:t>
            </w:r>
          </w:p>
          <w:p>
            <w:pPr>
              <w:adjustRightInd w:val="0"/>
              <w:snapToGrid w:val="0"/>
              <w:spacing w:line="360" w:lineRule="auto"/>
              <w:ind w:firstLine="480" w:firstLineChars="200"/>
              <w:rPr>
                <w:sz w:val="24"/>
              </w:rPr>
            </w:pPr>
            <w:r>
              <w:rPr>
                <w:rFonts w:hint="eastAsia" w:ascii="宋体" w:hAnsi="宋体" w:cs="宋体"/>
                <w:sz w:val="24"/>
              </w:rPr>
              <w:t>④威海南港口航运区和威海港口航运区：海水水质执行《海水水质标准》(GB 3097-1997)中的第三类标准；沉积物执行《海洋沉积物质量》（GB18668-2002）的第二类标准；生物体质量执行《海洋生物质量》（GB18241-2001）中第二类标准。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647" w:type="dxa"/>
            <w:vAlign w:val="center"/>
          </w:tcPr>
          <w:p>
            <w:pPr>
              <w:spacing w:line="440" w:lineRule="exact"/>
              <w:jc w:val="center"/>
              <w:rPr>
                <w:rFonts w:eastAsia="楷体_GB2312"/>
                <w:sz w:val="24"/>
              </w:rPr>
            </w:pPr>
            <w:r>
              <w:rPr>
                <w:rFonts w:eastAsia="楷体_GB2312"/>
                <w:sz w:val="24"/>
              </w:rPr>
              <w:t>污染物排放标准</w:t>
            </w:r>
          </w:p>
        </w:tc>
        <w:tc>
          <w:tcPr>
            <w:tcW w:w="8414" w:type="dxa"/>
            <w:vAlign w:val="center"/>
          </w:tcPr>
          <w:p>
            <w:pPr>
              <w:pStyle w:val="45"/>
              <w:spacing w:line="440" w:lineRule="exact"/>
              <w:rPr>
                <w:rFonts w:ascii="Times New Roman" w:hAnsi="Times New Roman"/>
                <w:b/>
                <w:sz w:val="24"/>
              </w:rPr>
            </w:pPr>
            <w:r>
              <w:rPr>
                <w:rFonts w:hint="eastAsia" w:ascii="Times New Roman" w:hAnsi="Times New Roman"/>
                <w:b/>
                <w:sz w:val="24"/>
              </w:rPr>
              <w:t>施工期</w:t>
            </w:r>
          </w:p>
          <w:p>
            <w:pPr>
              <w:adjustRightInd w:val="0"/>
              <w:snapToGrid w:val="0"/>
              <w:spacing w:line="360" w:lineRule="auto"/>
              <w:ind w:firstLine="480" w:firstLineChars="200"/>
              <w:rPr>
                <w:rFonts w:eastAsiaTheme="minorEastAsia"/>
                <w:sz w:val="24"/>
              </w:rPr>
            </w:pPr>
            <w:r>
              <w:rPr>
                <w:rFonts w:hint="eastAsia" w:eastAsiaTheme="minorEastAsia"/>
                <w:sz w:val="24"/>
              </w:rPr>
              <w:t>(1) 施工扬尘排放执行《大气污染物综合排放标准》(GB16297-1996)表2中的无组织排放标准；</w:t>
            </w:r>
          </w:p>
          <w:p>
            <w:pPr>
              <w:adjustRightInd w:val="0"/>
              <w:snapToGrid w:val="0"/>
              <w:spacing w:line="360" w:lineRule="auto"/>
              <w:ind w:firstLine="480" w:firstLineChars="200"/>
              <w:rPr>
                <w:rFonts w:eastAsiaTheme="minorEastAsia"/>
                <w:sz w:val="24"/>
              </w:rPr>
            </w:pPr>
            <w:r>
              <w:rPr>
                <w:rFonts w:hint="eastAsia" w:eastAsiaTheme="minorEastAsia"/>
                <w:sz w:val="24"/>
              </w:rPr>
              <w:t>(2) 施工人员的生活污水排放执行《污水排入城镇下水道水质标准》(GB/T 31962-2015)的B等级标准；</w:t>
            </w:r>
          </w:p>
          <w:p>
            <w:pPr>
              <w:adjustRightInd w:val="0"/>
              <w:snapToGrid w:val="0"/>
              <w:spacing w:line="360" w:lineRule="auto"/>
              <w:ind w:firstLine="480" w:firstLineChars="200"/>
              <w:rPr>
                <w:rFonts w:eastAsiaTheme="minorEastAsia"/>
                <w:sz w:val="24"/>
              </w:rPr>
            </w:pPr>
            <w:r>
              <w:rPr>
                <w:rFonts w:hint="eastAsia" w:eastAsiaTheme="minorEastAsia"/>
                <w:sz w:val="24"/>
              </w:rPr>
              <w:t>(3) 施工期场界噪声排放执行《建筑施工场界环境噪声排放标准》(GB12523-2011)；</w:t>
            </w:r>
          </w:p>
          <w:p>
            <w:pPr>
              <w:adjustRightInd w:val="0"/>
              <w:snapToGrid w:val="0"/>
              <w:spacing w:line="360" w:lineRule="auto"/>
              <w:ind w:firstLine="480" w:firstLineChars="200"/>
              <w:rPr>
                <w:rFonts w:eastAsiaTheme="minorEastAsia"/>
                <w:sz w:val="24"/>
              </w:rPr>
            </w:pPr>
            <w:r>
              <w:rPr>
                <w:rFonts w:hint="eastAsia" w:eastAsiaTheme="minorEastAsia"/>
                <w:sz w:val="24"/>
              </w:rPr>
              <w:t>(4) 固体废弃物：一般固体废物执行《一般工业固体废弃物贮存、处置场污染物控制标准》(GB18599-2001)及修改单要求。</w:t>
            </w:r>
          </w:p>
          <w:p>
            <w:pPr>
              <w:pStyle w:val="45"/>
              <w:spacing w:line="440" w:lineRule="exact"/>
              <w:rPr>
                <w:rFonts w:ascii="Times New Roman" w:hAnsi="Times New Roman"/>
                <w:b/>
                <w:sz w:val="24"/>
              </w:rPr>
            </w:pPr>
            <w:r>
              <w:rPr>
                <w:rFonts w:ascii="Times New Roman" w:hAnsi="Times New Roman"/>
                <w:b/>
                <w:sz w:val="24"/>
              </w:rPr>
              <w:t>营运期</w:t>
            </w:r>
          </w:p>
          <w:p>
            <w:pPr>
              <w:pStyle w:val="45"/>
              <w:adjustRightInd w:val="0"/>
              <w:snapToGrid w:val="0"/>
              <w:spacing w:line="360" w:lineRule="auto"/>
              <w:ind w:firstLine="480" w:firstLineChars="200"/>
              <w:rPr>
                <w:rFonts w:ascii="Times New Roman" w:hAnsi="Times New Roman"/>
                <w:sz w:val="24"/>
              </w:rPr>
            </w:pPr>
            <w:r>
              <w:rPr>
                <w:rFonts w:ascii="Times New Roman" w:hAnsi="Times New Roman"/>
                <w:sz w:val="24"/>
              </w:rPr>
              <w:t>(1) 排水口海水属第</w:t>
            </w:r>
            <w:r>
              <w:rPr>
                <w:rFonts w:hint="eastAsia" w:ascii="Times New Roman" w:hAnsi="Times New Roman"/>
                <w:sz w:val="24"/>
              </w:rPr>
              <w:t>四类功能区，执行三类标准，</w:t>
            </w:r>
            <w:r>
              <w:rPr>
                <w:rFonts w:ascii="Times New Roman" w:hAnsi="Times New Roman"/>
                <w:sz w:val="24"/>
              </w:rPr>
              <w:t>因此</w:t>
            </w:r>
            <w:r>
              <w:rPr>
                <w:rFonts w:hint="eastAsia" w:ascii="Times New Roman" w:hAnsi="Times New Roman"/>
                <w:sz w:val="24"/>
              </w:rPr>
              <w:t>，</w:t>
            </w:r>
            <w:r>
              <w:rPr>
                <w:rFonts w:ascii="Times New Roman" w:hAnsi="Times New Roman"/>
                <w:sz w:val="24"/>
              </w:rPr>
              <w:t>工程浓盐水</w:t>
            </w:r>
            <w:r>
              <w:rPr>
                <w:rFonts w:hint="eastAsia" w:ascii="Times New Roman" w:hAnsi="Times New Roman"/>
                <w:sz w:val="24"/>
              </w:rPr>
              <w:t>中pH、SS</w:t>
            </w:r>
            <w:r>
              <w:rPr>
                <w:rFonts w:ascii="Times New Roman" w:hAnsi="Times New Roman"/>
                <w:sz w:val="24"/>
              </w:rPr>
              <w:t>排放执行</w:t>
            </w:r>
            <w:r>
              <w:rPr>
                <w:rFonts w:hint="eastAsia" w:ascii="Times New Roman" w:hAnsi="Times New Roman"/>
                <w:sz w:val="24"/>
              </w:rPr>
              <w:t>《流域水污染物综合排放标准 第5部分：半岛流域》(DB37/3416.5-2018)表2中二级标准(pH</w:t>
            </w:r>
            <w:r>
              <w:rPr>
                <w:rFonts w:ascii="Times New Roman" w:hAnsi="Times New Roman"/>
                <w:sz w:val="24"/>
              </w:rPr>
              <w:t xml:space="preserve"> 6-9</w:t>
            </w:r>
            <w:r>
              <w:rPr>
                <w:rFonts w:hint="eastAsia" w:ascii="Times New Roman" w:hAnsi="Times New Roman"/>
                <w:sz w:val="24"/>
              </w:rPr>
              <w:t>，</w:t>
            </w:r>
            <w:r>
              <w:rPr>
                <w:rFonts w:ascii="Times New Roman" w:hAnsi="Times New Roman"/>
                <w:sz w:val="24"/>
              </w:rPr>
              <w:t>SS 30mg/L)；</w:t>
            </w:r>
          </w:p>
          <w:p>
            <w:pPr>
              <w:pStyle w:val="45"/>
              <w:adjustRightInd w:val="0"/>
              <w:snapToGrid w:val="0"/>
              <w:spacing w:line="360" w:lineRule="auto"/>
              <w:ind w:firstLine="480" w:firstLineChars="200"/>
              <w:rPr>
                <w:rFonts w:ascii="Times New Roman" w:hAnsi="Times New Roman"/>
                <w:sz w:val="24"/>
              </w:rPr>
            </w:pPr>
            <w:r>
              <w:rPr>
                <w:rFonts w:ascii="Times New Roman" w:hAnsi="Times New Roman"/>
                <w:sz w:val="24"/>
              </w:rPr>
              <w:t>(2)</w:t>
            </w:r>
            <w:r>
              <w:rPr>
                <w:rFonts w:hint="eastAsia" w:ascii="Times New Roman" w:hAnsi="Times New Roman"/>
                <w:sz w:val="24"/>
              </w:rPr>
              <w:t xml:space="preserve"> </w:t>
            </w:r>
            <w:r>
              <w:rPr>
                <w:rFonts w:ascii="Times New Roman" w:hAnsi="Times New Roman"/>
                <w:sz w:val="24"/>
              </w:rPr>
              <w:t>厂界噪声排放执行《工业企业厂界</w:t>
            </w:r>
            <w:r>
              <w:fldChar w:fldCharType="begin"/>
            </w:r>
            <w:r>
              <w:instrText xml:space="preserve"> HYPERLINK "https://baike.baidu.com/item/%E7%8E%AF%E5%A2%83%E5%99%AA%E5%A3%B0%E6%8E%92%E6%94%BE%E6%A0%87%E5%87%86" \t "https://baike.baidu.com/item/%E5%B7%A5%E4%B8%9A%E4%BC%81%E4%B8%9A%E5%8E%82%E7%95%8C%E7%8E%AF%E5%A2%83%E5%99%AA%E5%A3%B0%E6%8E%92%E6%94%BE%E6%A0%87%E5%87%86/_blank" </w:instrText>
            </w:r>
            <w:r>
              <w:fldChar w:fldCharType="separate"/>
            </w:r>
            <w:r>
              <w:rPr>
                <w:rFonts w:ascii="Times New Roman" w:hAnsi="Times New Roman"/>
                <w:sz w:val="24"/>
              </w:rPr>
              <w:t>环境噪声排放标准</w:t>
            </w:r>
            <w:r>
              <w:rPr>
                <w:rFonts w:ascii="Times New Roman" w:hAnsi="Times New Roman"/>
                <w:sz w:val="24"/>
              </w:rPr>
              <w:fldChar w:fldCharType="end"/>
            </w:r>
            <w:r>
              <w:rPr>
                <w:rFonts w:ascii="Times New Roman" w:hAnsi="Times New Roman"/>
                <w:sz w:val="24"/>
              </w:rPr>
              <w:t>》(GB12348-2008)3类标准</w:t>
            </w:r>
            <w:r>
              <w:rPr>
                <w:rFonts w:hint="eastAsia" w:ascii="Times New Roman" w:hAnsi="Times New Roman"/>
                <w:sz w:val="24"/>
              </w:rPr>
              <w:t>；</w:t>
            </w:r>
          </w:p>
          <w:p>
            <w:pPr>
              <w:pStyle w:val="45"/>
              <w:adjustRightInd w:val="0"/>
              <w:snapToGrid w:val="0"/>
              <w:spacing w:line="360" w:lineRule="auto"/>
              <w:ind w:firstLine="480" w:firstLineChars="200"/>
              <w:rPr>
                <w:rFonts w:ascii="Times New Roman" w:hAnsi="Times New Roman"/>
                <w:sz w:val="24"/>
              </w:rPr>
            </w:pPr>
            <w:r>
              <w:rPr>
                <w:rFonts w:ascii="Times New Roman" w:hAnsi="Times New Roman"/>
                <w:sz w:val="24"/>
              </w:rPr>
              <w:t xml:space="preserve">(3) </w:t>
            </w:r>
            <w:r>
              <w:rPr>
                <w:rFonts w:hint="eastAsia" w:ascii="Times New Roman" w:hAnsi="Times New Roman"/>
                <w:sz w:val="24"/>
              </w:rPr>
              <w:t>员工生活污水排放执行《污水排入城镇下水道水质标准》(GB/T 31962-2015)的B等级标准</w:t>
            </w:r>
            <w:r>
              <w:rPr>
                <w:rFonts w:ascii="Times New Roman" w:hAnsi="Times New Roman"/>
                <w:sz w:val="24"/>
              </w:rPr>
              <w:t>；</w:t>
            </w:r>
          </w:p>
          <w:p>
            <w:pPr>
              <w:pStyle w:val="45"/>
              <w:adjustRightInd w:val="0"/>
              <w:snapToGrid w:val="0"/>
              <w:spacing w:line="360" w:lineRule="auto"/>
              <w:ind w:firstLine="480" w:firstLineChars="200"/>
              <w:rPr>
                <w:rFonts w:ascii="Times New Roman" w:hAnsi="Times New Roman"/>
                <w:sz w:val="24"/>
              </w:rPr>
            </w:pPr>
            <w:r>
              <w:rPr>
                <w:rFonts w:ascii="Times New Roman" w:hAnsi="Times New Roman"/>
                <w:sz w:val="24"/>
              </w:rPr>
              <w:t>(4) 固体废弃物：一般固体废物执行《一般工业固体废弃物贮存、处置场污染物控制标准》(GB18599-2001)</w:t>
            </w:r>
            <w:r>
              <w:rPr>
                <w:rFonts w:hint="eastAsia" w:eastAsiaTheme="minorEastAsia"/>
                <w:sz w:val="24"/>
              </w:rPr>
              <w:t>及修改单要求</w:t>
            </w:r>
            <w:r>
              <w:rPr>
                <w:rFonts w:ascii="Times New Roman" w:hAnsi="Times New Roman"/>
                <w:sz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647" w:type="dxa"/>
            <w:vAlign w:val="center"/>
          </w:tcPr>
          <w:p>
            <w:pPr>
              <w:spacing w:line="440" w:lineRule="exact"/>
              <w:jc w:val="center"/>
              <w:rPr>
                <w:rFonts w:eastAsia="楷体_GB2312"/>
                <w:sz w:val="24"/>
              </w:rPr>
            </w:pPr>
            <w:r>
              <w:rPr>
                <w:rFonts w:eastAsia="楷体_GB2312"/>
                <w:sz w:val="24"/>
              </w:rPr>
              <w:t>总量控制指标</w:t>
            </w:r>
          </w:p>
        </w:tc>
        <w:tc>
          <w:tcPr>
            <w:tcW w:w="8414" w:type="dxa"/>
            <w:vAlign w:val="center"/>
          </w:tcPr>
          <w:p>
            <w:pPr>
              <w:spacing w:line="440" w:lineRule="exact"/>
              <w:rPr>
                <w:sz w:val="24"/>
              </w:rPr>
            </w:pPr>
            <w:r>
              <w:rPr>
                <w:rFonts w:hint="eastAsia"/>
                <w:sz w:val="24"/>
              </w:rPr>
              <w:t>本项目不涉及总量控制指标，因此不需申请总量控制指标。</w:t>
            </w:r>
          </w:p>
        </w:tc>
      </w:tr>
    </w:tbl>
    <w:p>
      <w:pPr>
        <w:spacing w:line="440" w:lineRule="exact"/>
        <w:outlineLvl w:val="0"/>
        <w:rPr>
          <w:rFonts w:eastAsia="黑体"/>
          <w:sz w:val="30"/>
        </w:rPr>
      </w:pPr>
      <w:r>
        <w:rPr>
          <w:rFonts w:eastAsia="黑体"/>
          <w:sz w:val="30"/>
        </w:rPr>
        <w:t>建设项目工程分析</w:t>
      </w:r>
    </w:p>
    <w:tbl>
      <w:tblPr>
        <w:tblStyle w:val="88"/>
        <w:tblW w:w="906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
        <w:gridCol w:w="669"/>
        <w:gridCol w:w="2709"/>
        <w:gridCol w:w="1830"/>
        <w:gridCol w:w="692"/>
        <w:gridCol w:w="1621"/>
        <w:gridCol w:w="153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restart"/>
            <w:vAlign w:val="center"/>
          </w:tcPr>
          <w:p>
            <w:pPr>
              <w:spacing w:line="360" w:lineRule="exact"/>
              <w:jc w:val="center"/>
              <w:rPr>
                <w:rFonts w:eastAsia="仿宋_GB2312"/>
                <w:sz w:val="24"/>
              </w:rPr>
            </w:pPr>
            <w:r>
              <w:rPr>
                <w:rFonts w:eastAsia="仿宋_GB2312"/>
                <w:sz w:val="24"/>
              </w:rPr>
              <w:t>主要原材料用量</w:t>
            </w:r>
          </w:p>
        </w:tc>
        <w:tc>
          <w:tcPr>
            <w:tcW w:w="2709" w:type="dxa"/>
            <w:vAlign w:val="center"/>
          </w:tcPr>
          <w:p>
            <w:pPr>
              <w:spacing w:line="360" w:lineRule="exact"/>
              <w:jc w:val="center"/>
              <w:rPr>
                <w:rFonts w:eastAsia="仿宋_GB2312"/>
                <w:sz w:val="24"/>
              </w:rPr>
            </w:pPr>
            <w:r>
              <w:rPr>
                <w:rFonts w:eastAsia="仿宋_GB2312"/>
                <w:sz w:val="24"/>
              </w:rPr>
              <w:t>名     称</w:t>
            </w:r>
          </w:p>
        </w:tc>
        <w:tc>
          <w:tcPr>
            <w:tcW w:w="1830" w:type="dxa"/>
            <w:vAlign w:val="center"/>
          </w:tcPr>
          <w:p>
            <w:pPr>
              <w:jc w:val="center"/>
              <w:rPr>
                <w:rFonts w:eastAsia="仿宋_GB2312"/>
                <w:sz w:val="24"/>
              </w:rPr>
            </w:pPr>
            <w:r>
              <w:rPr>
                <w:rFonts w:eastAsia="仿宋_GB2312"/>
                <w:sz w:val="24"/>
              </w:rPr>
              <w:t>年用量</w:t>
            </w:r>
          </w:p>
          <w:p>
            <w:pPr>
              <w:jc w:val="center"/>
              <w:rPr>
                <w:rFonts w:eastAsia="仿宋_GB2312"/>
                <w:sz w:val="24"/>
              </w:rPr>
            </w:pPr>
            <w:r>
              <w:rPr>
                <w:rFonts w:eastAsia="仿宋_GB2312"/>
                <w:sz w:val="24"/>
              </w:rPr>
              <w:t>(吨/年)</w:t>
            </w:r>
          </w:p>
        </w:tc>
        <w:tc>
          <w:tcPr>
            <w:tcW w:w="692" w:type="dxa"/>
            <w:vMerge w:val="restart"/>
            <w:vAlign w:val="center"/>
          </w:tcPr>
          <w:p>
            <w:pPr>
              <w:spacing w:line="360" w:lineRule="exact"/>
              <w:jc w:val="center"/>
              <w:rPr>
                <w:rFonts w:eastAsia="仿宋_GB2312"/>
                <w:sz w:val="24"/>
              </w:rPr>
            </w:pPr>
            <w:r>
              <w:rPr>
                <w:rFonts w:eastAsia="仿宋_GB2312"/>
                <w:sz w:val="24"/>
              </w:rPr>
              <w:t>有</w:t>
            </w:r>
          </w:p>
          <w:p>
            <w:pPr>
              <w:spacing w:line="360" w:lineRule="exact"/>
              <w:jc w:val="center"/>
              <w:rPr>
                <w:rFonts w:eastAsia="仿宋_GB2312"/>
                <w:sz w:val="24"/>
              </w:rPr>
            </w:pPr>
            <w:r>
              <w:rPr>
                <w:rFonts w:eastAsia="仿宋_GB2312"/>
                <w:sz w:val="24"/>
              </w:rPr>
              <w:t>毒</w:t>
            </w:r>
          </w:p>
          <w:p>
            <w:pPr>
              <w:spacing w:line="360" w:lineRule="exact"/>
              <w:jc w:val="center"/>
              <w:rPr>
                <w:rFonts w:eastAsia="仿宋_GB2312"/>
                <w:sz w:val="24"/>
              </w:rPr>
            </w:pPr>
            <w:r>
              <w:rPr>
                <w:rFonts w:eastAsia="仿宋_GB2312"/>
                <w:sz w:val="24"/>
              </w:rPr>
              <w:t>原</w:t>
            </w:r>
          </w:p>
          <w:p>
            <w:pPr>
              <w:spacing w:line="360" w:lineRule="exact"/>
              <w:jc w:val="center"/>
              <w:rPr>
                <w:rFonts w:eastAsia="仿宋_GB2312"/>
                <w:sz w:val="24"/>
              </w:rPr>
            </w:pPr>
            <w:r>
              <w:rPr>
                <w:rFonts w:eastAsia="仿宋_GB2312"/>
                <w:sz w:val="24"/>
              </w:rPr>
              <w:t>料</w:t>
            </w:r>
          </w:p>
          <w:p>
            <w:pPr>
              <w:spacing w:line="360" w:lineRule="exact"/>
              <w:jc w:val="center"/>
              <w:rPr>
                <w:rFonts w:eastAsia="仿宋_GB2312"/>
                <w:sz w:val="24"/>
              </w:rPr>
            </w:pPr>
            <w:r>
              <w:rPr>
                <w:rFonts w:eastAsia="仿宋_GB2312"/>
                <w:sz w:val="24"/>
              </w:rPr>
              <w:t>用</w:t>
            </w:r>
          </w:p>
          <w:p>
            <w:pPr>
              <w:spacing w:line="360" w:lineRule="exact"/>
              <w:jc w:val="center"/>
              <w:rPr>
                <w:rFonts w:eastAsia="仿宋_GB2312"/>
                <w:sz w:val="24"/>
              </w:rPr>
            </w:pPr>
            <w:r>
              <w:rPr>
                <w:rFonts w:eastAsia="仿宋_GB2312"/>
                <w:sz w:val="24"/>
              </w:rPr>
              <w:t>量</w:t>
            </w:r>
          </w:p>
        </w:tc>
        <w:tc>
          <w:tcPr>
            <w:tcW w:w="1621" w:type="dxa"/>
            <w:vAlign w:val="center"/>
          </w:tcPr>
          <w:p>
            <w:pPr>
              <w:spacing w:line="360" w:lineRule="exact"/>
              <w:jc w:val="center"/>
              <w:rPr>
                <w:rFonts w:eastAsia="仿宋_GB2312"/>
                <w:sz w:val="24"/>
              </w:rPr>
            </w:pPr>
            <w:r>
              <w:rPr>
                <w:rFonts w:eastAsia="仿宋_GB2312"/>
                <w:sz w:val="24"/>
              </w:rPr>
              <w:t>名     称</w:t>
            </w:r>
          </w:p>
        </w:tc>
        <w:tc>
          <w:tcPr>
            <w:tcW w:w="1534" w:type="dxa"/>
            <w:vAlign w:val="center"/>
          </w:tcPr>
          <w:p>
            <w:pPr>
              <w:jc w:val="center"/>
              <w:rPr>
                <w:rFonts w:eastAsia="仿宋_GB2312"/>
                <w:sz w:val="24"/>
              </w:rPr>
            </w:pPr>
            <w:r>
              <w:rPr>
                <w:rFonts w:eastAsia="仿宋_GB2312"/>
                <w:sz w:val="24"/>
              </w:rPr>
              <w:t>年用量</w:t>
            </w:r>
          </w:p>
          <w:p>
            <w:pPr>
              <w:jc w:val="center"/>
              <w:rPr>
                <w:rFonts w:eastAsia="仿宋_GB2312"/>
                <w:sz w:val="24"/>
              </w:rPr>
            </w:pPr>
            <w:r>
              <w:rPr>
                <w:rFonts w:eastAsia="仿宋_GB2312"/>
                <w:sz w:val="24"/>
              </w:rPr>
              <w:t>(吨/年)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pPr>
            <w:r>
              <w:rPr>
                <w:rFonts w:hint="eastAsia"/>
              </w:rPr>
              <w:t>海水原水（夏季）</w:t>
            </w:r>
          </w:p>
        </w:tc>
        <w:tc>
          <w:tcPr>
            <w:tcW w:w="1830" w:type="dxa"/>
            <w:vAlign w:val="center"/>
          </w:tcPr>
          <w:p>
            <w:pPr>
              <w:jc w:val="center"/>
            </w:pPr>
            <w:r>
              <w:rPr>
                <w:rFonts w:hint="eastAsia"/>
              </w:rPr>
              <w:t>5</w:t>
            </w:r>
            <w:r>
              <w:t>2494300</w:t>
            </w:r>
          </w:p>
        </w:tc>
        <w:tc>
          <w:tcPr>
            <w:tcW w:w="692" w:type="dxa"/>
            <w:vMerge w:val="continue"/>
            <w:vAlign w:val="center"/>
          </w:tcPr>
          <w:p>
            <w:pPr>
              <w:spacing w:line="360" w:lineRule="exact"/>
              <w:jc w:val="center"/>
              <w:rPr>
                <w:rFonts w:eastAsia="仿宋_GB2312"/>
                <w:sz w:val="24"/>
              </w:rPr>
            </w:pPr>
          </w:p>
        </w:tc>
        <w:tc>
          <w:tcPr>
            <w:tcW w:w="1621" w:type="dxa"/>
            <w:vAlign w:val="center"/>
          </w:tcPr>
          <w:p>
            <w:pPr>
              <w:pStyle w:val="84"/>
              <w:spacing w:before="0" w:after="0" w:line="360" w:lineRule="exact"/>
              <w:rPr>
                <w:rFonts w:ascii="Times New Roman" w:hAnsi="Times New Roman"/>
                <w:b w:val="0"/>
              </w:rPr>
            </w:pPr>
          </w:p>
        </w:tc>
        <w:tc>
          <w:tcPr>
            <w:tcW w:w="1534" w:type="dxa"/>
            <w:vAlign w:val="center"/>
          </w:tcPr>
          <w:p>
            <w:pPr>
              <w:spacing w:line="360" w:lineRule="exact"/>
              <w:jc w:val="cente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rPr>
                <w:kern w:val="0"/>
                <w:sz w:val="24"/>
              </w:rPr>
            </w:pPr>
            <w:r>
              <w:rPr>
                <w:rFonts w:hint="eastAsia"/>
              </w:rPr>
              <w:t>电厂清净温排水（冬季）</w:t>
            </w:r>
          </w:p>
        </w:tc>
        <w:tc>
          <w:tcPr>
            <w:tcW w:w="1830" w:type="dxa"/>
            <w:vAlign w:val="center"/>
          </w:tcPr>
          <w:p>
            <w:pPr>
              <w:jc w:val="center"/>
              <w:rPr>
                <w:rFonts w:eastAsia="等线"/>
              </w:rPr>
            </w:pPr>
            <w:r>
              <w:rPr>
                <w:rFonts w:eastAsia="等线"/>
              </w:rPr>
              <w:t>52494300</w:t>
            </w:r>
          </w:p>
        </w:tc>
        <w:tc>
          <w:tcPr>
            <w:tcW w:w="692" w:type="dxa"/>
            <w:vMerge w:val="continue"/>
            <w:vAlign w:val="center"/>
          </w:tcPr>
          <w:p>
            <w:pPr>
              <w:spacing w:line="360" w:lineRule="exact"/>
              <w:jc w:val="center"/>
              <w:rPr>
                <w:rFonts w:eastAsia="仿宋_GB2312"/>
                <w:sz w:val="24"/>
              </w:rPr>
            </w:pPr>
          </w:p>
        </w:tc>
        <w:tc>
          <w:tcPr>
            <w:tcW w:w="1621" w:type="dxa"/>
            <w:vAlign w:val="center"/>
          </w:tcPr>
          <w:p>
            <w:pPr>
              <w:pStyle w:val="84"/>
              <w:spacing w:before="0" w:after="0" w:line="360" w:lineRule="exact"/>
              <w:rPr>
                <w:rFonts w:ascii="Times New Roman" w:hAnsi="Times New Roman"/>
                <w:b w:val="0"/>
              </w:rPr>
            </w:pPr>
          </w:p>
        </w:tc>
        <w:tc>
          <w:tcPr>
            <w:tcW w:w="1534" w:type="dxa"/>
            <w:vAlign w:val="center"/>
          </w:tcPr>
          <w:p>
            <w:pPr>
              <w:spacing w:line="360" w:lineRule="exact"/>
              <w:jc w:val="cente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pPr>
            <w:r>
              <w:rPr>
                <w:szCs w:val="21"/>
              </w:rPr>
              <w:t>混凝剂P</w:t>
            </w:r>
            <w:r>
              <w:rPr>
                <w:rFonts w:hint="eastAsia"/>
                <w:szCs w:val="21"/>
              </w:rPr>
              <w:t>F</w:t>
            </w:r>
            <w:r>
              <w:rPr>
                <w:szCs w:val="21"/>
              </w:rPr>
              <w:t>C(11%</w:t>
            </w:r>
            <w:r>
              <w:rPr>
                <w:rFonts w:hint="eastAsia"/>
                <w:szCs w:val="21"/>
              </w:rPr>
              <w:t>液体</w:t>
            </w:r>
            <w:r>
              <w:rPr>
                <w:szCs w:val="21"/>
              </w:rPr>
              <w:t>)</w:t>
            </w:r>
          </w:p>
        </w:tc>
        <w:tc>
          <w:tcPr>
            <w:tcW w:w="1830" w:type="dxa"/>
            <w:vAlign w:val="center"/>
          </w:tcPr>
          <w:p>
            <w:pPr>
              <w:widowControl/>
              <w:jc w:val="center"/>
            </w:pPr>
            <w:r>
              <w:rPr>
                <w:rFonts w:hint="eastAsia"/>
                <w:szCs w:val="21"/>
              </w:rPr>
              <w:t>983.25</w:t>
            </w:r>
          </w:p>
        </w:tc>
        <w:tc>
          <w:tcPr>
            <w:tcW w:w="692" w:type="dxa"/>
            <w:vMerge w:val="continue"/>
            <w:vAlign w:val="center"/>
          </w:tcPr>
          <w:p>
            <w:pPr>
              <w:spacing w:line="360" w:lineRule="exact"/>
              <w:jc w:val="center"/>
              <w:rPr>
                <w:rFonts w:eastAsia="仿宋_GB2312"/>
                <w:sz w:val="24"/>
              </w:rPr>
            </w:pPr>
          </w:p>
        </w:tc>
        <w:tc>
          <w:tcPr>
            <w:tcW w:w="1621" w:type="dxa"/>
            <w:vAlign w:val="center"/>
          </w:tcPr>
          <w:p>
            <w:pPr>
              <w:spacing w:line="360" w:lineRule="exact"/>
              <w:jc w:val="center"/>
              <w:rPr>
                <w:sz w:val="24"/>
              </w:rPr>
            </w:pPr>
          </w:p>
        </w:tc>
        <w:tc>
          <w:tcPr>
            <w:tcW w:w="1534" w:type="dxa"/>
            <w:vAlign w:val="center"/>
          </w:tcPr>
          <w:p>
            <w:pPr>
              <w:spacing w:line="36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pPr>
            <w:r>
              <w:rPr>
                <w:szCs w:val="21"/>
              </w:rPr>
              <w:t>助凝剂PAM</w:t>
            </w:r>
          </w:p>
        </w:tc>
        <w:tc>
          <w:tcPr>
            <w:tcW w:w="1830" w:type="dxa"/>
            <w:vAlign w:val="center"/>
          </w:tcPr>
          <w:p>
            <w:pPr>
              <w:widowControl/>
              <w:jc w:val="center"/>
            </w:pPr>
            <w:r>
              <w:rPr>
                <w:rFonts w:hint="eastAsia"/>
                <w:szCs w:val="21"/>
              </w:rPr>
              <w:t>33.25</w:t>
            </w:r>
          </w:p>
        </w:tc>
        <w:tc>
          <w:tcPr>
            <w:tcW w:w="692" w:type="dxa"/>
            <w:vMerge w:val="continue"/>
            <w:vAlign w:val="center"/>
          </w:tcPr>
          <w:p>
            <w:pPr>
              <w:spacing w:line="360" w:lineRule="exact"/>
              <w:jc w:val="center"/>
              <w:rPr>
                <w:rFonts w:eastAsia="仿宋_GB2312"/>
                <w:sz w:val="24"/>
              </w:rPr>
            </w:pPr>
          </w:p>
        </w:tc>
        <w:tc>
          <w:tcPr>
            <w:tcW w:w="1621" w:type="dxa"/>
            <w:vAlign w:val="center"/>
          </w:tcPr>
          <w:p>
            <w:pPr>
              <w:spacing w:line="360" w:lineRule="exact"/>
              <w:jc w:val="center"/>
              <w:rPr>
                <w:sz w:val="24"/>
              </w:rPr>
            </w:pPr>
          </w:p>
        </w:tc>
        <w:tc>
          <w:tcPr>
            <w:tcW w:w="1534" w:type="dxa"/>
            <w:vAlign w:val="center"/>
          </w:tcPr>
          <w:p>
            <w:pPr>
              <w:spacing w:line="36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pPr>
            <w:r>
              <w:rPr>
                <w:szCs w:val="21"/>
              </w:rPr>
              <w:t>盐酸(30%)</w:t>
            </w:r>
          </w:p>
        </w:tc>
        <w:tc>
          <w:tcPr>
            <w:tcW w:w="1830" w:type="dxa"/>
            <w:vAlign w:val="center"/>
          </w:tcPr>
          <w:p>
            <w:pPr>
              <w:widowControl/>
              <w:jc w:val="center"/>
            </w:pPr>
            <w:r>
              <w:rPr>
                <w:szCs w:val="21"/>
              </w:rPr>
              <w:t>272.086</w:t>
            </w:r>
          </w:p>
        </w:tc>
        <w:tc>
          <w:tcPr>
            <w:tcW w:w="692" w:type="dxa"/>
            <w:vMerge w:val="continue"/>
            <w:vAlign w:val="center"/>
          </w:tcPr>
          <w:p>
            <w:pPr>
              <w:spacing w:line="360" w:lineRule="exact"/>
              <w:jc w:val="center"/>
              <w:rPr>
                <w:rFonts w:eastAsia="仿宋_GB2312"/>
                <w:sz w:val="24"/>
              </w:rPr>
            </w:pPr>
          </w:p>
        </w:tc>
        <w:tc>
          <w:tcPr>
            <w:tcW w:w="1621" w:type="dxa"/>
            <w:vAlign w:val="center"/>
          </w:tcPr>
          <w:p>
            <w:pPr>
              <w:jc w:val="center"/>
              <w:rPr>
                <w:spacing w:val="6"/>
                <w:sz w:val="24"/>
              </w:rPr>
            </w:pPr>
          </w:p>
        </w:tc>
        <w:tc>
          <w:tcPr>
            <w:tcW w:w="1534" w:type="dxa"/>
            <w:vAlign w:val="center"/>
          </w:tcPr>
          <w:p>
            <w:pPr>
              <w:spacing w:line="360" w:lineRule="exact"/>
              <w:jc w:val="center"/>
              <w:rPr>
                <w:spacing w:val="6"/>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pPr>
            <w:r>
              <w:rPr>
                <w:szCs w:val="21"/>
              </w:rPr>
              <w:t>阻垢剂(100%)</w:t>
            </w:r>
          </w:p>
        </w:tc>
        <w:tc>
          <w:tcPr>
            <w:tcW w:w="1830" w:type="dxa"/>
            <w:vAlign w:val="center"/>
          </w:tcPr>
          <w:p>
            <w:pPr>
              <w:widowControl/>
              <w:jc w:val="center"/>
            </w:pPr>
            <w:r>
              <w:rPr>
                <w:szCs w:val="21"/>
              </w:rPr>
              <w:t>198.37</w:t>
            </w:r>
          </w:p>
        </w:tc>
        <w:tc>
          <w:tcPr>
            <w:tcW w:w="692" w:type="dxa"/>
            <w:vMerge w:val="continue"/>
            <w:vAlign w:val="center"/>
          </w:tcPr>
          <w:p>
            <w:pPr>
              <w:spacing w:line="360" w:lineRule="exact"/>
              <w:jc w:val="center"/>
              <w:rPr>
                <w:rFonts w:eastAsia="仿宋_GB2312"/>
                <w:sz w:val="24"/>
              </w:rPr>
            </w:pPr>
          </w:p>
        </w:tc>
        <w:tc>
          <w:tcPr>
            <w:tcW w:w="1621" w:type="dxa"/>
            <w:vAlign w:val="center"/>
          </w:tcPr>
          <w:p>
            <w:pPr>
              <w:jc w:val="center"/>
              <w:rPr>
                <w:spacing w:val="6"/>
                <w:sz w:val="24"/>
              </w:rPr>
            </w:pPr>
          </w:p>
        </w:tc>
        <w:tc>
          <w:tcPr>
            <w:tcW w:w="1534" w:type="dxa"/>
            <w:vAlign w:val="center"/>
          </w:tcPr>
          <w:p>
            <w:pPr>
              <w:spacing w:line="360" w:lineRule="exact"/>
              <w:jc w:val="center"/>
              <w:rPr>
                <w:spacing w:val="6"/>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pPr>
            <w:r>
              <w:rPr>
                <w:szCs w:val="21"/>
              </w:rPr>
              <w:t>氢氧化钠</w:t>
            </w:r>
            <w:r>
              <w:rPr>
                <w:rFonts w:hint="eastAsia"/>
                <w:szCs w:val="21"/>
              </w:rPr>
              <w:t>液体</w:t>
            </w:r>
          </w:p>
        </w:tc>
        <w:tc>
          <w:tcPr>
            <w:tcW w:w="1830" w:type="dxa"/>
            <w:vAlign w:val="center"/>
          </w:tcPr>
          <w:p>
            <w:pPr>
              <w:widowControl/>
              <w:jc w:val="center"/>
            </w:pPr>
            <w:r>
              <w:rPr>
                <w:szCs w:val="21"/>
              </w:rPr>
              <w:t>52.88</w:t>
            </w:r>
          </w:p>
        </w:tc>
        <w:tc>
          <w:tcPr>
            <w:tcW w:w="692" w:type="dxa"/>
            <w:vMerge w:val="continue"/>
            <w:vAlign w:val="center"/>
          </w:tcPr>
          <w:p>
            <w:pPr>
              <w:spacing w:line="360" w:lineRule="exact"/>
              <w:jc w:val="center"/>
              <w:rPr>
                <w:rFonts w:eastAsia="仿宋_GB2312"/>
                <w:sz w:val="24"/>
              </w:rPr>
            </w:pPr>
          </w:p>
        </w:tc>
        <w:tc>
          <w:tcPr>
            <w:tcW w:w="1621" w:type="dxa"/>
            <w:vAlign w:val="center"/>
          </w:tcPr>
          <w:p>
            <w:pPr>
              <w:spacing w:line="360" w:lineRule="exact"/>
              <w:jc w:val="center"/>
              <w:rPr>
                <w:rFonts w:eastAsia="仿宋_GB2312"/>
                <w:sz w:val="24"/>
              </w:rPr>
            </w:pPr>
          </w:p>
        </w:tc>
        <w:tc>
          <w:tcPr>
            <w:tcW w:w="1534" w:type="dxa"/>
            <w:vAlign w:val="center"/>
          </w:tcPr>
          <w:p>
            <w:pPr>
              <w:spacing w:line="360" w:lineRule="exact"/>
              <w:jc w:val="center"/>
              <w:rPr>
                <w:rFonts w:eastAsia="仿宋_GB2312"/>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pPr>
            <w:r>
              <w:rPr>
                <w:rFonts w:hint="eastAsia"/>
                <w:szCs w:val="21"/>
              </w:rPr>
              <w:t>还原剂（亚硫酸氢钠4</w:t>
            </w:r>
            <w:r>
              <w:rPr>
                <w:szCs w:val="21"/>
              </w:rPr>
              <w:t>0</w:t>
            </w:r>
            <w:r>
              <w:rPr>
                <w:rFonts w:hint="eastAsia"/>
                <w:szCs w:val="21"/>
              </w:rPr>
              <w:t>%）</w:t>
            </w:r>
          </w:p>
        </w:tc>
        <w:tc>
          <w:tcPr>
            <w:tcW w:w="1830" w:type="dxa"/>
            <w:vAlign w:val="center"/>
          </w:tcPr>
          <w:p>
            <w:pPr>
              <w:widowControl/>
              <w:jc w:val="center"/>
            </w:pPr>
            <w:r>
              <w:rPr>
                <w:rFonts w:hint="eastAsia"/>
                <w:szCs w:val="21"/>
              </w:rPr>
              <w:t>47.5</w:t>
            </w:r>
          </w:p>
        </w:tc>
        <w:tc>
          <w:tcPr>
            <w:tcW w:w="692" w:type="dxa"/>
            <w:vMerge w:val="continue"/>
            <w:vAlign w:val="center"/>
          </w:tcPr>
          <w:p>
            <w:pPr>
              <w:spacing w:line="360" w:lineRule="exact"/>
              <w:jc w:val="center"/>
              <w:rPr>
                <w:rFonts w:eastAsia="仿宋_GB2312"/>
                <w:sz w:val="24"/>
              </w:rPr>
            </w:pPr>
          </w:p>
        </w:tc>
        <w:tc>
          <w:tcPr>
            <w:tcW w:w="1621" w:type="dxa"/>
            <w:vAlign w:val="center"/>
          </w:tcPr>
          <w:p>
            <w:pPr>
              <w:spacing w:line="360" w:lineRule="exact"/>
              <w:jc w:val="center"/>
              <w:rPr>
                <w:rFonts w:eastAsia="仿宋_GB2312"/>
                <w:sz w:val="24"/>
              </w:rPr>
            </w:pPr>
          </w:p>
        </w:tc>
        <w:tc>
          <w:tcPr>
            <w:tcW w:w="1534" w:type="dxa"/>
            <w:vAlign w:val="center"/>
          </w:tcPr>
          <w:p>
            <w:pPr>
              <w:spacing w:line="360" w:lineRule="exact"/>
              <w:jc w:val="center"/>
              <w:rPr>
                <w:rFonts w:eastAsia="仿宋_GB2312"/>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pPr>
            <w:r>
              <w:rPr>
                <w:rFonts w:hint="eastAsia"/>
                <w:szCs w:val="21"/>
              </w:rPr>
              <w:t>聚醚消泡剂</w:t>
            </w:r>
          </w:p>
        </w:tc>
        <w:tc>
          <w:tcPr>
            <w:tcW w:w="1830" w:type="dxa"/>
            <w:vAlign w:val="center"/>
          </w:tcPr>
          <w:p>
            <w:pPr>
              <w:widowControl/>
              <w:jc w:val="center"/>
            </w:pPr>
            <w:r>
              <w:rPr>
                <w:szCs w:val="21"/>
              </w:rPr>
              <w:t>3.212</w:t>
            </w:r>
          </w:p>
        </w:tc>
        <w:tc>
          <w:tcPr>
            <w:tcW w:w="692" w:type="dxa"/>
            <w:vAlign w:val="center"/>
          </w:tcPr>
          <w:p>
            <w:pPr>
              <w:spacing w:line="360" w:lineRule="exact"/>
              <w:jc w:val="center"/>
              <w:rPr>
                <w:rFonts w:eastAsia="仿宋_GB2312"/>
                <w:sz w:val="24"/>
              </w:rPr>
            </w:pPr>
          </w:p>
        </w:tc>
        <w:tc>
          <w:tcPr>
            <w:tcW w:w="1621" w:type="dxa"/>
            <w:vAlign w:val="center"/>
          </w:tcPr>
          <w:p>
            <w:pPr>
              <w:spacing w:line="360" w:lineRule="exact"/>
              <w:jc w:val="center"/>
              <w:rPr>
                <w:rFonts w:eastAsia="仿宋_GB2312"/>
                <w:sz w:val="24"/>
              </w:rPr>
            </w:pPr>
          </w:p>
        </w:tc>
        <w:tc>
          <w:tcPr>
            <w:tcW w:w="1534" w:type="dxa"/>
            <w:vAlign w:val="center"/>
          </w:tcPr>
          <w:p>
            <w:pPr>
              <w:spacing w:line="360" w:lineRule="exact"/>
              <w:jc w:val="center"/>
              <w:rPr>
                <w:rFonts w:eastAsia="仿宋_GB2312"/>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675" w:type="dxa"/>
            <w:gridSpan w:val="2"/>
            <w:vMerge w:val="continue"/>
            <w:vAlign w:val="center"/>
          </w:tcPr>
          <w:p>
            <w:pPr>
              <w:spacing w:line="360" w:lineRule="exact"/>
              <w:jc w:val="center"/>
              <w:rPr>
                <w:rFonts w:eastAsia="仿宋_GB2312"/>
                <w:sz w:val="24"/>
              </w:rPr>
            </w:pPr>
          </w:p>
        </w:tc>
        <w:tc>
          <w:tcPr>
            <w:tcW w:w="2709" w:type="dxa"/>
            <w:vAlign w:val="center"/>
          </w:tcPr>
          <w:p>
            <w:pPr>
              <w:widowControl/>
              <w:jc w:val="center"/>
              <w:rPr>
                <w:szCs w:val="21"/>
              </w:rPr>
            </w:pPr>
            <w:r>
              <w:rPr>
                <w:rFonts w:hint="eastAsia"/>
                <w:szCs w:val="21"/>
              </w:rPr>
              <w:t>次氯酸钠（1</w:t>
            </w:r>
            <w:r>
              <w:rPr>
                <w:szCs w:val="21"/>
              </w:rPr>
              <w:t>0</w:t>
            </w:r>
            <w:r>
              <w:rPr>
                <w:rFonts w:hint="eastAsia"/>
                <w:szCs w:val="21"/>
              </w:rPr>
              <w:t>%）</w:t>
            </w:r>
          </w:p>
        </w:tc>
        <w:tc>
          <w:tcPr>
            <w:tcW w:w="1830" w:type="dxa"/>
            <w:vAlign w:val="center"/>
          </w:tcPr>
          <w:p>
            <w:pPr>
              <w:widowControl/>
              <w:jc w:val="center"/>
              <w:rPr>
                <w:szCs w:val="21"/>
              </w:rPr>
            </w:pPr>
            <w:r>
              <w:rPr>
                <w:rFonts w:hint="eastAsia"/>
                <w:szCs w:val="21"/>
              </w:rPr>
              <w:t>2</w:t>
            </w:r>
            <w:r>
              <w:rPr>
                <w:szCs w:val="21"/>
              </w:rPr>
              <w:t>22.6</w:t>
            </w:r>
          </w:p>
        </w:tc>
        <w:tc>
          <w:tcPr>
            <w:tcW w:w="692" w:type="dxa"/>
            <w:vAlign w:val="center"/>
          </w:tcPr>
          <w:p>
            <w:pPr>
              <w:spacing w:line="360" w:lineRule="exact"/>
              <w:jc w:val="center"/>
              <w:rPr>
                <w:rFonts w:eastAsia="仿宋_GB2312"/>
                <w:sz w:val="24"/>
              </w:rPr>
            </w:pPr>
          </w:p>
        </w:tc>
        <w:tc>
          <w:tcPr>
            <w:tcW w:w="1621" w:type="dxa"/>
            <w:vAlign w:val="center"/>
          </w:tcPr>
          <w:p>
            <w:pPr>
              <w:spacing w:line="360" w:lineRule="exact"/>
              <w:jc w:val="center"/>
              <w:rPr>
                <w:rFonts w:eastAsia="仿宋_GB2312"/>
                <w:sz w:val="24"/>
              </w:rPr>
            </w:pPr>
          </w:p>
        </w:tc>
        <w:tc>
          <w:tcPr>
            <w:tcW w:w="1534" w:type="dxa"/>
            <w:vAlign w:val="center"/>
          </w:tcPr>
          <w:p>
            <w:pPr>
              <w:spacing w:line="360" w:lineRule="exact"/>
              <w:jc w:val="center"/>
              <w:rPr>
                <w:rFonts w:eastAsia="仿宋_GB2312"/>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gridBefore w:val="1"/>
          <w:wBefore w:w="6" w:type="dxa"/>
          <w:jc w:val="center"/>
        </w:trPr>
        <w:tc>
          <w:tcPr>
            <w:tcW w:w="9055" w:type="dxa"/>
            <w:gridSpan w:val="6"/>
            <w:tcBorders>
              <w:top w:val="single" w:color="auto" w:sz="6" w:space="0"/>
              <w:left w:val="single" w:color="auto" w:sz="12" w:space="0"/>
              <w:bottom w:val="single" w:color="auto" w:sz="6" w:space="0"/>
              <w:right w:val="single" w:color="auto" w:sz="12" w:space="0"/>
            </w:tcBorders>
          </w:tcPr>
          <w:p>
            <w:pPr>
              <w:spacing w:line="360" w:lineRule="auto"/>
              <w:rPr>
                <w:rFonts w:eastAsia="楷体_GB2312"/>
                <w:sz w:val="24"/>
              </w:rPr>
            </w:pPr>
            <w:r>
              <w:rPr>
                <w:rFonts w:eastAsia="楷体_GB2312"/>
                <w:sz w:val="24"/>
              </w:rPr>
              <w:t>生产工艺流程简要说明或简图：</w:t>
            </w:r>
          </w:p>
          <w:p>
            <w:pPr>
              <w:spacing w:line="360" w:lineRule="auto"/>
              <w:ind w:firstLine="482" w:firstLineChars="200"/>
              <w:outlineLvl w:val="0"/>
              <w:rPr>
                <w:b/>
                <w:sz w:val="24"/>
              </w:rPr>
            </w:pPr>
            <w:r>
              <w:rPr>
                <w:b/>
                <w:sz w:val="24"/>
              </w:rPr>
              <w:t>一</w:t>
            </w:r>
            <w:r>
              <w:rPr>
                <w:rFonts w:hint="eastAsia"/>
                <w:b/>
                <w:sz w:val="24"/>
              </w:rPr>
              <w:t>、</w:t>
            </w:r>
            <w:r>
              <w:rPr>
                <w:b/>
                <w:sz w:val="24"/>
              </w:rPr>
              <w:t>施工期污染因素分析</w:t>
            </w:r>
          </w:p>
          <w:p>
            <w:pPr>
              <w:spacing w:line="360" w:lineRule="auto"/>
              <w:ind w:firstLine="480" w:firstLineChars="200"/>
              <w:outlineLvl w:val="0"/>
              <w:rPr>
                <w:sz w:val="24"/>
              </w:rPr>
            </w:pPr>
            <w:r>
              <w:rPr>
                <w:sz w:val="24"/>
              </w:rPr>
              <w:t>项目施工期主要为厂</w:t>
            </w:r>
            <w:r>
              <w:rPr>
                <w:rFonts w:hint="eastAsia"/>
                <w:sz w:val="24"/>
              </w:rPr>
              <w:t>房</w:t>
            </w:r>
            <w:r>
              <w:rPr>
                <w:sz w:val="24"/>
              </w:rPr>
              <w:t>建设、进水管道、排水管道安装。施工期主要污染环节为：</w:t>
            </w:r>
          </w:p>
          <w:p>
            <w:pPr>
              <w:spacing w:line="360" w:lineRule="auto"/>
              <w:ind w:firstLine="480" w:firstLineChars="200"/>
              <w:outlineLvl w:val="0"/>
              <w:rPr>
                <w:sz w:val="24"/>
              </w:rPr>
            </w:pPr>
            <w:r>
              <w:rPr>
                <w:sz w:val="24"/>
              </w:rPr>
              <w:t>(1) 废气：施工扬尘、工程运输车辆的尾气；</w:t>
            </w:r>
          </w:p>
          <w:p>
            <w:pPr>
              <w:spacing w:line="360" w:lineRule="auto"/>
              <w:ind w:firstLine="480" w:firstLineChars="200"/>
              <w:outlineLvl w:val="0"/>
              <w:rPr>
                <w:sz w:val="24"/>
              </w:rPr>
            </w:pPr>
            <w:r>
              <w:rPr>
                <w:sz w:val="24"/>
              </w:rPr>
              <w:t>(2) 废水：施工人员产生的少量生活污水；</w:t>
            </w:r>
          </w:p>
          <w:p>
            <w:pPr>
              <w:spacing w:line="360" w:lineRule="auto"/>
              <w:ind w:firstLine="480" w:firstLineChars="200"/>
              <w:rPr>
                <w:sz w:val="24"/>
              </w:rPr>
            </w:pPr>
            <w:r>
              <w:rPr>
                <w:sz w:val="24"/>
              </w:rPr>
              <w:t>(3) 噪声：运输车辆、施工机械噪声；</w:t>
            </w:r>
          </w:p>
          <w:p>
            <w:pPr>
              <w:spacing w:line="360" w:lineRule="auto"/>
              <w:ind w:firstLine="480" w:firstLineChars="200"/>
              <w:rPr>
                <w:sz w:val="24"/>
              </w:rPr>
            </w:pPr>
            <w:r>
              <w:rPr>
                <w:sz w:val="24"/>
              </w:rPr>
              <w:t>(4) 固废：少量废件、施工人员产生的少量生活垃圾；</w:t>
            </w:r>
          </w:p>
          <w:p>
            <w:pPr>
              <w:spacing w:line="360" w:lineRule="auto"/>
              <w:ind w:firstLine="482" w:firstLineChars="200"/>
              <w:rPr>
                <w:b/>
                <w:sz w:val="24"/>
              </w:rPr>
            </w:pPr>
            <w:r>
              <w:rPr>
                <w:b/>
                <w:sz w:val="24"/>
              </w:rPr>
              <w:t>二</w:t>
            </w:r>
            <w:r>
              <w:rPr>
                <w:rFonts w:hint="eastAsia"/>
                <w:b/>
                <w:sz w:val="24"/>
              </w:rPr>
              <w:t>、</w:t>
            </w:r>
            <w:r>
              <w:rPr>
                <w:b/>
                <w:sz w:val="24"/>
              </w:rPr>
              <w:t>营运期污染因素分析</w:t>
            </w:r>
          </w:p>
          <w:p>
            <w:pPr>
              <w:pStyle w:val="145"/>
              <w:adjustRightInd w:val="0"/>
              <w:snapToGrid w:val="0"/>
              <w:ind w:firstLine="482"/>
              <w:rPr>
                <w:rFonts w:ascii="Times New Roman" w:hAnsi="Times New Roman" w:cs="Times New Roman"/>
                <w:b/>
              </w:rPr>
            </w:pPr>
            <w:r>
              <w:rPr>
                <w:rFonts w:ascii="Times New Roman" w:hAnsi="Times New Roman" w:cs="Times New Roman"/>
                <w:b/>
              </w:rPr>
              <w:t>1. 海水淡化处理工艺流程</w:t>
            </w:r>
          </w:p>
          <w:p>
            <w:pPr>
              <w:pStyle w:val="145"/>
              <w:adjustRightInd w:val="0"/>
              <w:snapToGrid w:val="0"/>
              <w:ind w:firstLine="480"/>
              <w:rPr>
                <w:rFonts w:ascii="Times New Roman" w:hAnsi="Times New Roman" w:cs="Times New Roman"/>
              </w:rPr>
            </w:pPr>
            <w:r>
              <w:rPr>
                <w:rFonts w:hint="eastAsia" w:ascii="Times New Roman" w:hAnsi="Times New Roman" w:cs="Times New Roman"/>
              </w:rPr>
              <w:t>规模：一期海水淡化系统产水3万m</w:t>
            </w:r>
            <w:r>
              <w:rPr>
                <w:rFonts w:hint="eastAsia" w:ascii="Times New Roman" w:hAnsi="Times New Roman" w:cs="Times New Roman"/>
                <w:vertAlign w:val="superscript"/>
              </w:rPr>
              <w:t>3</w:t>
            </w:r>
            <w:r>
              <w:rPr>
                <w:rFonts w:hint="eastAsia" w:ascii="Times New Roman" w:hAnsi="Times New Roman" w:cs="Times New Roman"/>
              </w:rPr>
              <w:t>/d，二期海水淡化系统产水规模为7万m</w:t>
            </w:r>
            <w:r>
              <w:rPr>
                <w:rFonts w:hint="eastAsia" w:ascii="Times New Roman" w:hAnsi="Times New Roman" w:cs="Times New Roman"/>
                <w:vertAlign w:val="superscript"/>
              </w:rPr>
              <w:t>3</w:t>
            </w:r>
            <w:r>
              <w:rPr>
                <w:rFonts w:hint="eastAsia" w:ascii="Times New Roman" w:hAnsi="Times New Roman" w:cs="Times New Roman"/>
              </w:rPr>
              <w:t>/d。</w:t>
            </w:r>
          </w:p>
          <w:p>
            <w:pPr>
              <w:pStyle w:val="145"/>
              <w:adjustRightInd w:val="0"/>
              <w:snapToGrid w:val="0"/>
              <w:ind w:firstLine="480"/>
              <w:rPr>
                <w:rFonts w:ascii="Times New Roman" w:hAnsi="Times New Roman" w:cs="Times New Roman"/>
              </w:rPr>
            </w:pPr>
            <w:r>
              <w:rPr>
                <w:rFonts w:hint="eastAsia" w:ascii="Times New Roman" w:hAnsi="Times New Roman" w:cs="Times New Roman"/>
              </w:rPr>
              <w:t>反渗透工艺流程（一期</w:t>
            </w:r>
            <w:r>
              <w:rPr>
                <w:rFonts w:ascii="Times New Roman" w:hAnsi="Times New Roman" w:cs="Times New Roman"/>
              </w:rPr>
              <w:t>3</w:t>
            </w:r>
            <w:r>
              <w:rPr>
                <w:rFonts w:hint="eastAsia" w:ascii="Times New Roman" w:hAnsi="Times New Roman" w:cs="Times New Roman"/>
              </w:rPr>
              <w:t>万m</w:t>
            </w:r>
            <w:r>
              <w:rPr>
                <w:rFonts w:hint="eastAsia" w:ascii="Times New Roman" w:hAnsi="Times New Roman" w:cs="Times New Roman"/>
                <w:vertAlign w:val="superscript"/>
              </w:rPr>
              <w:t>3</w:t>
            </w:r>
            <w:r>
              <w:rPr>
                <w:rFonts w:hint="eastAsia" w:ascii="Times New Roman" w:hAnsi="Times New Roman" w:cs="Times New Roman"/>
              </w:rPr>
              <w:t>/d、二期5万m</w:t>
            </w:r>
            <w:r>
              <w:rPr>
                <w:rFonts w:hint="eastAsia" w:ascii="Times New Roman" w:hAnsi="Times New Roman" w:cs="Times New Roman"/>
                <w:vertAlign w:val="superscript"/>
              </w:rPr>
              <w:t>3</w:t>
            </w:r>
            <w:r>
              <w:rPr>
                <w:rFonts w:hint="eastAsia" w:ascii="Times New Roman" w:hAnsi="Times New Roman" w:cs="Times New Roman"/>
              </w:rPr>
              <w:t>/d规模采用同样的处理工艺）：取水泵（原一期循环水泵，利旧）→V型滤池→清水池→超滤给水泵→超滤自清洗过滤器→超滤膜组件→中间水池(兼反洗)→海水反渗透给水泵→海水反渗透保安过滤器→海水RO高压泵(带PX型能量回收装置)→海水RO膜组件（夏季部分进二级反渗透处理，二级反渗透产水和一级反渗透产水进行混掺）→一级反渗透产水池。</w:t>
            </w:r>
          </w:p>
          <w:p>
            <w:pPr>
              <w:pStyle w:val="145"/>
              <w:adjustRightInd w:val="0"/>
              <w:snapToGrid w:val="0"/>
              <w:ind w:firstLine="480"/>
              <w:rPr>
                <w:rFonts w:ascii="Times New Roman" w:hAnsi="Times New Roman" w:cs="Times New Roman"/>
              </w:rPr>
            </w:pPr>
            <w:r>
              <w:rPr>
                <w:rFonts w:hint="eastAsia" w:ascii="Times New Roman" w:hAnsi="Times New Roman" w:cs="Times New Roman"/>
              </w:rPr>
              <w:t>污泥处理：V型滤池絮凝槽排泥→叠罗脱水机→污泥外运。</w:t>
            </w:r>
          </w:p>
          <w:p>
            <w:pPr>
              <w:pStyle w:val="145"/>
              <w:adjustRightInd w:val="0"/>
              <w:snapToGrid w:val="0"/>
              <w:ind w:firstLine="480"/>
              <w:rPr>
                <w:rFonts w:ascii="Times New Roman" w:hAnsi="Times New Roman" w:cs="Times New Roman"/>
              </w:rPr>
            </w:pPr>
            <w:r>
              <w:rPr>
                <w:rFonts w:hint="eastAsia" w:ascii="Times New Roman" w:hAnsi="Times New Roman" w:cs="Times New Roman"/>
              </w:rPr>
              <w:t>中和池废水处理：中和池废水→酸碱加药中和→排至冷却水渠。</w:t>
            </w:r>
          </w:p>
          <w:p>
            <w:pPr>
              <w:pStyle w:val="145"/>
              <w:adjustRightInd w:val="0"/>
              <w:snapToGrid w:val="0"/>
              <w:ind w:firstLine="480"/>
              <w:rPr>
                <w:rFonts w:ascii="Times New Roman" w:hAnsi="Times New Roman" w:cs="Times New Roman"/>
              </w:rPr>
            </w:pPr>
            <w:r>
              <w:rPr>
                <w:rFonts w:hint="eastAsia" w:ascii="Times New Roman" w:hAnsi="Times New Roman" w:cs="Times New Roman"/>
              </w:rPr>
              <w:t>工艺流程说明：海水经杀菌消毒后，由取水泵提升至快慢混槽，快混槽内加入混凝剂，慢混槽内加入助凝剂（正常条件下对助凝剂无依赖），充分混合絮凝反应；快慢混槽出水进入一级预处理系统。预过滤后的海水自流进入清水池，再由超滤供水泵提升进入到自清洗过滤器，保证超滤膜系统的安全稳定运行。经超滤系统净化后的海水进入到中间水池，再经一级给水泵增压后进入保安过滤，确保进水达到反渗透的进水要求，经过一级保安过滤器的海水分成两股，一股进入到一级高压泵，经一级高压泵加压后直接进入到一级RO膜组内，另一股进入到能量回收中利用反渗透浓海水的余压进行加压，然后再由增压泵加压后进入到一级反渗透膜组中，一级反渗透的产水进入到一级RO产水池，一级RO产水TDS在500mg/L以下。根据设计资料，温度在25℃以下时，一级产水即能满足要求；按照夏季最高水温27℃考虑，需要对部分一级产水进行二级反渗透处理，二级产水与一级产水进行掺混。考虑掺混需要，一级产水池根据二级用水量做分格设计，需要二级产水时两格之间用闸阀截断，不需要二级产水时，两格之间闸阀打开，相通成为一体。</w:t>
            </w:r>
          </w:p>
          <w:p>
            <w:pPr>
              <w:pStyle w:val="145"/>
              <w:adjustRightInd w:val="0"/>
              <w:snapToGrid w:val="0"/>
              <w:ind w:firstLine="480"/>
              <w:rPr>
                <w:rFonts w:ascii="Times New Roman" w:hAnsi="Times New Roman" w:cs="Times New Roman"/>
              </w:rPr>
            </w:pPr>
            <w:r>
              <w:rPr>
                <w:rFonts w:hint="eastAsia" w:ascii="Times New Roman" w:hAnsi="Times New Roman" w:cs="Times New Roman"/>
              </w:rPr>
              <w:t>部分一级产水依次通过二级给水泵、二级保安过滤和二级高压泵后进入到二级RO膜组进行二次脱盐，二级RO产水TDS在50mg/L以下，硼在0.54mg/L（27℃）以下，二级产水混入一级产水池作为威海市市政自来水。二级浓水回流至中间水池作为一级进水，重复利用，节约海水进料。滤池反洗水、超滤正常反冲洗水、一级反渗透浓水排入电厂冷却水排水渠；超滤CEB反洗水及其它废水一起排入中和池。</w:t>
            </w:r>
          </w:p>
          <w:p>
            <w:pPr>
              <w:pStyle w:val="145"/>
              <w:adjustRightInd w:val="0"/>
              <w:snapToGrid w:val="0"/>
              <w:ind w:firstLine="480"/>
              <w:rPr>
                <w:rFonts w:ascii="Times New Roman" w:hAnsi="Times New Roman" w:cs="Times New Roman"/>
              </w:rPr>
            </w:pPr>
            <w:r>
              <w:rPr>
                <w:rFonts w:hint="eastAsia" w:ascii="Times New Roman" w:hAnsi="Times New Roman" w:cs="Times New Roman"/>
              </w:rPr>
              <w:t>在海水淡化处理系统工艺流程中，最重要的环节为超滤装置和反渗透装置的化学加强反洗，以去除经反洗无法去除的成分，从而恢复膜的处理能力。</w:t>
            </w:r>
          </w:p>
          <w:p>
            <w:pPr>
              <w:pStyle w:val="145"/>
              <w:adjustRightInd w:val="0"/>
              <w:snapToGrid w:val="0"/>
              <w:ind w:firstLine="480"/>
              <w:rPr>
                <w:rFonts w:ascii="Times New Roman" w:hAnsi="Times New Roman" w:cs="Times New Roman"/>
              </w:rPr>
            </w:pPr>
            <w:r>
              <w:rPr>
                <w:rFonts w:hint="eastAsia" w:ascii="Times New Roman" w:hAnsi="Times New Roman" w:cs="Times New Roman"/>
              </w:rPr>
              <w:t>一级和二级反渗透进水需要加入阻垢剂，降低膜污堵。在超滤和反渗透运行一段时间，需要进行化学加强反洗来恢复其膜处理能力，清洗需要加入化学药剂来实现。具体工艺流程及水平衡图见附图3。</w:t>
            </w:r>
          </w:p>
          <w:p>
            <w:pPr>
              <w:pStyle w:val="145"/>
              <w:adjustRightInd w:val="0"/>
              <w:snapToGrid w:val="0"/>
              <w:ind w:firstLine="480"/>
              <w:rPr>
                <w:rFonts w:ascii="Times New Roman" w:hAnsi="Times New Roman" w:cs="Times New Roman"/>
              </w:rPr>
            </w:pPr>
            <w:r>
              <w:rPr>
                <w:rFonts w:hint="eastAsia" w:ascii="Times New Roman" w:hAnsi="Times New Roman" w:cs="Times New Roman"/>
              </w:rPr>
              <w:t>低温多效工艺（二期2万m</w:t>
            </w:r>
            <w:r>
              <w:rPr>
                <w:rFonts w:hint="eastAsia" w:ascii="Times New Roman" w:hAnsi="Times New Roman" w:cs="Times New Roman"/>
                <w:vertAlign w:val="superscript"/>
              </w:rPr>
              <w:t>3</w:t>
            </w:r>
            <w:r>
              <w:rPr>
                <w:rFonts w:hint="eastAsia" w:ascii="Times New Roman" w:hAnsi="Times New Roman" w:cs="Times New Roman"/>
              </w:rPr>
              <w:t>/d规模采用该工艺）：低温多效系统的工艺流程为：经过自清洗过滤器后的海水经升压后进入低温多效蒸发器，通过喷淋布液装置在蒸发器换热管外表面形成均匀液膜，在重力作用下自上而下流动，在蒸发器底部汇集。加热蒸汽温度在换热管管内释放潜热被冷凝，管外海水被加热而产生蒸发，蒸发的蒸汽作为下一效加热蒸汽。蒸汽管内凝结和海水管外蒸发重复进行，直至最后一效，最后一效产生的蒸汽进入配套凝汽器冷凝。低温多效工艺仅排放浓盐水，进入厂区冷却水渠与电厂清净下水掺混排放。具体工艺流程及水平衡图见附图</w:t>
            </w:r>
            <w:r>
              <w:rPr>
                <w:rFonts w:ascii="Times New Roman" w:hAnsi="Times New Roman" w:cs="Times New Roman"/>
              </w:rPr>
              <w:t>4</w:t>
            </w:r>
            <w:r>
              <w:rPr>
                <w:rFonts w:hint="eastAsia" w:ascii="Times New Roman" w:hAnsi="Times New Roman" w:cs="Times New Roman"/>
              </w:rPr>
              <w:t>。</w:t>
            </w:r>
          </w:p>
          <w:p>
            <w:pPr>
              <w:pStyle w:val="145"/>
              <w:adjustRightInd w:val="0"/>
              <w:snapToGrid w:val="0"/>
              <w:ind w:firstLine="482"/>
              <w:rPr>
                <w:rFonts w:ascii="Times New Roman" w:hAnsi="Times New Roman" w:cs="Times New Roman"/>
                <w:b/>
              </w:rPr>
            </w:pPr>
            <w:r>
              <w:rPr>
                <w:rFonts w:ascii="Times New Roman" w:hAnsi="Times New Roman" w:cs="Times New Roman"/>
                <w:b/>
              </w:rPr>
              <w:t>2</w:t>
            </w:r>
            <w:r>
              <w:rPr>
                <w:rFonts w:hint="eastAsia" w:ascii="Times New Roman" w:hAnsi="Times New Roman" w:cs="Times New Roman"/>
                <w:b/>
              </w:rPr>
              <w:t>.</w:t>
            </w:r>
            <w:r>
              <w:rPr>
                <w:rFonts w:ascii="Times New Roman" w:hAnsi="Times New Roman" w:cs="Times New Roman"/>
                <w:b/>
              </w:rPr>
              <w:t xml:space="preserve"> 产污环节说明</w:t>
            </w:r>
          </w:p>
          <w:p>
            <w:pPr>
              <w:pStyle w:val="145"/>
              <w:ind w:firstLine="480"/>
              <w:rPr>
                <w:rFonts w:ascii="Times New Roman" w:hAnsi="Times New Roman" w:cs="Times New Roman"/>
              </w:rPr>
            </w:pPr>
            <w:r>
              <w:rPr>
                <w:rFonts w:hint="eastAsia" w:ascii="Times New Roman" w:hAnsi="Times New Roman" w:cs="Times New Roman"/>
              </w:rPr>
              <w:t>本项目营运期产污环节为：</w:t>
            </w:r>
          </w:p>
          <w:p>
            <w:pPr>
              <w:spacing w:line="360" w:lineRule="auto"/>
              <w:ind w:firstLine="480" w:firstLineChars="200"/>
              <w:outlineLvl w:val="0"/>
              <w:rPr>
                <w:sz w:val="24"/>
              </w:rPr>
            </w:pPr>
            <w:r>
              <w:rPr>
                <w:sz w:val="24"/>
              </w:rPr>
              <w:t>(1) 废气：</w:t>
            </w:r>
            <w:r>
              <w:rPr>
                <w:rFonts w:hint="eastAsia"/>
                <w:sz w:val="24"/>
              </w:rPr>
              <w:t>本项目运营期间不产生大气污染物，对周围大气环境无影响；</w:t>
            </w:r>
          </w:p>
          <w:p>
            <w:pPr>
              <w:spacing w:line="360" w:lineRule="auto"/>
              <w:ind w:firstLine="480" w:firstLineChars="200"/>
              <w:outlineLvl w:val="0"/>
              <w:rPr>
                <w:sz w:val="24"/>
              </w:rPr>
            </w:pPr>
            <w:r>
              <w:rPr>
                <w:sz w:val="24"/>
              </w:rPr>
              <w:t>(2) 废水：</w:t>
            </w:r>
            <w:r>
              <w:rPr>
                <w:rFonts w:hint="eastAsia"/>
                <w:sz w:val="24"/>
              </w:rPr>
              <w:t>浓盐水；</w:t>
            </w:r>
          </w:p>
          <w:p>
            <w:pPr>
              <w:spacing w:line="360" w:lineRule="auto"/>
              <w:ind w:firstLine="480" w:firstLineChars="200"/>
              <w:rPr>
                <w:sz w:val="24"/>
              </w:rPr>
            </w:pPr>
            <w:r>
              <w:rPr>
                <w:sz w:val="24"/>
              </w:rPr>
              <w:t>(</w:t>
            </w:r>
            <w:r>
              <w:rPr>
                <w:rFonts w:hint="eastAsia"/>
                <w:sz w:val="24"/>
              </w:rPr>
              <w:t>3</w:t>
            </w:r>
            <w:r>
              <w:rPr>
                <w:sz w:val="24"/>
              </w:rPr>
              <w:t>) 噪声：</w:t>
            </w:r>
            <w:r>
              <w:rPr>
                <w:rFonts w:hint="eastAsia"/>
                <w:sz w:val="24"/>
              </w:rPr>
              <w:t>海水淡化厂营运期噪声主要来源于取水泵、膜处理单元高压泵以及各种药剂投加泵产生的噪声；</w:t>
            </w:r>
          </w:p>
          <w:p>
            <w:pPr>
              <w:spacing w:line="360" w:lineRule="auto"/>
              <w:ind w:firstLine="480" w:firstLineChars="200"/>
              <w:rPr>
                <w:sz w:val="24"/>
              </w:rPr>
            </w:pPr>
            <w:r>
              <w:rPr>
                <w:sz w:val="24"/>
              </w:rPr>
              <w:t>(</w:t>
            </w:r>
            <w:r>
              <w:rPr>
                <w:rFonts w:hint="eastAsia"/>
                <w:sz w:val="24"/>
              </w:rPr>
              <w:t>4</w:t>
            </w:r>
            <w:r>
              <w:rPr>
                <w:sz w:val="24"/>
              </w:rPr>
              <w:t>) 固废：</w:t>
            </w:r>
            <w:r>
              <w:rPr>
                <w:rFonts w:hint="eastAsia"/>
                <w:sz w:val="24"/>
              </w:rPr>
              <w:t>营运期的固体废物主要为海水淡化工艺过程产生的污泥，V型滤池絮凝槽排泥→叠罗脱水机→运至煤厂掺烧。</w:t>
            </w:r>
          </w:p>
          <w:p>
            <w:pPr>
              <w:pStyle w:val="145"/>
              <w:adjustRightInd w:val="0"/>
              <w:snapToGrid w:val="0"/>
              <w:ind w:firstLine="482"/>
              <w:rPr>
                <w:rFonts w:ascii="Times New Roman" w:hAnsi="Times New Roman" w:cs="Times New Roman"/>
                <w:b/>
              </w:rPr>
            </w:pPr>
            <w:r>
              <w:rPr>
                <w:rFonts w:ascii="Times New Roman" w:hAnsi="Times New Roman" w:cs="Times New Roman"/>
                <w:b/>
              </w:rPr>
              <w:t>3. 污染物产生及排放量分析</w:t>
            </w:r>
          </w:p>
          <w:p>
            <w:pPr>
              <w:pStyle w:val="145"/>
              <w:adjustRightInd w:val="0"/>
              <w:snapToGrid w:val="0"/>
              <w:ind w:firstLine="480"/>
              <w:rPr>
                <w:rFonts w:ascii="Times New Roman" w:hAnsi="Times New Roman" w:cs="Times New Roman"/>
              </w:rPr>
            </w:pPr>
            <w:r>
              <w:rPr>
                <w:rFonts w:ascii="Times New Roman" w:hAnsi="Times New Roman" w:cs="Times New Roman"/>
              </w:rPr>
              <w:t>(1) 废水</w:t>
            </w:r>
          </w:p>
          <w:p>
            <w:pPr>
              <w:pStyle w:val="145"/>
              <w:adjustRightInd w:val="0"/>
              <w:snapToGrid w:val="0"/>
              <w:ind w:firstLine="480"/>
              <w:rPr>
                <w:rFonts w:ascii="Times New Roman" w:hAnsi="Times New Roman" w:cs="Times New Roman"/>
              </w:rPr>
            </w:pPr>
            <w:r>
              <w:rPr>
                <w:rFonts w:ascii="Times New Roman" w:hAnsi="Times New Roman" w:cs="Times New Roman"/>
              </w:rPr>
              <w:t>项目营运期产生的废水主要包括浓盐水。</w:t>
            </w:r>
          </w:p>
          <w:p>
            <w:pPr>
              <w:adjustRightInd w:val="0"/>
              <w:snapToGrid w:val="0"/>
              <w:spacing w:line="360" w:lineRule="auto"/>
              <w:ind w:firstLine="480" w:firstLineChars="200"/>
              <w:rPr>
                <w:sz w:val="24"/>
              </w:rPr>
            </w:pPr>
            <w:r>
              <w:rPr>
                <w:sz w:val="24"/>
              </w:rPr>
              <w:t>原水</w:t>
            </w:r>
            <w:r>
              <w:rPr>
                <w:rFonts w:hint="eastAsia"/>
                <w:sz w:val="24"/>
              </w:rPr>
              <w:t>（冬季为电厂温排水、夏季为海水）</w:t>
            </w:r>
            <w:r>
              <w:rPr>
                <w:sz w:val="24"/>
              </w:rPr>
              <w:t>经淡化工艺处理后，</w:t>
            </w:r>
            <w:r>
              <w:rPr>
                <w:rFonts w:hint="eastAsia"/>
                <w:sz w:val="24"/>
              </w:rPr>
              <w:t>10万m</w:t>
            </w:r>
            <w:r>
              <w:rPr>
                <w:rFonts w:hint="eastAsia"/>
                <w:sz w:val="24"/>
                <w:vertAlign w:val="superscript"/>
              </w:rPr>
              <w:t>3</w:t>
            </w:r>
            <w:r>
              <w:rPr>
                <w:rFonts w:hint="eastAsia"/>
                <w:sz w:val="24"/>
              </w:rPr>
              <w:t>/d(占3</w:t>
            </w:r>
            <w:r>
              <w:rPr>
                <w:sz w:val="24"/>
              </w:rPr>
              <w:t>5</w:t>
            </w:r>
            <w:r>
              <w:rPr>
                <w:rFonts w:hint="eastAsia"/>
                <w:sz w:val="24"/>
              </w:rPr>
              <w:t>%，其中一期3万m</w:t>
            </w:r>
            <w:r>
              <w:rPr>
                <w:rFonts w:hint="eastAsia"/>
                <w:sz w:val="24"/>
                <w:vertAlign w:val="superscript"/>
              </w:rPr>
              <w:t>3</w:t>
            </w:r>
            <w:r>
              <w:rPr>
                <w:rFonts w:hint="eastAsia"/>
                <w:sz w:val="24"/>
              </w:rPr>
              <w:t>/d，二期7万m</w:t>
            </w:r>
            <w:r>
              <w:rPr>
                <w:rFonts w:hint="eastAsia"/>
                <w:sz w:val="24"/>
                <w:vertAlign w:val="superscript"/>
              </w:rPr>
              <w:t>3</w:t>
            </w:r>
            <w:r>
              <w:rPr>
                <w:rFonts w:hint="eastAsia"/>
                <w:sz w:val="24"/>
              </w:rPr>
              <w:t>/d)水量以淡化水的形式供用户所需，剩余</w:t>
            </w:r>
            <w:r>
              <w:rPr>
                <w:sz w:val="24"/>
              </w:rPr>
              <w:t>187640</w:t>
            </w:r>
            <w:r>
              <w:rPr>
                <w:rFonts w:hint="eastAsia"/>
                <w:sz w:val="24"/>
              </w:rPr>
              <w:t>m</w:t>
            </w:r>
            <w:r>
              <w:rPr>
                <w:rFonts w:hint="eastAsia"/>
                <w:sz w:val="24"/>
                <w:vertAlign w:val="superscript"/>
              </w:rPr>
              <w:t>3</w:t>
            </w:r>
            <w:r>
              <w:rPr>
                <w:rFonts w:hint="eastAsia"/>
                <w:sz w:val="24"/>
              </w:rPr>
              <w:t>/d</w:t>
            </w:r>
            <w:r>
              <w:rPr>
                <w:sz w:val="24"/>
              </w:rPr>
              <w:t>的浓盐水</w:t>
            </w:r>
            <w:r>
              <w:rPr>
                <w:rFonts w:hint="eastAsia"/>
                <w:sz w:val="24"/>
              </w:rPr>
              <w:t>通过冷却水渠近岸排放</w:t>
            </w:r>
            <w:r>
              <w:rPr>
                <w:sz w:val="24"/>
              </w:rPr>
              <w:t>，</w:t>
            </w:r>
            <w:r>
              <w:rPr>
                <w:rFonts w:hint="eastAsia"/>
                <w:sz w:val="24"/>
              </w:rPr>
              <w:t>一期、二期排放量详见表1</w:t>
            </w:r>
            <w:r>
              <w:rPr>
                <w:sz w:val="24"/>
              </w:rPr>
              <w:t>3</w:t>
            </w:r>
            <w:r>
              <w:rPr>
                <w:rFonts w:hint="eastAsia"/>
                <w:sz w:val="24"/>
              </w:rPr>
              <w:t>。</w:t>
            </w:r>
          </w:p>
          <w:p>
            <w:pPr>
              <w:adjustRightInd w:val="0"/>
              <w:snapToGrid w:val="0"/>
              <w:spacing w:line="360" w:lineRule="auto"/>
              <w:ind w:firstLine="482" w:firstLineChars="200"/>
              <w:jc w:val="center"/>
              <w:rPr>
                <w:b/>
                <w:bCs/>
                <w:sz w:val="24"/>
              </w:rPr>
            </w:pPr>
            <w:r>
              <w:rPr>
                <w:rFonts w:hint="eastAsia"/>
                <w:b/>
                <w:bCs/>
                <w:sz w:val="24"/>
              </w:rPr>
              <w:t>表1</w:t>
            </w:r>
            <w:r>
              <w:rPr>
                <w:b/>
                <w:bCs/>
                <w:sz w:val="24"/>
              </w:rPr>
              <w:t xml:space="preserve">3 </w:t>
            </w:r>
            <w:r>
              <w:rPr>
                <w:rFonts w:hint="eastAsia"/>
                <w:b/>
                <w:bCs/>
                <w:sz w:val="24"/>
              </w:rPr>
              <w:t>项目排水情况一览表（单位t</w:t>
            </w:r>
            <w:r>
              <w:rPr>
                <w:b/>
                <w:bCs/>
                <w:sz w:val="24"/>
              </w:rPr>
              <w:t>/d</w:t>
            </w:r>
            <w:r>
              <w:rPr>
                <w:rFonts w:hint="eastAsia"/>
                <w:b/>
                <w:bCs/>
                <w:sz w:val="24"/>
              </w:rPr>
              <w:t>）</w:t>
            </w:r>
          </w:p>
          <w:tbl>
            <w:tblPr>
              <w:tblStyle w:val="89"/>
              <w:tblW w:w="88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2675"/>
              <w:gridCol w:w="1766"/>
              <w:gridCol w:w="1766"/>
              <w:gridCol w:w="1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vAlign w:val="center"/>
                </w:tcPr>
                <w:p>
                  <w:pPr>
                    <w:adjustRightInd w:val="0"/>
                    <w:snapToGrid w:val="0"/>
                    <w:spacing w:line="360" w:lineRule="auto"/>
                    <w:jc w:val="center"/>
                    <w:rPr>
                      <w:b/>
                      <w:bCs/>
                      <w:sz w:val="24"/>
                    </w:rPr>
                  </w:pPr>
                  <w:r>
                    <w:rPr>
                      <w:rFonts w:hint="eastAsia"/>
                      <w:b/>
                      <w:bCs/>
                      <w:sz w:val="24"/>
                    </w:rPr>
                    <w:t>序号</w:t>
                  </w:r>
                </w:p>
              </w:tc>
              <w:tc>
                <w:tcPr>
                  <w:tcW w:w="2675" w:type="dxa"/>
                  <w:vAlign w:val="center"/>
                </w:tcPr>
                <w:p>
                  <w:pPr>
                    <w:adjustRightInd w:val="0"/>
                    <w:snapToGrid w:val="0"/>
                    <w:spacing w:line="360" w:lineRule="auto"/>
                    <w:jc w:val="center"/>
                    <w:rPr>
                      <w:b/>
                      <w:bCs/>
                      <w:sz w:val="24"/>
                    </w:rPr>
                  </w:pPr>
                  <w:r>
                    <w:rPr>
                      <w:rFonts w:hint="eastAsia"/>
                      <w:b/>
                      <w:bCs/>
                      <w:sz w:val="24"/>
                    </w:rPr>
                    <w:t>项目</w:t>
                  </w:r>
                </w:p>
              </w:tc>
              <w:tc>
                <w:tcPr>
                  <w:tcW w:w="1766" w:type="dxa"/>
                  <w:vAlign w:val="center"/>
                </w:tcPr>
                <w:p>
                  <w:pPr>
                    <w:adjustRightInd w:val="0"/>
                    <w:snapToGrid w:val="0"/>
                    <w:spacing w:line="360" w:lineRule="auto"/>
                    <w:jc w:val="center"/>
                    <w:rPr>
                      <w:b/>
                      <w:bCs/>
                      <w:sz w:val="24"/>
                    </w:rPr>
                  </w:pPr>
                  <w:r>
                    <w:rPr>
                      <w:rFonts w:hint="eastAsia"/>
                      <w:b/>
                      <w:bCs/>
                      <w:sz w:val="24"/>
                    </w:rPr>
                    <w:t>总排量</w:t>
                  </w:r>
                </w:p>
              </w:tc>
              <w:tc>
                <w:tcPr>
                  <w:tcW w:w="1766" w:type="dxa"/>
                  <w:vAlign w:val="center"/>
                </w:tcPr>
                <w:p>
                  <w:pPr>
                    <w:adjustRightInd w:val="0"/>
                    <w:snapToGrid w:val="0"/>
                    <w:spacing w:line="360" w:lineRule="auto"/>
                    <w:jc w:val="center"/>
                    <w:rPr>
                      <w:b/>
                      <w:bCs/>
                      <w:sz w:val="24"/>
                    </w:rPr>
                  </w:pPr>
                  <w:r>
                    <w:rPr>
                      <w:rFonts w:hint="eastAsia"/>
                      <w:b/>
                      <w:bCs/>
                      <w:sz w:val="24"/>
                    </w:rPr>
                    <w:t>一期排放量</w:t>
                  </w:r>
                </w:p>
              </w:tc>
              <w:tc>
                <w:tcPr>
                  <w:tcW w:w="1766" w:type="dxa"/>
                  <w:vAlign w:val="center"/>
                </w:tcPr>
                <w:p>
                  <w:pPr>
                    <w:adjustRightInd w:val="0"/>
                    <w:snapToGrid w:val="0"/>
                    <w:spacing w:line="360" w:lineRule="auto"/>
                    <w:jc w:val="center"/>
                    <w:rPr>
                      <w:b/>
                      <w:bCs/>
                      <w:sz w:val="24"/>
                    </w:rPr>
                  </w:pPr>
                  <w:r>
                    <w:rPr>
                      <w:rFonts w:hint="eastAsia"/>
                      <w:b/>
                      <w:bCs/>
                      <w:sz w:val="24"/>
                    </w:rPr>
                    <w:t>二期排放量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vAlign w:val="center"/>
                </w:tcPr>
                <w:p>
                  <w:pPr>
                    <w:adjustRightInd w:val="0"/>
                    <w:snapToGrid w:val="0"/>
                    <w:spacing w:line="360" w:lineRule="auto"/>
                    <w:jc w:val="center"/>
                    <w:rPr>
                      <w:sz w:val="24"/>
                    </w:rPr>
                  </w:pPr>
                  <w:r>
                    <w:rPr>
                      <w:rFonts w:hint="eastAsia"/>
                      <w:sz w:val="24"/>
                    </w:rPr>
                    <w:t>1</w:t>
                  </w:r>
                </w:p>
              </w:tc>
              <w:tc>
                <w:tcPr>
                  <w:tcW w:w="2675" w:type="dxa"/>
                  <w:vAlign w:val="center"/>
                </w:tcPr>
                <w:p>
                  <w:pPr>
                    <w:adjustRightInd w:val="0"/>
                    <w:snapToGrid w:val="0"/>
                    <w:spacing w:line="360" w:lineRule="auto"/>
                    <w:jc w:val="center"/>
                    <w:rPr>
                      <w:sz w:val="24"/>
                    </w:rPr>
                  </w:pPr>
                  <w:r>
                    <w:rPr>
                      <w:rFonts w:hint="eastAsia"/>
                      <w:sz w:val="24"/>
                    </w:rPr>
                    <w:t>滤池反洗水</w:t>
                  </w:r>
                </w:p>
              </w:tc>
              <w:tc>
                <w:tcPr>
                  <w:tcW w:w="1766" w:type="dxa"/>
                  <w:vAlign w:val="center"/>
                </w:tcPr>
                <w:p>
                  <w:pPr>
                    <w:adjustRightInd w:val="0"/>
                    <w:snapToGrid w:val="0"/>
                    <w:spacing w:line="360" w:lineRule="auto"/>
                    <w:jc w:val="center"/>
                    <w:rPr>
                      <w:sz w:val="24"/>
                    </w:rPr>
                  </w:pPr>
                  <w:r>
                    <w:rPr>
                      <w:rFonts w:hint="eastAsia"/>
                      <w:sz w:val="24"/>
                    </w:rPr>
                    <w:t>9</w:t>
                  </w:r>
                  <w:r>
                    <w:rPr>
                      <w:sz w:val="24"/>
                    </w:rPr>
                    <w:t>896</w:t>
                  </w:r>
                </w:p>
              </w:tc>
              <w:tc>
                <w:tcPr>
                  <w:tcW w:w="1766" w:type="dxa"/>
                  <w:vAlign w:val="center"/>
                </w:tcPr>
                <w:p>
                  <w:pPr>
                    <w:adjustRightInd w:val="0"/>
                    <w:snapToGrid w:val="0"/>
                    <w:spacing w:line="360" w:lineRule="auto"/>
                    <w:jc w:val="center"/>
                    <w:rPr>
                      <w:sz w:val="24"/>
                    </w:rPr>
                  </w:pPr>
                  <w:r>
                    <w:rPr>
                      <w:rFonts w:hint="eastAsia"/>
                      <w:sz w:val="24"/>
                    </w:rPr>
                    <w:t>3</w:t>
                  </w:r>
                  <w:r>
                    <w:rPr>
                      <w:sz w:val="24"/>
                    </w:rPr>
                    <w:t>711</w:t>
                  </w:r>
                </w:p>
              </w:tc>
              <w:tc>
                <w:tcPr>
                  <w:tcW w:w="1766" w:type="dxa"/>
                  <w:vAlign w:val="center"/>
                </w:tcPr>
                <w:p>
                  <w:pPr>
                    <w:adjustRightInd w:val="0"/>
                    <w:snapToGrid w:val="0"/>
                    <w:spacing w:line="360" w:lineRule="auto"/>
                    <w:jc w:val="center"/>
                    <w:rPr>
                      <w:sz w:val="24"/>
                    </w:rPr>
                  </w:pPr>
                  <w:r>
                    <w:rPr>
                      <w:rFonts w:hint="eastAsia"/>
                      <w:sz w:val="24"/>
                    </w:rPr>
                    <w:t>6</w:t>
                  </w:r>
                  <w:r>
                    <w:rPr>
                      <w:sz w:val="24"/>
                    </w:rPr>
                    <w:t>185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vAlign w:val="center"/>
                </w:tcPr>
                <w:p>
                  <w:pPr>
                    <w:adjustRightInd w:val="0"/>
                    <w:snapToGrid w:val="0"/>
                    <w:spacing w:line="360" w:lineRule="auto"/>
                    <w:jc w:val="center"/>
                    <w:rPr>
                      <w:sz w:val="24"/>
                    </w:rPr>
                  </w:pPr>
                  <w:r>
                    <w:rPr>
                      <w:rFonts w:hint="eastAsia"/>
                      <w:sz w:val="24"/>
                    </w:rPr>
                    <w:t>2</w:t>
                  </w:r>
                </w:p>
              </w:tc>
              <w:tc>
                <w:tcPr>
                  <w:tcW w:w="2675" w:type="dxa"/>
                  <w:vAlign w:val="center"/>
                </w:tcPr>
                <w:p>
                  <w:pPr>
                    <w:adjustRightInd w:val="0"/>
                    <w:snapToGrid w:val="0"/>
                    <w:spacing w:line="360" w:lineRule="auto"/>
                    <w:jc w:val="center"/>
                    <w:rPr>
                      <w:sz w:val="24"/>
                    </w:rPr>
                  </w:pPr>
                  <w:r>
                    <w:rPr>
                      <w:rFonts w:hint="eastAsia"/>
                      <w:sz w:val="24"/>
                    </w:rPr>
                    <w:t>超滤反冲洗水</w:t>
                  </w:r>
                </w:p>
              </w:tc>
              <w:tc>
                <w:tcPr>
                  <w:tcW w:w="1766" w:type="dxa"/>
                  <w:vAlign w:val="center"/>
                </w:tcPr>
                <w:p>
                  <w:pPr>
                    <w:adjustRightInd w:val="0"/>
                    <w:snapToGrid w:val="0"/>
                    <w:spacing w:line="360" w:lineRule="auto"/>
                    <w:jc w:val="center"/>
                    <w:rPr>
                      <w:sz w:val="24"/>
                    </w:rPr>
                  </w:pPr>
                  <w:r>
                    <w:rPr>
                      <w:rFonts w:hint="eastAsia"/>
                      <w:sz w:val="24"/>
                    </w:rPr>
                    <w:t>1</w:t>
                  </w:r>
                  <w:r>
                    <w:rPr>
                      <w:sz w:val="24"/>
                    </w:rPr>
                    <w:t>8150</w:t>
                  </w:r>
                </w:p>
              </w:tc>
              <w:tc>
                <w:tcPr>
                  <w:tcW w:w="1766" w:type="dxa"/>
                  <w:vAlign w:val="center"/>
                </w:tcPr>
                <w:p>
                  <w:pPr>
                    <w:adjustRightInd w:val="0"/>
                    <w:snapToGrid w:val="0"/>
                    <w:spacing w:line="360" w:lineRule="auto"/>
                    <w:jc w:val="center"/>
                    <w:rPr>
                      <w:sz w:val="24"/>
                    </w:rPr>
                  </w:pPr>
                  <w:r>
                    <w:rPr>
                      <w:rFonts w:hint="eastAsia"/>
                      <w:sz w:val="24"/>
                    </w:rPr>
                    <w:t>6</w:t>
                  </w:r>
                  <w:r>
                    <w:rPr>
                      <w:sz w:val="24"/>
                    </w:rPr>
                    <w:t>806</w:t>
                  </w:r>
                </w:p>
              </w:tc>
              <w:tc>
                <w:tcPr>
                  <w:tcW w:w="1766" w:type="dxa"/>
                  <w:vAlign w:val="center"/>
                </w:tcPr>
                <w:p>
                  <w:pPr>
                    <w:adjustRightInd w:val="0"/>
                    <w:snapToGrid w:val="0"/>
                    <w:spacing w:line="360" w:lineRule="auto"/>
                    <w:jc w:val="center"/>
                    <w:rPr>
                      <w:sz w:val="24"/>
                    </w:rPr>
                  </w:pPr>
                  <w:r>
                    <w:rPr>
                      <w:rFonts w:hint="eastAsia"/>
                      <w:sz w:val="24"/>
                    </w:rPr>
                    <w:t>1</w:t>
                  </w:r>
                  <w:r>
                    <w:rPr>
                      <w:sz w:val="24"/>
                    </w:rPr>
                    <w:t>1344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vAlign w:val="center"/>
                </w:tcPr>
                <w:p>
                  <w:pPr>
                    <w:adjustRightInd w:val="0"/>
                    <w:snapToGrid w:val="0"/>
                    <w:spacing w:line="360" w:lineRule="auto"/>
                    <w:jc w:val="center"/>
                    <w:rPr>
                      <w:sz w:val="24"/>
                    </w:rPr>
                  </w:pPr>
                  <w:r>
                    <w:rPr>
                      <w:rFonts w:hint="eastAsia"/>
                      <w:sz w:val="24"/>
                    </w:rPr>
                    <w:t>3</w:t>
                  </w:r>
                </w:p>
              </w:tc>
              <w:tc>
                <w:tcPr>
                  <w:tcW w:w="2675" w:type="dxa"/>
                  <w:vAlign w:val="center"/>
                </w:tcPr>
                <w:p>
                  <w:pPr>
                    <w:adjustRightInd w:val="0"/>
                    <w:snapToGrid w:val="0"/>
                    <w:spacing w:line="360" w:lineRule="auto"/>
                    <w:jc w:val="center"/>
                    <w:rPr>
                      <w:sz w:val="24"/>
                    </w:rPr>
                  </w:pPr>
                  <w:r>
                    <w:rPr>
                      <w:rFonts w:hint="eastAsia"/>
                      <w:sz w:val="24"/>
                    </w:rPr>
                    <w:t>反渗透浓盐水</w:t>
                  </w:r>
                </w:p>
              </w:tc>
              <w:tc>
                <w:tcPr>
                  <w:tcW w:w="1766" w:type="dxa"/>
                  <w:vAlign w:val="center"/>
                </w:tcPr>
                <w:p>
                  <w:pPr>
                    <w:adjustRightInd w:val="0"/>
                    <w:snapToGrid w:val="0"/>
                    <w:spacing w:line="360" w:lineRule="auto"/>
                    <w:jc w:val="center"/>
                    <w:rPr>
                      <w:sz w:val="24"/>
                    </w:rPr>
                  </w:pPr>
                  <w:r>
                    <w:rPr>
                      <w:rFonts w:hint="eastAsia"/>
                      <w:sz w:val="24"/>
                    </w:rPr>
                    <w:t>1</w:t>
                  </w:r>
                  <w:r>
                    <w:rPr>
                      <w:sz w:val="24"/>
                    </w:rPr>
                    <w:t>03438</w:t>
                  </w:r>
                </w:p>
              </w:tc>
              <w:tc>
                <w:tcPr>
                  <w:tcW w:w="1766" w:type="dxa"/>
                  <w:vAlign w:val="center"/>
                </w:tcPr>
                <w:p>
                  <w:pPr>
                    <w:adjustRightInd w:val="0"/>
                    <w:snapToGrid w:val="0"/>
                    <w:spacing w:line="360" w:lineRule="auto"/>
                    <w:jc w:val="center"/>
                    <w:rPr>
                      <w:sz w:val="24"/>
                    </w:rPr>
                  </w:pPr>
                  <w:r>
                    <w:rPr>
                      <w:rFonts w:hint="eastAsia"/>
                      <w:sz w:val="24"/>
                    </w:rPr>
                    <w:t>3</w:t>
                  </w:r>
                  <w:r>
                    <w:rPr>
                      <w:sz w:val="24"/>
                    </w:rPr>
                    <w:t>8789</w:t>
                  </w:r>
                </w:p>
              </w:tc>
              <w:tc>
                <w:tcPr>
                  <w:tcW w:w="1766" w:type="dxa"/>
                  <w:vAlign w:val="center"/>
                </w:tcPr>
                <w:p>
                  <w:pPr>
                    <w:adjustRightInd w:val="0"/>
                    <w:snapToGrid w:val="0"/>
                    <w:spacing w:line="360" w:lineRule="auto"/>
                    <w:jc w:val="center"/>
                    <w:rPr>
                      <w:sz w:val="24"/>
                    </w:rPr>
                  </w:pPr>
                  <w:r>
                    <w:rPr>
                      <w:rFonts w:hint="eastAsia"/>
                      <w:sz w:val="24"/>
                    </w:rPr>
                    <w:t>6</w:t>
                  </w:r>
                  <w:r>
                    <w:rPr>
                      <w:sz w:val="24"/>
                    </w:rPr>
                    <w:t>4649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vAlign w:val="center"/>
                </w:tcPr>
                <w:p>
                  <w:pPr>
                    <w:adjustRightInd w:val="0"/>
                    <w:snapToGrid w:val="0"/>
                    <w:spacing w:line="360" w:lineRule="auto"/>
                    <w:jc w:val="center"/>
                    <w:rPr>
                      <w:sz w:val="24"/>
                    </w:rPr>
                  </w:pPr>
                  <w:r>
                    <w:rPr>
                      <w:rFonts w:hint="eastAsia"/>
                      <w:sz w:val="24"/>
                    </w:rPr>
                    <w:t>4</w:t>
                  </w:r>
                </w:p>
              </w:tc>
              <w:tc>
                <w:tcPr>
                  <w:tcW w:w="2675" w:type="dxa"/>
                  <w:vAlign w:val="center"/>
                </w:tcPr>
                <w:p>
                  <w:pPr>
                    <w:adjustRightInd w:val="0"/>
                    <w:snapToGrid w:val="0"/>
                    <w:spacing w:line="360" w:lineRule="auto"/>
                    <w:jc w:val="center"/>
                    <w:rPr>
                      <w:sz w:val="24"/>
                    </w:rPr>
                  </w:pPr>
                  <w:r>
                    <w:rPr>
                      <w:rFonts w:hint="eastAsia"/>
                      <w:sz w:val="24"/>
                    </w:rPr>
                    <w:t>清洗废水</w:t>
                  </w:r>
                </w:p>
              </w:tc>
              <w:tc>
                <w:tcPr>
                  <w:tcW w:w="1766" w:type="dxa"/>
                  <w:vAlign w:val="center"/>
                </w:tcPr>
                <w:p>
                  <w:pPr>
                    <w:adjustRightInd w:val="0"/>
                    <w:snapToGrid w:val="0"/>
                    <w:spacing w:line="360" w:lineRule="auto"/>
                    <w:jc w:val="center"/>
                    <w:rPr>
                      <w:sz w:val="24"/>
                    </w:rPr>
                  </w:pPr>
                  <w:r>
                    <w:rPr>
                      <w:rFonts w:hint="eastAsia"/>
                      <w:sz w:val="24"/>
                    </w:rPr>
                    <w:t>1</w:t>
                  </w:r>
                  <w:r>
                    <w:rPr>
                      <w:sz w:val="24"/>
                    </w:rPr>
                    <w:t>226</w:t>
                  </w:r>
                </w:p>
              </w:tc>
              <w:tc>
                <w:tcPr>
                  <w:tcW w:w="1766" w:type="dxa"/>
                  <w:vAlign w:val="center"/>
                </w:tcPr>
                <w:p>
                  <w:pPr>
                    <w:adjustRightInd w:val="0"/>
                    <w:snapToGrid w:val="0"/>
                    <w:spacing w:line="360" w:lineRule="auto"/>
                    <w:jc w:val="center"/>
                    <w:rPr>
                      <w:sz w:val="24"/>
                    </w:rPr>
                  </w:pPr>
                  <w:r>
                    <w:rPr>
                      <w:rFonts w:hint="eastAsia"/>
                      <w:sz w:val="24"/>
                    </w:rPr>
                    <w:t>4</w:t>
                  </w:r>
                  <w:r>
                    <w:rPr>
                      <w:sz w:val="24"/>
                    </w:rPr>
                    <w:t>60</w:t>
                  </w:r>
                </w:p>
              </w:tc>
              <w:tc>
                <w:tcPr>
                  <w:tcW w:w="1766" w:type="dxa"/>
                  <w:vAlign w:val="center"/>
                </w:tcPr>
                <w:p>
                  <w:pPr>
                    <w:adjustRightInd w:val="0"/>
                    <w:snapToGrid w:val="0"/>
                    <w:spacing w:line="360" w:lineRule="auto"/>
                    <w:jc w:val="center"/>
                    <w:rPr>
                      <w:sz w:val="24"/>
                    </w:rPr>
                  </w:pPr>
                  <w:r>
                    <w:rPr>
                      <w:rFonts w:hint="eastAsia"/>
                      <w:sz w:val="24"/>
                    </w:rPr>
                    <w:t>7</w:t>
                  </w:r>
                  <w:r>
                    <w:rPr>
                      <w:sz w:val="24"/>
                    </w:rPr>
                    <w:t>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vAlign w:val="center"/>
                </w:tcPr>
                <w:p>
                  <w:pPr>
                    <w:adjustRightInd w:val="0"/>
                    <w:snapToGrid w:val="0"/>
                    <w:spacing w:line="360" w:lineRule="auto"/>
                    <w:jc w:val="center"/>
                    <w:rPr>
                      <w:sz w:val="24"/>
                    </w:rPr>
                  </w:pPr>
                  <w:r>
                    <w:rPr>
                      <w:rFonts w:hint="eastAsia"/>
                      <w:sz w:val="24"/>
                    </w:rPr>
                    <w:t>5</w:t>
                  </w:r>
                </w:p>
              </w:tc>
              <w:tc>
                <w:tcPr>
                  <w:tcW w:w="2675" w:type="dxa"/>
                  <w:vAlign w:val="center"/>
                </w:tcPr>
                <w:p>
                  <w:pPr>
                    <w:adjustRightInd w:val="0"/>
                    <w:snapToGrid w:val="0"/>
                    <w:spacing w:line="360" w:lineRule="auto"/>
                    <w:jc w:val="center"/>
                    <w:rPr>
                      <w:sz w:val="24"/>
                    </w:rPr>
                  </w:pPr>
                  <w:r>
                    <w:rPr>
                      <w:rFonts w:hint="eastAsia"/>
                      <w:sz w:val="24"/>
                    </w:rPr>
                    <w:t>低温多效浓盐水</w:t>
                  </w:r>
                </w:p>
              </w:tc>
              <w:tc>
                <w:tcPr>
                  <w:tcW w:w="1766" w:type="dxa"/>
                  <w:vAlign w:val="center"/>
                </w:tcPr>
                <w:p>
                  <w:pPr>
                    <w:adjustRightInd w:val="0"/>
                    <w:snapToGrid w:val="0"/>
                    <w:spacing w:line="360" w:lineRule="auto"/>
                    <w:jc w:val="center"/>
                    <w:rPr>
                      <w:sz w:val="24"/>
                    </w:rPr>
                  </w:pPr>
                  <w:r>
                    <w:rPr>
                      <w:rFonts w:hint="eastAsia"/>
                      <w:sz w:val="24"/>
                    </w:rPr>
                    <w:t>5</w:t>
                  </w:r>
                  <w:r>
                    <w:rPr>
                      <w:sz w:val="24"/>
                    </w:rPr>
                    <w:t>4930</w:t>
                  </w:r>
                </w:p>
              </w:tc>
              <w:tc>
                <w:tcPr>
                  <w:tcW w:w="1766" w:type="dxa"/>
                  <w:vAlign w:val="center"/>
                </w:tcPr>
                <w:p>
                  <w:pPr>
                    <w:adjustRightInd w:val="0"/>
                    <w:snapToGrid w:val="0"/>
                    <w:spacing w:line="360" w:lineRule="auto"/>
                    <w:jc w:val="center"/>
                    <w:rPr>
                      <w:sz w:val="24"/>
                    </w:rPr>
                  </w:pPr>
                  <w:r>
                    <w:rPr>
                      <w:rFonts w:hint="eastAsia"/>
                      <w:sz w:val="24"/>
                    </w:rPr>
                    <w:t>/</w:t>
                  </w:r>
                </w:p>
              </w:tc>
              <w:tc>
                <w:tcPr>
                  <w:tcW w:w="1766" w:type="dxa"/>
                  <w:vAlign w:val="center"/>
                </w:tcPr>
                <w:p>
                  <w:pPr>
                    <w:adjustRightInd w:val="0"/>
                    <w:snapToGrid w:val="0"/>
                    <w:spacing w:line="360" w:lineRule="auto"/>
                    <w:jc w:val="center"/>
                    <w:rPr>
                      <w:sz w:val="24"/>
                    </w:rPr>
                  </w:pPr>
                  <w:r>
                    <w:rPr>
                      <w:rFonts w:hint="eastAsia"/>
                      <w:sz w:val="24"/>
                    </w:rPr>
                    <w:t>5</w:t>
                  </w:r>
                  <w:r>
                    <w:rPr>
                      <w:sz w:val="24"/>
                    </w:rPr>
                    <w:t>4930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vAlign w:val="center"/>
                </w:tcPr>
                <w:p>
                  <w:pPr>
                    <w:adjustRightInd w:val="0"/>
                    <w:snapToGrid w:val="0"/>
                    <w:spacing w:line="360" w:lineRule="auto"/>
                    <w:jc w:val="center"/>
                    <w:rPr>
                      <w:sz w:val="24"/>
                    </w:rPr>
                  </w:pPr>
                  <w:r>
                    <w:rPr>
                      <w:rFonts w:hint="eastAsia"/>
                      <w:sz w:val="24"/>
                    </w:rPr>
                    <w:t>6</w:t>
                  </w:r>
                </w:p>
              </w:tc>
              <w:tc>
                <w:tcPr>
                  <w:tcW w:w="2675" w:type="dxa"/>
                  <w:vAlign w:val="center"/>
                </w:tcPr>
                <w:p>
                  <w:pPr>
                    <w:adjustRightInd w:val="0"/>
                    <w:snapToGrid w:val="0"/>
                    <w:spacing w:line="360" w:lineRule="auto"/>
                    <w:jc w:val="center"/>
                    <w:rPr>
                      <w:sz w:val="24"/>
                    </w:rPr>
                  </w:pPr>
                  <w:r>
                    <w:rPr>
                      <w:rFonts w:hint="eastAsia"/>
                      <w:sz w:val="24"/>
                    </w:rPr>
                    <w:t>总计</w:t>
                  </w:r>
                </w:p>
              </w:tc>
              <w:tc>
                <w:tcPr>
                  <w:tcW w:w="1766" w:type="dxa"/>
                  <w:vAlign w:val="center"/>
                </w:tcPr>
                <w:p>
                  <w:pPr>
                    <w:adjustRightInd w:val="0"/>
                    <w:snapToGrid w:val="0"/>
                    <w:spacing w:line="360" w:lineRule="auto"/>
                    <w:jc w:val="center"/>
                    <w:rPr>
                      <w:sz w:val="24"/>
                    </w:rPr>
                  </w:pPr>
                  <w:r>
                    <w:rPr>
                      <w:rFonts w:hint="eastAsia"/>
                      <w:sz w:val="24"/>
                    </w:rPr>
                    <w:t>1</w:t>
                  </w:r>
                  <w:r>
                    <w:rPr>
                      <w:sz w:val="24"/>
                    </w:rPr>
                    <w:t>87640</w:t>
                  </w:r>
                </w:p>
              </w:tc>
              <w:tc>
                <w:tcPr>
                  <w:tcW w:w="1766" w:type="dxa"/>
                  <w:vAlign w:val="center"/>
                </w:tcPr>
                <w:p>
                  <w:pPr>
                    <w:adjustRightInd w:val="0"/>
                    <w:snapToGrid w:val="0"/>
                    <w:spacing w:line="360" w:lineRule="auto"/>
                    <w:jc w:val="center"/>
                    <w:rPr>
                      <w:sz w:val="24"/>
                    </w:rPr>
                  </w:pPr>
                  <w:r>
                    <w:rPr>
                      <w:rFonts w:hint="eastAsia"/>
                      <w:sz w:val="24"/>
                    </w:rPr>
                    <w:t>4</w:t>
                  </w:r>
                  <w:r>
                    <w:rPr>
                      <w:sz w:val="24"/>
                    </w:rPr>
                    <w:t>9766</w:t>
                  </w:r>
                </w:p>
              </w:tc>
              <w:tc>
                <w:tcPr>
                  <w:tcW w:w="1766" w:type="dxa"/>
                  <w:vAlign w:val="center"/>
                </w:tcPr>
                <w:p>
                  <w:pPr>
                    <w:adjustRightInd w:val="0"/>
                    <w:snapToGrid w:val="0"/>
                    <w:spacing w:line="360" w:lineRule="auto"/>
                    <w:jc w:val="center"/>
                    <w:rPr>
                      <w:sz w:val="24"/>
                    </w:rPr>
                  </w:pPr>
                  <w:r>
                    <w:rPr>
                      <w:rFonts w:hint="eastAsia"/>
                      <w:sz w:val="24"/>
                    </w:rPr>
                    <w:t>1</w:t>
                  </w:r>
                  <w:r>
                    <w:rPr>
                      <w:sz w:val="24"/>
                    </w:rPr>
                    <w:t>37874</w:t>
                  </w:r>
                </w:p>
              </w:tc>
            </w:tr>
          </w:tbl>
          <w:p>
            <w:pPr>
              <w:adjustRightInd w:val="0"/>
              <w:snapToGrid w:val="0"/>
              <w:spacing w:line="360" w:lineRule="auto"/>
              <w:ind w:firstLine="480" w:firstLineChars="200"/>
              <w:rPr>
                <w:sz w:val="24"/>
              </w:rPr>
            </w:pPr>
            <w:r>
              <w:rPr>
                <w:rFonts w:hint="eastAsia"/>
                <w:sz w:val="24"/>
              </w:rPr>
              <w:t>此外，</w:t>
            </w:r>
            <w:r>
              <w:rPr>
                <w:sz w:val="24"/>
              </w:rPr>
              <w:t>排水中还含有少量预处理过程中添加的助剂及其发生反应后的产物等，包括</w:t>
            </w:r>
            <w:r>
              <w:rPr>
                <w:rFonts w:hint="eastAsia"/>
                <w:sz w:val="24"/>
              </w:rPr>
              <w:t>：1）超滤膜、一级反渗透膜、二级反渗透膜化学清洗</w:t>
            </w:r>
            <w:r>
              <w:rPr>
                <w:sz w:val="24"/>
              </w:rPr>
              <w:t>投加的</w:t>
            </w:r>
            <w:r>
              <w:rPr>
                <w:rFonts w:hint="eastAsia"/>
                <w:sz w:val="24"/>
              </w:rPr>
              <w:t>盐酸</w:t>
            </w:r>
            <w:r>
              <w:rPr>
                <w:sz w:val="24"/>
              </w:rPr>
              <w:t>，同投加的NaOH中和，生成Na</w:t>
            </w:r>
            <w:r>
              <w:rPr>
                <w:rFonts w:hint="eastAsia"/>
                <w:sz w:val="24"/>
              </w:rPr>
              <w:t>Cl</w:t>
            </w:r>
            <w:r>
              <w:rPr>
                <w:sz w:val="24"/>
              </w:rPr>
              <w:t>，随浓盐水排海</w:t>
            </w:r>
            <w:r>
              <w:rPr>
                <w:rFonts w:hint="eastAsia"/>
                <w:sz w:val="24"/>
              </w:rPr>
              <w:t>；（2） 在一级反渗透之前投加的阻垢剂亦将随浓盐水排海。3）使用</w:t>
            </w:r>
            <w:r>
              <w:rPr>
                <w:sz w:val="24"/>
              </w:rPr>
              <w:t>NaClO</w:t>
            </w:r>
            <w:r>
              <w:rPr>
                <w:rFonts w:hint="eastAsia"/>
                <w:sz w:val="24"/>
              </w:rPr>
              <w:t>对反渗透膜进行清洗及消毒，剩余的部分</w:t>
            </w:r>
            <w:r>
              <w:rPr>
                <w:sz w:val="24"/>
              </w:rPr>
              <w:t>NaClO</w:t>
            </w:r>
            <w:r>
              <w:rPr>
                <w:rFonts w:hint="eastAsia"/>
                <w:sz w:val="24"/>
              </w:rPr>
              <w:t>，与一级反渗透前添加的抗氧化剂焦亚硫酸钠发生氧化还原反应，形成</w:t>
            </w:r>
            <w:r>
              <w:rPr>
                <w:sz w:val="24"/>
              </w:rPr>
              <w:t>NaCl</w:t>
            </w:r>
            <w:r>
              <w:rPr>
                <w:rFonts w:hint="eastAsia"/>
                <w:sz w:val="24"/>
              </w:rPr>
              <w:t>和</w:t>
            </w:r>
            <w:r>
              <w:rPr>
                <w:sz w:val="24"/>
              </w:rPr>
              <w:t>Na</w:t>
            </w:r>
            <w:r>
              <w:rPr>
                <w:sz w:val="24"/>
                <w:vertAlign w:val="subscript"/>
              </w:rPr>
              <w:t>2</w:t>
            </w:r>
            <w:r>
              <w:rPr>
                <w:sz w:val="24"/>
              </w:rPr>
              <w:t>SO</w:t>
            </w:r>
            <w:r>
              <w:rPr>
                <w:sz w:val="24"/>
                <w:vertAlign w:val="subscript"/>
              </w:rPr>
              <w:t>4</w:t>
            </w:r>
            <w:r>
              <w:rPr>
                <w:rFonts w:hint="eastAsia"/>
                <w:sz w:val="24"/>
              </w:rPr>
              <w:t>，随浓盐水排放；</w:t>
            </w:r>
          </w:p>
          <w:p>
            <w:pPr>
              <w:adjustRightInd w:val="0"/>
              <w:snapToGrid w:val="0"/>
              <w:spacing w:line="360" w:lineRule="auto"/>
              <w:ind w:firstLine="480" w:firstLineChars="200"/>
              <w:rPr>
                <w:sz w:val="24"/>
              </w:rPr>
            </w:pPr>
            <w:r>
              <w:rPr>
                <w:rFonts w:hint="eastAsia"/>
                <w:sz w:val="24"/>
              </w:rPr>
              <w:t>污染物源强分析：</w:t>
            </w:r>
          </w:p>
          <w:p>
            <w:pPr>
              <w:adjustRightInd w:val="0"/>
              <w:snapToGrid w:val="0"/>
              <w:spacing w:line="360" w:lineRule="auto"/>
              <w:ind w:firstLine="480" w:firstLineChars="200"/>
              <w:rPr>
                <w:sz w:val="24"/>
              </w:rPr>
            </w:pPr>
            <w:r>
              <w:rPr>
                <w:sz w:val="24"/>
              </w:rPr>
              <w:t>A</w:t>
            </w:r>
            <w:r>
              <w:rPr>
                <w:rFonts w:hint="eastAsia"/>
                <w:sz w:val="24"/>
              </w:rPr>
              <w:t>：盐度</w:t>
            </w:r>
          </w:p>
          <w:p>
            <w:pPr>
              <w:adjustRightInd w:val="0"/>
              <w:snapToGrid w:val="0"/>
              <w:spacing w:line="360" w:lineRule="auto"/>
              <w:ind w:firstLine="480" w:firstLineChars="200"/>
              <w:rPr>
                <w:sz w:val="24"/>
              </w:rPr>
            </w:pPr>
            <w:r>
              <w:rPr>
                <w:rFonts w:hint="eastAsia"/>
                <w:sz w:val="24"/>
              </w:rPr>
              <w:t>本项目海水淡化处理规模为10万m</w:t>
            </w:r>
            <w:r>
              <w:rPr>
                <w:rFonts w:hint="eastAsia"/>
                <w:sz w:val="24"/>
                <w:vertAlign w:val="superscript"/>
              </w:rPr>
              <w:t>3</w:t>
            </w:r>
            <w:r>
              <w:rPr>
                <w:rFonts w:hint="eastAsia"/>
                <w:sz w:val="24"/>
              </w:rPr>
              <w:t>/d，一级反渗透产水率约45%，二级反渗透产水率约90%。取水总量为2</w:t>
            </w:r>
            <w:r>
              <w:rPr>
                <w:sz w:val="24"/>
              </w:rPr>
              <w:t>87640</w:t>
            </w:r>
            <w:r>
              <w:rPr>
                <w:rFonts w:hint="eastAsia"/>
                <w:sz w:val="24"/>
              </w:rPr>
              <w:t>m</w:t>
            </w:r>
            <w:r>
              <w:rPr>
                <w:rFonts w:hint="eastAsia"/>
                <w:sz w:val="24"/>
                <w:vertAlign w:val="superscript"/>
              </w:rPr>
              <w:t>3</w:t>
            </w:r>
            <w:r>
              <w:rPr>
                <w:rFonts w:hint="eastAsia"/>
                <w:sz w:val="24"/>
              </w:rPr>
              <w:t>/d，排出浓盐水量为</w:t>
            </w:r>
            <w:r>
              <w:rPr>
                <w:sz w:val="24"/>
              </w:rPr>
              <w:t>187640</w:t>
            </w:r>
            <w:r>
              <w:rPr>
                <w:rFonts w:hint="eastAsia"/>
                <w:sz w:val="24"/>
              </w:rPr>
              <w:t>m</w:t>
            </w:r>
            <w:r>
              <w:rPr>
                <w:rFonts w:hint="eastAsia"/>
                <w:sz w:val="24"/>
                <w:vertAlign w:val="superscript"/>
              </w:rPr>
              <w:t>3</w:t>
            </w:r>
            <w:r>
              <w:rPr>
                <w:rFonts w:hint="eastAsia"/>
                <w:sz w:val="24"/>
              </w:rPr>
              <w:t>/d。本项目取水海域的海水多年盐度平均值为</w:t>
            </w:r>
            <w:r>
              <w:rPr>
                <w:sz w:val="24"/>
              </w:rPr>
              <w:t>31.79</w:t>
            </w:r>
            <w:r>
              <w:rPr>
                <w:rFonts w:hint="eastAsia"/>
                <w:sz w:val="24"/>
              </w:rPr>
              <w:t>，经浓缩后盐度约</w:t>
            </w:r>
            <w:r>
              <w:rPr>
                <w:sz w:val="24"/>
              </w:rPr>
              <w:t>48.73</w:t>
            </w:r>
            <w:r>
              <w:rPr>
                <w:rFonts w:hint="eastAsia"/>
                <w:sz w:val="24"/>
              </w:rPr>
              <w:t>。</w:t>
            </w:r>
          </w:p>
          <w:p>
            <w:pPr>
              <w:adjustRightInd w:val="0"/>
              <w:snapToGrid w:val="0"/>
              <w:spacing w:line="360" w:lineRule="auto"/>
              <w:ind w:firstLine="480" w:firstLineChars="200"/>
              <w:rPr>
                <w:color w:val="000000" w:themeColor="text1"/>
                <w:sz w:val="24"/>
              </w:rPr>
            </w:pPr>
            <w:r>
              <w:rPr>
                <w:rFonts w:hint="eastAsia"/>
                <w:sz w:val="24"/>
              </w:rPr>
              <w:t>在海水淡化处理过程中由于投加</w:t>
            </w:r>
            <w:r>
              <w:rPr>
                <w:sz w:val="24"/>
              </w:rPr>
              <w:t>NaClO</w:t>
            </w:r>
            <w:r>
              <w:rPr>
                <w:rFonts w:hint="eastAsia"/>
                <w:sz w:val="24"/>
              </w:rPr>
              <w:t>、H</w:t>
            </w:r>
            <w:r>
              <w:rPr>
                <w:sz w:val="24"/>
              </w:rPr>
              <w:t>Cl</w:t>
            </w:r>
            <w:r>
              <w:rPr>
                <w:rFonts w:hint="eastAsia"/>
                <w:sz w:val="24"/>
              </w:rPr>
              <w:t>、NaOH、NaHSO</w:t>
            </w:r>
            <w:r>
              <w:rPr>
                <w:rFonts w:hint="eastAsia"/>
                <w:sz w:val="24"/>
                <w:vertAlign w:val="subscript"/>
              </w:rPr>
              <w:t>3</w:t>
            </w:r>
            <w:r>
              <w:rPr>
                <w:rFonts w:hint="eastAsia"/>
                <w:sz w:val="24"/>
              </w:rPr>
              <w:t>等助剂，会少量增加排水的盐度。海水淡化过程投加离子排放浓度见表</w:t>
            </w:r>
            <w:r>
              <w:rPr>
                <w:sz w:val="24"/>
              </w:rPr>
              <w:t>1</w:t>
            </w:r>
            <w:r>
              <w:rPr>
                <w:rFonts w:hint="eastAsia"/>
                <w:sz w:val="24"/>
              </w:rPr>
              <w:t>0。其中投加的NaClO在水中可水解生成</w:t>
            </w:r>
            <w:r>
              <w:rPr>
                <w:rFonts w:hint="eastAsia"/>
                <w:color w:val="000000" w:themeColor="text1"/>
                <w:sz w:val="24"/>
              </w:rPr>
              <w:t>Na</w:t>
            </w:r>
            <w:r>
              <w:rPr>
                <w:rFonts w:hint="eastAsia"/>
                <w:color w:val="000000" w:themeColor="text1"/>
                <w:sz w:val="24"/>
                <w:vertAlign w:val="superscript"/>
              </w:rPr>
              <w:t>+</w:t>
            </w:r>
            <w:r>
              <w:rPr>
                <w:rFonts w:hint="eastAsia"/>
                <w:color w:val="000000" w:themeColor="text1"/>
                <w:sz w:val="24"/>
              </w:rPr>
              <w:t>和ClO</w:t>
            </w:r>
            <w:r>
              <w:rPr>
                <w:rFonts w:hint="eastAsia"/>
                <w:color w:val="000000" w:themeColor="text1"/>
                <w:sz w:val="24"/>
                <w:vertAlign w:val="superscript"/>
              </w:rPr>
              <w:t>-</w:t>
            </w:r>
            <w:r>
              <w:rPr>
                <w:rFonts w:hint="eastAsia"/>
                <w:color w:val="000000" w:themeColor="text1"/>
                <w:sz w:val="24"/>
              </w:rPr>
              <w:t>，与亚硫酸氢钠反应生产NaCl、Na</w:t>
            </w:r>
            <w:r>
              <w:rPr>
                <w:color w:val="000000" w:themeColor="text1"/>
                <w:sz w:val="24"/>
                <w:vertAlign w:val="subscript"/>
              </w:rPr>
              <w:t>2</w:t>
            </w:r>
            <w:r>
              <w:rPr>
                <w:rFonts w:hint="eastAsia"/>
                <w:color w:val="000000" w:themeColor="text1"/>
                <w:sz w:val="24"/>
              </w:rPr>
              <w:t>SO</w:t>
            </w:r>
            <w:r>
              <w:rPr>
                <w:rFonts w:hint="eastAsia"/>
                <w:color w:val="000000" w:themeColor="text1"/>
                <w:sz w:val="24"/>
                <w:vertAlign w:val="subscript"/>
              </w:rPr>
              <w:t>4</w:t>
            </w:r>
            <w:r>
              <w:rPr>
                <w:rFonts w:hint="eastAsia"/>
                <w:color w:val="000000" w:themeColor="text1"/>
                <w:sz w:val="24"/>
              </w:rPr>
              <w:t>增加海水中N</w:t>
            </w:r>
            <w:r>
              <w:rPr>
                <w:color w:val="000000" w:themeColor="text1"/>
                <w:sz w:val="24"/>
              </w:rPr>
              <w:t>a</w:t>
            </w:r>
            <w:r>
              <w:rPr>
                <w:color w:val="000000" w:themeColor="text1"/>
                <w:sz w:val="24"/>
                <w:vertAlign w:val="superscript"/>
              </w:rPr>
              <w:t>+</w:t>
            </w:r>
            <w:r>
              <w:rPr>
                <w:rFonts w:hint="eastAsia"/>
                <w:color w:val="000000" w:themeColor="text1"/>
                <w:sz w:val="24"/>
              </w:rPr>
              <w:t>、Cl</w:t>
            </w:r>
            <w:r>
              <w:rPr>
                <w:color w:val="000000" w:themeColor="text1"/>
                <w:sz w:val="24"/>
                <w:vertAlign w:val="superscript"/>
              </w:rPr>
              <w:t>-</w:t>
            </w:r>
            <w:r>
              <w:rPr>
                <w:rFonts w:hint="eastAsia"/>
                <w:color w:val="000000" w:themeColor="text1"/>
                <w:sz w:val="24"/>
              </w:rPr>
              <w:t>、SO</w:t>
            </w:r>
            <w:r>
              <w:rPr>
                <w:rFonts w:hint="eastAsia"/>
                <w:color w:val="000000" w:themeColor="text1"/>
                <w:sz w:val="24"/>
                <w:vertAlign w:val="subscript"/>
              </w:rPr>
              <w:t>4</w:t>
            </w:r>
            <w:r>
              <w:rPr>
                <w:color w:val="000000" w:themeColor="text1"/>
                <w:sz w:val="24"/>
                <w:vertAlign w:val="superscript"/>
              </w:rPr>
              <w:t>2</w:t>
            </w:r>
            <w:r>
              <w:rPr>
                <w:rFonts w:hint="eastAsia"/>
                <w:color w:val="000000" w:themeColor="text1"/>
                <w:sz w:val="24"/>
                <w:vertAlign w:val="superscript"/>
              </w:rPr>
              <w:t>-</w:t>
            </w:r>
            <w:r>
              <w:rPr>
                <w:rFonts w:hint="eastAsia"/>
                <w:color w:val="000000" w:themeColor="text1"/>
                <w:sz w:val="24"/>
              </w:rPr>
              <w:t>。投</w:t>
            </w:r>
            <w:r>
              <w:rPr>
                <w:rFonts w:hint="eastAsia"/>
                <w:sz w:val="24"/>
              </w:rPr>
              <w:t>加H</w:t>
            </w:r>
            <w:r>
              <w:rPr>
                <w:sz w:val="24"/>
              </w:rPr>
              <w:t>Cl</w:t>
            </w:r>
            <w:r>
              <w:rPr>
                <w:rFonts w:hint="eastAsia"/>
                <w:sz w:val="24"/>
              </w:rPr>
              <w:t>增加</w:t>
            </w:r>
            <w:r>
              <w:rPr>
                <w:sz w:val="24"/>
              </w:rPr>
              <w:t>Cl</w:t>
            </w:r>
            <w:r>
              <w:rPr>
                <w:rFonts w:hint="eastAsia"/>
                <w:sz w:val="24"/>
                <w:vertAlign w:val="superscript"/>
              </w:rPr>
              <w:t>-</w:t>
            </w:r>
            <w:r>
              <w:rPr>
                <w:rFonts w:hint="eastAsia"/>
                <w:sz w:val="24"/>
              </w:rPr>
              <w:t>；投加</w:t>
            </w:r>
            <w:r>
              <w:rPr>
                <w:rFonts w:hint="eastAsia"/>
                <w:color w:val="000000" w:themeColor="text1"/>
                <w:sz w:val="24"/>
              </w:rPr>
              <w:t>NaOH增加Na</w:t>
            </w:r>
            <w:r>
              <w:rPr>
                <w:rFonts w:hint="eastAsia"/>
                <w:color w:val="000000" w:themeColor="text1"/>
                <w:sz w:val="24"/>
                <w:vertAlign w:val="superscript"/>
              </w:rPr>
              <w:t>+</w:t>
            </w:r>
            <w:r>
              <w:rPr>
                <w:rFonts w:hint="eastAsia"/>
                <w:color w:val="000000" w:themeColor="text1"/>
                <w:sz w:val="24"/>
              </w:rPr>
              <w:t>。</w:t>
            </w:r>
          </w:p>
          <w:p>
            <w:pPr>
              <w:adjustRightInd w:val="0"/>
              <w:snapToGrid w:val="0"/>
              <w:spacing w:line="360" w:lineRule="auto"/>
              <w:ind w:firstLine="480" w:firstLineChars="200"/>
              <w:rPr>
                <w:color w:val="000000" w:themeColor="text1"/>
                <w:sz w:val="24"/>
              </w:rPr>
            </w:pPr>
            <w:r>
              <w:rPr>
                <w:rFonts w:hint="eastAsia"/>
                <w:color w:val="000000" w:themeColor="text1"/>
                <w:sz w:val="24"/>
              </w:rPr>
              <w:t>总增加的Na</w:t>
            </w:r>
            <w:r>
              <w:rPr>
                <w:rFonts w:hint="eastAsia"/>
                <w:color w:val="000000" w:themeColor="text1"/>
                <w:sz w:val="24"/>
                <w:vertAlign w:val="superscript"/>
              </w:rPr>
              <w:t>+</w:t>
            </w:r>
            <w:r>
              <w:rPr>
                <w:rFonts w:hint="eastAsia"/>
                <w:color w:val="000000" w:themeColor="text1"/>
                <w:sz w:val="24"/>
              </w:rPr>
              <w:t>为</w:t>
            </w:r>
            <w:r>
              <w:rPr>
                <w:color w:val="000000" w:themeColor="text1"/>
                <w:sz w:val="24"/>
              </w:rPr>
              <w:t>1.44</w:t>
            </w:r>
            <w:r>
              <w:rPr>
                <w:rFonts w:hint="eastAsia"/>
                <w:color w:val="000000" w:themeColor="text1"/>
                <w:sz w:val="24"/>
              </w:rPr>
              <w:t>+</w:t>
            </w:r>
            <w:r>
              <w:rPr>
                <w:color w:val="000000" w:themeColor="text1"/>
                <w:sz w:val="24"/>
              </w:rPr>
              <w:t>0.25</w:t>
            </w:r>
            <w:r>
              <w:rPr>
                <w:rFonts w:hint="eastAsia"/>
                <w:color w:val="000000" w:themeColor="text1"/>
                <w:sz w:val="24"/>
              </w:rPr>
              <w:t>+</w:t>
            </w:r>
            <w:r>
              <w:rPr>
                <w:color w:val="000000" w:themeColor="text1"/>
                <w:sz w:val="24"/>
              </w:rPr>
              <w:t>0.08</w:t>
            </w:r>
            <w:r>
              <w:rPr>
                <w:rFonts w:hint="eastAsia"/>
                <w:color w:val="000000" w:themeColor="text1"/>
                <w:sz w:val="24"/>
              </w:rPr>
              <w:t>=</w:t>
            </w:r>
            <w:r>
              <w:rPr>
                <w:color w:val="000000" w:themeColor="text1"/>
                <w:sz w:val="24"/>
              </w:rPr>
              <w:t>1.77</w:t>
            </w:r>
            <w:r>
              <w:rPr>
                <w:rFonts w:hint="eastAsia"/>
                <w:color w:val="000000" w:themeColor="text1"/>
                <w:sz w:val="24"/>
              </w:rPr>
              <w:t>mg/L；</w:t>
            </w:r>
          </w:p>
          <w:p>
            <w:pPr>
              <w:adjustRightInd w:val="0"/>
              <w:snapToGrid w:val="0"/>
              <w:spacing w:line="360" w:lineRule="auto"/>
              <w:ind w:firstLine="480" w:firstLineChars="200"/>
              <w:rPr>
                <w:color w:val="000000" w:themeColor="text1"/>
                <w:sz w:val="24"/>
              </w:rPr>
            </w:pPr>
            <w:r>
              <w:rPr>
                <w:rFonts w:hint="eastAsia"/>
                <w:color w:val="000000" w:themeColor="text1"/>
                <w:sz w:val="24"/>
              </w:rPr>
              <w:t>增加的Cl</w:t>
            </w:r>
            <w:r>
              <w:rPr>
                <w:rFonts w:hint="eastAsia"/>
                <w:color w:val="000000" w:themeColor="text1"/>
                <w:sz w:val="24"/>
                <w:vertAlign w:val="superscript"/>
              </w:rPr>
              <w:t>-</w:t>
            </w:r>
            <w:r>
              <w:rPr>
                <w:rFonts w:hint="eastAsia"/>
                <w:color w:val="000000" w:themeColor="text1"/>
                <w:sz w:val="24"/>
              </w:rPr>
              <w:t>为</w:t>
            </w:r>
            <w:r>
              <w:rPr>
                <w:color w:val="000000" w:themeColor="text1"/>
                <w:sz w:val="24"/>
              </w:rPr>
              <w:t>4.21</w:t>
            </w:r>
            <w:r>
              <w:rPr>
                <w:rFonts w:hint="eastAsia"/>
                <w:color w:val="000000" w:themeColor="text1"/>
                <w:sz w:val="24"/>
              </w:rPr>
              <w:t>mg/L；</w:t>
            </w:r>
          </w:p>
          <w:p>
            <w:pPr>
              <w:adjustRightInd w:val="0"/>
              <w:snapToGrid w:val="0"/>
              <w:spacing w:line="360" w:lineRule="auto"/>
              <w:ind w:firstLine="480" w:firstLineChars="200"/>
              <w:rPr>
                <w:color w:val="000000" w:themeColor="text1"/>
                <w:sz w:val="24"/>
              </w:rPr>
            </w:pPr>
            <w:r>
              <w:rPr>
                <w:rFonts w:hint="eastAsia"/>
                <w:color w:val="000000" w:themeColor="text1"/>
                <w:sz w:val="24"/>
              </w:rPr>
              <w:t>增加的SO</w:t>
            </w:r>
            <w:r>
              <w:rPr>
                <w:rFonts w:hint="eastAsia"/>
                <w:color w:val="000000" w:themeColor="text1"/>
                <w:sz w:val="24"/>
                <w:vertAlign w:val="subscript"/>
              </w:rPr>
              <w:t>4</w:t>
            </w:r>
            <w:r>
              <w:rPr>
                <w:color w:val="000000" w:themeColor="text1"/>
                <w:sz w:val="24"/>
                <w:vertAlign w:val="superscript"/>
              </w:rPr>
              <w:t>2</w:t>
            </w:r>
            <w:r>
              <w:rPr>
                <w:rFonts w:hint="eastAsia"/>
                <w:color w:val="000000" w:themeColor="text1"/>
                <w:sz w:val="24"/>
                <w:vertAlign w:val="superscript"/>
              </w:rPr>
              <w:t>-</w:t>
            </w:r>
            <w:r>
              <w:rPr>
                <w:rFonts w:hint="eastAsia"/>
                <w:color w:val="000000" w:themeColor="text1"/>
                <w:sz w:val="24"/>
              </w:rPr>
              <w:t>为0</w:t>
            </w:r>
            <w:r>
              <w:rPr>
                <w:color w:val="000000" w:themeColor="text1"/>
                <w:sz w:val="24"/>
              </w:rPr>
              <w:t>.28</w:t>
            </w:r>
            <w:r>
              <w:rPr>
                <w:rFonts w:hint="eastAsia"/>
                <w:color w:val="000000" w:themeColor="text1"/>
                <w:sz w:val="24"/>
              </w:rPr>
              <w:t>mg</w:t>
            </w:r>
            <w:r>
              <w:rPr>
                <w:color w:val="000000" w:themeColor="text1"/>
                <w:sz w:val="24"/>
              </w:rPr>
              <w:t>/L</w:t>
            </w:r>
            <w:r>
              <w:rPr>
                <w:rFonts w:hint="eastAsia"/>
                <w:color w:val="000000" w:themeColor="text1"/>
                <w:sz w:val="24"/>
              </w:rPr>
              <w:t>。</w:t>
            </w:r>
          </w:p>
          <w:p>
            <w:pPr>
              <w:adjustRightInd w:val="0"/>
              <w:snapToGrid w:val="0"/>
              <w:spacing w:line="360" w:lineRule="auto"/>
              <w:ind w:firstLine="480" w:firstLineChars="200"/>
              <w:rPr>
                <w:sz w:val="24"/>
              </w:rPr>
            </w:pPr>
            <w:r>
              <w:rPr>
                <w:rFonts w:hint="eastAsia"/>
                <w:sz w:val="24"/>
              </w:rPr>
              <w:t>综上所述，因药剂添加而增加的总盐度为0.0</w:t>
            </w:r>
            <w:r>
              <w:rPr>
                <w:sz w:val="24"/>
              </w:rPr>
              <w:t>6</w:t>
            </w:r>
            <w:r>
              <w:rPr>
                <w:rFonts w:hint="eastAsia"/>
                <w:sz w:val="24"/>
              </w:rPr>
              <w:t>，排出的浓盐水中总盐度为</w:t>
            </w:r>
            <w:r>
              <w:rPr>
                <w:sz w:val="24"/>
              </w:rPr>
              <w:t>48.79</w:t>
            </w:r>
            <w:r>
              <w:rPr>
                <w:rFonts w:hint="eastAsia"/>
                <w:sz w:val="24"/>
              </w:rPr>
              <w:t>。</w:t>
            </w:r>
          </w:p>
          <w:p>
            <w:pPr>
              <w:adjustRightInd w:val="0"/>
              <w:snapToGrid w:val="0"/>
              <w:spacing w:line="360" w:lineRule="auto"/>
              <w:jc w:val="center"/>
              <w:rPr>
                <w:b/>
                <w:sz w:val="24"/>
              </w:rPr>
            </w:pPr>
            <w:r>
              <w:rPr>
                <w:b/>
                <w:sz w:val="24"/>
              </w:rPr>
              <w:t>表</w:t>
            </w:r>
            <w:r>
              <w:rPr>
                <w:rFonts w:hint="eastAsia"/>
                <w:b/>
                <w:sz w:val="24"/>
              </w:rPr>
              <w:t>1</w:t>
            </w:r>
            <w:r>
              <w:rPr>
                <w:b/>
                <w:sz w:val="24"/>
              </w:rPr>
              <w:t>4 海水淡化过程</w:t>
            </w:r>
            <w:r>
              <w:rPr>
                <w:rFonts w:hint="eastAsia"/>
                <w:b/>
                <w:sz w:val="24"/>
              </w:rPr>
              <w:t>主要</w:t>
            </w:r>
            <w:r>
              <w:rPr>
                <w:b/>
                <w:sz w:val="24"/>
              </w:rPr>
              <w:t>投加离子排放</w:t>
            </w:r>
            <w:r>
              <w:rPr>
                <w:rFonts w:hint="eastAsia"/>
                <w:b/>
                <w:sz w:val="24"/>
              </w:rPr>
              <w:t>浓度</w:t>
            </w:r>
            <w:r>
              <w:rPr>
                <w:b/>
                <w:sz w:val="24"/>
              </w:rPr>
              <w:t>一览表</w:t>
            </w:r>
          </w:p>
          <w:tbl>
            <w:tblPr>
              <w:tblStyle w:val="88"/>
              <w:tblW w:w="893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2414"/>
              <w:gridCol w:w="994"/>
              <w:gridCol w:w="1135"/>
              <w:gridCol w:w="992"/>
              <w:gridCol w:w="994"/>
              <w:gridCol w:w="992"/>
              <w:gridCol w:w="14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283" w:hRule="atLeast"/>
                <w:jc w:val="center"/>
              </w:trPr>
              <w:tc>
                <w:tcPr>
                  <w:tcW w:w="2414" w:type="dxa"/>
                  <w:vMerge w:val="restart"/>
                  <w:shd w:val="clear" w:color="auto" w:fill="auto"/>
                  <w:vAlign w:val="center"/>
                </w:tcPr>
                <w:p>
                  <w:pPr>
                    <w:adjustRightInd w:val="0"/>
                    <w:spacing w:line="360" w:lineRule="auto"/>
                    <w:jc w:val="center"/>
                    <w:rPr>
                      <w:szCs w:val="21"/>
                    </w:rPr>
                  </w:pPr>
                  <w:r>
                    <w:rPr>
                      <w:szCs w:val="21"/>
                    </w:rPr>
                    <w:t>工艺过程</w:t>
                  </w:r>
                </w:p>
              </w:tc>
              <w:tc>
                <w:tcPr>
                  <w:tcW w:w="994" w:type="dxa"/>
                  <w:vMerge w:val="restart"/>
                  <w:vAlign w:val="center"/>
                </w:tcPr>
                <w:p>
                  <w:pPr>
                    <w:adjustRightInd w:val="0"/>
                    <w:spacing w:line="360" w:lineRule="auto"/>
                    <w:jc w:val="center"/>
                    <w:rPr>
                      <w:szCs w:val="21"/>
                    </w:rPr>
                  </w:pPr>
                  <w:r>
                    <w:rPr>
                      <w:szCs w:val="21"/>
                    </w:rPr>
                    <w:t>投加量</w:t>
                  </w:r>
                </w:p>
                <w:p>
                  <w:pPr>
                    <w:adjustRightInd w:val="0"/>
                    <w:spacing w:line="360" w:lineRule="auto"/>
                    <w:jc w:val="center"/>
                    <w:rPr>
                      <w:szCs w:val="21"/>
                    </w:rPr>
                  </w:pPr>
                  <w:r>
                    <w:rPr>
                      <w:szCs w:val="21"/>
                    </w:rPr>
                    <w:t>(</w:t>
                  </w:r>
                  <w:r>
                    <w:rPr>
                      <w:rFonts w:hint="eastAsia"/>
                      <w:szCs w:val="21"/>
                    </w:rPr>
                    <w:t>t/d</w:t>
                  </w:r>
                  <w:r>
                    <w:rPr>
                      <w:szCs w:val="21"/>
                    </w:rPr>
                    <w:t>)</w:t>
                  </w:r>
                </w:p>
              </w:tc>
              <w:tc>
                <w:tcPr>
                  <w:tcW w:w="1135" w:type="dxa"/>
                  <w:vMerge w:val="restart"/>
                  <w:shd w:val="clear" w:color="auto" w:fill="auto"/>
                  <w:vAlign w:val="center"/>
                </w:tcPr>
                <w:p>
                  <w:pPr>
                    <w:adjustRightInd w:val="0"/>
                    <w:spacing w:line="360" w:lineRule="auto"/>
                    <w:jc w:val="center"/>
                    <w:rPr>
                      <w:szCs w:val="21"/>
                    </w:rPr>
                  </w:pPr>
                  <w:r>
                    <w:rPr>
                      <w:rFonts w:hint="eastAsia"/>
                      <w:szCs w:val="21"/>
                    </w:rPr>
                    <w:t>进入</w:t>
                  </w:r>
                  <w:r>
                    <w:rPr>
                      <w:szCs w:val="21"/>
                    </w:rPr>
                    <w:t>浓盐水的量(</w:t>
                  </w:r>
                  <w:r>
                    <w:rPr>
                      <w:rFonts w:hint="eastAsia"/>
                      <w:szCs w:val="21"/>
                    </w:rPr>
                    <w:t>t/d</w:t>
                  </w:r>
                  <w:r>
                    <w:rPr>
                      <w:szCs w:val="21"/>
                    </w:rPr>
                    <w:t>)</w:t>
                  </w:r>
                </w:p>
              </w:tc>
              <w:tc>
                <w:tcPr>
                  <w:tcW w:w="2978" w:type="dxa"/>
                  <w:gridSpan w:val="3"/>
                  <w:vAlign w:val="center"/>
                </w:tcPr>
                <w:p>
                  <w:pPr>
                    <w:adjustRightInd w:val="0"/>
                    <w:spacing w:line="360" w:lineRule="auto"/>
                    <w:jc w:val="center"/>
                    <w:rPr>
                      <w:szCs w:val="21"/>
                    </w:rPr>
                  </w:pPr>
                  <w:r>
                    <w:rPr>
                      <w:rFonts w:hint="eastAsia"/>
                      <w:szCs w:val="21"/>
                    </w:rPr>
                    <w:t>排水</w:t>
                  </w:r>
                  <w:r>
                    <w:rPr>
                      <w:szCs w:val="21"/>
                    </w:rPr>
                    <w:t>中增加的离子浓度(mg/L)</w:t>
                  </w:r>
                </w:p>
              </w:tc>
              <w:tc>
                <w:tcPr>
                  <w:tcW w:w="1414" w:type="dxa"/>
                  <w:vMerge w:val="restart"/>
                  <w:shd w:val="clear" w:color="auto" w:fill="auto"/>
                  <w:vAlign w:val="center"/>
                </w:tcPr>
                <w:p>
                  <w:pPr>
                    <w:adjustRightInd w:val="0"/>
                    <w:spacing w:line="360" w:lineRule="auto"/>
                    <w:jc w:val="center"/>
                    <w:rPr>
                      <w:szCs w:val="21"/>
                    </w:rPr>
                  </w:pPr>
                  <w:r>
                    <w:rPr>
                      <w:szCs w:val="21"/>
                    </w:rPr>
                    <w:t>排放方式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283" w:hRule="atLeast"/>
                <w:jc w:val="center"/>
              </w:trPr>
              <w:tc>
                <w:tcPr>
                  <w:tcW w:w="2414" w:type="dxa"/>
                  <w:vMerge w:val="continue"/>
                  <w:shd w:val="clear" w:color="auto" w:fill="auto"/>
                  <w:vAlign w:val="center"/>
                </w:tcPr>
                <w:p>
                  <w:pPr>
                    <w:adjustRightInd w:val="0"/>
                    <w:spacing w:line="360" w:lineRule="auto"/>
                    <w:jc w:val="center"/>
                    <w:rPr>
                      <w:szCs w:val="21"/>
                    </w:rPr>
                  </w:pPr>
                </w:p>
              </w:tc>
              <w:tc>
                <w:tcPr>
                  <w:tcW w:w="994" w:type="dxa"/>
                  <w:vMerge w:val="continue"/>
                  <w:vAlign w:val="center"/>
                </w:tcPr>
                <w:p>
                  <w:pPr>
                    <w:adjustRightInd w:val="0"/>
                    <w:spacing w:line="360" w:lineRule="auto"/>
                    <w:jc w:val="center"/>
                    <w:rPr>
                      <w:szCs w:val="21"/>
                    </w:rPr>
                  </w:pPr>
                </w:p>
              </w:tc>
              <w:tc>
                <w:tcPr>
                  <w:tcW w:w="1135" w:type="dxa"/>
                  <w:vMerge w:val="continue"/>
                  <w:shd w:val="clear" w:color="auto" w:fill="auto"/>
                  <w:vAlign w:val="center"/>
                </w:tcPr>
                <w:p>
                  <w:pPr>
                    <w:adjustRightInd w:val="0"/>
                    <w:spacing w:line="360" w:lineRule="auto"/>
                    <w:jc w:val="center"/>
                    <w:rPr>
                      <w:szCs w:val="21"/>
                    </w:rPr>
                  </w:pPr>
                </w:p>
              </w:tc>
              <w:tc>
                <w:tcPr>
                  <w:tcW w:w="992" w:type="dxa"/>
                  <w:shd w:val="clear" w:color="auto" w:fill="auto"/>
                  <w:vAlign w:val="center"/>
                </w:tcPr>
                <w:p>
                  <w:pPr>
                    <w:adjustRightInd w:val="0"/>
                    <w:spacing w:line="360" w:lineRule="auto"/>
                    <w:jc w:val="center"/>
                    <w:rPr>
                      <w:szCs w:val="21"/>
                    </w:rPr>
                  </w:pPr>
                  <w:r>
                    <w:rPr>
                      <w:szCs w:val="21"/>
                    </w:rPr>
                    <w:t>Na</w:t>
                  </w:r>
                  <w:r>
                    <w:rPr>
                      <w:szCs w:val="21"/>
                      <w:vertAlign w:val="superscript"/>
                    </w:rPr>
                    <w:t>+</w:t>
                  </w:r>
                </w:p>
              </w:tc>
              <w:tc>
                <w:tcPr>
                  <w:tcW w:w="994" w:type="dxa"/>
                  <w:shd w:val="clear" w:color="auto" w:fill="auto"/>
                  <w:vAlign w:val="center"/>
                </w:tcPr>
                <w:p>
                  <w:pPr>
                    <w:adjustRightInd w:val="0"/>
                    <w:spacing w:line="360" w:lineRule="auto"/>
                    <w:jc w:val="center"/>
                    <w:rPr>
                      <w:szCs w:val="21"/>
                    </w:rPr>
                  </w:pPr>
                  <w:r>
                    <w:rPr>
                      <w:szCs w:val="21"/>
                    </w:rPr>
                    <w:t>Cl</w:t>
                  </w:r>
                  <w:r>
                    <w:rPr>
                      <w:szCs w:val="21"/>
                      <w:vertAlign w:val="superscript"/>
                    </w:rPr>
                    <w:t>-</w:t>
                  </w:r>
                </w:p>
              </w:tc>
              <w:tc>
                <w:tcPr>
                  <w:tcW w:w="992" w:type="dxa"/>
                  <w:vAlign w:val="center"/>
                </w:tcPr>
                <w:p>
                  <w:pPr>
                    <w:adjustRightInd w:val="0"/>
                    <w:spacing w:line="360" w:lineRule="auto"/>
                    <w:jc w:val="center"/>
                    <w:rPr>
                      <w:szCs w:val="21"/>
                    </w:rPr>
                  </w:pPr>
                  <w:r>
                    <w:rPr>
                      <w:rFonts w:hint="eastAsia"/>
                      <w:color w:val="000000" w:themeColor="text1"/>
                      <w:sz w:val="24"/>
                    </w:rPr>
                    <w:t>SO</w:t>
                  </w:r>
                  <w:r>
                    <w:rPr>
                      <w:rFonts w:hint="eastAsia"/>
                      <w:color w:val="000000" w:themeColor="text1"/>
                      <w:sz w:val="24"/>
                      <w:vertAlign w:val="subscript"/>
                    </w:rPr>
                    <w:t>4</w:t>
                  </w:r>
                  <w:r>
                    <w:rPr>
                      <w:color w:val="000000" w:themeColor="text1"/>
                      <w:sz w:val="24"/>
                      <w:vertAlign w:val="superscript"/>
                    </w:rPr>
                    <w:t>2</w:t>
                  </w:r>
                  <w:r>
                    <w:rPr>
                      <w:rFonts w:hint="eastAsia"/>
                      <w:color w:val="000000" w:themeColor="text1"/>
                      <w:sz w:val="24"/>
                      <w:vertAlign w:val="superscript"/>
                    </w:rPr>
                    <w:t>-</w:t>
                  </w:r>
                </w:p>
              </w:tc>
              <w:tc>
                <w:tcPr>
                  <w:tcW w:w="1414" w:type="dxa"/>
                  <w:vMerge w:val="continue"/>
                  <w:shd w:val="clear" w:color="auto" w:fill="auto"/>
                  <w:vAlign w:val="center"/>
                </w:tcPr>
                <w:p>
                  <w:pPr>
                    <w:adjustRightInd w:val="0"/>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283" w:hRule="atLeast"/>
                <w:jc w:val="center"/>
              </w:trPr>
              <w:tc>
                <w:tcPr>
                  <w:tcW w:w="2414" w:type="dxa"/>
                  <w:shd w:val="clear" w:color="auto" w:fill="auto"/>
                  <w:vAlign w:val="center"/>
                </w:tcPr>
                <w:p>
                  <w:pPr>
                    <w:adjustRightInd w:val="0"/>
                    <w:spacing w:line="360" w:lineRule="auto"/>
                    <w:jc w:val="center"/>
                    <w:rPr>
                      <w:szCs w:val="21"/>
                    </w:rPr>
                  </w:pPr>
                  <w:r>
                    <w:rPr>
                      <w:szCs w:val="21"/>
                    </w:rPr>
                    <w:t>投加NaClO消毒</w:t>
                  </w:r>
                  <w:r>
                    <w:rPr>
                      <w:rFonts w:hint="eastAsia"/>
                      <w:szCs w:val="21"/>
                    </w:rPr>
                    <w:t>、</w:t>
                  </w:r>
                  <w:r>
                    <w:rPr>
                      <w:szCs w:val="21"/>
                    </w:rPr>
                    <w:t>灭藻</w:t>
                  </w:r>
                </w:p>
              </w:tc>
              <w:tc>
                <w:tcPr>
                  <w:tcW w:w="994" w:type="dxa"/>
                  <w:vAlign w:val="center"/>
                </w:tcPr>
                <w:p>
                  <w:pPr>
                    <w:adjustRightInd w:val="0"/>
                    <w:spacing w:line="360" w:lineRule="auto"/>
                    <w:jc w:val="center"/>
                    <w:rPr>
                      <w:szCs w:val="21"/>
                    </w:rPr>
                  </w:pPr>
                  <w:r>
                    <w:rPr>
                      <w:szCs w:val="21"/>
                    </w:rPr>
                    <w:t>0.87</w:t>
                  </w:r>
                </w:p>
              </w:tc>
              <w:tc>
                <w:tcPr>
                  <w:tcW w:w="1135" w:type="dxa"/>
                  <w:vAlign w:val="center"/>
                </w:tcPr>
                <w:p>
                  <w:pPr>
                    <w:adjustRightInd w:val="0"/>
                    <w:spacing w:line="360" w:lineRule="auto"/>
                    <w:jc w:val="center"/>
                    <w:rPr>
                      <w:szCs w:val="21"/>
                      <w:highlight w:val="yellow"/>
                    </w:rPr>
                  </w:pPr>
                  <w:r>
                    <w:rPr>
                      <w:szCs w:val="21"/>
                    </w:rPr>
                    <w:t>0.87</w:t>
                  </w:r>
                </w:p>
              </w:tc>
              <w:tc>
                <w:tcPr>
                  <w:tcW w:w="992" w:type="dxa"/>
                  <w:shd w:val="clear" w:color="auto" w:fill="auto"/>
                  <w:vAlign w:val="center"/>
                </w:tcPr>
                <w:p>
                  <w:pPr>
                    <w:adjustRightInd w:val="0"/>
                    <w:spacing w:line="360" w:lineRule="auto"/>
                    <w:jc w:val="center"/>
                    <w:rPr>
                      <w:szCs w:val="21"/>
                    </w:rPr>
                  </w:pPr>
                  <w:r>
                    <w:rPr>
                      <w:szCs w:val="21"/>
                    </w:rPr>
                    <w:t>1.44</w:t>
                  </w:r>
                </w:p>
              </w:tc>
              <w:tc>
                <w:tcPr>
                  <w:tcW w:w="994" w:type="dxa"/>
                  <w:shd w:val="clear" w:color="auto" w:fill="auto"/>
                  <w:vAlign w:val="center"/>
                </w:tcPr>
                <w:p>
                  <w:pPr>
                    <w:adjustRightInd w:val="0"/>
                    <w:spacing w:line="360" w:lineRule="auto"/>
                    <w:jc w:val="center"/>
                    <w:rPr>
                      <w:szCs w:val="21"/>
                    </w:rPr>
                  </w:pPr>
                  <w:r>
                    <w:rPr>
                      <w:szCs w:val="21"/>
                    </w:rPr>
                    <w:t>2.56</w:t>
                  </w:r>
                </w:p>
              </w:tc>
              <w:tc>
                <w:tcPr>
                  <w:tcW w:w="992" w:type="dxa"/>
                  <w:vAlign w:val="center"/>
                </w:tcPr>
                <w:p>
                  <w:pPr>
                    <w:adjustRightInd w:val="0"/>
                    <w:spacing w:line="360" w:lineRule="auto"/>
                    <w:jc w:val="center"/>
                    <w:rPr>
                      <w:szCs w:val="21"/>
                    </w:rPr>
                  </w:pPr>
                  <w:r>
                    <w:rPr>
                      <w:rFonts w:hint="eastAsia"/>
                      <w:szCs w:val="21"/>
                    </w:rPr>
                    <w:t>—</w:t>
                  </w:r>
                </w:p>
              </w:tc>
              <w:tc>
                <w:tcPr>
                  <w:tcW w:w="1414" w:type="dxa"/>
                  <w:vMerge w:val="restart"/>
                  <w:shd w:val="clear" w:color="auto" w:fill="auto"/>
                  <w:vAlign w:val="center"/>
                </w:tcPr>
                <w:p>
                  <w:pPr>
                    <w:adjustRightInd w:val="0"/>
                    <w:spacing w:line="360" w:lineRule="auto"/>
                    <w:jc w:val="center"/>
                    <w:rPr>
                      <w:szCs w:val="21"/>
                    </w:rPr>
                  </w:pPr>
                  <w:r>
                    <w:rPr>
                      <w:rFonts w:hint="eastAsia"/>
                      <w:szCs w:val="21"/>
                    </w:rPr>
                    <w:t>通过现状排水口近岸排放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283" w:hRule="atLeast"/>
                <w:jc w:val="center"/>
              </w:trPr>
              <w:tc>
                <w:tcPr>
                  <w:tcW w:w="2414" w:type="dxa"/>
                  <w:shd w:val="clear" w:color="auto" w:fill="auto"/>
                  <w:vAlign w:val="center"/>
                </w:tcPr>
                <w:p>
                  <w:pPr>
                    <w:adjustRightInd w:val="0"/>
                    <w:spacing w:line="360" w:lineRule="auto"/>
                    <w:jc w:val="center"/>
                    <w:rPr>
                      <w:szCs w:val="21"/>
                    </w:rPr>
                  </w:pPr>
                  <w:r>
                    <w:rPr>
                      <w:szCs w:val="21"/>
                    </w:rPr>
                    <w:t>投加H</w:t>
                  </w:r>
                  <w:r>
                    <w:rPr>
                      <w:rFonts w:hint="eastAsia"/>
                      <w:szCs w:val="21"/>
                    </w:rPr>
                    <w:t>Cl</w:t>
                  </w:r>
                </w:p>
              </w:tc>
              <w:tc>
                <w:tcPr>
                  <w:tcW w:w="994" w:type="dxa"/>
                  <w:vAlign w:val="center"/>
                </w:tcPr>
                <w:p>
                  <w:pPr>
                    <w:adjustRightInd w:val="0"/>
                    <w:spacing w:line="360" w:lineRule="auto"/>
                    <w:jc w:val="center"/>
                    <w:rPr>
                      <w:szCs w:val="21"/>
                    </w:rPr>
                  </w:pPr>
                  <w:r>
                    <w:rPr>
                      <w:szCs w:val="21"/>
                    </w:rPr>
                    <w:t>0.32</w:t>
                  </w:r>
                </w:p>
              </w:tc>
              <w:tc>
                <w:tcPr>
                  <w:tcW w:w="1135" w:type="dxa"/>
                  <w:vAlign w:val="center"/>
                </w:tcPr>
                <w:p>
                  <w:pPr>
                    <w:adjustRightInd w:val="0"/>
                    <w:spacing w:line="360" w:lineRule="auto"/>
                    <w:jc w:val="center"/>
                    <w:rPr>
                      <w:szCs w:val="21"/>
                      <w:highlight w:val="yellow"/>
                    </w:rPr>
                  </w:pPr>
                  <w:r>
                    <w:rPr>
                      <w:szCs w:val="21"/>
                    </w:rPr>
                    <w:t>0.32</w:t>
                  </w:r>
                </w:p>
              </w:tc>
              <w:tc>
                <w:tcPr>
                  <w:tcW w:w="992" w:type="dxa"/>
                  <w:shd w:val="clear" w:color="auto" w:fill="auto"/>
                  <w:vAlign w:val="center"/>
                </w:tcPr>
                <w:p>
                  <w:pPr>
                    <w:adjustRightInd w:val="0"/>
                    <w:spacing w:line="360" w:lineRule="auto"/>
                    <w:jc w:val="center"/>
                    <w:rPr>
                      <w:szCs w:val="21"/>
                    </w:rPr>
                  </w:pPr>
                  <w:r>
                    <w:rPr>
                      <w:rFonts w:hint="eastAsia"/>
                      <w:szCs w:val="21"/>
                    </w:rPr>
                    <w:t>—</w:t>
                  </w:r>
                </w:p>
              </w:tc>
              <w:tc>
                <w:tcPr>
                  <w:tcW w:w="994" w:type="dxa"/>
                  <w:shd w:val="clear" w:color="auto" w:fill="auto"/>
                  <w:vAlign w:val="center"/>
                </w:tcPr>
                <w:p>
                  <w:pPr>
                    <w:adjustRightInd w:val="0"/>
                    <w:spacing w:line="360" w:lineRule="auto"/>
                    <w:jc w:val="center"/>
                    <w:rPr>
                      <w:szCs w:val="21"/>
                    </w:rPr>
                  </w:pPr>
                  <w:r>
                    <w:rPr>
                      <w:szCs w:val="21"/>
                    </w:rPr>
                    <w:t>1.65</w:t>
                  </w:r>
                </w:p>
              </w:tc>
              <w:tc>
                <w:tcPr>
                  <w:tcW w:w="992" w:type="dxa"/>
                  <w:vAlign w:val="center"/>
                </w:tcPr>
                <w:p>
                  <w:pPr>
                    <w:adjustRightInd w:val="0"/>
                    <w:spacing w:line="360" w:lineRule="auto"/>
                    <w:jc w:val="center"/>
                    <w:rPr>
                      <w:szCs w:val="21"/>
                    </w:rPr>
                  </w:pPr>
                  <w:r>
                    <w:rPr>
                      <w:rFonts w:hint="eastAsia"/>
                      <w:szCs w:val="21"/>
                    </w:rPr>
                    <w:t>—</w:t>
                  </w:r>
                </w:p>
              </w:tc>
              <w:tc>
                <w:tcPr>
                  <w:tcW w:w="1414" w:type="dxa"/>
                  <w:vMerge w:val="continue"/>
                  <w:shd w:val="clear" w:color="auto" w:fill="auto"/>
                  <w:vAlign w:val="center"/>
                </w:tcPr>
                <w:p>
                  <w:pPr>
                    <w:adjustRightInd w:val="0"/>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283" w:hRule="atLeast"/>
                <w:jc w:val="center"/>
              </w:trPr>
              <w:tc>
                <w:tcPr>
                  <w:tcW w:w="2414" w:type="dxa"/>
                  <w:shd w:val="clear" w:color="auto" w:fill="auto"/>
                  <w:vAlign w:val="center"/>
                </w:tcPr>
                <w:p>
                  <w:pPr>
                    <w:adjustRightInd w:val="0"/>
                    <w:spacing w:line="360" w:lineRule="auto"/>
                    <w:jc w:val="center"/>
                    <w:rPr>
                      <w:szCs w:val="21"/>
                    </w:rPr>
                  </w:pPr>
                  <w:r>
                    <w:rPr>
                      <w:szCs w:val="21"/>
                    </w:rPr>
                    <w:t>投加NaOH</w:t>
                  </w:r>
                </w:p>
              </w:tc>
              <w:tc>
                <w:tcPr>
                  <w:tcW w:w="994" w:type="dxa"/>
                  <w:vAlign w:val="center"/>
                </w:tcPr>
                <w:p>
                  <w:pPr>
                    <w:adjustRightInd w:val="0"/>
                    <w:spacing w:line="360" w:lineRule="auto"/>
                    <w:jc w:val="center"/>
                    <w:rPr>
                      <w:szCs w:val="21"/>
                    </w:rPr>
                  </w:pPr>
                  <w:r>
                    <w:rPr>
                      <w:szCs w:val="21"/>
                    </w:rPr>
                    <w:t>0.08</w:t>
                  </w:r>
                </w:p>
              </w:tc>
              <w:tc>
                <w:tcPr>
                  <w:tcW w:w="1135" w:type="dxa"/>
                  <w:vAlign w:val="center"/>
                </w:tcPr>
                <w:p>
                  <w:pPr>
                    <w:adjustRightInd w:val="0"/>
                    <w:spacing w:line="360" w:lineRule="auto"/>
                    <w:jc w:val="center"/>
                    <w:rPr>
                      <w:szCs w:val="21"/>
                    </w:rPr>
                  </w:pPr>
                  <w:r>
                    <w:rPr>
                      <w:szCs w:val="21"/>
                    </w:rPr>
                    <w:t>0.08</w:t>
                  </w:r>
                </w:p>
              </w:tc>
              <w:tc>
                <w:tcPr>
                  <w:tcW w:w="992" w:type="dxa"/>
                  <w:shd w:val="clear" w:color="auto" w:fill="auto"/>
                  <w:vAlign w:val="center"/>
                </w:tcPr>
                <w:p>
                  <w:pPr>
                    <w:adjustRightInd w:val="0"/>
                    <w:spacing w:line="360" w:lineRule="auto"/>
                    <w:jc w:val="center"/>
                    <w:rPr>
                      <w:szCs w:val="21"/>
                    </w:rPr>
                  </w:pPr>
                  <w:r>
                    <w:rPr>
                      <w:szCs w:val="21"/>
                    </w:rPr>
                    <w:t>0.25</w:t>
                  </w:r>
                </w:p>
              </w:tc>
              <w:tc>
                <w:tcPr>
                  <w:tcW w:w="994" w:type="dxa"/>
                  <w:shd w:val="clear" w:color="auto" w:fill="auto"/>
                  <w:vAlign w:val="center"/>
                </w:tcPr>
                <w:p>
                  <w:pPr>
                    <w:adjustRightInd w:val="0"/>
                    <w:spacing w:line="360" w:lineRule="auto"/>
                    <w:jc w:val="center"/>
                    <w:rPr>
                      <w:szCs w:val="21"/>
                    </w:rPr>
                  </w:pPr>
                  <w:r>
                    <w:rPr>
                      <w:szCs w:val="21"/>
                    </w:rPr>
                    <w:t>－</w:t>
                  </w:r>
                </w:p>
              </w:tc>
              <w:tc>
                <w:tcPr>
                  <w:tcW w:w="992" w:type="dxa"/>
                  <w:vAlign w:val="center"/>
                </w:tcPr>
                <w:p>
                  <w:pPr>
                    <w:adjustRightInd w:val="0"/>
                    <w:spacing w:line="360" w:lineRule="auto"/>
                    <w:jc w:val="center"/>
                    <w:rPr>
                      <w:szCs w:val="21"/>
                    </w:rPr>
                  </w:pPr>
                  <w:r>
                    <w:rPr>
                      <w:rFonts w:hint="eastAsia"/>
                      <w:szCs w:val="21"/>
                    </w:rPr>
                    <w:t>—</w:t>
                  </w:r>
                </w:p>
              </w:tc>
              <w:tc>
                <w:tcPr>
                  <w:tcW w:w="1414" w:type="dxa"/>
                  <w:vMerge w:val="continue"/>
                  <w:shd w:val="clear" w:color="auto" w:fill="auto"/>
                  <w:vAlign w:val="center"/>
                </w:tcPr>
                <w:p>
                  <w:pPr>
                    <w:adjustRightInd w:val="0"/>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283" w:hRule="atLeast"/>
                <w:jc w:val="center"/>
              </w:trPr>
              <w:tc>
                <w:tcPr>
                  <w:tcW w:w="2414" w:type="dxa"/>
                  <w:shd w:val="clear" w:color="auto" w:fill="auto"/>
                  <w:vAlign w:val="center"/>
                </w:tcPr>
                <w:p>
                  <w:pPr>
                    <w:adjustRightInd w:val="0"/>
                    <w:spacing w:line="360" w:lineRule="auto"/>
                    <w:jc w:val="center"/>
                    <w:rPr>
                      <w:szCs w:val="21"/>
                    </w:rPr>
                  </w:pPr>
                  <w:r>
                    <w:rPr>
                      <w:rFonts w:hint="eastAsia"/>
                      <w:szCs w:val="21"/>
                    </w:rPr>
                    <w:t>投加</w:t>
                  </w:r>
                  <w:r>
                    <w:rPr>
                      <w:rFonts w:hint="eastAsia"/>
                      <w:sz w:val="24"/>
                    </w:rPr>
                    <w:t>NaHSO</w:t>
                  </w:r>
                  <w:r>
                    <w:rPr>
                      <w:rFonts w:hint="eastAsia"/>
                      <w:sz w:val="24"/>
                      <w:vertAlign w:val="subscript"/>
                    </w:rPr>
                    <w:t>3</w:t>
                  </w:r>
                </w:p>
              </w:tc>
              <w:tc>
                <w:tcPr>
                  <w:tcW w:w="994" w:type="dxa"/>
                  <w:vAlign w:val="center"/>
                </w:tcPr>
                <w:p>
                  <w:pPr>
                    <w:adjustRightInd w:val="0"/>
                    <w:spacing w:line="360" w:lineRule="auto"/>
                    <w:jc w:val="center"/>
                    <w:rPr>
                      <w:szCs w:val="21"/>
                    </w:rPr>
                  </w:pPr>
                  <w:r>
                    <w:rPr>
                      <w:rFonts w:hint="eastAsia"/>
                      <w:szCs w:val="21"/>
                    </w:rPr>
                    <w:t>0</w:t>
                  </w:r>
                  <w:r>
                    <w:rPr>
                      <w:szCs w:val="21"/>
                    </w:rPr>
                    <w:t>.07</w:t>
                  </w:r>
                </w:p>
              </w:tc>
              <w:tc>
                <w:tcPr>
                  <w:tcW w:w="1135" w:type="dxa"/>
                  <w:vAlign w:val="center"/>
                </w:tcPr>
                <w:p>
                  <w:pPr>
                    <w:adjustRightInd w:val="0"/>
                    <w:spacing w:line="360" w:lineRule="auto"/>
                    <w:jc w:val="center"/>
                    <w:rPr>
                      <w:szCs w:val="21"/>
                    </w:rPr>
                  </w:pPr>
                  <w:r>
                    <w:rPr>
                      <w:rFonts w:hint="eastAsia"/>
                      <w:szCs w:val="21"/>
                    </w:rPr>
                    <w:t>0</w:t>
                  </w:r>
                  <w:r>
                    <w:rPr>
                      <w:szCs w:val="21"/>
                    </w:rPr>
                    <w:t>.07</w:t>
                  </w:r>
                </w:p>
              </w:tc>
              <w:tc>
                <w:tcPr>
                  <w:tcW w:w="992" w:type="dxa"/>
                  <w:shd w:val="clear" w:color="auto" w:fill="auto"/>
                  <w:vAlign w:val="center"/>
                </w:tcPr>
                <w:p>
                  <w:pPr>
                    <w:adjustRightInd w:val="0"/>
                    <w:spacing w:line="360" w:lineRule="auto"/>
                    <w:jc w:val="center"/>
                    <w:rPr>
                      <w:szCs w:val="21"/>
                    </w:rPr>
                  </w:pPr>
                  <w:r>
                    <w:rPr>
                      <w:rFonts w:hint="eastAsia"/>
                      <w:szCs w:val="21"/>
                    </w:rPr>
                    <w:t>0</w:t>
                  </w:r>
                  <w:r>
                    <w:rPr>
                      <w:szCs w:val="21"/>
                    </w:rPr>
                    <w:t>.08</w:t>
                  </w:r>
                </w:p>
              </w:tc>
              <w:tc>
                <w:tcPr>
                  <w:tcW w:w="994" w:type="dxa"/>
                  <w:shd w:val="clear" w:color="auto" w:fill="auto"/>
                  <w:vAlign w:val="center"/>
                </w:tcPr>
                <w:p>
                  <w:pPr>
                    <w:adjustRightInd w:val="0"/>
                    <w:spacing w:line="360" w:lineRule="auto"/>
                    <w:jc w:val="center"/>
                    <w:rPr>
                      <w:szCs w:val="21"/>
                    </w:rPr>
                  </w:pPr>
                  <w:r>
                    <w:rPr>
                      <w:rFonts w:hint="eastAsia"/>
                      <w:szCs w:val="21"/>
                    </w:rPr>
                    <w:t>—</w:t>
                  </w:r>
                </w:p>
              </w:tc>
              <w:tc>
                <w:tcPr>
                  <w:tcW w:w="992" w:type="dxa"/>
                  <w:vAlign w:val="center"/>
                </w:tcPr>
                <w:p>
                  <w:pPr>
                    <w:adjustRightInd w:val="0"/>
                    <w:spacing w:line="360" w:lineRule="auto"/>
                    <w:jc w:val="center"/>
                    <w:rPr>
                      <w:szCs w:val="21"/>
                    </w:rPr>
                  </w:pPr>
                  <w:r>
                    <w:rPr>
                      <w:rFonts w:hint="eastAsia"/>
                      <w:szCs w:val="21"/>
                    </w:rPr>
                    <w:t>0</w:t>
                  </w:r>
                  <w:r>
                    <w:rPr>
                      <w:szCs w:val="21"/>
                    </w:rPr>
                    <w:t>.28</w:t>
                  </w:r>
                </w:p>
              </w:tc>
              <w:tc>
                <w:tcPr>
                  <w:tcW w:w="1414" w:type="dxa"/>
                  <w:vMerge w:val="continue"/>
                  <w:shd w:val="clear" w:color="auto" w:fill="auto"/>
                  <w:vAlign w:val="center"/>
                </w:tcPr>
                <w:p>
                  <w:pPr>
                    <w:adjustRightInd w:val="0"/>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283" w:hRule="atLeast"/>
                <w:jc w:val="center"/>
              </w:trPr>
              <w:tc>
                <w:tcPr>
                  <w:tcW w:w="2414" w:type="dxa"/>
                  <w:shd w:val="clear" w:color="auto" w:fill="auto"/>
                  <w:vAlign w:val="center"/>
                </w:tcPr>
                <w:p>
                  <w:pPr>
                    <w:adjustRightInd w:val="0"/>
                    <w:spacing w:line="360" w:lineRule="auto"/>
                    <w:jc w:val="center"/>
                    <w:rPr>
                      <w:szCs w:val="21"/>
                    </w:rPr>
                  </w:pPr>
                  <w:r>
                    <w:rPr>
                      <w:szCs w:val="21"/>
                    </w:rPr>
                    <w:t>总浓度</w:t>
                  </w:r>
                </w:p>
              </w:tc>
              <w:tc>
                <w:tcPr>
                  <w:tcW w:w="994" w:type="dxa"/>
                  <w:vAlign w:val="center"/>
                </w:tcPr>
                <w:p>
                  <w:pPr>
                    <w:adjustRightInd w:val="0"/>
                    <w:spacing w:line="360" w:lineRule="auto"/>
                    <w:jc w:val="center"/>
                    <w:rPr>
                      <w:szCs w:val="21"/>
                    </w:rPr>
                  </w:pPr>
                  <w:r>
                    <w:rPr>
                      <w:rFonts w:hint="eastAsia"/>
                      <w:szCs w:val="21"/>
                    </w:rPr>
                    <w:t>/</w:t>
                  </w:r>
                </w:p>
              </w:tc>
              <w:tc>
                <w:tcPr>
                  <w:tcW w:w="1135" w:type="dxa"/>
                  <w:shd w:val="clear" w:color="auto" w:fill="auto"/>
                  <w:vAlign w:val="center"/>
                </w:tcPr>
                <w:p>
                  <w:pPr>
                    <w:adjustRightInd w:val="0"/>
                    <w:spacing w:line="360" w:lineRule="auto"/>
                    <w:jc w:val="center"/>
                    <w:rPr>
                      <w:szCs w:val="21"/>
                    </w:rPr>
                  </w:pPr>
                  <w:r>
                    <w:rPr>
                      <w:rFonts w:hint="eastAsia"/>
                      <w:szCs w:val="21"/>
                    </w:rPr>
                    <w:t>/</w:t>
                  </w:r>
                </w:p>
              </w:tc>
              <w:tc>
                <w:tcPr>
                  <w:tcW w:w="992" w:type="dxa"/>
                  <w:shd w:val="clear" w:color="auto" w:fill="auto"/>
                  <w:vAlign w:val="center"/>
                </w:tcPr>
                <w:p>
                  <w:pPr>
                    <w:adjustRightInd w:val="0"/>
                    <w:spacing w:line="360" w:lineRule="auto"/>
                    <w:jc w:val="center"/>
                    <w:rPr>
                      <w:szCs w:val="21"/>
                    </w:rPr>
                  </w:pPr>
                  <w:r>
                    <w:rPr>
                      <w:szCs w:val="21"/>
                    </w:rPr>
                    <w:t>1.77</w:t>
                  </w:r>
                </w:p>
              </w:tc>
              <w:tc>
                <w:tcPr>
                  <w:tcW w:w="994" w:type="dxa"/>
                  <w:shd w:val="clear" w:color="auto" w:fill="auto"/>
                  <w:vAlign w:val="center"/>
                </w:tcPr>
                <w:p>
                  <w:pPr>
                    <w:adjustRightInd w:val="0"/>
                    <w:spacing w:line="360" w:lineRule="auto"/>
                    <w:jc w:val="center"/>
                    <w:rPr>
                      <w:szCs w:val="21"/>
                    </w:rPr>
                  </w:pPr>
                  <w:r>
                    <w:rPr>
                      <w:szCs w:val="21"/>
                    </w:rPr>
                    <w:t>4.21</w:t>
                  </w:r>
                </w:p>
              </w:tc>
              <w:tc>
                <w:tcPr>
                  <w:tcW w:w="992" w:type="dxa"/>
                  <w:vAlign w:val="center"/>
                </w:tcPr>
                <w:p>
                  <w:pPr>
                    <w:adjustRightInd w:val="0"/>
                    <w:spacing w:line="360" w:lineRule="auto"/>
                    <w:jc w:val="center"/>
                    <w:rPr>
                      <w:szCs w:val="21"/>
                    </w:rPr>
                  </w:pPr>
                  <w:r>
                    <w:rPr>
                      <w:rFonts w:hint="eastAsia"/>
                      <w:szCs w:val="21"/>
                    </w:rPr>
                    <w:t>0</w:t>
                  </w:r>
                  <w:r>
                    <w:rPr>
                      <w:szCs w:val="21"/>
                    </w:rPr>
                    <w:t>.28</w:t>
                  </w:r>
                </w:p>
              </w:tc>
              <w:tc>
                <w:tcPr>
                  <w:tcW w:w="1414" w:type="dxa"/>
                  <w:vMerge w:val="continue"/>
                  <w:shd w:val="clear" w:color="auto" w:fill="auto"/>
                  <w:vAlign w:val="center"/>
                </w:tcPr>
                <w:p>
                  <w:pPr>
                    <w:adjustRightInd w:val="0"/>
                    <w:spacing w:line="360" w:lineRule="auto"/>
                    <w:jc w:val="center"/>
                    <w:rPr>
                      <w:szCs w:val="21"/>
                    </w:rPr>
                  </w:pPr>
                </w:p>
              </w:tc>
            </w:tr>
          </w:tbl>
          <w:p>
            <w:pPr>
              <w:adjustRightInd w:val="0"/>
              <w:snapToGrid w:val="0"/>
              <w:spacing w:line="360" w:lineRule="auto"/>
              <w:ind w:firstLine="480" w:firstLineChars="200"/>
              <w:rPr>
                <w:sz w:val="24"/>
              </w:rPr>
            </w:pPr>
            <w:r>
              <w:rPr>
                <w:sz w:val="24"/>
              </w:rPr>
              <w:t>B</w:t>
            </w:r>
            <w:r>
              <w:rPr>
                <w:rFonts w:hint="eastAsia"/>
                <w:sz w:val="24"/>
              </w:rPr>
              <w:t>：</w:t>
            </w:r>
            <w:r>
              <w:rPr>
                <w:sz w:val="24"/>
              </w:rPr>
              <w:t>SS</w:t>
            </w:r>
          </w:p>
          <w:p>
            <w:pPr>
              <w:adjustRightInd w:val="0"/>
              <w:snapToGrid w:val="0"/>
              <w:spacing w:line="360" w:lineRule="auto"/>
              <w:ind w:firstLine="480" w:firstLineChars="200"/>
              <w:rPr>
                <w:sz w:val="24"/>
              </w:rPr>
            </w:pPr>
            <w:r>
              <w:rPr>
                <w:rFonts w:hint="eastAsia"/>
                <w:sz w:val="24"/>
              </w:rPr>
              <w:t>由表</w:t>
            </w:r>
            <w:r>
              <w:rPr>
                <w:sz w:val="24"/>
              </w:rPr>
              <w:t>6</w:t>
            </w:r>
            <w:r>
              <w:rPr>
                <w:rFonts w:hint="eastAsia"/>
                <w:sz w:val="24"/>
              </w:rPr>
              <w:t>可知</w:t>
            </w:r>
            <w:r>
              <w:rPr>
                <w:rFonts w:hint="eastAsia"/>
                <w:color w:val="000000" w:themeColor="text1"/>
                <w:sz w:val="24"/>
              </w:rPr>
              <w:t>，本项目原水中SS的各点位现状监测平均值为</w:t>
            </w:r>
            <w:r>
              <w:rPr>
                <w:color w:val="000000" w:themeColor="text1"/>
                <w:sz w:val="24"/>
              </w:rPr>
              <w:t>7.43</w:t>
            </w:r>
            <w:r>
              <w:rPr>
                <w:rFonts w:hint="eastAsia"/>
                <w:color w:val="000000" w:themeColor="text1"/>
                <w:sz w:val="24"/>
              </w:rPr>
              <w:t>mg/L，根据V型滤池设计，SS去除效率达9</w:t>
            </w:r>
            <w:r>
              <w:rPr>
                <w:color w:val="000000" w:themeColor="text1"/>
                <w:sz w:val="24"/>
              </w:rPr>
              <w:t>0</w:t>
            </w:r>
            <w:r>
              <w:rPr>
                <w:rFonts w:hint="eastAsia"/>
                <w:color w:val="000000" w:themeColor="text1"/>
                <w:sz w:val="24"/>
              </w:rPr>
              <w:t>%以上，</w:t>
            </w:r>
            <w:r>
              <w:rPr>
                <w:color w:val="000000" w:themeColor="text1"/>
                <w:sz w:val="24"/>
              </w:rPr>
              <w:t>出水量为9896</w:t>
            </w:r>
            <w:r>
              <w:rPr>
                <w:rFonts w:hint="eastAsia"/>
                <w:color w:val="000000" w:themeColor="text1"/>
                <w:sz w:val="24"/>
              </w:rPr>
              <w:t>m</w:t>
            </w:r>
            <w:r>
              <w:rPr>
                <w:rFonts w:hint="eastAsia"/>
                <w:color w:val="000000" w:themeColor="text1"/>
                <w:sz w:val="24"/>
                <w:vertAlign w:val="superscript"/>
              </w:rPr>
              <w:t>3</w:t>
            </w:r>
            <w:r>
              <w:rPr>
                <w:rFonts w:hint="eastAsia"/>
                <w:color w:val="000000" w:themeColor="text1"/>
                <w:sz w:val="24"/>
              </w:rPr>
              <w:t>/d，SS最终</w:t>
            </w:r>
            <w:r>
              <w:rPr>
                <w:rFonts w:hint="eastAsia"/>
                <w:sz w:val="24"/>
              </w:rPr>
              <w:t>随浓盐水排放，排放量为</w:t>
            </w:r>
            <w:r>
              <w:rPr>
                <w:sz w:val="24"/>
              </w:rPr>
              <w:t>0.158</w:t>
            </w:r>
            <w:r>
              <w:rPr>
                <w:rFonts w:hint="eastAsia"/>
                <w:color w:val="000000" w:themeColor="text1"/>
                <w:sz w:val="24"/>
              </w:rPr>
              <w:t>t/d</w:t>
            </w:r>
            <w:r>
              <w:rPr>
                <w:rFonts w:hint="eastAsia"/>
                <w:sz w:val="24"/>
              </w:rPr>
              <w:t>。</w:t>
            </w:r>
          </w:p>
          <w:p>
            <w:pPr>
              <w:adjustRightInd w:val="0"/>
              <w:snapToGrid w:val="0"/>
              <w:spacing w:line="360" w:lineRule="auto"/>
              <w:ind w:firstLine="480" w:firstLineChars="200"/>
              <w:rPr>
                <w:color w:val="FF0000"/>
                <w:sz w:val="24"/>
              </w:rPr>
            </w:pPr>
            <w:r>
              <w:rPr>
                <w:sz w:val="24"/>
              </w:rPr>
              <w:t>另外</w:t>
            </w:r>
            <w:r>
              <w:rPr>
                <w:rFonts w:hint="eastAsia"/>
                <w:color w:val="000000" w:themeColor="text1"/>
                <w:sz w:val="24"/>
              </w:rPr>
              <w:t>，</w:t>
            </w:r>
            <w:r>
              <w:rPr>
                <w:color w:val="000000" w:themeColor="text1"/>
                <w:sz w:val="24"/>
              </w:rPr>
              <w:t>污泥处理系统浓缩</w:t>
            </w:r>
            <w:r>
              <w:rPr>
                <w:rFonts w:hint="eastAsia"/>
                <w:color w:val="000000" w:themeColor="text1"/>
                <w:sz w:val="24"/>
              </w:rPr>
              <w:t>、</w:t>
            </w:r>
            <w:r>
              <w:rPr>
                <w:color w:val="000000" w:themeColor="text1"/>
                <w:sz w:val="24"/>
              </w:rPr>
              <w:t>脱水后</w:t>
            </w:r>
            <w:r>
              <w:rPr>
                <w:rFonts w:hint="eastAsia"/>
                <w:color w:val="000000" w:themeColor="text1"/>
                <w:sz w:val="24"/>
              </w:rPr>
              <w:t>，</w:t>
            </w:r>
            <w:r>
              <w:rPr>
                <w:color w:val="000000" w:themeColor="text1"/>
                <w:sz w:val="24"/>
              </w:rPr>
              <w:t>产生废水约</w:t>
            </w:r>
            <w:r>
              <w:rPr>
                <w:rFonts w:hint="eastAsia"/>
                <w:color w:val="000000" w:themeColor="text1"/>
                <w:sz w:val="24"/>
              </w:rPr>
              <w:t>0.5万m</w:t>
            </w:r>
            <w:r>
              <w:rPr>
                <w:rFonts w:hint="eastAsia"/>
                <w:color w:val="000000" w:themeColor="text1"/>
                <w:sz w:val="24"/>
                <w:vertAlign w:val="superscript"/>
              </w:rPr>
              <w:t>3</w:t>
            </w:r>
            <w:r>
              <w:rPr>
                <w:rFonts w:hint="eastAsia"/>
                <w:color w:val="000000" w:themeColor="text1"/>
                <w:sz w:val="24"/>
              </w:rPr>
              <w:t>/d，SS浓度一般在50mg/L左右，排放量为0.25t/d。</w:t>
            </w:r>
          </w:p>
          <w:p>
            <w:pPr>
              <w:adjustRightInd w:val="0"/>
              <w:snapToGrid w:val="0"/>
              <w:spacing w:line="360" w:lineRule="auto"/>
              <w:ind w:firstLine="480" w:firstLineChars="200"/>
              <w:rPr>
                <w:b/>
                <w:sz w:val="24"/>
              </w:rPr>
            </w:pPr>
            <w:r>
              <w:rPr>
                <w:rFonts w:hint="eastAsia"/>
                <w:color w:val="000000" w:themeColor="text1"/>
                <w:sz w:val="24"/>
              </w:rPr>
              <w:t>综上，SS总排</w:t>
            </w:r>
            <w:r>
              <w:rPr>
                <w:rFonts w:hint="eastAsia"/>
                <w:sz w:val="24"/>
              </w:rPr>
              <w:t>放量为</w:t>
            </w:r>
            <w:r>
              <w:rPr>
                <w:sz w:val="24"/>
              </w:rPr>
              <w:t>0.408</w:t>
            </w:r>
            <w:r>
              <w:rPr>
                <w:rFonts w:hint="eastAsia"/>
                <w:sz w:val="24"/>
              </w:rPr>
              <w:t>t/d，浓盐水排放总量为</w:t>
            </w:r>
            <w:r>
              <w:rPr>
                <w:sz w:val="24"/>
              </w:rPr>
              <w:t>187640</w:t>
            </w:r>
            <w:r>
              <w:rPr>
                <w:rFonts w:hint="eastAsia"/>
                <w:sz w:val="24"/>
              </w:rPr>
              <w:t>m</w:t>
            </w:r>
            <w:r>
              <w:rPr>
                <w:rFonts w:hint="eastAsia"/>
                <w:sz w:val="24"/>
                <w:vertAlign w:val="superscript"/>
              </w:rPr>
              <w:t>3</w:t>
            </w:r>
            <w:r>
              <w:rPr>
                <w:rFonts w:hint="eastAsia"/>
                <w:sz w:val="24"/>
              </w:rPr>
              <w:t>/d，SS排放浓度为</w:t>
            </w:r>
            <w:r>
              <w:rPr>
                <w:sz w:val="24"/>
              </w:rPr>
              <w:t>2.17</w:t>
            </w:r>
            <w:r>
              <w:rPr>
                <w:rFonts w:hint="eastAsia"/>
                <w:sz w:val="24"/>
              </w:rPr>
              <w:t>mg/L。</w:t>
            </w:r>
          </w:p>
          <w:p>
            <w:pPr>
              <w:adjustRightInd w:val="0"/>
              <w:snapToGrid w:val="0"/>
              <w:spacing w:line="360" w:lineRule="auto"/>
              <w:ind w:firstLine="480" w:firstLineChars="200"/>
              <w:rPr>
                <w:sz w:val="24"/>
              </w:rPr>
            </w:pPr>
            <w:r>
              <w:rPr>
                <w:rFonts w:hint="eastAsia"/>
                <w:sz w:val="24"/>
              </w:rPr>
              <w:t>C：海水原水经淡化处理后，排放的浓盐水中各类污染物浓度升高</w:t>
            </w:r>
          </w:p>
          <w:p>
            <w:pPr>
              <w:adjustRightInd w:val="0"/>
              <w:snapToGrid w:val="0"/>
              <w:spacing w:line="360" w:lineRule="auto"/>
              <w:ind w:firstLine="480" w:firstLineChars="200"/>
              <w:rPr>
                <w:sz w:val="32"/>
              </w:rPr>
            </w:pPr>
            <w:r>
              <w:rPr>
                <w:rFonts w:hint="eastAsia"/>
                <w:sz w:val="24"/>
              </w:rPr>
              <w:t>海水淡化排水主要污染物是浓盐水。由于取水为</w:t>
            </w:r>
            <w:r>
              <w:rPr>
                <w:sz w:val="24"/>
              </w:rPr>
              <w:t>287640.5m</w:t>
            </w:r>
            <w:r>
              <w:rPr>
                <w:sz w:val="24"/>
                <w:vertAlign w:val="superscript"/>
              </w:rPr>
              <w:t>3</w:t>
            </w:r>
            <w:r>
              <w:rPr>
                <w:sz w:val="24"/>
              </w:rPr>
              <w:t>/d，排出浓盐水量为187640m</w:t>
            </w:r>
            <w:r>
              <w:rPr>
                <w:sz w:val="24"/>
                <w:vertAlign w:val="superscript"/>
              </w:rPr>
              <w:t>3</w:t>
            </w:r>
            <w:r>
              <w:rPr>
                <w:sz w:val="24"/>
              </w:rPr>
              <w:t>/d</w:t>
            </w:r>
            <w:r>
              <w:rPr>
                <w:rFonts w:hint="eastAsia"/>
                <w:sz w:val="24"/>
              </w:rPr>
              <w:t>，对原有海水成分浓缩倍数约1.5</w:t>
            </w:r>
            <w:r>
              <w:rPr>
                <w:sz w:val="24"/>
              </w:rPr>
              <w:t>3</w:t>
            </w:r>
            <w:r>
              <w:rPr>
                <w:rFonts w:hint="eastAsia"/>
                <w:sz w:val="24"/>
              </w:rPr>
              <w:t>倍，其成分与原海水相比没有变化，各类污染物总量不会发生变化，但浓度会升高1.5</w:t>
            </w:r>
            <w:r>
              <w:rPr>
                <w:sz w:val="24"/>
              </w:rPr>
              <w:t>3</w:t>
            </w:r>
            <w:r>
              <w:rPr>
                <w:rFonts w:hint="eastAsia"/>
                <w:sz w:val="24"/>
              </w:rPr>
              <w:t>倍。因本项目浓盐水经冷却水排水渠与现有电厂现有排水混合后排放（电厂现有排水量2</w:t>
            </w:r>
            <w:r>
              <w:rPr>
                <w:sz w:val="24"/>
              </w:rPr>
              <w:t>40000</w:t>
            </w:r>
            <w:r>
              <w:rPr>
                <w:rFonts w:hint="eastAsia"/>
                <w:sz w:val="24"/>
              </w:rPr>
              <w:t>m</w:t>
            </w:r>
            <w:r>
              <w:rPr>
                <w:sz w:val="24"/>
                <w:vertAlign w:val="superscript"/>
              </w:rPr>
              <w:t>3</w:t>
            </w:r>
            <w:r>
              <w:rPr>
                <w:sz w:val="24"/>
              </w:rPr>
              <w:t>/d</w:t>
            </w:r>
            <w:r>
              <w:rPr>
                <w:rFonts w:hint="eastAsia"/>
                <w:sz w:val="24"/>
              </w:rPr>
              <w:t>），电厂排水取自海水，与海水淡化取水水质相同，因此，与本项目浓盐水混合后，污染物浓度被浓缩为原1.23倍。</w:t>
            </w:r>
          </w:p>
          <w:p>
            <w:pPr>
              <w:adjustRightInd w:val="0"/>
              <w:snapToGrid w:val="0"/>
              <w:spacing w:line="360" w:lineRule="auto"/>
              <w:ind w:firstLine="480" w:firstLineChars="200"/>
              <w:rPr>
                <w:sz w:val="24"/>
              </w:rPr>
            </w:pPr>
            <w:r>
              <w:rPr>
                <w:rFonts w:hint="eastAsia"/>
                <w:sz w:val="24"/>
              </w:rPr>
              <w:t>海水淡化排水主要污染物是浓盐水，对原有海水成分浓缩倍数约1.23倍，其成分与原海水相比没有变化，各类污染物总量不会发生变化，但浓度会降低。根据取水口处水质现状监测结果分析浓盐水中各指标的浓度，详见表1</w:t>
            </w:r>
            <w:r>
              <w:rPr>
                <w:sz w:val="24"/>
              </w:rPr>
              <w:t>5</w:t>
            </w:r>
            <w:r>
              <w:rPr>
                <w:rFonts w:hint="eastAsia"/>
                <w:sz w:val="24"/>
              </w:rPr>
              <w:t>。</w:t>
            </w:r>
          </w:p>
          <w:p>
            <w:pPr>
              <w:adjustRightInd w:val="0"/>
              <w:snapToGrid w:val="0"/>
              <w:spacing w:line="360" w:lineRule="auto"/>
              <w:jc w:val="center"/>
              <w:rPr>
                <w:b/>
                <w:sz w:val="24"/>
              </w:rPr>
            </w:pPr>
            <w:r>
              <w:rPr>
                <w:b/>
                <w:sz w:val="24"/>
              </w:rPr>
              <w:t>表15</w:t>
            </w:r>
            <w:r>
              <w:rPr>
                <w:rFonts w:hint="eastAsia"/>
                <w:b/>
                <w:sz w:val="24"/>
              </w:rPr>
              <w:t xml:space="preserve"> 浓盐水</w:t>
            </w:r>
            <w:r>
              <w:rPr>
                <w:b/>
                <w:sz w:val="24"/>
              </w:rPr>
              <w:t>中各类污染物排放</w:t>
            </w:r>
            <w:r>
              <w:rPr>
                <w:rFonts w:hint="eastAsia"/>
                <w:b/>
                <w:sz w:val="24"/>
              </w:rPr>
              <w:t>浓度</w:t>
            </w:r>
            <w:r>
              <w:rPr>
                <w:b/>
                <w:sz w:val="24"/>
              </w:rPr>
              <w:t>一览表</w:t>
            </w:r>
          </w:p>
          <w:tbl>
            <w:tblPr>
              <w:tblStyle w:val="88"/>
              <w:tblW w:w="88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0"/>
              <w:gridCol w:w="849"/>
              <w:gridCol w:w="1153"/>
              <w:gridCol w:w="1688"/>
              <w:gridCol w:w="1263"/>
              <w:gridCol w:w="1914"/>
              <w:gridCol w:w="14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szCs w:val="21"/>
                    </w:rPr>
                    <w:t>序号</w:t>
                  </w:r>
                </w:p>
              </w:tc>
              <w:tc>
                <w:tcPr>
                  <w:tcW w:w="849" w:type="dxa"/>
                  <w:shd w:val="clear" w:color="auto" w:fill="auto"/>
                  <w:vAlign w:val="center"/>
                </w:tcPr>
                <w:p>
                  <w:pPr>
                    <w:adjustRightInd w:val="0"/>
                    <w:snapToGrid w:val="0"/>
                    <w:jc w:val="center"/>
                    <w:rPr>
                      <w:szCs w:val="21"/>
                    </w:rPr>
                  </w:pPr>
                  <w:r>
                    <w:rPr>
                      <w:szCs w:val="21"/>
                    </w:rPr>
                    <w:t>项目</w:t>
                  </w:r>
                </w:p>
              </w:tc>
              <w:tc>
                <w:tcPr>
                  <w:tcW w:w="1153" w:type="dxa"/>
                  <w:shd w:val="clear" w:color="auto" w:fill="auto"/>
                  <w:vAlign w:val="center"/>
                </w:tcPr>
                <w:p>
                  <w:pPr>
                    <w:adjustRightInd w:val="0"/>
                    <w:snapToGrid w:val="0"/>
                    <w:jc w:val="center"/>
                    <w:rPr>
                      <w:color w:val="FF0000"/>
                      <w:szCs w:val="21"/>
                    </w:rPr>
                  </w:pPr>
                  <w:r>
                    <w:rPr>
                      <w:rFonts w:hint="eastAsia"/>
                      <w:szCs w:val="21"/>
                    </w:rPr>
                    <w:t>取水口附近水质监测结果</w:t>
                  </w:r>
                  <w:r>
                    <w:rPr>
                      <w:szCs w:val="21"/>
                    </w:rPr>
                    <w:t>(mg/L)</w:t>
                  </w:r>
                </w:p>
              </w:tc>
              <w:tc>
                <w:tcPr>
                  <w:tcW w:w="1688" w:type="dxa"/>
                  <w:shd w:val="clear" w:color="auto" w:fill="auto"/>
                  <w:vAlign w:val="center"/>
                </w:tcPr>
                <w:p>
                  <w:pPr>
                    <w:adjustRightInd w:val="0"/>
                    <w:snapToGrid w:val="0"/>
                    <w:jc w:val="center"/>
                    <w:rPr>
                      <w:szCs w:val="21"/>
                    </w:rPr>
                  </w:pPr>
                  <w:r>
                    <w:rPr>
                      <w:szCs w:val="21"/>
                    </w:rPr>
                    <w:t>取水口处海水水质标准</w:t>
                  </w:r>
                  <w:r>
                    <w:rPr>
                      <w:rFonts w:hint="eastAsia"/>
                      <w:szCs w:val="21"/>
                    </w:rPr>
                    <w:t>(第三类，mg/L)</w:t>
                  </w:r>
                </w:p>
              </w:tc>
              <w:tc>
                <w:tcPr>
                  <w:tcW w:w="1263" w:type="dxa"/>
                  <w:shd w:val="clear" w:color="auto" w:fill="auto"/>
                  <w:vAlign w:val="center"/>
                </w:tcPr>
                <w:p>
                  <w:pPr>
                    <w:adjustRightInd w:val="0"/>
                    <w:snapToGrid w:val="0"/>
                    <w:jc w:val="center"/>
                    <w:rPr>
                      <w:szCs w:val="21"/>
                    </w:rPr>
                  </w:pPr>
                  <w:r>
                    <w:rPr>
                      <w:szCs w:val="21"/>
                    </w:rPr>
                    <w:t>排水水质预测结果</w:t>
                  </w:r>
                  <w:r>
                    <w:rPr>
                      <w:rFonts w:hint="eastAsia"/>
                      <w:szCs w:val="21"/>
                    </w:rPr>
                    <w:t>(mg/L)</w:t>
                  </w:r>
                </w:p>
              </w:tc>
              <w:tc>
                <w:tcPr>
                  <w:tcW w:w="1914" w:type="dxa"/>
                  <w:shd w:val="clear" w:color="auto" w:fill="auto"/>
                  <w:vAlign w:val="center"/>
                </w:tcPr>
                <w:p>
                  <w:pPr>
                    <w:adjustRightInd w:val="0"/>
                    <w:snapToGrid w:val="0"/>
                    <w:jc w:val="center"/>
                    <w:rPr>
                      <w:szCs w:val="21"/>
                    </w:rPr>
                  </w:pPr>
                  <w:r>
                    <w:rPr>
                      <w:szCs w:val="21"/>
                    </w:rPr>
                    <w:t>排放标准</w:t>
                  </w:r>
                  <w:r>
                    <w:rPr>
                      <w:rFonts w:hint="eastAsia"/>
                      <w:szCs w:val="21"/>
                    </w:rPr>
                    <w:t>(DB37/3416.5-2018表2中二级标准，mg/L)</w:t>
                  </w:r>
                </w:p>
              </w:tc>
              <w:tc>
                <w:tcPr>
                  <w:tcW w:w="1442" w:type="dxa"/>
                  <w:shd w:val="clear" w:color="auto" w:fill="auto"/>
                  <w:vAlign w:val="center"/>
                </w:tcPr>
                <w:p>
                  <w:pPr>
                    <w:adjustRightInd w:val="0"/>
                    <w:snapToGrid w:val="0"/>
                    <w:jc w:val="center"/>
                    <w:rPr>
                      <w:szCs w:val="21"/>
                    </w:rPr>
                  </w:pPr>
                  <w:r>
                    <w:rPr>
                      <w:szCs w:val="21"/>
                    </w:rPr>
                    <w:t>排水口附近海域海水水质标准</w:t>
                  </w:r>
                  <w:r>
                    <w:rPr>
                      <w:rFonts w:hint="eastAsia"/>
                      <w:szCs w:val="21"/>
                    </w:rPr>
                    <w:t>(第三类，mg/L)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1</w:t>
                  </w:r>
                </w:p>
              </w:tc>
              <w:tc>
                <w:tcPr>
                  <w:tcW w:w="849" w:type="dxa"/>
                  <w:shd w:val="clear" w:color="auto" w:fill="auto"/>
                  <w:vAlign w:val="center"/>
                </w:tcPr>
                <w:p>
                  <w:pPr>
                    <w:adjustRightInd w:val="0"/>
                    <w:snapToGrid w:val="0"/>
                    <w:jc w:val="center"/>
                    <w:rPr>
                      <w:szCs w:val="21"/>
                    </w:rPr>
                  </w:pPr>
                  <w:r>
                    <w:rPr>
                      <w:szCs w:val="21"/>
                    </w:rPr>
                    <w:t>COD</w:t>
                  </w:r>
                  <w:r>
                    <w:rPr>
                      <w:szCs w:val="21"/>
                      <w:vertAlign w:val="subscript"/>
                    </w:rPr>
                    <w:t>Mn</w:t>
                  </w:r>
                </w:p>
              </w:tc>
              <w:tc>
                <w:tcPr>
                  <w:tcW w:w="1153" w:type="dxa"/>
                  <w:shd w:val="clear" w:color="auto" w:fill="auto"/>
                  <w:vAlign w:val="center"/>
                </w:tcPr>
                <w:p>
                  <w:pPr>
                    <w:adjustRightInd w:val="0"/>
                    <w:snapToGrid w:val="0"/>
                    <w:jc w:val="center"/>
                    <w:rPr>
                      <w:szCs w:val="21"/>
                    </w:rPr>
                  </w:pPr>
                  <w:r>
                    <w:rPr>
                      <w:rFonts w:hint="eastAsia"/>
                      <w:szCs w:val="21"/>
                    </w:rPr>
                    <w:t>0.41</w:t>
                  </w:r>
                </w:p>
              </w:tc>
              <w:tc>
                <w:tcPr>
                  <w:tcW w:w="1688" w:type="dxa"/>
                  <w:shd w:val="clear" w:color="auto" w:fill="auto"/>
                  <w:vAlign w:val="center"/>
                </w:tcPr>
                <w:p>
                  <w:pPr>
                    <w:adjustRightInd w:val="0"/>
                    <w:snapToGrid w:val="0"/>
                    <w:jc w:val="center"/>
                    <w:rPr>
                      <w:szCs w:val="21"/>
                    </w:rPr>
                  </w:pPr>
                  <w:r>
                    <w:rPr>
                      <w:rFonts w:hint="eastAsia"/>
                      <w:szCs w:val="21"/>
                    </w:rPr>
                    <w:t>3</w:t>
                  </w:r>
                </w:p>
              </w:tc>
              <w:tc>
                <w:tcPr>
                  <w:tcW w:w="1263" w:type="dxa"/>
                  <w:shd w:val="clear" w:color="auto" w:fill="auto"/>
                  <w:vAlign w:val="center"/>
                </w:tcPr>
                <w:p>
                  <w:pPr>
                    <w:jc w:val="center"/>
                    <w:rPr>
                      <w:szCs w:val="21"/>
                    </w:rPr>
                  </w:pPr>
                  <w:r>
                    <w:rPr>
                      <w:rFonts w:hint="eastAsia"/>
                      <w:szCs w:val="21"/>
                    </w:rPr>
                    <w:t>0.50</w:t>
                  </w:r>
                </w:p>
              </w:tc>
              <w:tc>
                <w:tcPr>
                  <w:tcW w:w="1914" w:type="dxa"/>
                  <w:shd w:val="clear" w:color="auto" w:fill="auto"/>
                  <w:vAlign w:val="center"/>
                </w:tcPr>
                <w:p>
                  <w:pPr>
                    <w:adjustRightInd w:val="0"/>
                    <w:snapToGrid w:val="0"/>
                    <w:jc w:val="center"/>
                    <w:rPr>
                      <w:szCs w:val="21"/>
                    </w:rPr>
                  </w:pPr>
                  <w:r>
                    <w:rPr>
                      <w:rFonts w:hint="eastAsia"/>
                      <w:szCs w:val="21"/>
                    </w:rPr>
                    <w:t>/</w:t>
                  </w:r>
                </w:p>
              </w:tc>
              <w:tc>
                <w:tcPr>
                  <w:tcW w:w="1442" w:type="dxa"/>
                  <w:shd w:val="clear" w:color="auto" w:fill="auto"/>
                  <w:vAlign w:val="center"/>
                </w:tcPr>
                <w:p>
                  <w:pPr>
                    <w:adjustRightInd w:val="0"/>
                    <w:snapToGrid w:val="0"/>
                    <w:jc w:val="center"/>
                    <w:rPr>
                      <w:szCs w:val="21"/>
                    </w:rPr>
                  </w:pPr>
                  <w:r>
                    <w:rPr>
                      <w:rFonts w:hint="eastAsia"/>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2</w:t>
                  </w:r>
                </w:p>
              </w:tc>
              <w:tc>
                <w:tcPr>
                  <w:tcW w:w="849" w:type="dxa"/>
                  <w:shd w:val="clear" w:color="auto" w:fill="auto"/>
                  <w:vAlign w:val="center"/>
                </w:tcPr>
                <w:p>
                  <w:pPr>
                    <w:adjustRightInd w:val="0"/>
                    <w:snapToGrid w:val="0"/>
                    <w:jc w:val="center"/>
                    <w:rPr>
                      <w:szCs w:val="21"/>
                    </w:rPr>
                  </w:pPr>
                  <w:r>
                    <w:rPr>
                      <w:rFonts w:hint="eastAsia"/>
                      <w:szCs w:val="21"/>
                    </w:rPr>
                    <w:t>氨氮</w:t>
                  </w:r>
                </w:p>
              </w:tc>
              <w:tc>
                <w:tcPr>
                  <w:tcW w:w="1153" w:type="dxa"/>
                  <w:shd w:val="clear" w:color="auto" w:fill="auto"/>
                  <w:vAlign w:val="center"/>
                </w:tcPr>
                <w:p>
                  <w:pPr>
                    <w:adjustRightInd w:val="0"/>
                    <w:snapToGrid w:val="0"/>
                    <w:jc w:val="center"/>
                    <w:rPr>
                      <w:szCs w:val="21"/>
                    </w:rPr>
                  </w:pPr>
                  <w:r>
                    <w:rPr>
                      <w:szCs w:val="21"/>
                    </w:rPr>
                    <w:t>0.003</w:t>
                  </w:r>
                </w:p>
              </w:tc>
              <w:tc>
                <w:tcPr>
                  <w:tcW w:w="1688" w:type="dxa"/>
                  <w:shd w:val="clear" w:color="auto" w:fill="auto"/>
                  <w:vAlign w:val="center"/>
                </w:tcPr>
                <w:p>
                  <w:pPr>
                    <w:adjustRightInd w:val="0"/>
                    <w:snapToGrid w:val="0"/>
                    <w:jc w:val="center"/>
                    <w:rPr>
                      <w:szCs w:val="21"/>
                    </w:rPr>
                  </w:pPr>
                  <w:r>
                    <w:rPr>
                      <w:rFonts w:hint="eastAsia"/>
                      <w:szCs w:val="21"/>
                    </w:rPr>
                    <w:t>/</w:t>
                  </w:r>
                </w:p>
              </w:tc>
              <w:tc>
                <w:tcPr>
                  <w:tcW w:w="1263" w:type="dxa"/>
                  <w:shd w:val="clear" w:color="auto" w:fill="auto"/>
                  <w:vAlign w:val="center"/>
                </w:tcPr>
                <w:p>
                  <w:pPr>
                    <w:jc w:val="center"/>
                    <w:rPr>
                      <w:szCs w:val="21"/>
                    </w:rPr>
                  </w:pPr>
                  <w:r>
                    <w:rPr>
                      <w:szCs w:val="21"/>
                    </w:rPr>
                    <w:t>0.</w:t>
                  </w:r>
                  <w:r>
                    <w:rPr>
                      <w:rFonts w:hint="eastAsia"/>
                      <w:szCs w:val="21"/>
                    </w:rPr>
                    <w:t>0037</w:t>
                  </w:r>
                </w:p>
              </w:tc>
              <w:tc>
                <w:tcPr>
                  <w:tcW w:w="1914" w:type="dxa"/>
                  <w:shd w:val="clear" w:color="auto" w:fill="auto"/>
                  <w:vAlign w:val="center"/>
                </w:tcPr>
                <w:p>
                  <w:pPr>
                    <w:adjustRightInd w:val="0"/>
                    <w:snapToGrid w:val="0"/>
                    <w:jc w:val="center"/>
                    <w:rPr>
                      <w:szCs w:val="21"/>
                    </w:rPr>
                  </w:pPr>
                  <w:r>
                    <w:rPr>
                      <w:rFonts w:hint="eastAsia"/>
                      <w:szCs w:val="21"/>
                    </w:rPr>
                    <w:t>10</w:t>
                  </w:r>
                </w:p>
              </w:tc>
              <w:tc>
                <w:tcPr>
                  <w:tcW w:w="1442" w:type="dxa"/>
                  <w:shd w:val="clear" w:color="auto" w:fill="auto"/>
                  <w:vAlign w:val="center"/>
                </w:tcPr>
                <w:p>
                  <w:pPr>
                    <w:adjustRightInd w:val="0"/>
                    <w:snapToGrid w:val="0"/>
                    <w:jc w:val="center"/>
                    <w:rPr>
                      <w:szCs w:val="21"/>
                    </w:rPr>
                  </w:pP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3</w:t>
                  </w:r>
                </w:p>
              </w:tc>
              <w:tc>
                <w:tcPr>
                  <w:tcW w:w="849" w:type="dxa"/>
                  <w:shd w:val="clear" w:color="auto" w:fill="auto"/>
                  <w:vAlign w:val="center"/>
                </w:tcPr>
                <w:p>
                  <w:pPr>
                    <w:adjustRightInd w:val="0"/>
                    <w:snapToGrid w:val="0"/>
                    <w:jc w:val="center"/>
                    <w:rPr>
                      <w:szCs w:val="21"/>
                    </w:rPr>
                  </w:pPr>
                  <w:r>
                    <w:rPr>
                      <w:rFonts w:hint="eastAsia"/>
                      <w:szCs w:val="21"/>
                    </w:rPr>
                    <w:t>无机氮</w:t>
                  </w:r>
                </w:p>
              </w:tc>
              <w:tc>
                <w:tcPr>
                  <w:tcW w:w="1153" w:type="dxa"/>
                  <w:shd w:val="clear" w:color="auto" w:fill="auto"/>
                  <w:vAlign w:val="center"/>
                </w:tcPr>
                <w:p>
                  <w:pPr>
                    <w:adjustRightInd w:val="0"/>
                    <w:snapToGrid w:val="0"/>
                    <w:jc w:val="center"/>
                    <w:rPr>
                      <w:szCs w:val="21"/>
                    </w:rPr>
                  </w:pPr>
                  <w:r>
                    <w:rPr>
                      <w:rFonts w:hint="eastAsia"/>
                      <w:szCs w:val="21"/>
                    </w:rPr>
                    <w:t>0.01358</w:t>
                  </w:r>
                </w:p>
              </w:tc>
              <w:tc>
                <w:tcPr>
                  <w:tcW w:w="1688" w:type="dxa"/>
                  <w:shd w:val="clear" w:color="auto" w:fill="auto"/>
                  <w:vAlign w:val="center"/>
                </w:tcPr>
                <w:p>
                  <w:pPr>
                    <w:adjustRightInd w:val="0"/>
                    <w:snapToGrid w:val="0"/>
                    <w:jc w:val="center"/>
                    <w:rPr>
                      <w:szCs w:val="21"/>
                    </w:rPr>
                  </w:pPr>
                  <w:r>
                    <w:rPr>
                      <w:rFonts w:hint="eastAsia"/>
                      <w:szCs w:val="21"/>
                    </w:rPr>
                    <w:t>0.30</w:t>
                  </w:r>
                </w:p>
              </w:tc>
              <w:tc>
                <w:tcPr>
                  <w:tcW w:w="1263" w:type="dxa"/>
                  <w:shd w:val="clear" w:color="auto" w:fill="auto"/>
                  <w:vAlign w:val="center"/>
                </w:tcPr>
                <w:p>
                  <w:pPr>
                    <w:jc w:val="center"/>
                    <w:rPr>
                      <w:szCs w:val="21"/>
                    </w:rPr>
                  </w:pPr>
                  <w:r>
                    <w:rPr>
                      <w:szCs w:val="21"/>
                    </w:rPr>
                    <w:t>0.</w:t>
                  </w:r>
                  <w:r>
                    <w:rPr>
                      <w:rFonts w:hint="eastAsia"/>
                      <w:szCs w:val="21"/>
                    </w:rPr>
                    <w:t>0167</w:t>
                  </w:r>
                </w:p>
              </w:tc>
              <w:tc>
                <w:tcPr>
                  <w:tcW w:w="1914" w:type="dxa"/>
                  <w:shd w:val="clear" w:color="auto" w:fill="auto"/>
                  <w:vAlign w:val="center"/>
                </w:tcPr>
                <w:p>
                  <w:pPr>
                    <w:adjustRightInd w:val="0"/>
                    <w:snapToGrid w:val="0"/>
                    <w:jc w:val="center"/>
                    <w:rPr>
                      <w:szCs w:val="21"/>
                    </w:rPr>
                  </w:pPr>
                  <w:r>
                    <w:rPr>
                      <w:rFonts w:hint="eastAsia"/>
                      <w:szCs w:val="21"/>
                    </w:rPr>
                    <w:t>总氮 20</w:t>
                  </w:r>
                </w:p>
              </w:tc>
              <w:tc>
                <w:tcPr>
                  <w:tcW w:w="1442" w:type="dxa"/>
                  <w:shd w:val="clear" w:color="auto" w:fill="auto"/>
                  <w:vAlign w:val="center"/>
                </w:tcPr>
                <w:p>
                  <w:pPr>
                    <w:adjustRightInd w:val="0"/>
                    <w:snapToGrid w:val="0"/>
                    <w:jc w:val="center"/>
                    <w:rPr>
                      <w:szCs w:val="21"/>
                    </w:rPr>
                  </w:pPr>
                  <w:r>
                    <w:rPr>
                      <w:rFonts w:hint="eastAsia"/>
                      <w:szCs w:val="21"/>
                    </w:rPr>
                    <w:t>0.30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4</w:t>
                  </w:r>
                </w:p>
              </w:tc>
              <w:tc>
                <w:tcPr>
                  <w:tcW w:w="849" w:type="dxa"/>
                  <w:shd w:val="clear" w:color="auto" w:fill="auto"/>
                  <w:vAlign w:val="center"/>
                </w:tcPr>
                <w:p>
                  <w:pPr>
                    <w:adjustRightInd w:val="0"/>
                    <w:snapToGrid w:val="0"/>
                    <w:jc w:val="center"/>
                    <w:rPr>
                      <w:szCs w:val="21"/>
                    </w:rPr>
                  </w:pPr>
                  <w:r>
                    <w:rPr>
                      <w:szCs w:val="21"/>
                    </w:rPr>
                    <w:t>活性磷酸盐</w:t>
                  </w:r>
                </w:p>
              </w:tc>
              <w:tc>
                <w:tcPr>
                  <w:tcW w:w="1153" w:type="dxa"/>
                  <w:shd w:val="clear" w:color="auto" w:fill="auto"/>
                  <w:vAlign w:val="center"/>
                </w:tcPr>
                <w:p>
                  <w:pPr>
                    <w:adjustRightInd w:val="0"/>
                    <w:snapToGrid w:val="0"/>
                    <w:jc w:val="center"/>
                    <w:rPr>
                      <w:szCs w:val="21"/>
                    </w:rPr>
                  </w:pPr>
                  <w:r>
                    <w:rPr>
                      <w:rFonts w:hint="eastAsia"/>
                      <w:szCs w:val="21"/>
                    </w:rPr>
                    <w:t>0.0003</w:t>
                  </w:r>
                </w:p>
              </w:tc>
              <w:tc>
                <w:tcPr>
                  <w:tcW w:w="1688" w:type="dxa"/>
                  <w:shd w:val="clear" w:color="auto" w:fill="auto"/>
                  <w:vAlign w:val="center"/>
                </w:tcPr>
                <w:p>
                  <w:pPr>
                    <w:adjustRightInd w:val="0"/>
                    <w:snapToGrid w:val="0"/>
                    <w:jc w:val="center"/>
                    <w:rPr>
                      <w:szCs w:val="21"/>
                    </w:rPr>
                  </w:pPr>
                  <w:r>
                    <w:rPr>
                      <w:rFonts w:hint="eastAsia"/>
                      <w:szCs w:val="21"/>
                    </w:rPr>
                    <w:t>0.03</w:t>
                  </w:r>
                </w:p>
              </w:tc>
              <w:tc>
                <w:tcPr>
                  <w:tcW w:w="1263" w:type="dxa"/>
                  <w:shd w:val="clear" w:color="auto" w:fill="auto"/>
                  <w:vAlign w:val="center"/>
                </w:tcPr>
                <w:p>
                  <w:pPr>
                    <w:jc w:val="center"/>
                    <w:rPr>
                      <w:szCs w:val="21"/>
                    </w:rPr>
                  </w:pPr>
                  <w:r>
                    <w:rPr>
                      <w:szCs w:val="21"/>
                    </w:rPr>
                    <w:t>0.0</w:t>
                  </w:r>
                  <w:r>
                    <w:rPr>
                      <w:rFonts w:hint="eastAsia"/>
                      <w:szCs w:val="21"/>
                    </w:rPr>
                    <w:t>0037</w:t>
                  </w:r>
                </w:p>
              </w:tc>
              <w:tc>
                <w:tcPr>
                  <w:tcW w:w="1914" w:type="dxa"/>
                  <w:shd w:val="clear" w:color="auto" w:fill="auto"/>
                  <w:vAlign w:val="center"/>
                </w:tcPr>
                <w:p>
                  <w:pPr>
                    <w:adjustRightInd w:val="0"/>
                    <w:snapToGrid w:val="0"/>
                    <w:jc w:val="center"/>
                    <w:rPr>
                      <w:szCs w:val="21"/>
                    </w:rPr>
                  </w:pPr>
                  <w:r>
                    <w:rPr>
                      <w:rFonts w:hint="eastAsia"/>
                      <w:szCs w:val="21"/>
                    </w:rPr>
                    <w:t>总磷 0.5</w:t>
                  </w:r>
                </w:p>
              </w:tc>
              <w:tc>
                <w:tcPr>
                  <w:tcW w:w="1442" w:type="dxa"/>
                  <w:shd w:val="clear" w:color="auto" w:fill="auto"/>
                  <w:vAlign w:val="center"/>
                </w:tcPr>
                <w:p>
                  <w:pPr>
                    <w:adjustRightInd w:val="0"/>
                    <w:snapToGrid w:val="0"/>
                    <w:jc w:val="center"/>
                    <w:rPr>
                      <w:szCs w:val="21"/>
                    </w:rPr>
                  </w:pPr>
                  <w:r>
                    <w:rPr>
                      <w:rFonts w:hint="eastAsia"/>
                      <w:szCs w:val="21"/>
                    </w:rPr>
                    <w:t>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5</w:t>
                  </w:r>
                </w:p>
              </w:tc>
              <w:tc>
                <w:tcPr>
                  <w:tcW w:w="849" w:type="dxa"/>
                  <w:shd w:val="clear" w:color="auto" w:fill="auto"/>
                  <w:vAlign w:val="center"/>
                </w:tcPr>
                <w:p>
                  <w:pPr>
                    <w:adjustRightInd w:val="0"/>
                    <w:snapToGrid w:val="0"/>
                    <w:jc w:val="center"/>
                    <w:rPr>
                      <w:szCs w:val="21"/>
                    </w:rPr>
                  </w:pPr>
                  <w:r>
                    <w:rPr>
                      <w:szCs w:val="21"/>
                    </w:rPr>
                    <w:t>石油类</w:t>
                  </w:r>
                </w:p>
              </w:tc>
              <w:tc>
                <w:tcPr>
                  <w:tcW w:w="1153" w:type="dxa"/>
                  <w:shd w:val="clear" w:color="auto" w:fill="auto"/>
                  <w:vAlign w:val="center"/>
                </w:tcPr>
                <w:p>
                  <w:pPr>
                    <w:adjustRightInd w:val="0"/>
                    <w:snapToGrid w:val="0"/>
                    <w:jc w:val="center"/>
                    <w:rPr>
                      <w:szCs w:val="21"/>
                    </w:rPr>
                  </w:pPr>
                  <w:r>
                    <w:rPr>
                      <w:rFonts w:hint="eastAsia"/>
                      <w:szCs w:val="21"/>
                    </w:rPr>
                    <w:t>0.0103</w:t>
                  </w:r>
                </w:p>
              </w:tc>
              <w:tc>
                <w:tcPr>
                  <w:tcW w:w="1688" w:type="dxa"/>
                  <w:shd w:val="clear" w:color="auto" w:fill="auto"/>
                  <w:vAlign w:val="center"/>
                </w:tcPr>
                <w:p>
                  <w:pPr>
                    <w:adjustRightInd w:val="0"/>
                    <w:snapToGrid w:val="0"/>
                    <w:jc w:val="center"/>
                    <w:rPr>
                      <w:szCs w:val="21"/>
                    </w:rPr>
                  </w:pPr>
                  <w:r>
                    <w:rPr>
                      <w:rFonts w:hint="eastAsia"/>
                      <w:szCs w:val="21"/>
                    </w:rPr>
                    <w:t>0.05</w:t>
                  </w:r>
                </w:p>
              </w:tc>
              <w:tc>
                <w:tcPr>
                  <w:tcW w:w="1263" w:type="dxa"/>
                  <w:shd w:val="clear" w:color="auto" w:fill="auto"/>
                  <w:vAlign w:val="center"/>
                </w:tcPr>
                <w:p>
                  <w:pPr>
                    <w:jc w:val="center"/>
                    <w:rPr>
                      <w:szCs w:val="21"/>
                    </w:rPr>
                  </w:pPr>
                  <w:r>
                    <w:rPr>
                      <w:szCs w:val="21"/>
                    </w:rPr>
                    <w:t>0.</w:t>
                  </w:r>
                  <w:r>
                    <w:rPr>
                      <w:rFonts w:hint="eastAsia"/>
                      <w:szCs w:val="21"/>
                    </w:rPr>
                    <w:t>0127</w:t>
                  </w:r>
                </w:p>
              </w:tc>
              <w:tc>
                <w:tcPr>
                  <w:tcW w:w="1914" w:type="dxa"/>
                  <w:shd w:val="clear" w:color="auto" w:fill="auto"/>
                  <w:vAlign w:val="center"/>
                </w:tcPr>
                <w:p>
                  <w:pPr>
                    <w:adjustRightInd w:val="0"/>
                    <w:snapToGrid w:val="0"/>
                    <w:jc w:val="center"/>
                    <w:rPr>
                      <w:szCs w:val="21"/>
                    </w:rPr>
                  </w:pPr>
                  <w:r>
                    <w:rPr>
                      <w:rFonts w:hint="eastAsia"/>
                      <w:szCs w:val="21"/>
                    </w:rPr>
                    <w:t>5</w:t>
                  </w:r>
                </w:p>
              </w:tc>
              <w:tc>
                <w:tcPr>
                  <w:tcW w:w="1442" w:type="dxa"/>
                  <w:shd w:val="clear" w:color="auto" w:fill="auto"/>
                  <w:vAlign w:val="center"/>
                </w:tcPr>
                <w:p>
                  <w:pPr>
                    <w:adjustRightInd w:val="0"/>
                    <w:snapToGrid w:val="0"/>
                    <w:jc w:val="center"/>
                    <w:rPr>
                      <w:szCs w:val="21"/>
                    </w:rPr>
                  </w:pPr>
                  <w:r>
                    <w:rPr>
                      <w:rFonts w:hint="eastAsia"/>
                      <w:szCs w:val="21"/>
                    </w:rPr>
                    <w:t>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6</w:t>
                  </w:r>
                </w:p>
              </w:tc>
              <w:tc>
                <w:tcPr>
                  <w:tcW w:w="849" w:type="dxa"/>
                  <w:shd w:val="clear" w:color="auto" w:fill="auto"/>
                  <w:vAlign w:val="center"/>
                </w:tcPr>
                <w:p>
                  <w:pPr>
                    <w:adjustRightInd w:val="0"/>
                    <w:snapToGrid w:val="0"/>
                    <w:jc w:val="center"/>
                    <w:rPr>
                      <w:szCs w:val="21"/>
                    </w:rPr>
                  </w:pPr>
                  <w:r>
                    <w:rPr>
                      <w:szCs w:val="21"/>
                    </w:rPr>
                    <w:t>挥发酚</w:t>
                  </w:r>
                </w:p>
              </w:tc>
              <w:tc>
                <w:tcPr>
                  <w:tcW w:w="1153" w:type="dxa"/>
                  <w:shd w:val="clear" w:color="auto" w:fill="auto"/>
                  <w:vAlign w:val="center"/>
                </w:tcPr>
                <w:p>
                  <w:pPr>
                    <w:adjustRightInd w:val="0"/>
                    <w:snapToGrid w:val="0"/>
                    <w:jc w:val="center"/>
                    <w:rPr>
                      <w:szCs w:val="21"/>
                    </w:rPr>
                  </w:pPr>
                  <w:r>
                    <w:rPr>
                      <w:szCs w:val="21"/>
                    </w:rPr>
                    <w:t>未检出</w:t>
                  </w:r>
                </w:p>
              </w:tc>
              <w:tc>
                <w:tcPr>
                  <w:tcW w:w="1688" w:type="dxa"/>
                  <w:shd w:val="clear" w:color="auto" w:fill="auto"/>
                  <w:vAlign w:val="center"/>
                </w:tcPr>
                <w:p>
                  <w:pPr>
                    <w:adjustRightInd w:val="0"/>
                    <w:snapToGrid w:val="0"/>
                    <w:jc w:val="center"/>
                    <w:rPr>
                      <w:szCs w:val="21"/>
                    </w:rPr>
                  </w:pPr>
                  <w:r>
                    <w:rPr>
                      <w:rFonts w:hint="eastAsia"/>
                      <w:szCs w:val="21"/>
                    </w:rPr>
                    <w:t>0.005</w:t>
                  </w:r>
                </w:p>
              </w:tc>
              <w:tc>
                <w:tcPr>
                  <w:tcW w:w="1263" w:type="dxa"/>
                  <w:shd w:val="clear" w:color="auto" w:fill="auto"/>
                  <w:vAlign w:val="center"/>
                </w:tcPr>
                <w:p>
                  <w:pPr>
                    <w:jc w:val="center"/>
                    <w:rPr>
                      <w:szCs w:val="21"/>
                    </w:rPr>
                  </w:pPr>
                  <w:r>
                    <w:rPr>
                      <w:rFonts w:hint="eastAsia"/>
                      <w:szCs w:val="21"/>
                    </w:rPr>
                    <w:t>/</w:t>
                  </w:r>
                </w:p>
              </w:tc>
              <w:tc>
                <w:tcPr>
                  <w:tcW w:w="1914" w:type="dxa"/>
                  <w:shd w:val="clear" w:color="auto" w:fill="auto"/>
                  <w:vAlign w:val="center"/>
                </w:tcPr>
                <w:p>
                  <w:pPr>
                    <w:adjustRightInd w:val="0"/>
                    <w:snapToGrid w:val="0"/>
                    <w:jc w:val="center"/>
                    <w:rPr>
                      <w:szCs w:val="21"/>
                    </w:rPr>
                  </w:pPr>
                  <w:r>
                    <w:rPr>
                      <w:rFonts w:hint="eastAsia"/>
                      <w:szCs w:val="21"/>
                    </w:rPr>
                    <w:t>0.5</w:t>
                  </w:r>
                </w:p>
              </w:tc>
              <w:tc>
                <w:tcPr>
                  <w:tcW w:w="1442" w:type="dxa"/>
                  <w:shd w:val="clear" w:color="auto" w:fill="auto"/>
                  <w:vAlign w:val="center"/>
                </w:tcPr>
                <w:p>
                  <w:pPr>
                    <w:adjustRightInd w:val="0"/>
                    <w:snapToGrid w:val="0"/>
                    <w:jc w:val="center"/>
                    <w:rPr>
                      <w:szCs w:val="21"/>
                    </w:rPr>
                  </w:pPr>
                  <w:r>
                    <w:rPr>
                      <w:rFonts w:hint="eastAsia"/>
                      <w:szCs w:val="21"/>
                    </w:rPr>
                    <w:t>0.005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7</w:t>
                  </w:r>
                </w:p>
              </w:tc>
              <w:tc>
                <w:tcPr>
                  <w:tcW w:w="849" w:type="dxa"/>
                  <w:shd w:val="clear" w:color="auto" w:fill="auto"/>
                  <w:vAlign w:val="center"/>
                </w:tcPr>
                <w:p>
                  <w:pPr>
                    <w:adjustRightInd w:val="0"/>
                    <w:snapToGrid w:val="0"/>
                    <w:jc w:val="center"/>
                    <w:rPr>
                      <w:szCs w:val="21"/>
                    </w:rPr>
                  </w:pPr>
                  <w:r>
                    <w:rPr>
                      <w:szCs w:val="21"/>
                    </w:rPr>
                    <w:t>硫化物</w:t>
                  </w:r>
                </w:p>
              </w:tc>
              <w:tc>
                <w:tcPr>
                  <w:tcW w:w="1153" w:type="dxa"/>
                  <w:shd w:val="clear" w:color="auto" w:fill="auto"/>
                  <w:vAlign w:val="center"/>
                </w:tcPr>
                <w:p>
                  <w:pPr>
                    <w:adjustRightInd w:val="0"/>
                    <w:snapToGrid w:val="0"/>
                    <w:jc w:val="center"/>
                    <w:rPr>
                      <w:szCs w:val="21"/>
                    </w:rPr>
                  </w:pPr>
                  <w:r>
                    <w:rPr>
                      <w:rFonts w:hint="eastAsia"/>
                      <w:szCs w:val="21"/>
                    </w:rPr>
                    <w:t>未检出</w:t>
                  </w:r>
                </w:p>
              </w:tc>
              <w:tc>
                <w:tcPr>
                  <w:tcW w:w="1688" w:type="dxa"/>
                  <w:shd w:val="clear" w:color="auto" w:fill="auto"/>
                  <w:vAlign w:val="center"/>
                </w:tcPr>
                <w:p>
                  <w:pPr>
                    <w:adjustRightInd w:val="0"/>
                    <w:snapToGrid w:val="0"/>
                    <w:jc w:val="center"/>
                    <w:rPr>
                      <w:szCs w:val="21"/>
                    </w:rPr>
                  </w:pPr>
                  <w:r>
                    <w:rPr>
                      <w:rFonts w:hint="eastAsia"/>
                      <w:szCs w:val="21"/>
                    </w:rPr>
                    <w:t>0.05</w:t>
                  </w:r>
                </w:p>
              </w:tc>
              <w:tc>
                <w:tcPr>
                  <w:tcW w:w="1263" w:type="dxa"/>
                  <w:shd w:val="clear" w:color="auto" w:fill="auto"/>
                  <w:vAlign w:val="center"/>
                </w:tcPr>
                <w:p>
                  <w:pPr>
                    <w:jc w:val="center"/>
                    <w:rPr>
                      <w:szCs w:val="21"/>
                    </w:rPr>
                  </w:pPr>
                  <w:r>
                    <w:rPr>
                      <w:szCs w:val="21"/>
                    </w:rPr>
                    <w:t>/</w:t>
                  </w:r>
                </w:p>
              </w:tc>
              <w:tc>
                <w:tcPr>
                  <w:tcW w:w="1914" w:type="dxa"/>
                  <w:shd w:val="clear" w:color="auto" w:fill="auto"/>
                  <w:vAlign w:val="center"/>
                </w:tcPr>
                <w:p>
                  <w:pPr>
                    <w:adjustRightInd w:val="0"/>
                    <w:snapToGrid w:val="0"/>
                    <w:jc w:val="center"/>
                    <w:rPr>
                      <w:szCs w:val="21"/>
                    </w:rPr>
                  </w:pPr>
                  <w:r>
                    <w:rPr>
                      <w:rFonts w:hint="eastAsia"/>
                      <w:szCs w:val="21"/>
                    </w:rPr>
                    <w:t>1</w:t>
                  </w:r>
                </w:p>
              </w:tc>
              <w:tc>
                <w:tcPr>
                  <w:tcW w:w="1442" w:type="dxa"/>
                  <w:shd w:val="clear" w:color="auto" w:fill="auto"/>
                  <w:vAlign w:val="center"/>
                </w:tcPr>
                <w:p>
                  <w:pPr>
                    <w:adjustRightInd w:val="0"/>
                    <w:snapToGrid w:val="0"/>
                    <w:jc w:val="center"/>
                    <w:rPr>
                      <w:szCs w:val="21"/>
                    </w:rPr>
                  </w:pPr>
                  <w:r>
                    <w:rPr>
                      <w:rFonts w:hint="eastAsia"/>
                      <w:szCs w:val="21"/>
                    </w:rPr>
                    <w:t>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8</w:t>
                  </w:r>
                </w:p>
              </w:tc>
              <w:tc>
                <w:tcPr>
                  <w:tcW w:w="849" w:type="dxa"/>
                  <w:shd w:val="clear" w:color="auto" w:fill="auto"/>
                  <w:vAlign w:val="center"/>
                </w:tcPr>
                <w:p>
                  <w:pPr>
                    <w:adjustRightInd w:val="0"/>
                    <w:snapToGrid w:val="0"/>
                    <w:jc w:val="center"/>
                    <w:rPr>
                      <w:szCs w:val="21"/>
                    </w:rPr>
                  </w:pPr>
                  <w:r>
                    <w:rPr>
                      <w:szCs w:val="21"/>
                    </w:rPr>
                    <w:t>Cu</w:t>
                  </w:r>
                </w:p>
              </w:tc>
              <w:tc>
                <w:tcPr>
                  <w:tcW w:w="1153" w:type="dxa"/>
                  <w:shd w:val="clear" w:color="auto" w:fill="auto"/>
                  <w:vAlign w:val="center"/>
                </w:tcPr>
                <w:p>
                  <w:pPr>
                    <w:adjustRightInd w:val="0"/>
                    <w:snapToGrid w:val="0"/>
                    <w:jc w:val="center"/>
                    <w:rPr>
                      <w:szCs w:val="21"/>
                    </w:rPr>
                  </w:pPr>
                  <w:r>
                    <w:rPr>
                      <w:rFonts w:hint="eastAsia"/>
                      <w:szCs w:val="21"/>
                    </w:rPr>
                    <w:t>0.00364</w:t>
                  </w:r>
                </w:p>
              </w:tc>
              <w:tc>
                <w:tcPr>
                  <w:tcW w:w="1688" w:type="dxa"/>
                  <w:shd w:val="clear" w:color="auto" w:fill="auto"/>
                  <w:vAlign w:val="center"/>
                </w:tcPr>
                <w:p>
                  <w:pPr>
                    <w:adjustRightInd w:val="0"/>
                    <w:snapToGrid w:val="0"/>
                    <w:jc w:val="center"/>
                    <w:rPr>
                      <w:szCs w:val="21"/>
                    </w:rPr>
                  </w:pPr>
                  <w:r>
                    <w:rPr>
                      <w:rFonts w:hint="eastAsia"/>
                      <w:szCs w:val="21"/>
                    </w:rPr>
                    <w:t>0.01</w:t>
                  </w:r>
                </w:p>
              </w:tc>
              <w:tc>
                <w:tcPr>
                  <w:tcW w:w="1263" w:type="dxa"/>
                  <w:shd w:val="clear" w:color="auto" w:fill="auto"/>
                  <w:vAlign w:val="center"/>
                </w:tcPr>
                <w:p>
                  <w:pPr>
                    <w:jc w:val="center"/>
                    <w:rPr>
                      <w:szCs w:val="21"/>
                    </w:rPr>
                  </w:pPr>
                  <w:r>
                    <w:rPr>
                      <w:szCs w:val="21"/>
                    </w:rPr>
                    <w:t>0.00448</w:t>
                  </w:r>
                </w:p>
              </w:tc>
              <w:tc>
                <w:tcPr>
                  <w:tcW w:w="1914" w:type="dxa"/>
                  <w:shd w:val="clear" w:color="auto" w:fill="auto"/>
                  <w:vAlign w:val="center"/>
                </w:tcPr>
                <w:p>
                  <w:pPr>
                    <w:adjustRightInd w:val="0"/>
                    <w:snapToGrid w:val="0"/>
                    <w:jc w:val="center"/>
                    <w:rPr>
                      <w:szCs w:val="21"/>
                    </w:rPr>
                  </w:pPr>
                  <w:r>
                    <w:rPr>
                      <w:rFonts w:hint="eastAsia"/>
                      <w:szCs w:val="21"/>
                    </w:rPr>
                    <w:t>0.5</w:t>
                  </w:r>
                </w:p>
              </w:tc>
              <w:tc>
                <w:tcPr>
                  <w:tcW w:w="1442" w:type="dxa"/>
                  <w:shd w:val="clear" w:color="auto" w:fill="auto"/>
                  <w:vAlign w:val="center"/>
                </w:tcPr>
                <w:p>
                  <w:pPr>
                    <w:adjustRightInd w:val="0"/>
                    <w:snapToGrid w:val="0"/>
                    <w:jc w:val="center"/>
                    <w:rPr>
                      <w:szCs w:val="21"/>
                    </w:rPr>
                  </w:pPr>
                  <w:r>
                    <w:rPr>
                      <w:rFonts w:hint="eastAsia"/>
                      <w:szCs w:val="21"/>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9</w:t>
                  </w:r>
                </w:p>
              </w:tc>
              <w:tc>
                <w:tcPr>
                  <w:tcW w:w="849" w:type="dxa"/>
                  <w:shd w:val="clear" w:color="auto" w:fill="auto"/>
                  <w:vAlign w:val="center"/>
                </w:tcPr>
                <w:p>
                  <w:pPr>
                    <w:adjustRightInd w:val="0"/>
                    <w:snapToGrid w:val="0"/>
                    <w:jc w:val="center"/>
                    <w:rPr>
                      <w:szCs w:val="21"/>
                    </w:rPr>
                  </w:pPr>
                  <w:r>
                    <w:rPr>
                      <w:szCs w:val="21"/>
                    </w:rPr>
                    <w:t>Pb</w:t>
                  </w:r>
                </w:p>
              </w:tc>
              <w:tc>
                <w:tcPr>
                  <w:tcW w:w="1153" w:type="dxa"/>
                  <w:shd w:val="clear" w:color="auto" w:fill="auto"/>
                  <w:vAlign w:val="center"/>
                </w:tcPr>
                <w:p>
                  <w:pPr>
                    <w:adjustRightInd w:val="0"/>
                    <w:snapToGrid w:val="0"/>
                    <w:jc w:val="center"/>
                    <w:rPr>
                      <w:szCs w:val="21"/>
                    </w:rPr>
                  </w:pPr>
                  <w:r>
                    <w:rPr>
                      <w:rFonts w:hint="eastAsia"/>
                      <w:szCs w:val="21"/>
                    </w:rPr>
                    <w:t>0.00045</w:t>
                  </w:r>
                </w:p>
              </w:tc>
              <w:tc>
                <w:tcPr>
                  <w:tcW w:w="1688" w:type="dxa"/>
                  <w:shd w:val="clear" w:color="auto" w:fill="auto"/>
                  <w:vAlign w:val="center"/>
                </w:tcPr>
                <w:p>
                  <w:pPr>
                    <w:adjustRightInd w:val="0"/>
                    <w:snapToGrid w:val="0"/>
                    <w:jc w:val="center"/>
                    <w:rPr>
                      <w:szCs w:val="21"/>
                    </w:rPr>
                  </w:pPr>
                  <w:r>
                    <w:rPr>
                      <w:rFonts w:hint="eastAsia"/>
                      <w:szCs w:val="21"/>
                    </w:rPr>
                    <w:t>0.005</w:t>
                  </w:r>
                </w:p>
              </w:tc>
              <w:tc>
                <w:tcPr>
                  <w:tcW w:w="1263" w:type="dxa"/>
                  <w:shd w:val="clear" w:color="auto" w:fill="auto"/>
                  <w:vAlign w:val="center"/>
                </w:tcPr>
                <w:p>
                  <w:pPr>
                    <w:jc w:val="center"/>
                    <w:rPr>
                      <w:szCs w:val="21"/>
                    </w:rPr>
                  </w:pPr>
                  <w:r>
                    <w:rPr>
                      <w:szCs w:val="21"/>
                    </w:rPr>
                    <w:t>0.000554</w:t>
                  </w:r>
                </w:p>
              </w:tc>
              <w:tc>
                <w:tcPr>
                  <w:tcW w:w="1914" w:type="dxa"/>
                  <w:shd w:val="clear" w:color="auto" w:fill="auto"/>
                  <w:vAlign w:val="center"/>
                </w:tcPr>
                <w:p>
                  <w:pPr>
                    <w:adjustRightInd w:val="0"/>
                    <w:snapToGrid w:val="0"/>
                    <w:jc w:val="center"/>
                    <w:rPr>
                      <w:szCs w:val="21"/>
                    </w:rPr>
                  </w:pPr>
                  <w:r>
                    <w:rPr>
                      <w:rFonts w:hint="eastAsia"/>
                      <w:szCs w:val="21"/>
                    </w:rPr>
                    <w:t>0.5</w:t>
                  </w:r>
                </w:p>
              </w:tc>
              <w:tc>
                <w:tcPr>
                  <w:tcW w:w="1442" w:type="dxa"/>
                  <w:shd w:val="clear" w:color="auto" w:fill="auto"/>
                  <w:vAlign w:val="center"/>
                </w:tcPr>
                <w:p>
                  <w:pPr>
                    <w:adjustRightInd w:val="0"/>
                    <w:snapToGrid w:val="0"/>
                    <w:jc w:val="center"/>
                    <w:rPr>
                      <w:szCs w:val="21"/>
                    </w:rPr>
                  </w:pPr>
                  <w:r>
                    <w:rPr>
                      <w:rFonts w:hint="eastAsia"/>
                      <w:szCs w:val="21"/>
                    </w:rPr>
                    <w:t>0.005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10</w:t>
                  </w:r>
                </w:p>
              </w:tc>
              <w:tc>
                <w:tcPr>
                  <w:tcW w:w="849" w:type="dxa"/>
                  <w:shd w:val="clear" w:color="auto" w:fill="auto"/>
                  <w:vAlign w:val="center"/>
                </w:tcPr>
                <w:p>
                  <w:pPr>
                    <w:adjustRightInd w:val="0"/>
                    <w:snapToGrid w:val="0"/>
                    <w:jc w:val="center"/>
                    <w:rPr>
                      <w:szCs w:val="21"/>
                    </w:rPr>
                  </w:pPr>
                  <w:r>
                    <w:rPr>
                      <w:szCs w:val="21"/>
                    </w:rPr>
                    <w:t>Cd</w:t>
                  </w:r>
                </w:p>
              </w:tc>
              <w:tc>
                <w:tcPr>
                  <w:tcW w:w="1153" w:type="dxa"/>
                  <w:shd w:val="clear" w:color="auto" w:fill="auto"/>
                  <w:vAlign w:val="center"/>
                </w:tcPr>
                <w:p>
                  <w:pPr>
                    <w:adjustRightInd w:val="0"/>
                    <w:snapToGrid w:val="0"/>
                    <w:jc w:val="center"/>
                    <w:rPr>
                      <w:szCs w:val="21"/>
                    </w:rPr>
                  </w:pPr>
                  <w:r>
                    <w:rPr>
                      <w:rFonts w:hint="eastAsia"/>
                      <w:szCs w:val="21"/>
                    </w:rPr>
                    <w:t>0.00045</w:t>
                  </w:r>
                </w:p>
              </w:tc>
              <w:tc>
                <w:tcPr>
                  <w:tcW w:w="1688" w:type="dxa"/>
                  <w:shd w:val="clear" w:color="auto" w:fill="auto"/>
                  <w:vAlign w:val="center"/>
                </w:tcPr>
                <w:p>
                  <w:pPr>
                    <w:adjustRightInd w:val="0"/>
                    <w:snapToGrid w:val="0"/>
                    <w:jc w:val="center"/>
                    <w:rPr>
                      <w:szCs w:val="21"/>
                    </w:rPr>
                  </w:pPr>
                  <w:r>
                    <w:rPr>
                      <w:rFonts w:hint="eastAsia"/>
                      <w:szCs w:val="21"/>
                    </w:rPr>
                    <w:t>0.005</w:t>
                  </w:r>
                </w:p>
              </w:tc>
              <w:tc>
                <w:tcPr>
                  <w:tcW w:w="1263" w:type="dxa"/>
                  <w:shd w:val="clear" w:color="auto" w:fill="auto"/>
                  <w:vAlign w:val="center"/>
                </w:tcPr>
                <w:p>
                  <w:pPr>
                    <w:jc w:val="center"/>
                    <w:rPr>
                      <w:szCs w:val="21"/>
                    </w:rPr>
                  </w:pPr>
                  <w:r>
                    <w:rPr>
                      <w:szCs w:val="21"/>
                    </w:rPr>
                    <w:t>0.000554</w:t>
                  </w:r>
                </w:p>
              </w:tc>
              <w:tc>
                <w:tcPr>
                  <w:tcW w:w="1914" w:type="dxa"/>
                  <w:shd w:val="clear" w:color="auto" w:fill="auto"/>
                  <w:vAlign w:val="center"/>
                </w:tcPr>
                <w:p>
                  <w:pPr>
                    <w:adjustRightInd w:val="0"/>
                    <w:snapToGrid w:val="0"/>
                    <w:jc w:val="center"/>
                    <w:rPr>
                      <w:szCs w:val="21"/>
                    </w:rPr>
                  </w:pPr>
                  <w:r>
                    <w:rPr>
                      <w:rFonts w:hint="eastAsia"/>
                      <w:szCs w:val="21"/>
                    </w:rPr>
                    <w:t>0.05</w:t>
                  </w:r>
                </w:p>
              </w:tc>
              <w:tc>
                <w:tcPr>
                  <w:tcW w:w="1442" w:type="dxa"/>
                  <w:shd w:val="clear" w:color="auto" w:fill="auto"/>
                  <w:vAlign w:val="center"/>
                </w:tcPr>
                <w:p>
                  <w:pPr>
                    <w:adjustRightInd w:val="0"/>
                    <w:snapToGrid w:val="0"/>
                    <w:jc w:val="center"/>
                    <w:rPr>
                      <w:szCs w:val="21"/>
                    </w:rPr>
                  </w:pPr>
                  <w:r>
                    <w:rPr>
                      <w:rFonts w:hint="eastAsia"/>
                      <w:szCs w:val="21"/>
                    </w:rPr>
                    <w:t>0.005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11</w:t>
                  </w:r>
                </w:p>
              </w:tc>
              <w:tc>
                <w:tcPr>
                  <w:tcW w:w="849" w:type="dxa"/>
                  <w:shd w:val="clear" w:color="auto" w:fill="auto"/>
                  <w:vAlign w:val="center"/>
                </w:tcPr>
                <w:p>
                  <w:pPr>
                    <w:adjustRightInd w:val="0"/>
                    <w:snapToGrid w:val="0"/>
                    <w:jc w:val="center"/>
                    <w:rPr>
                      <w:szCs w:val="21"/>
                    </w:rPr>
                  </w:pPr>
                  <w:r>
                    <w:rPr>
                      <w:szCs w:val="21"/>
                    </w:rPr>
                    <w:t>总Cr</w:t>
                  </w:r>
                </w:p>
              </w:tc>
              <w:tc>
                <w:tcPr>
                  <w:tcW w:w="1153" w:type="dxa"/>
                  <w:shd w:val="clear" w:color="auto" w:fill="auto"/>
                  <w:vAlign w:val="center"/>
                </w:tcPr>
                <w:p>
                  <w:pPr>
                    <w:adjustRightInd w:val="0"/>
                    <w:snapToGrid w:val="0"/>
                    <w:jc w:val="center"/>
                    <w:rPr>
                      <w:szCs w:val="21"/>
                    </w:rPr>
                  </w:pPr>
                  <w:r>
                    <w:rPr>
                      <w:rFonts w:hint="eastAsia"/>
                      <w:szCs w:val="21"/>
                    </w:rPr>
                    <w:t>0.00346</w:t>
                  </w:r>
                </w:p>
              </w:tc>
              <w:tc>
                <w:tcPr>
                  <w:tcW w:w="1688" w:type="dxa"/>
                  <w:shd w:val="clear" w:color="auto" w:fill="auto"/>
                  <w:vAlign w:val="center"/>
                </w:tcPr>
                <w:p>
                  <w:pPr>
                    <w:adjustRightInd w:val="0"/>
                    <w:snapToGrid w:val="0"/>
                    <w:jc w:val="center"/>
                    <w:rPr>
                      <w:szCs w:val="21"/>
                    </w:rPr>
                  </w:pPr>
                  <w:r>
                    <w:rPr>
                      <w:rFonts w:hint="eastAsia"/>
                      <w:szCs w:val="21"/>
                    </w:rPr>
                    <w:t>0.1</w:t>
                  </w:r>
                </w:p>
              </w:tc>
              <w:tc>
                <w:tcPr>
                  <w:tcW w:w="1263" w:type="dxa"/>
                  <w:shd w:val="clear" w:color="auto" w:fill="auto"/>
                  <w:vAlign w:val="center"/>
                </w:tcPr>
                <w:p>
                  <w:pPr>
                    <w:jc w:val="center"/>
                    <w:rPr>
                      <w:szCs w:val="21"/>
                    </w:rPr>
                  </w:pPr>
                  <w:r>
                    <w:rPr>
                      <w:szCs w:val="21"/>
                    </w:rPr>
                    <w:t>0.00426</w:t>
                  </w:r>
                </w:p>
              </w:tc>
              <w:tc>
                <w:tcPr>
                  <w:tcW w:w="1914" w:type="dxa"/>
                  <w:shd w:val="clear" w:color="auto" w:fill="auto"/>
                  <w:vAlign w:val="center"/>
                </w:tcPr>
                <w:p>
                  <w:pPr>
                    <w:adjustRightInd w:val="0"/>
                    <w:snapToGrid w:val="0"/>
                    <w:jc w:val="center"/>
                    <w:rPr>
                      <w:szCs w:val="21"/>
                    </w:rPr>
                  </w:pPr>
                  <w:r>
                    <w:rPr>
                      <w:rFonts w:hint="eastAsia"/>
                      <w:szCs w:val="21"/>
                    </w:rPr>
                    <w:t>1</w:t>
                  </w:r>
                </w:p>
              </w:tc>
              <w:tc>
                <w:tcPr>
                  <w:tcW w:w="1442" w:type="dxa"/>
                  <w:shd w:val="clear" w:color="auto" w:fill="auto"/>
                  <w:vAlign w:val="center"/>
                </w:tcPr>
                <w:p>
                  <w:pPr>
                    <w:adjustRightInd w:val="0"/>
                    <w:snapToGrid w:val="0"/>
                    <w:jc w:val="center"/>
                    <w:rPr>
                      <w:szCs w:val="21"/>
                    </w:rPr>
                  </w:pPr>
                  <w:r>
                    <w:rPr>
                      <w:rFonts w:hint="eastAsia"/>
                      <w:szCs w:val="21"/>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12</w:t>
                  </w:r>
                </w:p>
              </w:tc>
              <w:tc>
                <w:tcPr>
                  <w:tcW w:w="849" w:type="dxa"/>
                  <w:shd w:val="clear" w:color="auto" w:fill="auto"/>
                  <w:vAlign w:val="center"/>
                </w:tcPr>
                <w:p>
                  <w:pPr>
                    <w:adjustRightInd w:val="0"/>
                    <w:snapToGrid w:val="0"/>
                    <w:jc w:val="center"/>
                    <w:rPr>
                      <w:szCs w:val="21"/>
                    </w:rPr>
                  </w:pPr>
                  <w:r>
                    <w:rPr>
                      <w:szCs w:val="21"/>
                    </w:rPr>
                    <w:t>Zn</w:t>
                  </w:r>
                </w:p>
              </w:tc>
              <w:tc>
                <w:tcPr>
                  <w:tcW w:w="1153" w:type="dxa"/>
                  <w:shd w:val="clear" w:color="auto" w:fill="auto"/>
                  <w:vAlign w:val="center"/>
                </w:tcPr>
                <w:p>
                  <w:pPr>
                    <w:adjustRightInd w:val="0"/>
                    <w:snapToGrid w:val="0"/>
                    <w:jc w:val="center"/>
                    <w:rPr>
                      <w:szCs w:val="21"/>
                    </w:rPr>
                  </w:pPr>
                  <w:r>
                    <w:rPr>
                      <w:rFonts w:hint="eastAsia"/>
                      <w:szCs w:val="21"/>
                    </w:rPr>
                    <w:t>0.00412</w:t>
                  </w:r>
                </w:p>
              </w:tc>
              <w:tc>
                <w:tcPr>
                  <w:tcW w:w="1688" w:type="dxa"/>
                  <w:shd w:val="clear" w:color="auto" w:fill="auto"/>
                  <w:vAlign w:val="center"/>
                </w:tcPr>
                <w:p>
                  <w:pPr>
                    <w:adjustRightInd w:val="0"/>
                    <w:snapToGrid w:val="0"/>
                    <w:jc w:val="center"/>
                    <w:rPr>
                      <w:szCs w:val="21"/>
                    </w:rPr>
                  </w:pPr>
                  <w:r>
                    <w:rPr>
                      <w:rFonts w:hint="eastAsia"/>
                      <w:szCs w:val="21"/>
                    </w:rPr>
                    <w:t>0.05</w:t>
                  </w:r>
                </w:p>
              </w:tc>
              <w:tc>
                <w:tcPr>
                  <w:tcW w:w="1263" w:type="dxa"/>
                  <w:shd w:val="clear" w:color="auto" w:fill="auto"/>
                  <w:vAlign w:val="center"/>
                </w:tcPr>
                <w:p>
                  <w:pPr>
                    <w:jc w:val="center"/>
                    <w:rPr>
                      <w:szCs w:val="21"/>
                    </w:rPr>
                  </w:pPr>
                  <w:r>
                    <w:rPr>
                      <w:szCs w:val="21"/>
                    </w:rPr>
                    <w:t>0.00507</w:t>
                  </w:r>
                </w:p>
              </w:tc>
              <w:tc>
                <w:tcPr>
                  <w:tcW w:w="1914" w:type="dxa"/>
                  <w:shd w:val="clear" w:color="auto" w:fill="auto"/>
                  <w:vAlign w:val="center"/>
                </w:tcPr>
                <w:p>
                  <w:pPr>
                    <w:adjustRightInd w:val="0"/>
                    <w:snapToGrid w:val="0"/>
                    <w:jc w:val="center"/>
                    <w:rPr>
                      <w:szCs w:val="21"/>
                    </w:rPr>
                  </w:pPr>
                  <w:r>
                    <w:rPr>
                      <w:rFonts w:hint="eastAsia"/>
                      <w:szCs w:val="21"/>
                    </w:rPr>
                    <w:t>5</w:t>
                  </w:r>
                </w:p>
              </w:tc>
              <w:tc>
                <w:tcPr>
                  <w:tcW w:w="1442" w:type="dxa"/>
                  <w:shd w:val="clear" w:color="auto" w:fill="auto"/>
                  <w:vAlign w:val="center"/>
                </w:tcPr>
                <w:p>
                  <w:pPr>
                    <w:adjustRightInd w:val="0"/>
                    <w:snapToGrid w:val="0"/>
                    <w:jc w:val="center"/>
                    <w:rPr>
                      <w:szCs w:val="21"/>
                    </w:rPr>
                  </w:pPr>
                  <w:r>
                    <w:rPr>
                      <w:rFonts w:hint="eastAsia"/>
                      <w:szCs w:val="21"/>
                    </w:rPr>
                    <w:t>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13</w:t>
                  </w:r>
                </w:p>
              </w:tc>
              <w:tc>
                <w:tcPr>
                  <w:tcW w:w="849" w:type="dxa"/>
                  <w:shd w:val="clear" w:color="auto" w:fill="auto"/>
                  <w:vAlign w:val="center"/>
                </w:tcPr>
                <w:p>
                  <w:pPr>
                    <w:adjustRightInd w:val="0"/>
                    <w:snapToGrid w:val="0"/>
                    <w:jc w:val="center"/>
                    <w:rPr>
                      <w:szCs w:val="21"/>
                    </w:rPr>
                  </w:pPr>
                  <w:r>
                    <w:rPr>
                      <w:szCs w:val="21"/>
                    </w:rPr>
                    <w:t>Hg</w:t>
                  </w:r>
                </w:p>
              </w:tc>
              <w:tc>
                <w:tcPr>
                  <w:tcW w:w="1153" w:type="dxa"/>
                  <w:shd w:val="clear" w:color="auto" w:fill="auto"/>
                  <w:vAlign w:val="center"/>
                </w:tcPr>
                <w:p>
                  <w:pPr>
                    <w:adjustRightInd w:val="0"/>
                    <w:snapToGrid w:val="0"/>
                    <w:jc w:val="center"/>
                    <w:rPr>
                      <w:szCs w:val="21"/>
                    </w:rPr>
                  </w:pPr>
                  <w:r>
                    <w:rPr>
                      <w:rFonts w:hint="eastAsia"/>
                      <w:szCs w:val="21"/>
                    </w:rPr>
                    <w:t>0.000001</w:t>
                  </w:r>
                </w:p>
              </w:tc>
              <w:tc>
                <w:tcPr>
                  <w:tcW w:w="1688" w:type="dxa"/>
                  <w:shd w:val="clear" w:color="auto" w:fill="auto"/>
                  <w:vAlign w:val="center"/>
                </w:tcPr>
                <w:p>
                  <w:pPr>
                    <w:adjustRightInd w:val="0"/>
                    <w:snapToGrid w:val="0"/>
                    <w:jc w:val="center"/>
                    <w:rPr>
                      <w:szCs w:val="21"/>
                    </w:rPr>
                  </w:pPr>
                  <w:r>
                    <w:rPr>
                      <w:rFonts w:hint="eastAsia"/>
                      <w:szCs w:val="21"/>
                    </w:rPr>
                    <w:t>0.0002</w:t>
                  </w:r>
                </w:p>
              </w:tc>
              <w:tc>
                <w:tcPr>
                  <w:tcW w:w="1263" w:type="dxa"/>
                  <w:shd w:val="clear" w:color="auto" w:fill="auto"/>
                  <w:vAlign w:val="center"/>
                </w:tcPr>
                <w:p>
                  <w:pPr>
                    <w:jc w:val="center"/>
                    <w:rPr>
                      <w:szCs w:val="21"/>
                    </w:rPr>
                  </w:pPr>
                  <w:r>
                    <w:rPr>
                      <w:szCs w:val="21"/>
                    </w:rPr>
                    <w:t>0.0000012</w:t>
                  </w:r>
                </w:p>
              </w:tc>
              <w:tc>
                <w:tcPr>
                  <w:tcW w:w="1914" w:type="dxa"/>
                  <w:shd w:val="clear" w:color="auto" w:fill="auto"/>
                  <w:vAlign w:val="center"/>
                </w:tcPr>
                <w:p>
                  <w:pPr>
                    <w:adjustRightInd w:val="0"/>
                    <w:snapToGrid w:val="0"/>
                    <w:jc w:val="center"/>
                    <w:rPr>
                      <w:szCs w:val="21"/>
                    </w:rPr>
                  </w:pPr>
                  <w:r>
                    <w:rPr>
                      <w:rFonts w:hint="eastAsia"/>
                      <w:szCs w:val="21"/>
                    </w:rPr>
                    <w:t>0.005</w:t>
                  </w:r>
                </w:p>
              </w:tc>
              <w:tc>
                <w:tcPr>
                  <w:tcW w:w="1442" w:type="dxa"/>
                  <w:shd w:val="clear" w:color="auto" w:fill="auto"/>
                  <w:vAlign w:val="center"/>
                </w:tcPr>
                <w:p>
                  <w:pPr>
                    <w:adjustRightInd w:val="0"/>
                    <w:snapToGrid w:val="0"/>
                    <w:jc w:val="center"/>
                    <w:rPr>
                      <w:szCs w:val="21"/>
                    </w:rPr>
                  </w:pPr>
                  <w:r>
                    <w:rPr>
                      <w:rFonts w:hint="eastAsia"/>
                      <w:szCs w:val="21"/>
                    </w:rPr>
                    <w:t>0.0002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520" w:type="dxa"/>
                  <w:shd w:val="clear" w:color="auto" w:fill="auto"/>
                  <w:vAlign w:val="center"/>
                </w:tcPr>
                <w:p>
                  <w:pPr>
                    <w:adjustRightInd w:val="0"/>
                    <w:snapToGrid w:val="0"/>
                    <w:jc w:val="center"/>
                    <w:rPr>
                      <w:szCs w:val="21"/>
                    </w:rPr>
                  </w:pPr>
                  <w:r>
                    <w:rPr>
                      <w:rFonts w:hint="eastAsia"/>
                      <w:szCs w:val="21"/>
                    </w:rPr>
                    <w:t>14</w:t>
                  </w:r>
                </w:p>
              </w:tc>
              <w:tc>
                <w:tcPr>
                  <w:tcW w:w="849" w:type="dxa"/>
                  <w:shd w:val="clear" w:color="auto" w:fill="auto"/>
                  <w:vAlign w:val="center"/>
                </w:tcPr>
                <w:p>
                  <w:pPr>
                    <w:adjustRightInd w:val="0"/>
                    <w:snapToGrid w:val="0"/>
                    <w:jc w:val="center"/>
                    <w:rPr>
                      <w:szCs w:val="21"/>
                    </w:rPr>
                  </w:pPr>
                  <w:r>
                    <w:rPr>
                      <w:szCs w:val="21"/>
                    </w:rPr>
                    <w:t>As</w:t>
                  </w:r>
                </w:p>
              </w:tc>
              <w:tc>
                <w:tcPr>
                  <w:tcW w:w="1153" w:type="dxa"/>
                  <w:shd w:val="clear" w:color="auto" w:fill="auto"/>
                  <w:vAlign w:val="center"/>
                </w:tcPr>
                <w:p>
                  <w:pPr>
                    <w:adjustRightInd w:val="0"/>
                    <w:snapToGrid w:val="0"/>
                    <w:jc w:val="center"/>
                    <w:rPr>
                      <w:szCs w:val="21"/>
                    </w:rPr>
                  </w:pPr>
                  <w:r>
                    <w:rPr>
                      <w:rFonts w:hint="eastAsia"/>
                      <w:szCs w:val="21"/>
                    </w:rPr>
                    <w:t>0.00418</w:t>
                  </w:r>
                </w:p>
              </w:tc>
              <w:tc>
                <w:tcPr>
                  <w:tcW w:w="1688" w:type="dxa"/>
                  <w:shd w:val="clear" w:color="auto" w:fill="auto"/>
                  <w:vAlign w:val="center"/>
                </w:tcPr>
                <w:p>
                  <w:pPr>
                    <w:adjustRightInd w:val="0"/>
                    <w:snapToGrid w:val="0"/>
                    <w:jc w:val="center"/>
                    <w:rPr>
                      <w:szCs w:val="21"/>
                    </w:rPr>
                  </w:pPr>
                  <w:r>
                    <w:rPr>
                      <w:rFonts w:hint="eastAsia"/>
                      <w:szCs w:val="21"/>
                    </w:rPr>
                    <w:t>0.03</w:t>
                  </w:r>
                </w:p>
              </w:tc>
              <w:tc>
                <w:tcPr>
                  <w:tcW w:w="1263" w:type="dxa"/>
                  <w:shd w:val="clear" w:color="auto" w:fill="auto"/>
                  <w:vAlign w:val="center"/>
                </w:tcPr>
                <w:p>
                  <w:pPr>
                    <w:jc w:val="center"/>
                    <w:rPr>
                      <w:szCs w:val="21"/>
                    </w:rPr>
                  </w:pPr>
                  <w:r>
                    <w:rPr>
                      <w:szCs w:val="21"/>
                    </w:rPr>
                    <w:t>0.00514</w:t>
                  </w:r>
                </w:p>
              </w:tc>
              <w:tc>
                <w:tcPr>
                  <w:tcW w:w="1914" w:type="dxa"/>
                  <w:shd w:val="clear" w:color="auto" w:fill="auto"/>
                  <w:vAlign w:val="center"/>
                </w:tcPr>
                <w:p>
                  <w:pPr>
                    <w:adjustRightInd w:val="0"/>
                    <w:snapToGrid w:val="0"/>
                    <w:jc w:val="center"/>
                    <w:rPr>
                      <w:szCs w:val="21"/>
                    </w:rPr>
                  </w:pPr>
                  <w:r>
                    <w:rPr>
                      <w:rFonts w:hint="eastAsia"/>
                      <w:szCs w:val="21"/>
                    </w:rPr>
                    <w:t>0.3</w:t>
                  </w:r>
                </w:p>
              </w:tc>
              <w:tc>
                <w:tcPr>
                  <w:tcW w:w="1442" w:type="dxa"/>
                  <w:shd w:val="clear" w:color="auto" w:fill="auto"/>
                  <w:vAlign w:val="center"/>
                </w:tcPr>
                <w:p>
                  <w:pPr>
                    <w:adjustRightInd w:val="0"/>
                    <w:snapToGrid w:val="0"/>
                    <w:jc w:val="center"/>
                    <w:rPr>
                      <w:szCs w:val="21"/>
                    </w:rPr>
                  </w:pPr>
                  <w:r>
                    <w:rPr>
                      <w:rFonts w:hint="eastAsia"/>
                      <w:szCs w:val="21"/>
                    </w:rPr>
                    <w:t>0.03</w:t>
                  </w:r>
                </w:p>
              </w:tc>
            </w:tr>
          </w:tbl>
          <w:p>
            <w:pPr>
              <w:pStyle w:val="145"/>
              <w:adjustRightInd w:val="0"/>
              <w:snapToGrid w:val="0"/>
              <w:ind w:firstLine="480"/>
              <w:rPr>
                <w:rFonts w:ascii="Times New Roman" w:hAnsi="Times New Roman" w:cs="Times New Roman"/>
              </w:rPr>
            </w:pPr>
            <w:r>
              <w:rPr>
                <w:rFonts w:ascii="Times New Roman" w:hAnsi="Times New Roman" w:cs="Times New Roman"/>
              </w:rPr>
              <w:t>(2) 废气</w:t>
            </w:r>
          </w:p>
          <w:p>
            <w:pPr>
              <w:pStyle w:val="145"/>
              <w:adjustRightInd w:val="0"/>
              <w:snapToGrid w:val="0"/>
              <w:ind w:firstLine="480"/>
              <w:rPr>
                <w:rFonts w:ascii="Times New Roman" w:hAnsi="Times New Roman" w:cs="Times New Roman"/>
              </w:rPr>
            </w:pPr>
            <w:r>
              <w:rPr>
                <w:rFonts w:hint="eastAsia"/>
              </w:rPr>
              <w:t>本项目运营期间不产生大气污染物，对周围大气环境无明显影响。</w:t>
            </w:r>
          </w:p>
          <w:p>
            <w:pPr>
              <w:pStyle w:val="145"/>
              <w:adjustRightInd w:val="0"/>
              <w:snapToGrid w:val="0"/>
              <w:ind w:firstLine="480"/>
              <w:rPr>
                <w:rFonts w:ascii="Times New Roman" w:hAnsi="Times New Roman" w:cs="Times New Roman"/>
              </w:rPr>
            </w:pPr>
            <w:r>
              <w:rPr>
                <w:rFonts w:ascii="Times New Roman" w:hAnsi="Times New Roman" w:cs="Times New Roman"/>
              </w:rPr>
              <w:t>(3) 噪声</w:t>
            </w:r>
          </w:p>
          <w:p>
            <w:pPr>
              <w:spacing w:line="360" w:lineRule="auto"/>
              <w:ind w:firstLine="480"/>
              <w:rPr>
                <w:bCs/>
                <w:sz w:val="24"/>
              </w:rPr>
            </w:pPr>
            <w:r>
              <w:rPr>
                <w:sz w:val="24"/>
              </w:rPr>
              <w:t>海水淡化噪声来源主要源于厂内机械设备的工作。产生噪声较大的设备有取水泵、中间水泵、高压泵、能量回收器和清水泵等设备等，它们均设于室内，经过墙壁隔音后传播到外部环境时已经衰减很多。</w:t>
            </w:r>
            <w:r>
              <w:rPr>
                <w:rFonts w:hint="eastAsia"/>
                <w:sz w:val="24"/>
              </w:rPr>
              <w:t>噪声排放按一期、二期均建成，排放最大时分析，</w:t>
            </w:r>
            <w:r>
              <w:rPr>
                <w:bCs/>
                <w:sz w:val="24"/>
              </w:rPr>
              <w:t>主要噪声源情况详见表16。</w:t>
            </w:r>
          </w:p>
          <w:p>
            <w:pPr>
              <w:spacing w:line="360" w:lineRule="auto"/>
              <w:ind w:firstLine="480"/>
              <w:rPr>
                <w:b/>
                <w:bCs/>
                <w:kern w:val="0"/>
                <w:sz w:val="24"/>
              </w:rPr>
            </w:pPr>
          </w:p>
          <w:p>
            <w:pPr>
              <w:adjustRightInd w:val="0"/>
              <w:snapToGrid w:val="0"/>
              <w:spacing w:line="360" w:lineRule="auto"/>
              <w:ind w:firstLine="480"/>
              <w:jc w:val="center"/>
              <w:rPr>
                <w:b/>
                <w:bCs/>
                <w:kern w:val="0"/>
                <w:sz w:val="24"/>
                <w:szCs w:val="18"/>
              </w:rPr>
            </w:pPr>
            <w:r>
              <w:rPr>
                <w:rFonts w:hint="eastAsia"/>
                <w:b/>
                <w:bCs/>
                <w:kern w:val="0"/>
                <w:sz w:val="24"/>
                <w:szCs w:val="18"/>
              </w:rPr>
              <w:t>表</w:t>
            </w:r>
            <w:r>
              <w:rPr>
                <w:b/>
                <w:bCs/>
                <w:kern w:val="0"/>
                <w:sz w:val="24"/>
                <w:szCs w:val="18"/>
              </w:rPr>
              <w:t xml:space="preserve">16 </w:t>
            </w:r>
            <w:r>
              <w:rPr>
                <w:rFonts w:hint="eastAsia"/>
                <w:b/>
                <w:bCs/>
                <w:kern w:val="0"/>
                <w:sz w:val="24"/>
                <w:szCs w:val="18"/>
              </w:rPr>
              <w:t>项目主要噪声设备情况表</w:t>
            </w:r>
          </w:p>
          <w:p>
            <w:pPr>
              <w:kinsoku w:val="0"/>
              <w:overflowPunct w:val="0"/>
              <w:adjustRightInd w:val="0"/>
              <w:snapToGrid w:val="0"/>
              <w:spacing w:before="11" w:line="360" w:lineRule="auto"/>
              <w:ind w:firstLine="40" w:firstLineChars="200"/>
              <w:rPr>
                <w:rFonts w:eastAsia="黑体"/>
                <w:sz w:val="2"/>
                <w:szCs w:val="2"/>
              </w:rPr>
            </w:pPr>
          </w:p>
          <w:tbl>
            <w:tblPr>
              <w:tblStyle w:val="88"/>
              <w:tblW w:w="88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15"/>
              <w:gridCol w:w="1951"/>
              <w:gridCol w:w="600"/>
              <w:gridCol w:w="1559"/>
              <w:gridCol w:w="40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编号</w:t>
                  </w:r>
                </w:p>
              </w:tc>
              <w:tc>
                <w:tcPr>
                  <w:tcW w:w="1951" w:type="dxa"/>
                  <w:vAlign w:val="center"/>
                </w:tcPr>
                <w:p>
                  <w:pPr>
                    <w:adjustRightInd w:val="0"/>
                    <w:snapToGrid w:val="0"/>
                    <w:jc w:val="center"/>
                    <w:rPr>
                      <w:sz w:val="24"/>
                      <w:szCs w:val="22"/>
                    </w:rPr>
                  </w:pPr>
                  <w:r>
                    <w:rPr>
                      <w:rFonts w:hint="eastAsia"/>
                      <w:sz w:val="24"/>
                      <w:szCs w:val="22"/>
                    </w:rPr>
                    <w:t>设备名称</w:t>
                  </w:r>
                </w:p>
              </w:tc>
              <w:tc>
                <w:tcPr>
                  <w:tcW w:w="600" w:type="dxa"/>
                  <w:vAlign w:val="center"/>
                </w:tcPr>
                <w:p>
                  <w:pPr>
                    <w:adjustRightInd w:val="0"/>
                    <w:snapToGrid w:val="0"/>
                    <w:jc w:val="center"/>
                    <w:rPr>
                      <w:sz w:val="24"/>
                      <w:szCs w:val="22"/>
                    </w:rPr>
                  </w:pPr>
                  <w:r>
                    <w:rPr>
                      <w:rFonts w:hint="eastAsia"/>
                      <w:sz w:val="24"/>
                      <w:szCs w:val="22"/>
                    </w:rPr>
                    <w:t>数量</w:t>
                  </w:r>
                </w:p>
              </w:tc>
              <w:tc>
                <w:tcPr>
                  <w:tcW w:w="1559" w:type="dxa"/>
                  <w:vAlign w:val="center"/>
                </w:tcPr>
                <w:p>
                  <w:pPr>
                    <w:adjustRightInd w:val="0"/>
                    <w:snapToGrid w:val="0"/>
                    <w:jc w:val="center"/>
                    <w:rPr>
                      <w:sz w:val="24"/>
                      <w:szCs w:val="22"/>
                    </w:rPr>
                  </w:pPr>
                  <w:r>
                    <w:rPr>
                      <w:rFonts w:hint="eastAsia"/>
                      <w:sz w:val="24"/>
                      <w:szCs w:val="22"/>
                    </w:rPr>
                    <w:t>噪声级</w:t>
                  </w:r>
                  <w:r>
                    <w:rPr>
                      <w:sz w:val="24"/>
                      <w:szCs w:val="22"/>
                    </w:rPr>
                    <w:t>dB(A)</w:t>
                  </w:r>
                </w:p>
              </w:tc>
              <w:tc>
                <w:tcPr>
                  <w:tcW w:w="4004" w:type="dxa"/>
                  <w:vAlign w:val="center"/>
                </w:tcPr>
                <w:p>
                  <w:pPr>
                    <w:adjustRightInd w:val="0"/>
                    <w:snapToGrid w:val="0"/>
                    <w:jc w:val="center"/>
                    <w:rPr>
                      <w:sz w:val="24"/>
                      <w:szCs w:val="22"/>
                    </w:rPr>
                  </w:pPr>
                  <w:r>
                    <w:rPr>
                      <w:rFonts w:hint="eastAsia"/>
                      <w:sz w:val="24"/>
                      <w:szCs w:val="2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sz w:val="24"/>
                      <w:szCs w:val="22"/>
                    </w:rPr>
                    <w:t>1</w:t>
                  </w:r>
                </w:p>
              </w:tc>
              <w:tc>
                <w:tcPr>
                  <w:tcW w:w="1951" w:type="dxa"/>
                  <w:vAlign w:val="center"/>
                </w:tcPr>
                <w:p>
                  <w:pPr>
                    <w:adjustRightInd w:val="0"/>
                    <w:snapToGrid w:val="0"/>
                    <w:jc w:val="center"/>
                    <w:rPr>
                      <w:sz w:val="24"/>
                      <w:szCs w:val="22"/>
                    </w:rPr>
                  </w:pPr>
                  <w:r>
                    <w:rPr>
                      <w:rFonts w:hint="eastAsia"/>
                      <w:sz w:val="24"/>
                      <w:szCs w:val="22"/>
                    </w:rPr>
                    <w:t>取水泵</w:t>
                  </w:r>
                </w:p>
              </w:tc>
              <w:tc>
                <w:tcPr>
                  <w:tcW w:w="600" w:type="dxa"/>
                  <w:vAlign w:val="center"/>
                </w:tcPr>
                <w:p>
                  <w:pPr>
                    <w:adjustRightInd w:val="0"/>
                    <w:snapToGrid w:val="0"/>
                    <w:jc w:val="center"/>
                    <w:rPr>
                      <w:sz w:val="24"/>
                      <w:szCs w:val="22"/>
                    </w:rPr>
                  </w:pPr>
                  <w:r>
                    <w:rPr>
                      <w:sz w:val="24"/>
                      <w:szCs w:val="22"/>
                    </w:rPr>
                    <w:t>24</w:t>
                  </w:r>
                </w:p>
              </w:tc>
              <w:tc>
                <w:tcPr>
                  <w:tcW w:w="1559" w:type="dxa"/>
                  <w:vAlign w:val="center"/>
                </w:tcPr>
                <w:p>
                  <w:pPr>
                    <w:adjustRightInd w:val="0"/>
                    <w:snapToGrid w:val="0"/>
                    <w:jc w:val="center"/>
                    <w:rPr>
                      <w:sz w:val="24"/>
                      <w:szCs w:val="22"/>
                    </w:rPr>
                  </w:pPr>
                  <w:r>
                    <w:rPr>
                      <w:rFonts w:hint="eastAsia"/>
                      <w:sz w:val="24"/>
                      <w:szCs w:val="22"/>
                    </w:rPr>
                    <w:t>8</w:t>
                  </w:r>
                  <w:r>
                    <w:rPr>
                      <w:sz w:val="24"/>
                      <w:szCs w:val="22"/>
                    </w:rPr>
                    <w:t>0</w:t>
                  </w:r>
                  <w:r>
                    <w:rPr>
                      <w:rFonts w:hint="eastAsia"/>
                      <w:sz w:val="24"/>
                      <w:szCs w:val="22"/>
                    </w:rPr>
                    <w:t>~</w:t>
                  </w:r>
                  <w:r>
                    <w:rPr>
                      <w:sz w:val="24"/>
                      <w:szCs w:val="22"/>
                    </w:rPr>
                    <w:t>85</w:t>
                  </w:r>
                </w:p>
              </w:tc>
              <w:tc>
                <w:tcPr>
                  <w:tcW w:w="4004" w:type="dxa"/>
                  <w:vAlign w:val="center"/>
                </w:tcPr>
                <w:p>
                  <w:pPr>
                    <w:adjustRightInd w:val="0"/>
                    <w:snapToGrid w:val="0"/>
                    <w:jc w:val="center"/>
                    <w:rPr>
                      <w:sz w:val="24"/>
                      <w:szCs w:val="22"/>
                    </w:rPr>
                  </w:pPr>
                  <w:r>
                    <w:rPr>
                      <w:rFonts w:hint="eastAsia"/>
                      <w:sz w:val="24"/>
                      <w:szCs w:val="22"/>
                    </w:rPr>
                    <w:t>取水泵房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2</w:t>
                  </w:r>
                </w:p>
              </w:tc>
              <w:tc>
                <w:tcPr>
                  <w:tcW w:w="1951" w:type="dxa"/>
                  <w:vAlign w:val="center"/>
                </w:tcPr>
                <w:p>
                  <w:pPr>
                    <w:adjustRightInd w:val="0"/>
                    <w:snapToGrid w:val="0"/>
                    <w:jc w:val="center"/>
                    <w:rPr>
                      <w:sz w:val="24"/>
                      <w:szCs w:val="22"/>
                    </w:rPr>
                  </w:pPr>
                  <w:r>
                    <w:rPr>
                      <w:rFonts w:hint="eastAsia"/>
                      <w:sz w:val="24"/>
                      <w:szCs w:val="22"/>
                    </w:rPr>
                    <w:t>排泥泵</w:t>
                  </w:r>
                </w:p>
              </w:tc>
              <w:tc>
                <w:tcPr>
                  <w:tcW w:w="600" w:type="dxa"/>
                  <w:vAlign w:val="center"/>
                </w:tcPr>
                <w:p>
                  <w:pPr>
                    <w:adjustRightInd w:val="0"/>
                    <w:snapToGrid w:val="0"/>
                    <w:jc w:val="center"/>
                    <w:rPr>
                      <w:sz w:val="24"/>
                      <w:szCs w:val="22"/>
                    </w:rPr>
                  </w:pPr>
                  <w:r>
                    <w:rPr>
                      <w:sz w:val="24"/>
                      <w:szCs w:val="22"/>
                    </w:rPr>
                    <w:t>1</w:t>
                  </w:r>
                </w:p>
              </w:tc>
              <w:tc>
                <w:tcPr>
                  <w:tcW w:w="1559" w:type="dxa"/>
                  <w:vAlign w:val="center"/>
                </w:tcPr>
                <w:p>
                  <w:pPr>
                    <w:adjustRightInd w:val="0"/>
                    <w:snapToGrid w:val="0"/>
                    <w:jc w:val="center"/>
                    <w:rPr>
                      <w:sz w:val="24"/>
                      <w:szCs w:val="22"/>
                    </w:rPr>
                  </w:pPr>
                  <w:r>
                    <w:rPr>
                      <w:rFonts w:hint="eastAsia"/>
                      <w:sz w:val="24"/>
                      <w:szCs w:val="22"/>
                    </w:rPr>
                    <w:t>7</w:t>
                  </w:r>
                  <w:r>
                    <w:rPr>
                      <w:sz w:val="24"/>
                      <w:szCs w:val="22"/>
                    </w:rPr>
                    <w:t>0</w:t>
                  </w:r>
                  <w:r>
                    <w:rPr>
                      <w:rFonts w:hint="eastAsia"/>
                      <w:sz w:val="24"/>
                      <w:szCs w:val="22"/>
                    </w:rPr>
                    <w:t>~</w:t>
                  </w:r>
                  <w:r>
                    <w:rPr>
                      <w:sz w:val="24"/>
                      <w:szCs w:val="22"/>
                    </w:rPr>
                    <w:t>75</w:t>
                  </w:r>
                </w:p>
              </w:tc>
              <w:tc>
                <w:tcPr>
                  <w:tcW w:w="4004" w:type="dxa"/>
                  <w:vAlign w:val="center"/>
                </w:tcPr>
                <w:p>
                  <w:pPr>
                    <w:adjustRightInd w:val="0"/>
                    <w:snapToGrid w:val="0"/>
                    <w:jc w:val="center"/>
                    <w:rPr>
                      <w:sz w:val="24"/>
                      <w:szCs w:val="22"/>
                    </w:rPr>
                  </w:pPr>
                  <w:r>
                    <w:rPr>
                      <w:rFonts w:hint="eastAsia"/>
                      <w:sz w:val="24"/>
                      <w:szCs w:val="22"/>
                    </w:rPr>
                    <w:t>污泥脱水间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3</w:t>
                  </w:r>
                </w:p>
              </w:tc>
              <w:tc>
                <w:tcPr>
                  <w:tcW w:w="1951" w:type="dxa"/>
                  <w:vAlign w:val="center"/>
                </w:tcPr>
                <w:p>
                  <w:pPr>
                    <w:adjustRightInd w:val="0"/>
                    <w:snapToGrid w:val="0"/>
                    <w:jc w:val="center"/>
                    <w:rPr>
                      <w:sz w:val="24"/>
                      <w:szCs w:val="22"/>
                    </w:rPr>
                  </w:pPr>
                  <w:r>
                    <w:rPr>
                      <w:rFonts w:hint="eastAsia"/>
                      <w:sz w:val="24"/>
                      <w:szCs w:val="22"/>
                    </w:rPr>
                    <w:t>反洗泵</w:t>
                  </w:r>
                </w:p>
              </w:tc>
              <w:tc>
                <w:tcPr>
                  <w:tcW w:w="600" w:type="dxa"/>
                  <w:vAlign w:val="center"/>
                </w:tcPr>
                <w:p>
                  <w:pPr>
                    <w:adjustRightInd w:val="0"/>
                    <w:snapToGrid w:val="0"/>
                    <w:jc w:val="center"/>
                    <w:rPr>
                      <w:sz w:val="24"/>
                      <w:szCs w:val="22"/>
                    </w:rPr>
                  </w:pPr>
                  <w:r>
                    <w:rPr>
                      <w:sz w:val="24"/>
                      <w:szCs w:val="22"/>
                    </w:rPr>
                    <w:t>11</w:t>
                  </w:r>
                </w:p>
              </w:tc>
              <w:tc>
                <w:tcPr>
                  <w:tcW w:w="1559" w:type="dxa"/>
                  <w:vAlign w:val="center"/>
                </w:tcPr>
                <w:p>
                  <w:pPr>
                    <w:adjustRightInd w:val="0"/>
                    <w:snapToGrid w:val="0"/>
                    <w:jc w:val="center"/>
                    <w:rPr>
                      <w:sz w:val="24"/>
                      <w:szCs w:val="22"/>
                    </w:rPr>
                  </w:pPr>
                  <w:r>
                    <w:rPr>
                      <w:rFonts w:hint="eastAsia"/>
                      <w:sz w:val="24"/>
                      <w:szCs w:val="22"/>
                    </w:rPr>
                    <w:t>6</w:t>
                  </w:r>
                  <w:r>
                    <w:rPr>
                      <w:sz w:val="24"/>
                      <w:szCs w:val="22"/>
                    </w:rPr>
                    <w:t>5~70</w:t>
                  </w:r>
                </w:p>
              </w:tc>
              <w:tc>
                <w:tcPr>
                  <w:tcW w:w="4004" w:type="dxa"/>
                  <w:vAlign w:val="center"/>
                </w:tcPr>
                <w:p>
                  <w:pPr>
                    <w:adjustRightInd w:val="0"/>
                    <w:snapToGrid w:val="0"/>
                    <w:jc w:val="center"/>
                    <w:rPr>
                      <w:sz w:val="24"/>
                      <w:szCs w:val="22"/>
                    </w:rPr>
                  </w:pPr>
                  <w:r>
                    <w:rPr>
                      <w:rFonts w:hint="eastAsia"/>
                      <w:sz w:val="24"/>
                      <w:szCs w:val="22"/>
                    </w:rPr>
                    <w:t>海水淡化车间反渗透工序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4</w:t>
                  </w:r>
                </w:p>
              </w:tc>
              <w:tc>
                <w:tcPr>
                  <w:tcW w:w="1951" w:type="dxa"/>
                  <w:vAlign w:val="center"/>
                </w:tcPr>
                <w:p>
                  <w:pPr>
                    <w:adjustRightInd w:val="0"/>
                    <w:snapToGrid w:val="0"/>
                    <w:jc w:val="center"/>
                    <w:rPr>
                      <w:sz w:val="24"/>
                      <w:szCs w:val="22"/>
                    </w:rPr>
                  </w:pPr>
                  <w:r>
                    <w:rPr>
                      <w:rFonts w:hint="eastAsia"/>
                      <w:sz w:val="24"/>
                      <w:szCs w:val="22"/>
                    </w:rPr>
                    <w:t>风机</w:t>
                  </w:r>
                </w:p>
              </w:tc>
              <w:tc>
                <w:tcPr>
                  <w:tcW w:w="600" w:type="dxa"/>
                  <w:vAlign w:val="center"/>
                </w:tcPr>
                <w:p>
                  <w:pPr>
                    <w:adjustRightInd w:val="0"/>
                    <w:snapToGrid w:val="0"/>
                    <w:jc w:val="center"/>
                    <w:rPr>
                      <w:sz w:val="24"/>
                      <w:szCs w:val="22"/>
                    </w:rPr>
                  </w:pPr>
                  <w:r>
                    <w:rPr>
                      <w:sz w:val="24"/>
                      <w:szCs w:val="22"/>
                    </w:rPr>
                    <w:t>2</w:t>
                  </w:r>
                </w:p>
              </w:tc>
              <w:tc>
                <w:tcPr>
                  <w:tcW w:w="1559" w:type="dxa"/>
                  <w:vAlign w:val="center"/>
                </w:tcPr>
                <w:p>
                  <w:pPr>
                    <w:adjustRightInd w:val="0"/>
                    <w:snapToGrid w:val="0"/>
                    <w:jc w:val="center"/>
                    <w:rPr>
                      <w:sz w:val="24"/>
                      <w:szCs w:val="22"/>
                    </w:rPr>
                  </w:pPr>
                  <w:r>
                    <w:rPr>
                      <w:rFonts w:hint="eastAsia"/>
                      <w:sz w:val="24"/>
                      <w:szCs w:val="22"/>
                    </w:rPr>
                    <w:t>7</w:t>
                  </w:r>
                  <w:r>
                    <w:rPr>
                      <w:sz w:val="24"/>
                      <w:szCs w:val="22"/>
                    </w:rPr>
                    <w:t>0</w:t>
                  </w:r>
                  <w:r>
                    <w:rPr>
                      <w:rFonts w:hint="eastAsia"/>
                      <w:sz w:val="24"/>
                      <w:szCs w:val="22"/>
                    </w:rPr>
                    <w:t>~</w:t>
                  </w:r>
                  <w:r>
                    <w:rPr>
                      <w:sz w:val="24"/>
                      <w:szCs w:val="22"/>
                    </w:rPr>
                    <w:t>75</w:t>
                  </w:r>
                </w:p>
              </w:tc>
              <w:tc>
                <w:tcPr>
                  <w:tcW w:w="4004" w:type="dxa"/>
                  <w:vAlign w:val="center"/>
                </w:tcPr>
                <w:p>
                  <w:pPr>
                    <w:adjustRightInd w:val="0"/>
                    <w:snapToGrid w:val="0"/>
                    <w:jc w:val="center"/>
                    <w:rPr>
                      <w:sz w:val="24"/>
                      <w:szCs w:val="22"/>
                    </w:rPr>
                  </w:pPr>
                  <w:r>
                    <w:rPr>
                      <w:rFonts w:hint="eastAsia"/>
                      <w:sz w:val="24"/>
                      <w:szCs w:val="22"/>
                    </w:rPr>
                    <w:t>海水淡化车间超滤工序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5</w:t>
                  </w:r>
                </w:p>
              </w:tc>
              <w:tc>
                <w:tcPr>
                  <w:tcW w:w="1951" w:type="dxa"/>
                  <w:vAlign w:val="center"/>
                </w:tcPr>
                <w:p>
                  <w:pPr>
                    <w:adjustRightInd w:val="0"/>
                    <w:snapToGrid w:val="0"/>
                    <w:jc w:val="center"/>
                    <w:rPr>
                      <w:sz w:val="24"/>
                      <w:szCs w:val="22"/>
                    </w:rPr>
                  </w:pPr>
                  <w:r>
                    <w:rPr>
                      <w:rFonts w:hint="eastAsia"/>
                      <w:sz w:val="24"/>
                      <w:szCs w:val="22"/>
                    </w:rPr>
                    <w:t>计量泵</w:t>
                  </w:r>
                </w:p>
              </w:tc>
              <w:tc>
                <w:tcPr>
                  <w:tcW w:w="600" w:type="dxa"/>
                  <w:vAlign w:val="center"/>
                </w:tcPr>
                <w:p>
                  <w:pPr>
                    <w:adjustRightInd w:val="0"/>
                    <w:snapToGrid w:val="0"/>
                    <w:jc w:val="center"/>
                    <w:rPr>
                      <w:sz w:val="24"/>
                      <w:szCs w:val="22"/>
                    </w:rPr>
                  </w:pPr>
                  <w:r>
                    <w:rPr>
                      <w:sz w:val="24"/>
                      <w:szCs w:val="22"/>
                    </w:rPr>
                    <w:t>18</w:t>
                  </w:r>
                </w:p>
              </w:tc>
              <w:tc>
                <w:tcPr>
                  <w:tcW w:w="1559" w:type="dxa"/>
                  <w:vAlign w:val="center"/>
                </w:tcPr>
                <w:p>
                  <w:pPr>
                    <w:adjustRightInd w:val="0"/>
                    <w:snapToGrid w:val="0"/>
                    <w:jc w:val="center"/>
                    <w:rPr>
                      <w:sz w:val="24"/>
                      <w:szCs w:val="22"/>
                    </w:rPr>
                  </w:pPr>
                  <w:r>
                    <w:rPr>
                      <w:sz w:val="24"/>
                      <w:szCs w:val="22"/>
                    </w:rPr>
                    <w:t>65~70</w:t>
                  </w:r>
                </w:p>
              </w:tc>
              <w:tc>
                <w:tcPr>
                  <w:tcW w:w="4004" w:type="dxa"/>
                  <w:vAlign w:val="center"/>
                </w:tcPr>
                <w:p>
                  <w:pPr>
                    <w:adjustRightInd w:val="0"/>
                    <w:snapToGrid w:val="0"/>
                    <w:jc w:val="center"/>
                    <w:rPr>
                      <w:sz w:val="24"/>
                      <w:szCs w:val="22"/>
                    </w:rPr>
                  </w:pPr>
                  <w:r>
                    <w:rPr>
                      <w:rFonts w:hint="eastAsia"/>
                      <w:sz w:val="24"/>
                      <w:szCs w:val="22"/>
                    </w:rPr>
                    <w:t>海水淡化车间超滤、反渗透工序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6</w:t>
                  </w:r>
                </w:p>
              </w:tc>
              <w:tc>
                <w:tcPr>
                  <w:tcW w:w="1951" w:type="dxa"/>
                  <w:vAlign w:val="center"/>
                </w:tcPr>
                <w:p>
                  <w:pPr>
                    <w:adjustRightInd w:val="0"/>
                    <w:snapToGrid w:val="0"/>
                    <w:jc w:val="center"/>
                    <w:rPr>
                      <w:sz w:val="24"/>
                      <w:szCs w:val="22"/>
                    </w:rPr>
                  </w:pPr>
                  <w:r>
                    <w:rPr>
                      <w:rFonts w:hint="eastAsia"/>
                      <w:sz w:val="24"/>
                      <w:szCs w:val="22"/>
                    </w:rPr>
                    <w:t>加药泵</w:t>
                  </w:r>
                </w:p>
              </w:tc>
              <w:tc>
                <w:tcPr>
                  <w:tcW w:w="600" w:type="dxa"/>
                  <w:vAlign w:val="center"/>
                </w:tcPr>
                <w:p>
                  <w:pPr>
                    <w:adjustRightInd w:val="0"/>
                    <w:snapToGrid w:val="0"/>
                    <w:jc w:val="center"/>
                    <w:rPr>
                      <w:sz w:val="24"/>
                      <w:szCs w:val="22"/>
                    </w:rPr>
                  </w:pPr>
                  <w:r>
                    <w:rPr>
                      <w:sz w:val="24"/>
                      <w:szCs w:val="22"/>
                    </w:rPr>
                    <w:t>9</w:t>
                  </w:r>
                </w:p>
              </w:tc>
              <w:tc>
                <w:tcPr>
                  <w:tcW w:w="1559" w:type="dxa"/>
                  <w:vAlign w:val="center"/>
                </w:tcPr>
                <w:p>
                  <w:pPr>
                    <w:adjustRightInd w:val="0"/>
                    <w:snapToGrid w:val="0"/>
                    <w:jc w:val="center"/>
                    <w:rPr>
                      <w:sz w:val="24"/>
                      <w:szCs w:val="22"/>
                    </w:rPr>
                  </w:pPr>
                  <w:r>
                    <w:rPr>
                      <w:sz w:val="24"/>
                      <w:szCs w:val="22"/>
                    </w:rPr>
                    <w:t>65~70</w:t>
                  </w:r>
                </w:p>
              </w:tc>
              <w:tc>
                <w:tcPr>
                  <w:tcW w:w="4004" w:type="dxa"/>
                  <w:vAlign w:val="center"/>
                </w:tcPr>
                <w:p>
                  <w:pPr>
                    <w:adjustRightInd w:val="0"/>
                    <w:snapToGrid w:val="0"/>
                    <w:jc w:val="center"/>
                    <w:rPr>
                      <w:sz w:val="24"/>
                      <w:szCs w:val="22"/>
                    </w:rPr>
                  </w:pPr>
                  <w:r>
                    <w:rPr>
                      <w:rFonts w:hint="eastAsia"/>
                      <w:sz w:val="24"/>
                      <w:szCs w:val="22"/>
                    </w:rPr>
                    <w:t>海水淡化车间超滤、反渗透工序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7</w:t>
                  </w:r>
                </w:p>
              </w:tc>
              <w:tc>
                <w:tcPr>
                  <w:tcW w:w="1951" w:type="dxa"/>
                  <w:vAlign w:val="center"/>
                </w:tcPr>
                <w:p>
                  <w:pPr>
                    <w:adjustRightInd w:val="0"/>
                    <w:snapToGrid w:val="0"/>
                    <w:jc w:val="center"/>
                    <w:rPr>
                      <w:sz w:val="24"/>
                      <w:szCs w:val="22"/>
                    </w:rPr>
                  </w:pPr>
                  <w:r>
                    <w:rPr>
                      <w:rFonts w:hint="eastAsia"/>
                      <w:sz w:val="24"/>
                      <w:szCs w:val="22"/>
                    </w:rPr>
                    <w:t>增压泵</w:t>
                  </w:r>
                </w:p>
              </w:tc>
              <w:tc>
                <w:tcPr>
                  <w:tcW w:w="600" w:type="dxa"/>
                  <w:vAlign w:val="center"/>
                </w:tcPr>
                <w:p>
                  <w:pPr>
                    <w:adjustRightInd w:val="0"/>
                    <w:snapToGrid w:val="0"/>
                    <w:jc w:val="center"/>
                    <w:rPr>
                      <w:sz w:val="24"/>
                      <w:szCs w:val="22"/>
                    </w:rPr>
                  </w:pPr>
                  <w:r>
                    <w:rPr>
                      <w:sz w:val="24"/>
                      <w:szCs w:val="22"/>
                    </w:rPr>
                    <w:t>8</w:t>
                  </w:r>
                </w:p>
              </w:tc>
              <w:tc>
                <w:tcPr>
                  <w:tcW w:w="1559" w:type="dxa"/>
                  <w:vAlign w:val="center"/>
                </w:tcPr>
                <w:p>
                  <w:pPr>
                    <w:adjustRightInd w:val="0"/>
                    <w:snapToGrid w:val="0"/>
                    <w:jc w:val="center"/>
                    <w:rPr>
                      <w:sz w:val="24"/>
                      <w:szCs w:val="22"/>
                    </w:rPr>
                  </w:pPr>
                  <w:r>
                    <w:rPr>
                      <w:rFonts w:hint="eastAsia"/>
                      <w:sz w:val="24"/>
                      <w:szCs w:val="22"/>
                    </w:rPr>
                    <w:t>7</w:t>
                  </w:r>
                  <w:r>
                    <w:rPr>
                      <w:sz w:val="24"/>
                      <w:szCs w:val="22"/>
                    </w:rPr>
                    <w:t>0</w:t>
                  </w:r>
                  <w:r>
                    <w:rPr>
                      <w:rFonts w:hint="eastAsia"/>
                      <w:sz w:val="24"/>
                      <w:szCs w:val="22"/>
                    </w:rPr>
                    <w:t>~</w:t>
                  </w:r>
                  <w:r>
                    <w:rPr>
                      <w:sz w:val="24"/>
                      <w:szCs w:val="22"/>
                    </w:rPr>
                    <w:t>75</w:t>
                  </w:r>
                </w:p>
              </w:tc>
              <w:tc>
                <w:tcPr>
                  <w:tcW w:w="4004" w:type="dxa"/>
                  <w:vAlign w:val="center"/>
                </w:tcPr>
                <w:p>
                  <w:pPr>
                    <w:adjustRightInd w:val="0"/>
                    <w:snapToGrid w:val="0"/>
                    <w:jc w:val="center"/>
                    <w:rPr>
                      <w:sz w:val="24"/>
                      <w:szCs w:val="22"/>
                    </w:rPr>
                  </w:pPr>
                  <w:r>
                    <w:rPr>
                      <w:rFonts w:hint="eastAsia"/>
                      <w:sz w:val="24"/>
                      <w:szCs w:val="22"/>
                    </w:rPr>
                    <w:t>海水淡化车间反渗透工序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sz w:val="24"/>
                      <w:szCs w:val="22"/>
                    </w:rPr>
                    <w:t>8</w:t>
                  </w:r>
                </w:p>
              </w:tc>
              <w:tc>
                <w:tcPr>
                  <w:tcW w:w="1951" w:type="dxa"/>
                  <w:vAlign w:val="center"/>
                </w:tcPr>
                <w:p>
                  <w:pPr>
                    <w:adjustRightInd w:val="0"/>
                    <w:snapToGrid w:val="0"/>
                    <w:jc w:val="center"/>
                    <w:rPr>
                      <w:sz w:val="24"/>
                      <w:szCs w:val="22"/>
                    </w:rPr>
                  </w:pPr>
                  <w:r>
                    <w:rPr>
                      <w:rFonts w:hint="eastAsia"/>
                      <w:sz w:val="24"/>
                      <w:szCs w:val="22"/>
                    </w:rPr>
                    <w:t>高压泵</w:t>
                  </w:r>
                </w:p>
              </w:tc>
              <w:tc>
                <w:tcPr>
                  <w:tcW w:w="600" w:type="dxa"/>
                  <w:vAlign w:val="center"/>
                </w:tcPr>
                <w:p>
                  <w:pPr>
                    <w:adjustRightInd w:val="0"/>
                    <w:snapToGrid w:val="0"/>
                    <w:jc w:val="center"/>
                    <w:rPr>
                      <w:sz w:val="24"/>
                      <w:szCs w:val="22"/>
                    </w:rPr>
                  </w:pPr>
                  <w:r>
                    <w:rPr>
                      <w:sz w:val="24"/>
                      <w:szCs w:val="22"/>
                    </w:rPr>
                    <w:t>10</w:t>
                  </w:r>
                </w:p>
              </w:tc>
              <w:tc>
                <w:tcPr>
                  <w:tcW w:w="1559" w:type="dxa"/>
                  <w:vAlign w:val="center"/>
                </w:tcPr>
                <w:p>
                  <w:pPr>
                    <w:adjustRightInd w:val="0"/>
                    <w:snapToGrid w:val="0"/>
                    <w:jc w:val="center"/>
                    <w:rPr>
                      <w:sz w:val="24"/>
                      <w:szCs w:val="22"/>
                    </w:rPr>
                  </w:pPr>
                  <w:r>
                    <w:rPr>
                      <w:rFonts w:hint="eastAsia"/>
                      <w:sz w:val="24"/>
                      <w:szCs w:val="22"/>
                    </w:rPr>
                    <w:t>7</w:t>
                  </w:r>
                  <w:r>
                    <w:rPr>
                      <w:sz w:val="24"/>
                      <w:szCs w:val="22"/>
                    </w:rPr>
                    <w:t>5</w:t>
                  </w:r>
                  <w:r>
                    <w:rPr>
                      <w:rFonts w:hint="eastAsia"/>
                      <w:sz w:val="24"/>
                      <w:szCs w:val="22"/>
                    </w:rPr>
                    <w:t>~</w:t>
                  </w:r>
                  <w:r>
                    <w:rPr>
                      <w:sz w:val="24"/>
                      <w:szCs w:val="22"/>
                    </w:rPr>
                    <w:t>80</w:t>
                  </w:r>
                </w:p>
              </w:tc>
              <w:tc>
                <w:tcPr>
                  <w:tcW w:w="4004" w:type="dxa"/>
                  <w:vAlign w:val="center"/>
                </w:tcPr>
                <w:p>
                  <w:pPr>
                    <w:adjustRightInd w:val="0"/>
                    <w:snapToGrid w:val="0"/>
                    <w:jc w:val="center"/>
                    <w:rPr>
                      <w:sz w:val="24"/>
                      <w:szCs w:val="22"/>
                    </w:rPr>
                  </w:pPr>
                  <w:r>
                    <w:rPr>
                      <w:rFonts w:hint="eastAsia"/>
                      <w:sz w:val="24"/>
                      <w:szCs w:val="22"/>
                    </w:rPr>
                    <w:t>海水淡化车间反渗透工序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sz w:val="24"/>
                      <w:szCs w:val="22"/>
                    </w:rPr>
                    <w:t>9</w:t>
                  </w:r>
                </w:p>
              </w:tc>
              <w:tc>
                <w:tcPr>
                  <w:tcW w:w="1951" w:type="dxa"/>
                  <w:vAlign w:val="center"/>
                </w:tcPr>
                <w:p>
                  <w:pPr>
                    <w:adjustRightInd w:val="0"/>
                    <w:snapToGrid w:val="0"/>
                    <w:jc w:val="center"/>
                    <w:rPr>
                      <w:sz w:val="24"/>
                      <w:szCs w:val="22"/>
                    </w:rPr>
                  </w:pPr>
                  <w:r>
                    <w:rPr>
                      <w:rFonts w:hint="eastAsia"/>
                      <w:sz w:val="24"/>
                      <w:szCs w:val="22"/>
                    </w:rPr>
                    <w:t>浓水泵</w:t>
                  </w:r>
                </w:p>
              </w:tc>
              <w:tc>
                <w:tcPr>
                  <w:tcW w:w="600" w:type="dxa"/>
                  <w:vAlign w:val="center"/>
                </w:tcPr>
                <w:p>
                  <w:pPr>
                    <w:adjustRightInd w:val="0"/>
                    <w:snapToGrid w:val="0"/>
                    <w:jc w:val="center"/>
                    <w:rPr>
                      <w:sz w:val="24"/>
                      <w:szCs w:val="22"/>
                    </w:rPr>
                  </w:pPr>
                  <w:r>
                    <w:rPr>
                      <w:sz w:val="24"/>
                      <w:szCs w:val="22"/>
                    </w:rPr>
                    <w:t>4</w:t>
                  </w:r>
                </w:p>
              </w:tc>
              <w:tc>
                <w:tcPr>
                  <w:tcW w:w="1559" w:type="dxa"/>
                  <w:vAlign w:val="center"/>
                </w:tcPr>
                <w:p>
                  <w:pPr>
                    <w:adjustRightInd w:val="0"/>
                    <w:snapToGrid w:val="0"/>
                    <w:jc w:val="center"/>
                    <w:rPr>
                      <w:sz w:val="24"/>
                      <w:szCs w:val="22"/>
                    </w:rPr>
                  </w:pPr>
                  <w:r>
                    <w:rPr>
                      <w:rFonts w:hint="eastAsia"/>
                      <w:sz w:val="24"/>
                      <w:szCs w:val="22"/>
                    </w:rPr>
                    <w:t>7</w:t>
                  </w:r>
                  <w:r>
                    <w:rPr>
                      <w:sz w:val="24"/>
                      <w:szCs w:val="22"/>
                    </w:rPr>
                    <w:t>0</w:t>
                  </w:r>
                  <w:r>
                    <w:rPr>
                      <w:rFonts w:hint="eastAsia"/>
                      <w:sz w:val="24"/>
                      <w:szCs w:val="22"/>
                    </w:rPr>
                    <w:t>~</w:t>
                  </w:r>
                  <w:r>
                    <w:rPr>
                      <w:sz w:val="24"/>
                      <w:szCs w:val="22"/>
                    </w:rPr>
                    <w:t>75</w:t>
                  </w:r>
                </w:p>
              </w:tc>
              <w:tc>
                <w:tcPr>
                  <w:tcW w:w="4004" w:type="dxa"/>
                  <w:vAlign w:val="center"/>
                </w:tcPr>
                <w:p>
                  <w:pPr>
                    <w:adjustRightInd w:val="0"/>
                    <w:snapToGrid w:val="0"/>
                    <w:jc w:val="center"/>
                    <w:rPr>
                      <w:sz w:val="24"/>
                      <w:szCs w:val="22"/>
                    </w:rPr>
                  </w:pPr>
                  <w:r>
                    <w:rPr>
                      <w:rFonts w:hint="eastAsia"/>
                      <w:sz w:val="24"/>
                      <w:szCs w:val="22"/>
                    </w:rPr>
                    <w:t>海水淡化车间超滤、反渗透、低温多效工序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1</w:t>
                  </w:r>
                  <w:r>
                    <w:rPr>
                      <w:sz w:val="24"/>
                      <w:szCs w:val="22"/>
                    </w:rPr>
                    <w:t>0</w:t>
                  </w:r>
                </w:p>
              </w:tc>
              <w:tc>
                <w:tcPr>
                  <w:tcW w:w="1951" w:type="dxa"/>
                  <w:vAlign w:val="center"/>
                </w:tcPr>
                <w:p>
                  <w:pPr>
                    <w:adjustRightInd w:val="0"/>
                    <w:snapToGrid w:val="0"/>
                    <w:jc w:val="center"/>
                    <w:rPr>
                      <w:sz w:val="24"/>
                      <w:szCs w:val="22"/>
                    </w:rPr>
                  </w:pPr>
                  <w:r>
                    <w:rPr>
                      <w:rFonts w:hint="eastAsia"/>
                      <w:sz w:val="24"/>
                      <w:szCs w:val="22"/>
                    </w:rPr>
                    <w:t>产品水泵</w:t>
                  </w:r>
                </w:p>
              </w:tc>
              <w:tc>
                <w:tcPr>
                  <w:tcW w:w="600" w:type="dxa"/>
                  <w:vAlign w:val="center"/>
                </w:tcPr>
                <w:p>
                  <w:pPr>
                    <w:adjustRightInd w:val="0"/>
                    <w:snapToGrid w:val="0"/>
                    <w:jc w:val="center"/>
                    <w:rPr>
                      <w:sz w:val="24"/>
                      <w:szCs w:val="22"/>
                    </w:rPr>
                  </w:pPr>
                  <w:r>
                    <w:rPr>
                      <w:sz w:val="24"/>
                      <w:szCs w:val="22"/>
                    </w:rPr>
                    <w:t>4</w:t>
                  </w:r>
                </w:p>
              </w:tc>
              <w:tc>
                <w:tcPr>
                  <w:tcW w:w="1559" w:type="dxa"/>
                  <w:vAlign w:val="center"/>
                </w:tcPr>
                <w:p>
                  <w:pPr>
                    <w:adjustRightInd w:val="0"/>
                    <w:snapToGrid w:val="0"/>
                    <w:jc w:val="center"/>
                    <w:rPr>
                      <w:sz w:val="24"/>
                      <w:szCs w:val="22"/>
                    </w:rPr>
                  </w:pPr>
                  <w:r>
                    <w:rPr>
                      <w:rFonts w:hint="eastAsia"/>
                      <w:sz w:val="24"/>
                      <w:szCs w:val="22"/>
                    </w:rPr>
                    <w:t>7</w:t>
                  </w:r>
                  <w:r>
                    <w:rPr>
                      <w:sz w:val="24"/>
                      <w:szCs w:val="22"/>
                    </w:rPr>
                    <w:t>0</w:t>
                  </w:r>
                  <w:r>
                    <w:rPr>
                      <w:rFonts w:hint="eastAsia"/>
                      <w:sz w:val="24"/>
                      <w:szCs w:val="22"/>
                    </w:rPr>
                    <w:t>~</w:t>
                  </w:r>
                  <w:r>
                    <w:rPr>
                      <w:sz w:val="24"/>
                      <w:szCs w:val="22"/>
                    </w:rPr>
                    <w:t>75</w:t>
                  </w:r>
                </w:p>
              </w:tc>
              <w:tc>
                <w:tcPr>
                  <w:tcW w:w="4004" w:type="dxa"/>
                  <w:vAlign w:val="center"/>
                </w:tcPr>
                <w:p>
                  <w:pPr>
                    <w:adjustRightInd w:val="0"/>
                    <w:snapToGrid w:val="0"/>
                    <w:jc w:val="center"/>
                    <w:rPr>
                      <w:sz w:val="24"/>
                      <w:szCs w:val="22"/>
                    </w:rPr>
                  </w:pPr>
                  <w:r>
                    <w:rPr>
                      <w:rFonts w:hint="eastAsia"/>
                      <w:sz w:val="24"/>
                      <w:szCs w:val="22"/>
                    </w:rPr>
                    <w:t>低温多效工序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1</w:t>
                  </w:r>
                  <w:r>
                    <w:rPr>
                      <w:sz w:val="24"/>
                      <w:szCs w:val="22"/>
                    </w:rPr>
                    <w:t>1</w:t>
                  </w:r>
                </w:p>
              </w:tc>
              <w:tc>
                <w:tcPr>
                  <w:tcW w:w="1951" w:type="dxa"/>
                  <w:vAlign w:val="center"/>
                </w:tcPr>
                <w:p>
                  <w:pPr>
                    <w:adjustRightInd w:val="0"/>
                    <w:snapToGrid w:val="0"/>
                    <w:jc w:val="center"/>
                    <w:rPr>
                      <w:sz w:val="24"/>
                      <w:szCs w:val="22"/>
                    </w:rPr>
                  </w:pPr>
                  <w:r>
                    <w:rPr>
                      <w:rFonts w:hint="eastAsia"/>
                      <w:sz w:val="24"/>
                      <w:szCs w:val="22"/>
                    </w:rPr>
                    <w:t>冷凝水泵</w:t>
                  </w:r>
                </w:p>
              </w:tc>
              <w:tc>
                <w:tcPr>
                  <w:tcW w:w="600" w:type="dxa"/>
                  <w:vAlign w:val="center"/>
                </w:tcPr>
                <w:p>
                  <w:pPr>
                    <w:adjustRightInd w:val="0"/>
                    <w:snapToGrid w:val="0"/>
                    <w:jc w:val="center"/>
                    <w:rPr>
                      <w:sz w:val="24"/>
                      <w:szCs w:val="22"/>
                    </w:rPr>
                  </w:pPr>
                  <w:r>
                    <w:rPr>
                      <w:rFonts w:hint="eastAsia"/>
                      <w:sz w:val="24"/>
                      <w:szCs w:val="22"/>
                    </w:rPr>
                    <w:t>4</w:t>
                  </w:r>
                </w:p>
              </w:tc>
              <w:tc>
                <w:tcPr>
                  <w:tcW w:w="1559" w:type="dxa"/>
                  <w:vAlign w:val="center"/>
                </w:tcPr>
                <w:p>
                  <w:pPr>
                    <w:adjustRightInd w:val="0"/>
                    <w:snapToGrid w:val="0"/>
                    <w:jc w:val="center"/>
                    <w:rPr>
                      <w:sz w:val="24"/>
                      <w:szCs w:val="22"/>
                    </w:rPr>
                  </w:pPr>
                  <w:r>
                    <w:rPr>
                      <w:sz w:val="24"/>
                      <w:szCs w:val="22"/>
                    </w:rPr>
                    <w:t>65~70</w:t>
                  </w:r>
                </w:p>
              </w:tc>
              <w:tc>
                <w:tcPr>
                  <w:tcW w:w="4004" w:type="dxa"/>
                  <w:vAlign w:val="center"/>
                </w:tcPr>
                <w:p>
                  <w:pPr>
                    <w:adjustRightInd w:val="0"/>
                    <w:snapToGrid w:val="0"/>
                    <w:jc w:val="center"/>
                    <w:rPr>
                      <w:sz w:val="24"/>
                      <w:szCs w:val="22"/>
                    </w:rPr>
                  </w:pPr>
                  <w:r>
                    <w:rPr>
                      <w:rFonts w:hint="eastAsia"/>
                      <w:sz w:val="24"/>
                      <w:szCs w:val="22"/>
                    </w:rPr>
                    <w:t>低温多效工序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1</w:t>
                  </w:r>
                  <w:r>
                    <w:rPr>
                      <w:sz w:val="24"/>
                      <w:szCs w:val="22"/>
                    </w:rPr>
                    <w:t>2</w:t>
                  </w:r>
                </w:p>
              </w:tc>
              <w:tc>
                <w:tcPr>
                  <w:tcW w:w="1951" w:type="dxa"/>
                  <w:vAlign w:val="center"/>
                </w:tcPr>
                <w:p>
                  <w:pPr>
                    <w:adjustRightInd w:val="0"/>
                    <w:snapToGrid w:val="0"/>
                    <w:jc w:val="center"/>
                    <w:rPr>
                      <w:sz w:val="24"/>
                      <w:szCs w:val="22"/>
                    </w:rPr>
                  </w:pPr>
                  <w:r>
                    <w:rPr>
                      <w:rFonts w:hint="eastAsia"/>
                      <w:sz w:val="24"/>
                      <w:szCs w:val="22"/>
                    </w:rPr>
                    <w:t>循环真空泵</w:t>
                  </w:r>
                </w:p>
              </w:tc>
              <w:tc>
                <w:tcPr>
                  <w:tcW w:w="600" w:type="dxa"/>
                  <w:vAlign w:val="center"/>
                </w:tcPr>
                <w:p>
                  <w:pPr>
                    <w:adjustRightInd w:val="0"/>
                    <w:snapToGrid w:val="0"/>
                    <w:jc w:val="center"/>
                    <w:rPr>
                      <w:sz w:val="24"/>
                      <w:szCs w:val="22"/>
                    </w:rPr>
                  </w:pPr>
                  <w:r>
                    <w:rPr>
                      <w:rFonts w:hint="eastAsia"/>
                      <w:sz w:val="24"/>
                      <w:szCs w:val="22"/>
                    </w:rPr>
                    <w:t>2</w:t>
                  </w:r>
                </w:p>
              </w:tc>
              <w:tc>
                <w:tcPr>
                  <w:tcW w:w="1559" w:type="dxa"/>
                  <w:vAlign w:val="center"/>
                </w:tcPr>
                <w:p>
                  <w:pPr>
                    <w:adjustRightInd w:val="0"/>
                    <w:snapToGrid w:val="0"/>
                    <w:jc w:val="center"/>
                    <w:rPr>
                      <w:sz w:val="24"/>
                      <w:szCs w:val="22"/>
                    </w:rPr>
                  </w:pPr>
                  <w:r>
                    <w:rPr>
                      <w:sz w:val="24"/>
                      <w:szCs w:val="22"/>
                    </w:rPr>
                    <w:t>65~70</w:t>
                  </w:r>
                </w:p>
              </w:tc>
              <w:tc>
                <w:tcPr>
                  <w:tcW w:w="4004" w:type="dxa"/>
                  <w:vAlign w:val="center"/>
                </w:tcPr>
                <w:p>
                  <w:pPr>
                    <w:adjustRightInd w:val="0"/>
                    <w:snapToGrid w:val="0"/>
                    <w:jc w:val="center"/>
                    <w:rPr>
                      <w:sz w:val="24"/>
                      <w:szCs w:val="22"/>
                    </w:rPr>
                  </w:pPr>
                  <w:r>
                    <w:rPr>
                      <w:rFonts w:hint="eastAsia"/>
                      <w:sz w:val="24"/>
                      <w:szCs w:val="22"/>
                    </w:rPr>
                    <w:t>低温多效工序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1</w:t>
                  </w:r>
                  <w:r>
                    <w:rPr>
                      <w:sz w:val="24"/>
                      <w:szCs w:val="22"/>
                    </w:rPr>
                    <w:t>3</w:t>
                  </w:r>
                </w:p>
              </w:tc>
              <w:tc>
                <w:tcPr>
                  <w:tcW w:w="1951" w:type="dxa"/>
                  <w:vAlign w:val="center"/>
                </w:tcPr>
                <w:p>
                  <w:pPr>
                    <w:adjustRightInd w:val="0"/>
                    <w:snapToGrid w:val="0"/>
                    <w:jc w:val="center"/>
                    <w:rPr>
                      <w:sz w:val="24"/>
                      <w:szCs w:val="22"/>
                    </w:rPr>
                  </w:pPr>
                  <w:r>
                    <w:rPr>
                      <w:rFonts w:hint="eastAsia"/>
                      <w:sz w:val="24"/>
                      <w:szCs w:val="22"/>
                    </w:rPr>
                    <w:t>低温多效中间水泵</w:t>
                  </w:r>
                </w:p>
              </w:tc>
              <w:tc>
                <w:tcPr>
                  <w:tcW w:w="600" w:type="dxa"/>
                  <w:vAlign w:val="center"/>
                </w:tcPr>
                <w:p>
                  <w:pPr>
                    <w:adjustRightInd w:val="0"/>
                    <w:snapToGrid w:val="0"/>
                    <w:jc w:val="center"/>
                    <w:rPr>
                      <w:sz w:val="24"/>
                      <w:szCs w:val="22"/>
                    </w:rPr>
                  </w:pPr>
                  <w:r>
                    <w:rPr>
                      <w:rFonts w:hint="eastAsia"/>
                      <w:sz w:val="24"/>
                      <w:szCs w:val="22"/>
                    </w:rPr>
                    <w:t>1</w:t>
                  </w:r>
                  <w:r>
                    <w:rPr>
                      <w:sz w:val="24"/>
                      <w:szCs w:val="22"/>
                    </w:rPr>
                    <w:t>2</w:t>
                  </w:r>
                </w:p>
              </w:tc>
              <w:tc>
                <w:tcPr>
                  <w:tcW w:w="1559" w:type="dxa"/>
                </w:tcPr>
                <w:p>
                  <w:pPr>
                    <w:adjustRightInd w:val="0"/>
                    <w:snapToGrid w:val="0"/>
                    <w:jc w:val="center"/>
                    <w:rPr>
                      <w:sz w:val="24"/>
                      <w:szCs w:val="22"/>
                    </w:rPr>
                  </w:pPr>
                  <w:r>
                    <w:rPr>
                      <w:sz w:val="24"/>
                      <w:szCs w:val="22"/>
                    </w:rPr>
                    <w:t>70~75</w:t>
                  </w:r>
                </w:p>
              </w:tc>
              <w:tc>
                <w:tcPr>
                  <w:tcW w:w="4004" w:type="dxa"/>
                  <w:vAlign w:val="center"/>
                </w:tcPr>
                <w:p>
                  <w:pPr>
                    <w:adjustRightInd w:val="0"/>
                    <w:snapToGrid w:val="0"/>
                    <w:jc w:val="center"/>
                    <w:rPr>
                      <w:sz w:val="24"/>
                      <w:szCs w:val="22"/>
                    </w:rPr>
                  </w:pPr>
                  <w:r>
                    <w:rPr>
                      <w:rFonts w:hint="eastAsia"/>
                      <w:sz w:val="24"/>
                      <w:szCs w:val="22"/>
                    </w:rPr>
                    <w:t>低温多效工序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1</w:t>
                  </w:r>
                  <w:r>
                    <w:rPr>
                      <w:sz w:val="24"/>
                      <w:szCs w:val="22"/>
                    </w:rPr>
                    <w:t>4</w:t>
                  </w:r>
                </w:p>
              </w:tc>
              <w:tc>
                <w:tcPr>
                  <w:tcW w:w="1951" w:type="dxa"/>
                  <w:vAlign w:val="center"/>
                </w:tcPr>
                <w:p>
                  <w:pPr>
                    <w:adjustRightInd w:val="0"/>
                    <w:snapToGrid w:val="0"/>
                    <w:jc w:val="center"/>
                    <w:rPr>
                      <w:sz w:val="24"/>
                      <w:szCs w:val="22"/>
                    </w:rPr>
                  </w:pPr>
                  <w:r>
                    <w:rPr>
                      <w:rFonts w:hint="eastAsia"/>
                      <w:sz w:val="24"/>
                      <w:szCs w:val="22"/>
                    </w:rPr>
                    <w:t>清洗泵</w:t>
                  </w:r>
                </w:p>
              </w:tc>
              <w:tc>
                <w:tcPr>
                  <w:tcW w:w="600" w:type="dxa"/>
                  <w:vAlign w:val="center"/>
                </w:tcPr>
                <w:p>
                  <w:pPr>
                    <w:adjustRightInd w:val="0"/>
                    <w:snapToGrid w:val="0"/>
                    <w:jc w:val="center"/>
                    <w:rPr>
                      <w:sz w:val="24"/>
                      <w:szCs w:val="22"/>
                    </w:rPr>
                  </w:pPr>
                  <w:r>
                    <w:rPr>
                      <w:rFonts w:hint="eastAsia"/>
                      <w:sz w:val="24"/>
                      <w:szCs w:val="22"/>
                    </w:rPr>
                    <w:t>1</w:t>
                  </w:r>
                  <w:r>
                    <w:rPr>
                      <w:sz w:val="24"/>
                      <w:szCs w:val="22"/>
                    </w:rPr>
                    <w:t>3</w:t>
                  </w:r>
                </w:p>
              </w:tc>
              <w:tc>
                <w:tcPr>
                  <w:tcW w:w="1559" w:type="dxa"/>
                </w:tcPr>
                <w:p>
                  <w:pPr>
                    <w:adjustRightInd w:val="0"/>
                    <w:snapToGrid w:val="0"/>
                    <w:jc w:val="center"/>
                    <w:rPr>
                      <w:sz w:val="24"/>
                      <w:szCs w:val="22"/>
                    </w:rPr>
                  </w:pPr>
                  <w:r>
                    <w:rPr>
                      <w:sz w:val="24"/>
                      <w:szCs w:val="22"/>
                    </w:rPr>
                    <w:t>70~75</w:t>
                  </w:r>
                </w:p>
              </w:tc>
              <w:tc>
                <w:tcPr>
                  <w:tcW w:w="4004" w:type="dxa"/>
                  <w:vAlign w:val="center"/>
                </w:tcPr>
                <w:p>
                  <w:pPr>
                    <w:adjustRightInd w:val="0"/>
                    <w:snapToGrid w:val="0"/>
                    <w:jc w:val="center"/>
                    <w:rPr>
                      <w:sz w:val="24"/>
                      <w:szCs w:val="22"/>
                    </w:rPr>
                  </w:pPr>
                  <w:r>
                    <w:rPr>
                      <w:rFonts w:hint="eastAsia"/>
                      <w:sz w:val="24"/>
                      <w:szCs w:val="22"/>
                    </w:rPr>
                    <w:t>低温多效工序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1</w:t>
                  </w:r>
                  <w:r>
                    <w:rPr>
                      <w:sz w:val="24"/>
                      <w:szCs w:val="22"/>
                    </w:rPr>
                    <w:t>5</w:t>
                  </w:r>
                </w:p>
              </w:tc>
              <w:tc>
                <w:tcPr>
                  <w:tcW w:w="1951" w:type="dxa"/>
                  <w:vAlign w:val="center"/>
                </w:tcPr>
                <w:p>
                  <w:pPr>
                    <w:adjustRightInd w:val="0"/>
                    <w:snapToGrid w:val="0"/>
                    <w:jc w:val="center"/>
                    <w:rPr>
                      <w:sz w:val="24"/>
                      <w:szCs w:val="22"/>
                    </w:rPr>
                  </w:pPr>
                  <w:r>
                    <w:rPr>
                      <w:rFonts w:hint="eastAsia"/>
                      <w:sz w:val="24"/>
                      <w:szCs w:val="22"/>
                    </w:rPr>
                    <w:t>消除过热泵</w:t>
                  </w:r>
                </w:p>
              </w:tc>
              <w:tc>
                <w:tcPr>
                  <w:tcW w:w="600" w:type="dxa"/>
                  <w:vAlign w:val="center"/>
                </w:tcPr>
                <w:p>
                  <w:pPr>
                    <w:adjustRightInd w:val="0"/>
                    <w:snapToGrid w:val="0"/>
                    <w:jc w:val="center"/>
                    <w:rPr>
                      <w:sz w:val="24"/>
                      <w:szCs w:val="22"/>
                    </w:rPr>
                  </w:pPr>
                  <w:r>
                    <w:rPr>
                      <w:rFonts w:hint="eastAsia"/>
                      <w:sz w:val="24"/>
                      <w:szCs w:val="22"/>
                    </w:rPr>
                    <w:t>2</w:t>
                  </w:r>
                </w:p>
              </w:tc>
              <w:tc>
                <w:tcPr>
                  <w:tcW w:w="1559" w:type="dxa"/>
                  <w:vAlign w:val="center"/>
                </w:tcPr>
                <w:p>
                  <w:pPr>
                    <w:adjustRightInd w:val="0"/>
                    <w:snapToGrid w:val="0"/>
                    <w:jc w:val="center"/>
                    <w:rPr>
                      <w:sz w:val="24"/>
                      <w:szCs w:val="22"/>
                    </w:rPr>
                  </w:pPr>
                  <w:r>
                    <w:rPr>
                      <w:rFonts w:hint="eastAsia"/>
                      <w:sz w:val="24"/>
                      <w:szCs w:val="22"/>
                    </w:rPr>
                    <w:t>7</w:t>
                  </w:r>
                  <w:r>
                    <w:rPr>
                      <w:sz w:val="24"/>
                      <w:szCs w:val="22"/>
                    </w:rPr>
                    <w:t>0</w:t>
                  </w:r>
                  <w:r>
                    <w:rPr>
                      <w:rFonts w:hint="eastAsia"/>
                      <w:sz w:val="24"/>
                      <w:szCs w:val="22"/>
                    </w:rPr>
                    <w:t>~</w:t>
                  </w:r>
                  <w:r>
                    <w:rPr>
                      <w:sz w:val="24"/>
                      <w:szCs w:val="22"/>
                    </w:rPr>
                    <w:t>75</w:t>
                  </w:r>
                </w:p>
              </w:tc>
              <w:tc>
                <w:tcPr>
                  <w:tcW w:w="4004" w:type="dxa"/>
                  <w:vAlign w:val="center"/>
                </w:tcPr>
                <w:p>
                  <w:pPr>
                    <w:adjustRightInd w:val="0"/>
                    <w:snapToGrid w:val="0"/>
                    <w:jc w:val="center"/>
                    <w:rPr>
                      <w:sz w:val="24"/>
                      <w:szCs w:val="22"/>
                    </w:rPr>
                  </w:pPr>
                  <w:r>
                    <w:rPr>
                      <w:rFonts w:hint="eastAsia"/>
                      <w:sz w:val="24"/>
                      <w:szCs w:val="22"/>
                    </w:rPr>
                    <w:t>低温多效工序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715" w:type="dxa"/>
                  <w:vAlign w:val="center"/>
                </w:tcPr>
                <w:p>
                  <w:pPr>
                    <w:adjustRightInd w:val="0"/>
                    <w:snapToGrid w:val="0"/>
                    <w:jc w:val="center"/>
                    <w:rPr>
                      <w:sz w:val="24"/>
                      <w:szCs w:val="22"/>
                    </w:rPr>
                  </w:pPr>
                  <w:r>
                    <w:rPr>
                      <w:rFonts w:hint="eastAsia"/>
                      <w:sz w:val="24"/>
                      <w:szCs w:val="22"/>
                    </w:rPr>
                    <w:t>1</w:t>
                  </w:r>
                  <w:r>
                    <w:rPr>
                      <w:sz w:val="24"/>
                      <w:szCs w:val="22"/>
                    </w:rPr>
                    <w:t>6</w:t>
                  </w:r>
                </w:p>
              </w:tc>
              <w:tc>
                <w:tcPr>
                  <w:tcW w:w="1951" w:type="dxa"/>
                  <w:vAlign w:val="center"/>
                </w:tcPr>
                <w:p>
                  <w:pPr>
                    <w:adjustRightInd w:val="0"/>
                    <w:snapToGrid w:val="0"/>
                    <w:jc w:val="center"/>
                    <w:rPr>
                      <w:sz w:val="24"/>
                      <w:szCs w:val="22"/>
                    </w:rPr>
                  </w:pPr>
                  <w:r>
                    <w:rPr>
                      <w:rFonts w:hint="eastAsia"/>
                      <w:sz w:val="24"/>
                      <w:szCs w:val="22"/>
                    </w:rPr>
                    <w:t>空压机</w:t>
                  </w:r>
                </w:p>
              </w:tc>
              <w:tc>
                <w:tcPr>
                  <w:tcW w:w="600" w:type="dxa"/>
                  <w:vAlign w:val="center"/>
                </w:tcPr>
                <w:p>
                  <w:pPr>
                    <w:adjustRightInd w:val="0"/>
                    <w:snapToGrid w:val="0"/>
                    <w:jc w:val="center"/>
                    <w:rPr>
                      <w:sz w:val="24"/>
                      <w:szCs w:val="22"/>
                    </w:rPr>
                  </w:pPr>
                  <w:r>
                    <w:rPr>
                      <w:rFonts w:hint="eastAsia"/>
                      <w:sz w:val="24"/>
                      <w:szCs w:val="22"/>
                    </w:rPr>
                    <w:t>2</w:t>
                  </w:r>
                </w:p>
              </w:tc>
              <w:tc>
                <w:tcPr>
                  <w:tcW w:w="1559" w:type="dxa"/>
                  <w:vAlign w:val="center"/>
                </w:tcPr>
                <w:p>
                  <w:pPr>
                    <w:adjustRightInd w:val="0"/>
                    <w:snapToGrid w:val="0"/>
                    <w:jc w:val="center"/>
                    <w:rPr>
                      <w:sz w:val="24"/>
                      <w:szCs w:val="22"/>
                    </w:rPr>
                  </w:pPr>
                  <w:r>
                    <w:rPr>
                      <w:rFonts w:hint="eastAsia"/>
                      <w:sz w:val="24"/>
                      <w:szCs w:val="22"/>
                    </w:rPr>
                    <w:t>7</w:t>
                  </w:r>
                  <w:r>
                    <w:rPr>
                      <w:sz w:val="24"/>
                      <w:szCs w:val="22"/>
                    </w:rPr>
                    <w:t>5</w:t>
                  </w:r>
                  <w:r>
                    <w:rPr>
                      <w:rFonts w:hint="eastAsia"/>
                      <w:sz w:val="24"/>
                      <w:szCs w:val="22"/>
                    </w:rPr>
                    <w:t>~</w:t>
                  </w:r>
                  <w:r>
                    <w:rPr>
                      <w:sz w:val="24"/>
                      <w:szCs w:val="22"/>
                    </w:rPr>
                    <w:t>80</w:t>
                  </w:r>
                </w:p>
              </w:tc>
              <w:tc>
                <w:tcPr>
                  <w:tcW w:w="4004" w:type="dxa"/>
                  <w:vAlign w:val="center"/>
                </w:tcPr>
                <w:p>
                  <w:pPr>
                    <w:adjustRightInd w:val="0"/>
                    <w:snapToGrid w:val="0"/>
                    <w:jc w:val="center"/>
                    <w:rPr>
                      <w:sz w:val="24"/>
                      <w:szCs w:val="22"/>
                    </w:rPr>
                  </w:pPr>
                  <w:r>
                    <w:rPr>
                      <w:rFonts w:hint="eastAsia"/>
                      <w:sz w:val="24"/>
                      <w:szCs w:val="22"/>
                    </w:rPr>
                    <w:t>低温多效工序</w:t>
                  </w:r>
                </w:p>
              </w:tc>
            </w:tr>
          </w:tbl>
          <w:p>
            <w:pPr>
              <w:pStyle w:val="145"/>
              <w:adjustRightInd w:val="0"/>
              <w:snapToGrid w:val="0"/>
              <w:spacing w:beforeLines="50"/>
              <w:ind w:firstLine="480"/>
              <w:rPr>
                <w:rFonts w:ascii="Times New Roman" w:hAnsi="Times New Roman" w:cs="Times New Roman"/>
              </w:rPr>
            </w:pPr>
            <w:r>
              <w:rPr>
                <w:rFonts w:ascii="Times New Roman" w:hAnsi="Times New Roman" w:cs="Times New Roman"/>
              </w:rPr>
              <w:t>(4) 固体废物</w:t>
            </w:r>
          </w:p>
          <w:p>
            <w:pPr>
              <w:pStyle w:val="145"/>
              <w:adjustRightInd w:val="0"/>
              <w:snapToGrid w:val="0"/>
              <w:ind w:firstLine="480"/>
            </w:pPr>
            <w:r>
              <w:rPr>
                <w:rFonts w:hint="eastAsia"/>
              </w:rPr>
              <w:t>项目营运期的固体废物为工艺过程产生的固体废物。</w:t>
            </w:r>
          </w:p>
          <w:p>
            <w:pPr>
              <w:pStyle w:val="145"/>
              <w:adjustRightInd w:val="0"/>
              <w:snapToGrid w:val="0"/>
              <w:ind w:firstLine="480"/>
              <w:rPr>
                <w:rFonts w:ascii="Times New Roman" w:hAnsi="Times New Roman" w:cs="Times New Roman"/>
              </w:rPr>
            </w:pPr>
            <w:r>
              <w:rPr>
                <w:rFonts w:ascii="Times New Roman" w:hAnsi="Times New Roman" w:cs="Times New Roman"/>
              </w:rPr>
              <w:t>工艺过程产生固体废物</w:t>
            </w:r>
            <w:r>
              <w:rPr>
                <w:rFonts w:hint="eastAsia" w:ascii="Times New Roman" w:hAnsi="Times New Roman" w:cs="Times New Roman"/>
              </w:rPr>
              <w:t>主要包括：V型滤池产生的污泥，根据取水海域各点位现状监测结果，</w:t>
            </w:r>
            <w:r>
              <w:rPr>
                <w:rFonts w:ascii="Times New Roman" w:hAnsi="Times New Roman" w:cs="Times New Roman"/>
              </w:rPr>
              <w:t>SS</w:t>
            </w:r>
            <w:r>
              <w:rPr>
                <w:rFonts w:hint="eastAsia" w:ascii="Times New Roman" w:hAnsi="Times New Roman" w:cs="Times New Roman"/>
              </w:rPr>
              <w:t>浓度平均值为</w:t>
            </w:r>
            <w:r>
              <w:rPr>
                <w:rFonts w:ascii="Times New Roman" w:hAnsi="Times New Roman" w:cs="Times New Roman"/>
              </w:rPr>
              <w:t>7.43ppm</w:t>
            </w:r>
            <w:r>
              <w:rPr>
                <w:rFonts w:hint="eastAsia" w:ascii="Times New Roman" w:hAnsi="Times New Roman" w:cs="Times New Roman"/>
              </w:rPr>
              <w:t>，项目V型滤池处理SS去除效率≥9</w:t>
            </w:r>
            <w:r>
              <w:rPr>
                <w:rFonts w:ascii="Times New Roman" w:hAnsi="Times New Roman" w:cs="Times New Roman"/>
              </w:rPr>
              <w:t>0</w:t>
            </w:r>
            <w:r>
              <w:rPr>
                <w:rFonts w:hint="eastAsia" w:ascii="Times New Roman" w:hAnsi="Times New Roman" w:cs="Times New Roman"/>
              </w:rPr>
              <w:t>%，项目滤池产生的污泥量（含水7</w:t>
            </w:r>
            <w:r>
              <w:rPr>
                <w:rFonts w:ascii="Times New Roman" w:hAnsi="Times New Roman" w:cs="Times New Roman"/>
              </w:rPr>
              <w:t>5</w:t>
            </w:r>
            <w:r>
              <w:rPr>
                <w:rFonts w:hint="eastAsia" w:ascii="Times New Roman" w:hAnsi="Times New Roman" w:cs="Times New Roman"/>
              </w:rPr>
              <w:t>%~80%）为</w:t>
            </w:r>
            <w:r>
              <w:rPr>
                <w:rFonts w:ascii="Times New Roman" w:hAnsi="Times New Roman" w:cs="Times New Roman"/>
              </w:rPr>
              <w:t>1.465</w:t>
            </w:r>
            <w:r>
              <w:rPr>
                <w:rFonts w:hint="eastAsia" w:ascii="Times New Roman" w:hAnsi="Times New Roman" w:cs="Times New Roman"/>
              </w:rPr>
              <w:t>t/d，运至电厂与煤掺烧处理。</w:t>
            </w:r>
            <w:r>
              <w:rPr>
                <w:rFonts w:hint="eastAsia" w:ascii="Times New Roman" w:hAnsi="Times New Roman"/>
              </w:rPr>
              <w:t>超滤、反渗透工艺所需的滤膜等材料在达到使用年限后由厂家统一回收处理。</w:t>
            </w:r>
          </w:p>
          <w:p>
            <w:pPr>
              <w:pStyle w:val="145"/>
              <w:adjustRightInd w:val="0"/>
              <w:snapToGrid w:val="0"/>
              <w:ind w:firstLine="480"/>
              <w:rPr>
                <w:rFonts w:ascii="Times New Roman" w:hAnsi="Times New Roman" w:cs="Times New Roman"/>
              </w:rPr>
            </w:pPr>
            <w:r>
              <w:rPr>
                <w:rFonts w:hint="eastAsia" w:ascii="Times New Roman" w:hAnsi="Times New Roman" w:cs="Times New Roman"/>
              </w:rPr>
              <w:t>4</w:t>
            </w:r>
            <w:r>
              <w:rPr>
                <w:rFonts w:ascii="Times New Roman" w:hAnsi="Times New Roman" w:cs="Times New Roman"/>
              </w:rPr>
              <w:t>.</w:t>
            </w:r>
            <w:r>
              <w:rPr>
                <w:rFonts w:hint="eastAsia" w:ascii="Times New Roman" w:hAnsi="Times New Roman" w:cs="Times New Roman"/>
              </w:rPr>
              <w:t>污染源强汇总</w:t>
            </w:r>
          </w:p>
          <w:p>
            <w:pPr>
              <w:pStyle w:val="145"/>
              <w:adjustRightInd w:val="0"/>
              <w:snapToGrid w:val="0"/>
              <w:ind w:firstLine="480"/>
              <w:rPr>
                <w:rFonts w:ascii="Times New Roman" w:hAnsi="Times New Roman" w:cs="Times New Roman"/>
              </w:rPr>
            </w:pPr>
            <w:r>
              <w:rPr>
                <w:rFonts w:hint="eastAsia" w:ascii="Times New Roman" w:hAnsi="Times New Roman" w:cs="Times New Roman"/>
              </w:rPr>
              <w:t>项目营运期污染源强汇总“三本账”一览表见表1</w:t>
            </w:r>
            <w:r>
              <w:rPr>
                <w:rFonts w:ascii="Times New Roman" w:hAnsi="Times New Roman" w:cs="Times New Roman"/>
              </w:rPr>
              <w:t>7</w:t>
            </w:r>
            <w:r>
              <w:rPr>
                <w:rFonts w:hint="eastAsia" w:ascii="Times New Roman" w:hAnsi="Times New Roman" w:cs="Times New Roman"/>
              </w:rPr>
              <w:t>。</w:t>
            </w:r>
          </w:p>
          <w:p>
            <w:pPr>
              <w:pStyle w:val="145"/>
              <w:adjustRightInd w:val="0"/>
              <w:snapToGrid w:val="0"/>
              <w:ind w:firstLine="0" w:firstLineChars="0"/>
              <w:jc w:val="center"/>
              <w:rPr>
                <w:rFonts w:ascii="Times New Roman" w:hAnsi="Times New Roman" w:cs="Times New Roman"/>
                <w:b/>
              </w:rPr>
            </w:pPr>
          </w:p>
          <w:p>
            <w:pPr>
              <w:pStyle w:val="145"/>
              <w:adjustRightInd w:val="0"/>
              <w:snapToGrid w:val="0"/>
              <w:ind w:firstLine="0" w:firstLineChars="0"/>
              <w:jc w:val="center"/>
              <w:rPr>
                <w:rFonts w:ascii="Times New Roman" w:hAnsi="Times New Roman" w:cs="Times New Roman"/>
                <w:b/>
              </w:rPr>
            </w:pPr>
          </w:p>
          <w:p>
            <w:pPr>
              <w:pStyle w:val="145"/>
              <w:adjustRightInd w:val="0"/>
              <w:snapToGrid w:val="0"/>
              <w:ind w:firstLine="0" w:firstLineChars="0"/>
              <w:jc w:val="center"/>
              <w:rPr>
                <w:rFonts w:ascii="Times New Roman" w:hAnsi="Times New Roman" w:cs="Times New Roman"/>
                <w:b/>
              </w:rPr>
            </w:pPr>
          </w:p>
          <w:p>
            <w:pPr>
              <w:pStyle w:val="145"/>
              <w:adjustRightInd w:val="0"/>
              <w:snapToGrid w:val="0"/>
              <w:ind w:firstLine="0" w:firstLineChars="0"/>
              <w:jc w:val="center"/>
              <w:rPr>
                <w:rFonts w:ascii="Times New Roman" w:hAnsi="Times New Roman" w:cs="Times New Roman"/>
                <w:b/>
              </w:rPr>
            </w:pPr>
          </w:p>
          <w:p>
            <w:pPr>
              <w:pStyle w:val="145"/>
              <w:adjustRightInd w:val="0"/>
              <w:snapToGrid w:val="0"/>
              <w:ind w:firstLine="0" w:firstLineChars="0"/>
              <w:jc w:val="center"/>
              <w:rPr>
                <w:rFonts w:ascii="Times New Roman" w:hAnsi="Times New Roman" w:cs="Times New Roman"/>
                <w:b/>
              </w:rPr>
            </w:pPr>
          </w:p>
          <w:p>
            <w:pPr>
              <w:pStyle w:val="145"/>
              <w:adjustRightInd w:val="0"/>
              <w:snapToGrid w:val="0"/>
              <w:ind w:firstLine="0" w:firstLineChars="0"/>
              <w:jc w:val="center"/>
              <w:rPr>
                <w:rFonts w:ascii="Times New Roman" w:hAnsi="Times New Roman" w:cs="Times New Roman"/>
                <w:b/>
                <w:color w:val="000000" w:themeColor="text1"/>
              </w:rPr>
            </w:pPr>
            <w:r>
              <w:rPr>
                <w:rFonts w:hint="eastAsia" w:ascii="Times New Roman" w:hAnsi="Times New Roman" w:cs="Times New Roman"/>
                <w:b/>
              </w:rPr>
              <w:t>表1</w:t>
            </w:r>
            <w:r>
              <w:rPr>
                <w:rFonts w:ascii="Times New Roman" w:hAnsi="Times New Roman" w:cs="Times New Roman"/>
                <w:b/>
              </w:rPr>
              <w:t xml:space="preserve">7  </w:t>
            </w:r>
            <w:r>
              <w:rPr>
                <w:rFonts w:hint="eastAsia" w:ascii="Times New Roman" w:hAnsi="Times New Roman" w:cs="Times New Roman"/>
                <w:b/>
              </w:rPr>
              <w:t>污染源强汇总“三本账</w:t>
            </w:r>
            <w:r>
              <w:rPr>
                <w:rFonts w:hint="eastAsia" w:ascii="Times New Roman" w:hAnsi="Times New Roman" w:cs="Times New Roman"/>
                <w:b/>
                <w:color w:val="000000" w:themeColor="text1"/>
              </w:rPr>
              <w:t>”一览表</w:t>
            </w:r>
          </w:p>
          <w:tbl>
            <w:tblPr>
              <w:tblStyle w:val="88"/>
              <w:tblW w:w="882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17"/>
              <w:gridCol w:w="411"/>
              <w:gridCol w:w="597"/>
              <w:gridCol w:w="848"/>
              <w:gridCol w:w="1107"/>
              <w:gridCol w:w="1446"/>
              <w:gridCol w:w="1416"/>
              <w:gridCol w:w="1160"/>
              <w:gridCol w:w="1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54" w:hRule="atLeast"/>
                <w:jc w:val="center"/>
              </w:trPr>
              <w:tc>
                <w:tcPr>
                  <w:tcW w:w="41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序号</w:t>
                  </w:r>
                </w:p>
              </w:tc>
              <w:tc>
                <w:tcPr>
                  <w:tcW w:w="1008" w:type="dxa"/>
                  <w:gridSpan w:val="2"/>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类别</w:t>
                  </w:r>
                </w:p>
              </w:tc>
              <w:tc>
                <w:tcPr>
                  <w:tcW w:w="848"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项目</w:t>
                  </w:r>
                </w:p>
              </w:tc>
              <w:tc>
                <w:tcPr>
                  <w:tcW w:w="110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现有工程</w:t>
                  </w:r>
                </w:p>
                <w:p>
                  <w:pPr>
                    <w:autoSpaceDE w:val="0"/>
                    <w:autoSpaceDN w:val="0"/>
                    <w:adjustRightInd w:val="0"/>
                    <w:snapToGrid w:val="0"/>
                    <w:jc w:val="center"/>
                    <w:rPr>
                      <w:kern w:val="0"/>
                      <w:szCs w:val="21"/>
                    </w:rPr>
                  </w:pPr>
                  <w:r>
                    <w:rPr>
                      <w:rFonts w:hint="eastAsia"/>
                      <w:kern w:val="0"/>
                      <w:szCs w:val="21"/>
                    </w:rPr>
                    <w:t>排放量</w:t>
                  </w:r>
                </w:p>
              </w:tc>
              <w:tc>
                <w:tcPr>
                  <w:tcW w:w="144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工程</w:t>
                  </w:r>
                </w:p>
                <w:p>
                  <w:pPr>
                    <w:autoSpaceDE w:val="0"/>
                    <w:autoSpaceDN w:val="0"/>
                    <w:adjustRightInd w:val="0"/>
                    <w:snapToGrid w:val="0"/>
                    <w:jc w:val="center"/>
                    <w:rPr>
                      <w:kern w:val="0"/>
                      <w:szCs w:val="21"/>
                    </w:rPr>
                  </w:pPr>
                  <w:r>
                    <w:rPr>
                      <w:rFonts w:hint="eastAsia"/>
                      <w:kern w:val="0"/>
                      <w:szCs w:val="21"/>
                    </w:rPr>
                    <w:t>产生量</w:t>
                  </w:r>
                </w:p>
              </w:tc>
              <w:tc>
                <w:tcPr>
                  <w:tcW w:w="141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工程</w:t>
                  </w:r>
                </w:p>
                <w:p>
                  <w:pPr>
                    <w:autoSpaceDE w:val="0"/>
                    <w:autoSpaceDN w:val="0"/>
                    <w:adjustRightInd w:val="0"/>
                    <w:snapToGrid w:val="0"/>
                    <w:jc w:val="center"/>
                    <w:rPr>
                      <w:kern w:val="0"/>
                      <w:szCs w:val="21"/>
                    </w:rPr>
                  </w:pPr>
                  <w:r>
                    <w:rPr>
                      <w:rFonts w:hint="eastAsia"/>
                      <w:kern w:val="0"/>
                      <w:szCs w:val="21"/>
                    </w:rPr>
                    <w:t>排放量</w:t>
                  </w:r>
                </w:p>
              </w:tc>
              <w:tc>
                <w:tcPr>
                  <w:tcW w:w="1160"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“以新带老”削减量</w:t>
                  </w:r>
                </w:p>
              </w:tc>
              <w:tc>
                <w:tcPr>
                  <w:tcW w:w="142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总排放量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54" w:hRule="atLeast"/>
                <w:jc w:val="center"/>
              </w:trPr>
              <w:tc>
                <w:tcPr>
                  <w:tcW w:w="417" w:type="dxa"/>
                  <w:vMerge w:val="restar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2</w:t>
                  </w:r>
                </w:p>
              </w:tc>
              <w:tc>
                <w:tcPr>
                  <w:tcW w:w="1008" w:type="dxa"/>
                  <w:gridSpan w:val="2"/>
                  <w:vMerge w:val="restar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废水</w:t>
                  </w:r>
                </w:p>
              </w:tc>
              <w:tc>
                <w:tcPr>
                  <w:tcW w:w="848"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废水量</w:t>
                  </w:r>
                </w:p>
              </w:tc>
              <w:tc>
                <w:tcPr>
                  <w:tcW w:w="110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w:t>
                  </w:r>
                </w:p>
              </w:tc>
              <w:tc>
                <w:tcPr>
                  <w:tcW w:w="144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color w:val="000000" w:themeColor="text1"/>
                      <w:kern w:val="0"/>
                      <w:szCs w:val="21"/>
                    </w:rPr>
                  </w:pPr>
                  <w:r>
                    <w:rPr>
                      <w:color w:val="000000" w:themeColor="text1"/>
                      <w:kern w:val="0"/>
                      <w:szCs w:val="21"/>
                    </w:rPr>
                    <w:t>6848.86</w:t>
                  </w:r>
                  <w:r>
                    <w:rPr>
                      <w:rFonts w:hint="eastAsia"/>
                      <w:color w:val="000000" w:themeColor="text1"/>
                      <w:kern w:val="0"/>
                      <w:szCs w:val="21"/>
                    </w:rPr>
                    <w:t>万</w:t>
                  </w:r>
                  <w:r>
                    <w:rPr>
                      <w:color w:val="000000" w:themeColor="text1"/>
                      <w:kern w:val="0"/>
                      <w:szCs w:val="21"/>
                    </w:rPr>
                    <w:t>m</w:t>
                  </w:r>
                  <w:r>
                    <w:rPr>
                      <w:color w:val="000000" w:themeColor="text1"/>
                      <w:kern w:val="0"/>
                      <w:szCs w:val="21"/>
                      <w:vertAlign w:val="superscript"/>
                    </w:rPr>
                    <w:t>3</w:t>
                  </w:r>
                  <w:r>
                    <w:rPr>
                      <w:color w:val="000000" w:themeColor="text1"/>
                      <w:kern w:val="0"/>
                      <w:szCs w:val="21"/>
                    </w:rPr>
                    <w:t>/a</w:t>
                  </w:r>
                </w:p>
              </w:tc>
              <w:tc>
                <w:tcPr>
                  <w:tcW w:w="141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color w:val="000000" w:themeColor="text1"/>
                      <w:kern w:val="0"/>
                      <w:szCs w:val="21"/>
                    </w:rPr>
                  </w:pPr>
                  <w:r>
                    <w:rPr>
                      <w:color w:val="000000" w:themeColor="text1"/>
                      <w:kern w:val="0"/>
                      <w:szCs w:val="21"/>
                    </w:rPr>
                    <w:t>6848.86</w:t>
                  </w:r>
                  <w:r>
                    <w:rPr>
                      <w:rFonts w:hint="eastAsia"/>
                      <w:color w:val="000000" w:themeColor="text1"/>
                      <w:kern w:val="0"/>
                      <w:szCs w:val="21"/>
                    </w:rPr>
                    <w:t>万</w:t>
                  </w:r>
                  <w:r>
                    <w:rPr>
                      <w:color w:val="000000" w:themeColor="text1"/>
                      <w:kern w:val="0"/>
                      <w:szCs w:val="21"/>
                    </w:rPr>
                    <w:t>m</w:t>
                  </w:r>
                  <w:r>
                    <w:rPr>
                      <w:color w:val="000000" w:themeColor="text1"/>
                      <w:kern w:val="0"/>
                      <w:szCs w:val="21"/>
                      <w:vertAlign w:val="superscript"/>
                    </w:rPr>
                    <w:t>3</w:t>
                  </w:r>
                  <w:r>
                    <w:rPr>
                      <w:color w:val="000000" w:themeColor="text1"/>
                      <w:kern w:val="0"/>
                      <w:szCs w:val="21"/>
                    </w:rPr>
                    <w:t>/a</w:t>
                  </w:r>
                </w:p>
              </w:tc>
              <w:tc>
                <w:tcPr>
                  <w:tcW w:w="1160"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color w:val="000000" w:themeColor="text1"/>
                      <w:kern w:val="0"/>
                      <w:szCs w:val="21"/>
                    </w:rPr>
                  </w:pPr>
                  <w:r>
                    <w:rPr>
                      <w:rFonts w:hint="eastAsia"/>
                      <w:color w:val="000000" w:themeColor="text1"/>
                      <w:kern w:val="0"/>
                      <w:szCs w:val="21"/>
                    </w:rPr>
                    <w:t>0</w:t>
                  </w:r>
                </w:p>
              </w:tc>
              <w:tc>
                <w:tcPr>
                  <w:tcW w:w="142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color w:val="000000" w:themeColor="text1"/>
                      <w:kern w:val="0"/>
                      <w:szCs w:val="21"/>
                    </w:rPr>
                  </w:pPr>
                  <w:r>
                    <w:rPr>
                      <w:color w:val="000000" w:themeColor="text1"/>
                      <w:kern w:val="0"/>
                      <w:szCs w:val="21"/>
                    </w:rPr>
                    <w:t>6848.86</w:t>
                  </w:r>
                  <w:r>
                    <w:rPr>
                      <w:rFonts w:hint="eastAsia"/>
                      <w:color w:val="000000" w:themeColor="text1"/>
                      <w:kern w:val="0"/>
                      <w:szCs w:val="21"/>
                    </w:rPr>
                    <w:t>万</w:t>
                  </w:r>
                  <w:r>
                    <w:rPr>
                      <w:color w:val="000000" w:themeColor="text1"/>
                      <w:kern w:val="0"/>
                      <w:szCs w:val="21"/>
                    </w:rPr>
                    <w:t>m</w:t>
                  </w:r>
                  <w:r>
                    <w:rPr>
                      <w:color w:val="000000" w:themeColor="text1"/>
                      <w:kern w:val="0"/>
                      <w:szCs w:val="21"/>
                      <w:vertAlign w:val="superscript"/>
                    </w:rPr>
                    <w:t>3</w:t>
                  </w:r>
                  <w:r>
                    <w:rPr>
                      <w:color w:val="000000" w:themeColor="text1"/>
                      <w:kern w:val="0"/>
                      <w:szCs w:val="21"/>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54" w:hRule="atLeast"/>
                <w:jc w:val="center"/>
              </w:trPr>
              <w:tc>
                <w:tcPr>
                  <w:tcW w:w="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p>
              </w:tc>
              <w:tc>
                <w:tcPr>
                  <w:tcW w:w="100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p>
              </w:tc>
              <w:tc>
                <w:tcPr>
                  <w:tcW w:w="848"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SS</w:t>
                  </w:r>
                </w:p>
              </w:tc>
              <w:tc>
                <w:tcPr>
                  <w:tcW w:w="110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w:t>
                  </w:r>
                </w:p>
              </w:tc>
              <w:tc>
                <w:tcPr>
                  <w:tcW w:w="144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color w:val="000000" w:themeColor="text1"/>
                      <w:kern w:val="0"/>
                      <w:szCs w:val="21"/>
                    </w:rPr>
                  </w:pPr>
                  <w:r>
                    <w:rPr>
                      <w:color w:val="000000" w:themeColor="text1"/>
                      <w:kern w:val="0"/>
                      <w:szCs w:val="21"/>
                    </w:rPr>
                    <w:t>104.448t/a</w:t>
                  </w:r>
                </w:p>
              </w:tc>
              <w:tc>
                <w:tcPr>
                  <w:tcW w:w="141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color w:val="000000" w:themeColor="text1"/>
                      <w:kern w:val="0"/>
                      <w:szCs w:val="21"/>
                    </w:rPr>
                  </w:pPr>
                  <w:r>
                    <w:rPr>
                      <w:color w:val="000000" w:themeColor="text1"/>
                      <w:kern w:val="0"/>
                      <w:szCs w:val="21"/>
                    </w:rPr>
                    <w:t>104.448t/a</w:t>
                  </w:r>
                </w:p>
              </w:tc>
              <w:tc>
                <w:tcPr>
                  <w:tcW w:w="1160"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color w:val="000000" w:themeColor="text1"/>
                      <w:kern w:val="0"/>
                      <w:szCs w:val="21"/>
                    </w:rPr>
                  </w:pPr>
                  <w:r>
                    <w:rPr>
                      <w:rFonts w:hint="eastAsia"/>
                      <w:color w:val="000000" w:themeColor="text1"/>
                      <w:kern w:val="0"/>
                      <w:szCs w:val="21"/>
                    </w:rPr>
                    <w:t>0</w:t>
                  </w:r>
                </w:p>
              </w:tc>
              <w:tc>
                <w:tcPr>
                  <w:tcW w:w="142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color w:val="000000" w:themeColor="text1"/>
                      <w:kern w:val="0"/>
                      <w:szCs w:val="21"/>
                    </w:rPr>
                  </w:pPr>
                  <w:r>
                    <w:rPr>
                      <w:color w:val="000000" w:themeColor="text1"/>
                      <w:kern w:val="0"/>
                      <w:szCs w:val="21"/>
                    </w:rPr>
                    <w:t>66.56t/a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54" w:hRule="atLeast"/>
                <w:jc w:val="center"/>
              </w:trPr>
              <w:tc>
                <w:tcPr>
                  <w:tcW w:w="417" w:type="dxa"/>
                  <w:vMerge w:val="restar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3</w:t>
                  </w:r>
                </w:p>
              </w:tc>
              <w:tc>
                <w:tcPr>
                  <w:tcW w:w="1008" w:type="dxa"/>
                  <w:gridSpan w:val="2"/>
                  <w:vMerge w:val="restar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噪声</w:t>
                  </w:r>
                </w:p>
              </w:tc>
              <w:tc>
                <w:tcPr>
                  <w:tcW w:w="848"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鼓风机</w:t>
                  </w:r>
                </w:p>
              </w:tc>
              <w:tc>
                <w:tcPr>
                  <w:tcW w:w="110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w:t>
                  </w:r>
                </w:p>
              </w:tc>
              <w:tc>
                <w:tcPr>
                  <w:tcW w:w="144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70-80 dB(A)</w:t>
                  </w:r>
                </w:p>
              </w:tc>
              <w:tc>
                <w:tcPr>
                  <w:tcW w:w="141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45-55 dB(A)</w:t>
                  </w:r>
                </w:p>
              </w:tc>
              <w:tc>
                <w:tcPr>
                  <w:tcW w:w="1160"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0</w:t>
                  </w:r>
                </w:p>
              </w:tc>
              <w:tc>
                <w:tcPr>
                  <w:tcW w:w="142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≤65 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54" w:hRule="atLeast"/>
                <w:jc w:val="center"/>
              </w:trPr>
              <w:tc>
                <w:tcPr>
                  <w:tcW w:w="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p>
              </w:tc>
              <w:tc>
                <w:tcPr>
                  <w:tcW w:w="100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p>
              </w:tc>
              <w:tc>
                <w:tcPr>
                  <w:tcW w:w="848"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空压机</w:t>
                  </w:r>
                </w:p>
              </w:tc>
              <w:tc>
                <w:tcPr>
                  <w:tcW w:w="110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w:t>
                  </w:r>
                </w:p>
              </w:tc>
              <w:tc>
                <w:tcPr>
                  <w:tcW w:w="144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75-80 dB(A)</w:t>
                  </w:r>
                </w:p>
              </w:tc>
              <w:tc>
                <w:tcPr>
                  <w:tcW w:w="141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50-55 dB(A)</w:t>
                  </w:r>
                </w:p>
              </w:tc>
              <w:tc>
                <w:tcPr>
                  <w:tcW w:w="1160"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0</w:t>
                  </w:r>
                </w:p>
              </w:tc>
              <w:tc>
                <w:tcPr>
                  <w:tcW w:w="142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≤65 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54" w:hRule="atLeast"/>
                <w:jc w:val="center"/>
              </w:trPr>
              <w:tc>
                <w:tcPr>
                  <w:tcW w:w="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p>
              </w:tc>
              <w:tc>
                <w:tcPr>
                  <w:tcW w:w="100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p>
              </w:tc>
              <w:tc>
                <w:tcPr>
                  <w:tcW w:w="848"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泵类</w:t>
                  </w:r>
                </w:p>
              </w:tc>
              <w:tc>
                <w:tcPr>
                  <w:tcW w:w="110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w:t>
                  </w:r>
                </w:p>
              </w:tc>
              <w:tc>
                <w:tcPr>
                  <w:tcW w:w="144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70-80 dB(A)</w:t>
                  </w:r>
                </w:p>
              </w:tc>
              <w:tc>
                <w:tcPr>
                  <w:tcW w:w="141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45-55 dB(A)</w:t>
                  </w:r>
                </w:p>
              </w:tc>
              <w:tc>
                <w:tcPr>
                  <w:tcW w:w="1160"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0</w:t>
                  </w:r>
                </w:p>
              </w:tc>
              <w:tc>
                <w:tcPr>
                  <w:tcW w:w="142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≤65 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54" w:hRule="atLeast"/>
                <w:jc w:val="center"/>
              </w:trPr>
              <w:tc>
                <w:tcPr>
                  <w:tcW w:w="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p>
              </w:tc>
              <w:tc>
                <w:tcPr>
                  <w:tcW w:w="411"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固废</w:t>
                  </w:r>
                </w:p>
              </w:tc>
              <w:tc>
                <w:tcPr>
                  <w:tcW w:w="59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一般工业固废</w:t>
                  </w:r>
                </w:p>
              </w:tc>
              <w:tc>
                <w:tcPr>
                  <w:tcW w:w="848"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工艺过程产生的固体废物</w:t>
                  </w:r>
                </w:p>
              </w:tc>
              <w:tc>
                <w:tcPr>
                  <w:tcW w:w="110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w:t>
                  </w:r>
                </w:p>
              </w:tc>
              <w:tc>
                <w:tcPr>
                  <w:tcW w:w="144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375.04t/a</w:t>
                  </w:r>
                </w:p>
              </w:tc>
              <w:tc>
                <w:tcPr>
                  <w:tcW w:w="141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0</w:t>
                  </w:r>
                </w:p>
              </w:tc>
              <w:tc>
                <w:tcPr>
                  <w:tcW w:w="1160"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0</w:t>
                  </w:r>
                </w:p>
              </w:tc>
              <w:tc>
                <w:tcPr>
                  <w:tcW w:w="142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0</w:t>
                  </w:r>
                </w:p>
              </w:tc>
            </w:tr>
          </w:tbl>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p>
            <w:pPr>
              <w:pStyle w:val="145"/>
              <w:adjustRightInd w:val="0"/>
              <w:snapToGrid w:val="0"/>
              <w:ind w:firstLine="0" w:firstLineChars="0"/>
              <w:jc w:val="center"/>
              <w:rPr>
                <w:rFonts w:ascii="Times New Roman" w:hAnsi="Times New Roman" w:cs="Times New Roman"/>
              </w:rPr>
            </w:pPr>
          </w:p>
        </w:tc>
      </w:tr>
    </w:tbl>
    <w:p>
      <w:pPr>
        <w:spacing w:line="440" w:lineRule="exact"/>
        <w:rPr>
          <w:rFonts w:eastAsia="黑体"/>
          <w:sz w:val="30"/>
        </w:rPr>
        <w:sectPr>
          <w:pgSz w:w="11907" w:h="16840"/>
          <w:pgMar w:top="1440" w:right="1531" w:bottom="1440" w:left="1531" w:header="851" w:footer="992" w:gutter="0"/>
          <w:cols w:space="720" w:num="1"/>
          <w:titlePg/>
          <w:docGrid w:linePitch="312" w:charSpace="0"/>
        </w:sectPr>
      </w:pPr>
    </w:p>
    <w:p>
      <w:pPr>
        <w:spacing w:line="440" w:lineRule="exact"/>
        <w:outlineLvl w:val="0"/>
        <w:rPr>
          <w:rFonts w:eastAsia="黑体"/>
          <w:sz w:val="30"/>
        </w:rPr>
      </w:pPr>
      <w:r>
        <w:rPr>
          <w:rFonts w:eastAsia="黑体"/>
          <w:sz w:val="30"/>
        </w:rPr>
        <w:t>环境影响分析</w:t>
      </w:r>
    </w:p>
    <w:tbl>
      <w:tblPr>
        <w:tblStyle w:val="88"/>
        <w:tblW w:w="906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06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390" w:hRule="atLeast"/>
          <w:jc w:val="center"/>
        </w:trPr>
        <w:tc>
          <w:tcPr>
            <w:tcW w:w="9061" w:type="dxa"/>
            <w:tcBorders>
              <w:bottom w:val="single" w:color="auto" w:sz="4" w:space="0"/>
            </w:tcBorders>
          </w:tcPr>
          <w:p>
            <w:pPr>
              <w:spacing w:line="440" w:lineRule="exact"/>
              <w:rPr>
                <w:rFonts w:ascii="楷体_GB2312" w:eastAsia="楷体_GB2312"/>
                <w:sz w:val="24"/>
              </w:rPr>
            </w:pPr>
            <w:r>
              <w:rPr>
                <w:rFonts w:hint="eastAsia" w:ascii="楷体_GB2312" w:eastAsia="楷体_GB2312"/>
                <w:sz w:val="24"/>
              </w:rPr>
              <w:t>施工期环境影响简要分析：</w:t>
            </w:r>
          </w:p>
          <w:p>
            <w:pPr>
              <w:spacing w:line="440" w:lineRule="exact"/>
              <w:ind w:firstLine="480"/>
              <w:rPr>
                <w:sz w:val="24"/>
              </w:rPr>
            </w:pPr>
            <w:r>
              <w:rPr>
                <w:rFonts w:hint="eastAsia"/>
                <w:sz w:val="24"/>
              </w:rPr>
              <w:t>本工程利用华能威海发电厂现状厂区内已拆除空地建设，施工内容主要为泵房及汽机房改造、管道铺设、海水淡化厂内构筑物建设以及地面硬化等。施工期产生的环境影响如下：</w:t>
            </w:r>
          </w:p>
          <w:p>
            <w:pPr>
              <w:spacing w:line="440" w:lineRule="exact"/>
              <w:ind w:firstLine="480" w:firstLineChars="200"/>
              <w:rPr>
                <w:sz w:val="24"/>
              </w:rPr>
            </w:pPr>
            <w:r>
              <w:rPr>
                <w:rFonts w:hint="eastAsia"/>
                <w:sz w:val="24"/>
              </w:rPr>
              <w:t>1</w:t>
            </w:r>
            <w:r>
              <w:rPr>
                <w:rFonts w:hint="eastAsia" w:hAnsi="宋体"/>
                <w:sz w:val="24"/>
              </w:rPr>
              <w:t>.</w:t>
            </w:r>
            <w:r>
              <w:rPr>
                <w:rFonts w:hAnsi="宋体"/>
                <w:sz w:val="24"/>
              </w:rPr>
              <w:t xml:space="preserve"> </w:t>
            </w:r>
            <w:r>
              <w:rPr>
                <w:rFonts w:hint="eastAsia" w:hAnsi="宋体"/>
                <w:sz w:val="24"/>
              </w:rPr>
              <w:t>废气</w:t>
            </w:r>
          </w:p>
          <w:p>
            <w:pPr>
              <w:spacing w:line="440" w:lineRule="exact"/>
              <w:ind w:firstLine="480" w:firstLineChars="200"/>
              <w:rPr>
                <w:rFonts w:hAnsi="宋体"/>
                <w:sz w:val="24"/>
              </w:rPr>
            </w:pPr>
            <w:r>
              <w:rPr>
                <w:rFonts w:hint="eastAsia" w:hAnsi="宋体"/>
                <w:sz w:val="24"/>
              </w:rPr>
              <w:t>本项目施工过程中产生的废气主要是施工作业产生的扬尘、运输车辆废气等。本次施工过程中产生的扬尘量较少，影响范围较小，做好施工现场管理工作，不会对周围大气环境产生污染影响。</w:t>
            </w:r>
          </w:p>
          <w:p>
            <w:pPr>
              <w:spacing w:line="440" w:lineRule="exact"/>
              <w:ind w:firstLine="480" w:firstLineChars="200"/>
              <w:rPr>
                <w:rFonts w:hAnsi="宋体"/>
                <w:sz w:val="24"/>
              </w:rPr>
            </w:pPr>
            <w:r>
              <w:rPr>
                <w:rFonts w:hint="eastAsia" w:hAnsi="宋体"/>
                <w:sz w:val="24"/>
              </w:rPr>
              <w:t>工程施工期间，车辆运输土石方和建筑材料，扬尘对沿途的道路环境造成一定的影响；为减少施工扬尘对周围环境的影响，建议施工单位在严格执行以下施工扬尘防治措施：</w:t>
            </w:r>
          </w:p>
          <w:p>
            <w:pPr>
              <w:spacing w:line="440" w:lineRule="exact"/>
              <w:ind w:firstLine="480" w:firstLineChars="200"/>
              <w:rPr>
                <w:rFonts w:hAnsi="宋体"/>
                <w:sz w:val="24"/>
              </w:rPr>
            </w:pPr>
            <w:r>
              <w:rPr>
                <w:rFonts w:hint="eastAsia" w:hAnsi="宋体"/>
                <w:sz w:val="24"/>
              </w:rPr>
              <w:t>(1) 施工中遇到连续的</w:t>
            </w:r>
            <w:r>
              <w:rPr>
                <w:rFonts w:hint="eastAsia" w:hAnsi="宋体"/>
                <w:sz w:val="24"/>
                <w:lang w:eastAsia="zh-CN"/>
              </w:rPr>
              <w:t>晴</w:t>
            </w:r>
            <w:bookmarkStart w:id="25" w:name="_GoBack"/>
            <w:bookmarkEnd w:id="25"/>
            <w:r>
              <w:rPr>
                <w:rFonts w:hint="eastAsia" w:hAnsi="宋体"/>
                <w:sz w:val="24"/>
              </w:rPr>
              <w:t>好天气又起风的情况下，对堆土表面采取洒水、加盖防尘网等措施，防止扬尘。</w:t>
            </w:r>
          </w:p>
          <w:p>
            <w:pPr>
              <w:spacing w:line="440" w:lineRule="exact"/>
              <w:ind w:firstLine="480" w:firstLineChars="200"/>
              <w:rPr>
                <w:rFonts w:hAnsi="宋体"/>
                <w:color w:val="FF0000"/>
                <w:sz w:val="24"/>
              </w:rPr>
            </w:pPr>
            <w:r>
              <w:rPr>
                <w:rFonts w:hint="eastAsia" w:hAnsi="宋体"/>
                <w:sz w:val="24"/>
              </w:rPr>
              <w:t>(2) 工程承包者应按照弃土处理计划，及时运走弃土，装运的过程中不要超载，车辆驶出工地前应将车轮上附着的泥土去除干净。</w:t>
            </w:r>
          </w:p>
          <w:p>
            <w:pPr>
              <w:spacing w:line="440" w:lineRule="exact"/>
              <w:ind w:firstLine="480" w:firstLineChars="200"/>
              <w:rPr>
                <w:rFonts w:hAnsi="宋体"/>
                <w:sz w:val="24"/>
              </w:rPr>
            </w:pPr>
            <w:r>
              <w:rPr>
                <w:rFonts w:hint="eastAsia" w:hAnsi="宋体"/>
                <w:sz w:val="24"/>
              </w:rPr>
              <w:t>(3) 施工者应对施工车辆沿途运输道路环境实行保洁制度，一旦有弃土、建材撒落应及时清扫。</w:t>
            </w:r>
          </w:p>
          <w:p>
            <w:pPr>
              <w:spacing w:line="440" w:lineRule="exact"/>
              <w:ind w:firstLine="480" w:firstLineChars="200"/>
              <w:rPr>
                <w:rFonts w:hAnsi="宋体"/>
                <w:sz w:val="24"/>
              </w:rPr>
            </w:pPr>
            <w:r>
              <w:rPr>
                <w:rFonts w:hint="eastAsia" w:hAnsi="宋体"/>
                <w:sz w:val="24"/>
              </w:rPr>
              <w:t>在采取以上措施后，项目施工期对周围大气环境影响较小。</w:t>
            </w:r>
          </w:p>
          <w:p>
            <w:pPr>
              <w:spacing w:line="440" w:lineRule="exact"/>
              <w:ind w:firstLine="480" w:firstLineChars="200"/>
              <w:rPr>
                <w:rFonts w:hAnsi="宋体"/>
                <w:sz w:val="24"/>
              </w:rPr>
            </w:pPr>
            <w:r>
              <w:rPr>
                <w:rFonts w:hint="eastAsia" w:hAnsi="宋体"/>
                <w:sz w:val="24"/>
              </w:rPr>
              <w:t>2.</w:t>
            </w:r>
            <w:r>
              <w:rPr>
                <w:rFonts w:hAnsi="宋体"/>
                <w:sz w:val="24"/>
              </w:rPr>
              <w:t xml:space="preserve"> </w:t>
            </w:r>
            <w:r>
              <w:rPr>
                <w:rFonts w:hint="eastAsia" w:hAnsi="宋体"/>
                <w:sz w:val="24"/>
              </w:rPr>
              <w:t>噪声</w:t>
            </w:r>
          </w:p>
          <w:p>
            <w:pPr>
              <w:pStyle w:val="139"/>
              <w:spacing w:line="480" w:lineRule="exact"/>
            </w:pPr>
            <w:r>
              <w:rPr>
                <w:rFonts w:hint="eastAsia"/>
              </w:rPr>
              <w:t>本项目施工工程中产生的噪声主要来源于运输车辆以及施工作业等，噪声源强较低。建议建设和施工单位采取噪声防治措施，对施工阶段的噪声进行控制，满足建筑施工场界噪声限值的要求，以最大限度地减少噪声对环境的影响。</w:t>
            </w:r>
          </w:p>
          <w:p>
            <w:pPr>
              <w:pStyle w:val="139"/>
              <w:spacing w:line="480" w:lineRule="exact"/>
            </w:pPr>
            <w:r>
              <w:rPr>
                <w:rFonts w:hint="eastAsia"/>
              </w:rPr>
              <w:t>本项目施工期应从以下几个方面防治噪声污染：</w:t>
            </w:r>
          </w:p>
          <w:p>
            <w:pPr>
              <w:pStyle w:val="139"/>
              <w:spacing w:line="480" w:lineRule="exact"/>
            </w:pPr>
            <w:r>
              <w:rPr>
                <w:rFonts w:hint="eastAsia"/>
              </w:rPr>
              <w:t>(1) 合理安排施工时间：制定施工计划时，应尽可能避免大量高噪声设备同时施工。</w:t>
            </w:r>
          </w:p>
          <w:p>
            <w:pPr>
              <w:pStyle w:val="139"/>
              <w:spacing w:line="480" w:lineRule="exact"/>
            </w:pPr>
            <w:r>
              <w:rPr>
                <w:rFonts w:hint="eastAsia"/>
              </w:rPr>
              <w:t>(2) 合理布局施工场地：避免在同一地点安排大量动力机械设备，以避免局部声级过高。</w:t>
            </w:r>
          </w:p>
          <w:p>
            <w:pPr>
              <w:pStyle w:val="139"/>
              <w:spacing w:line="480" w:lineRule="exact"/>
            </w:pPr>
            <w:r>
              <w:rPr>
                <w:rFonts w:hint="eastAsia"/>
              </w:rPr>
              <w:t>(3) 降低设备声级：设备选用上尽量采用低噪声设备，如以液压机械代替燃油机械；固定机械设备与挖土、运土机械。</w:t>
            </w:r>
          </w:p>
          <w:p>
            <w:pPr>
              <w:pStyle w:val="51"/>
              <w:ind w:firstLine="492"/>
              <w:rPr>
                <w:sz w:val="32"/>
              </w:rPr>
            </w:pPr>
            <w:r>
              <w:rPr>
                <w:rFonts w:hint="eastAsia"/>
                <w:sz w:val="24"/>
              </w:rPr>
              <w:t>在采取以上措施后，项目施工期对周围声环境影响较小。</w:t>
            </w:r>
          </w:p>
          <w:p>
            <w:pPr>
              <w:spacing w:line="440" w:lineRule="exact"/>
              <w:ind w:firstLine="480" w:firstLineChars="200"/>
              <w:rPr>
                <w:rFonts w:hAnsi="宋体"/>
                <w:sz w:val="24"/>
              </w:rPr>
            </w:pPr>
            <w:r>
              <w:rPr>
                <w:sz w:val="24"/>
              </w:rPr>
              <w:t>3</w:t>
            </w:r>
            <w:r>
              <w:rPr>
                <w:rFonts w:hint="eastAsia" w:hAnsi="宋体"/>
                <w:sz w:val="24"/>
              </w:rPr>
              <w:t>.</w:t>
            </w:r>
            <w:r>
              <w:rPr>
                <w:rFonts w:hAnsi="宋体"/>
                <w:sz w:val="24"/>
              </w:rPr>
              <w:t xml:space="preserve"> </w:t>
            </w:r>
            <w:r>
              <w:rPr>
                <w:rFonts w:hint="eastAsia" w:hAnsi="宋体"/>
                <w:sz w:val="24"/>
              </w:rPr>
              <w:t>废水</w:t>
            </w:r>
          </w:p>
          <w:p>
            <w:pPr>
              <w:spacing w:line="440" w:lineRule="exact"/>
              <w:ind w:firstLine="480" w:firstLineChars="200"/>
              <w:rPr>
                <w:rFonts w:hAnsi="宋体"/>
                <w:bCs/>
                <w:sz w:val="24"/>
              </w:rPr>
            </w:pPr>
            <w:r>
              <w:rPr>
                <w:rFonts w:hAnsi="宋体"/>
                <w:sz w:val="24"/>
              </w:rPr>
              <w:t>施工期</w:t>
            </w:r>
            <w:r>
              <w:rPr>
                <w:rFonts w:hint="eastAsia" w:hAnsi="宋体"/>
                <w:sz w:val="24"/>
              </w:rPr>
              <w:t>废水</w:t>
            </w:r>
            <w:r>
              <w:rPr>
                <w:rFonts w:hAnsi="宋体"/>
                <w:sz w:val="24"/>
              </w:rPr>
              <w:t>主要为施工人员</w:t>
            </w:r>
            <w:r>
              <w:rPr>
                <w:rFonts w:hint="eastAsia" w:hAnsi="宋体"/>
                <w:sz w:val="24"/>
              </w:rPr>
              <w:t>产生的生活污水和施工废水，生活污水统一收集后经电厂内生活污水处理站处理后，用于厂区绿化，不外排，施工废水经沉淀处理后回用，</w:t>
            </w:r>
            <w:r>
              <w:rPr>
                <w:rFonts w:hint="eastAsia" w:hAnsi="宋体"/>
                <w:bCs/>
                <w:sz w:val="24"/>
              </w:rPr>
              <w:t>不会对周围水环境产生不利影响</w:t>
            </w:r>
            <w:r>
              <w:rPr>
                <w:rFonts w:hAnsi="宋体"/>
                <w:bCs/>
                <w:sz w:val="24"/>
              </w:rPr>
              <w:t>。</w:t>
            </w:r>
          </w:p>
          <w:p>
            <w:pPr>
              <w:spacing w:line="440" w:lineRule="exact"/>
              <w:ind w:firstLine="480" w:firstLineChars="200"/>
              <w:rPr>
                <w:sz w:val="24"/>
              </w:rPr>
            </w:pPr>
            <w:r>
              <w:rPr>
                <w:sz w:val="24"/>
              </w:rPr>
              <w:t>4</w:t>
            </w:r>
            <w:r>
              <w:rPr>
                <w:rFonts w:hint="eastAsia" w:hAnsi="宋体"/>
                <w:sz w:val="24"/>
              </w:rPr>
              <w:t>.</w:t>
            </w:r>
            <w:r>
              <w:rPr>
                <w:rFonts w:hAnsi="宋体"/>
                <w:sz w:val="24"/>
              </w:rPr>
              <w:t xml:space="preserve"> 固体废物</w:t>
            </w:r>
          </w:p>
          <w:p>
            <w:pPr>
              <w:pStyle w:val="140"/>
              <w:spacing w:line="440" w:lineRule="exact"/>
              <w:rPr>
                <w:rFonts w:ascii="Times New Roman"/>
                <w:kern w:val="0"/>
              </w:rPr>
            </w:pPr>
            <w:r>
              <w:rPr>
                <w:rFonts w:ascii="Times New Roman"/>
                <w:kern w:val="0"/>
              </w:rPr>
              <w:t>施工期产生的固体废弃物主要是</w:t>
            </w:r>
            <w:r>
              <w:rPr>
                <w:rFonts w:hint="eastAsia" w:ascii="Times New Roman"/>
                <w:kern w:val="0"/>
              </w:rPr>
              <w:t>施工人员的</w:t>
            </w:r>
            <w:r>
              <w:rPr>
                <w:rFonts w:ascii="Times New Roman"/>
                <w:kern w:val="0"/>
              </w:rPr>
              <w:t>生活垃圾</w:t>
            </w:r>
            <w:r>
              <w:rPr>
                <w:rFonts w:hint="eastAsia" w:ascii="Times New Roman"/>
                <w:kern w:val="0"/>
              </w:rPr>
              <w:t>，</w:t>
            </w:r>
            <w:r>
              <w:rPr>
                <w:rFonts w:hint="eastAsia" w:hAnsi="宋体"/>
              </w:rPr>
              <w:t>生活垃圾统一纳入现有厂区</w:t>
            </w:r>
            <w:r>
              <w:rPr>
                <w:rFonts w:ascii="Times New Roman"/>
                <w:kern w:val="0"/>
              </w:rPr>
              <w:t>集中存放，实行袋装化并及时清运处置，外运至城市生活垃圾场。</w:t>
            </w:r>
          </w:p>
          <w:p>
            <w:pPr>
              <w:snapToGrid w:val="0"/>
              <w:spacing w:line="480" w:lineRule="exact"/>
              <w:ind w:firstLine="561"/>
              <w:rPr>
                <w:sz w:val="24"/>
              </w:rPr>
            </w:pPr>
            <w:r>
              <w:rPr>
                <w:rFonts w:hint="eastAsia"/>
                <w:sz w:val="24"/>
              </w:rPr>
              <w:t>此外，</w:t>
            </w:r>
            <w:r>
              <w:rPr>
                <w:sz w:val="24"/>
              </w:rPr>
              <w:t>施工期间将产生</w:t>
            </w:r>
            <w:r>
              <w:rPr>
                <w:rFonts w:hint="eastAsia"/>
                <w:sz w:val="24"/>
              </w:rPr>
              <w:t>施工</w:t>
            </w:r>
            <w:r>
              <w:rPr>
                <w:sz w:val="24"/>
              </w:rPr>
              <w:t>废弃物，这些废弃物在运输过程中都可能对环境产生影响。如车辆装载过多导致沿途废弃物散落满地，影响行人和车辆过往和环境质量；废弃物处置地不明确或无规划乱丢乱放，将影响土地利用、河流流畅，破坏自然生态环境，影响城市的建设和整洁；废弃物的运输需要大量车辆，如在白天进行，必将影响本地区的交通，使路面交通变得更加拥挤。因此，要做好施工固废污染防治措施：</w:t>
            </w:r>
          </w:p>
          <w:p>
            <w:pPr>
              <w:snapToGrid w:val="0"/>
              <w:spacing w:line="480" w:lineRule="exact"/>
              <w:ind w:firstLine="561"/>
              <w:rPr>
                <w:sz w:val="24"/>
              </w:rPr>
            </w:pPr>
            <w:r>
              <w:rPr>
                <w:sz w:val="24"/>
              </w:rPr>
              <w:t>(1)项目开发者及工程承包单位应与当地环卫部门联系，及时清理施工现场的生活废弃物；工程承包单位应对施工人员加强教育，不随意乱丢废弃物，保证现场工作人员生活环境卫生质量。</w:t>
            </w:r>
          </w:p>
          <w:p>
            <w:pPr>
              <w:snapToGrid w:val="0"/>
              <w:spacing w:line="480" w:lineRule="exact"/>
              <w:ind w:firstLine="561"/>
              <w:rPr>
                <w:sz w:val="24"/>
              </w:rPr>
            </w:pPr>
            <w:r>
              <w:rPr>
                <w:sz w:val="24"/>
              </w:rPr>
              <w:t>(2)倡导文明施工：要求施工单位尽可能地减少在施工过程中对周围</w:t>
            </w:r>
            <w:r>
              <w:rPr>
                <w:rFonts w:hint="eastAsia"/>
                <w:sz w:val="24"/>
              </w:rPr>
              <w:t>敏感点的影响，</w:t>
            </w:r>
            <w:r>
              <w:rPr>
                <w:sz w:val="24"/>
              </w:rPr>
              <w:t>提倡文明施工，做到“爱民工程”。组织施工单位及业主联络会议，及时协调解决施工中对环境影响问题。</w:t>
            </w:r>
          </w:p>
          <w:p>
            <w:pPr>
              <w:snapToGrid w:val="0"/>
              <w:spacing w:line="480" w:lineRule="exact"/>
              <w:ind w:firstLine="561"/>
              <w:rPr>
                <w:sz w:val="24"/>
              </w:rPr>
            </w:pPr>
            <w:r>
              <w:rPr>
                <w:sz w:val="24"/>
              </w:rPr>
              <w:t>(3)废弃物处置：</w:t>
            </w:r>
            <w:r>
              <w:rPr>
                <w:rFonts w:hint="eastAsia"/>
                <w:sz w:val="24"/>
              </w:rPr>
              <w:t>项目施工期产生的弃土和建筑垃圾应当交由专门的废弃物处置接收站接收和处理，严禁乱抛乱放。</w:t>
            </w:r>
          </w:p>
          <w:p>
            <w:pPr>
              <w:snapToGrid w:val="0"/>
              <w:spacing w:line="480" w:lineRule="exact"/>
              <w:ind w:firstLine="561"/>
              <w:rPr>
                <w:sz w:val="24"/>
              </w:rPr>
            </w:pPr>
            <w:r>
              <w:rPr>
                <w:sz w:val="24"/>
              </w:rPr>
              <w:t>(4)施工中遇到有毒有害废弃物应暂时停止施工并及时与地方环保、卫生部门联系，经</w:t>
            </w:r>
            <w:r>
              <w:rPr>
                <w:rFonts w:hint="eastAsia"/>
                <w:sz w:val="24"/>
              </w:rPr>
              <w:t>其</w:t>
            </w:r>
            <w:r>
              <w:rPr>
                <w:sz w:val="24"/>
              </w:rPr>
              <w:t>采取措施处理后才</w:t>
            </w:r>
            <w:r>
              <w:rPr>
                <w:rFonts w:hint="eastAsia"/>
                <w:sz w:val="24"/>
              </w:rPr>
              <w:t>可</w:t>
            </w:r>
            <w:r>
              <w:rPr>
                <w:sz w:val="24"/>
              </w:rPr>
              <w:t>继续施工。</w:t>
            </w:r>
          </w:p>
          <w:p>
            <w:pPr>
              <w:pStyle w:val="140"/>
              <w:spacing w:line="440" w:lineRule="exact"/>
              <w:rPr>
                <w:rFonts w:hAnsi="宋体"/>
              </w:rPr>
            </w:pPr>
            <w:r>
              <w:rPr>
                <w:rFonts w:hint="eastAsia" w:ascii="Times New Roman"/>
                <w:kern w:val="0"/>
              </w:rPr>
              <w:t>在采取以上措施后因此，</w:t>
            </w:r>
            <w:r>
              <w:rPr>
                <w:rFonts w:hint="eastAsia" w:hAnsi="宋体"/>
              </w:rPr>
              <w:t>项目</w:t>
            </w:r>
            <w:r>
              <w:rPr>
                <w:rFonts w:hAnsi="宋体"/>
              </w:rPr>
              <w:t>施工期</w:t>
            </w:r>
            <w:r>
              <w:rPr>
                <w:rFonts w:hint="eastAsia" w:hAnsi="宋体"/>
              </w:rPr>
              <w:t>固废</w:t>
            </w:r>
            <w:r>
              <w:rPr>
                <w:rFonts w:hAnsi="宋体"/>
              </w:rPr>
              <w:t>不会对周围环境造成污染影响。</w:t>
            </w:r>
          </w:p>
          <w:p>
            <w:pPr>
              <w:spacing w:line="440" w:lineRule="exact"/>
              <w:ind w:firstLine="480" w:firstLineChars="200"/>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735" w:hRule="atLeast"/>
          <w:jc w:val="center"/>
        </w:trPr>
        <w:tc>
          <w:tcPr>
            <w:tcW w:w="9061" w:type="dxa"/>
            <w:tcBorders>
              <w:bottom w:val="single" w:color="auto" w:sz="4" w:space="0"/>
            </w:tcBorders>
          </w:tcPr>
          <w:p>
            <w:pPr>
              <w:spacing w:line="440" w:lineRule="exact"/>
              <w:rPr>
                <w:rFonts w:ascii="楷体_GB2312" w:eastAsia="楷体_GB2312"/>
                <w:sz w:val="24"/>
              </w:rPr>
            </w:pPr>
            <w:r>
              <w:rPr>
                <w:rFonts w:hint="eastAsia" w:ascii="楷体_GB2312" w:eastAsia="楷体_GB2312"/>
                <w:sz w:val="24"/>
              </w:rPr>
              <w:t>营运期环境影响分析：</w:t>
            </w:r>
          </w:p>
          <w:p>
            <w:pPr>
              <w:adjustRightInd w:val="0"/>
              <w:snapToGrid w:val="0"/>
              <w:spacing w:beforeLines="50" w:line="360" w:lineRule="auto"/>
              <w:ind w:firstLine="480" w:firstLineChars="200"/>
              <w:rPr>
                <w:sz w:val="24"/>
              </w:rPr>
            </w:pPr>
            <w:r>
              <w:rPr>
                <w:rFonts w:hint="eastAsia"/>
                <w:sz w:val="24"/>
              </w:rPr>
              <w:t>1.</w:t>
            </w:r>
            <w:r>
              <w:rPr>
                <w:sz w:val="24"/>
              </w:rPr>
              <w:t xml:space="preserve"> </w:t>
            </w:r>
            <w:r>
              <w:rPr>
                <w:rFonts w:hint="eastAsia"/>
                <w:sz w:val="24"/>
              </w:rPr>
              <w:t>水环境影响分析</w:t>
            </w:r>
          </w:p>
          <w:p>
            <w:pPr>
              <w:spacing w:line="360" w:lineRule="auto"/>
              <w:ind w:firstLine="480" w:firstLineChars="200"/>
              <w:rPr>
                <w:sz w:val="24"/>
              </w:rPr>
            </w:pPr>
            <w:r>
              <w:rPr>
                <w:rFonts w:hint="eastAsia"/>
                <w:sz w:val="24"/>
              </w:rPr>
              <w:t>本项目营运期排放的废水主要为海水淡化后的浓盐水，浓盐水排海对海水盐度产生影响。潮流是最重要的水动力因素，是海洋环境影响评价工作的基础。在潮流场模拟的基础上预测评价浓盐水排放对海洋环境产生的影响。</w:t>
            </w:r>
          </w:p>
          <w:p>
            <w:pPr>
              <w:spacing w:line="360" w:lineRule="auto"/>
              <w:ind w:firstLine="482" w:firstLineChars="200"/>
              <w:rPr>
                <w:b/>
                <w:sz w:val="24"/>
              </w:rPr>
            </w:pPr>
            <w:bookmarkStart w:id="21" w:name="_Toc358535041"/>
            <w:bookmarkStart w:id="22" w:name="_Toc364685472"/>
            <w:r>
              <w:rPr>
                <w:rFonts w:hint="eastAsia"/>
                <w:b/>
                <w:sz w:val="24"/>
              </w:rPr>
              <w:t>1</w:t>
            </w:r>
            <w:r>
              <w:rPr>
                <w:b/>
                <w:sz w:val="24"/>
              </w:rPr>
              <w:t xml:space="preserve">.1  </w:t>
            </w:r>
            <w:bookmarkEnd w:id="21"/>
            <w:bookmarkEnd w:id="22"/>
            <w:r>
              <w:rPr>
                <w:rFonts w:hint="eastAsia"/>
                <w:b/>
                <w:sz w:val="24"/>
              </w:rPr>
              <w:t>潮流场数值模拟</w:t>
            </w:r>
          </w:p>
          <w:p>
            <w:pPr>
              <w:spacing w:line="360" w:lineRule="auto"/>
              <w:ind w:firstLine="482" w:firstLineChars="200"/>
              <w:rPr>
                <w:b/>
                <w:sz w:val="24"/>
              </w:rPr>
            </w:pPr>
            <w:r>
              <w:rPr>
                <w:rFonts w:hint="eastAsia"/>
                <w:b/>
                <w:sz w:val="24"/>
              </w:rPr>
              <w:t>1</w:t>
            </w:r>
            <w:r>
              <w:rPr>
                <w:b/>
                <w:sz w:val="24"/>
              </w:rPr>
              <w:t xml:space="preserve">.1.1  </w:t>
            </w:r>
            <w:r>
              <w:rPr>
                <w:rFonts w:hint="eastAsia"/>
                <w:b/>
                <w:sz w:val="24"/>
              </w:rPr>
              <w:t>水动力模型简介</w:t>
            </w:r>
          </w:p>
          <w:p>
            <w:pPr>
              <w:pStyle w:val="1671"/>
            </w:pPr>
            <w:r>
              <w:rPr>
                <w:rFonts w:hint="eastAsia"/>
              </w:rPr>
              <w:t>评价采用美国马萨诸塞大学海洋科技研究院和吾兹霍尔海洋研究所联合开发的FVCOM（An Unstructured Grid, Finite-Volume Coastal Ocean Model）模式。该模式在水平方向上采用无结构化的三角形网格，垂直方向采用坐标变换，数值方法采用有限体积法（finite-volume），可以对自由表面的3维原始控制方程进行模拟。FVCOM的主要控制方程包括动量方程、连续方程、盐度扩散方程、温度扩散方程、状态方程等，采用Mellor-Yamada 2.5阶湍封闭方案用于计算垂直混合，采用Smagorinsky湍封闭模式用于计算水平混合。另外FVCOM还包含3维干/湿网格处理模块，质点跟踪模块，以及泥沙输运模块等。</w:t>
            </w:r>
          </w:p>
          <w:p>
            <w:pPr>
              <w:pStyle w:val="1671"/>
            </w:pPr>
            <w:r>
              <w:rPr>
                <w:rFonts w:hint="eastAsia"/>
              </w:rPr>
              <w:t>该工程所在海域岸线曲折，采用FVCOM能较好地拟合岸线。</w:t>
            </w:r>
          </w:p>
          <w:p>
            <w:pPr>
              <w:pStyle w:val="1671"/>
            </w:pPr>
            <w:r>
              <w:rPr>
                <w:rFonts w:hint="eastAsia"/>
              </w:rPr>
              <w:t>（1）模型控制方程</w:t>
            </w:r>
          </w:p>
          <w:p>
            <w:pPr>
              <w:pStyle w:val="1671"/>
            </w:pPr>
            <w:r>
              <w:rPr>
                <w:rFonts w:hint="eastAsia"/>
              </w:rPr>
              <w:t>本模型垂向采用坐标变换，坐标变换被定义为：</w:t>
            </w:r>
          </w:p>
          <w:p>
            <w:pPr>
              <w:pStyle w:val="1671"/>
            </w:pPr>
            <w:r>
              <w:drawing>
                <wp:inline distT="0" distB="0" distL="0" distR="0">
                  <wp:extent cx="1247775" cy="419100"/>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63"/>
                          <a:srcRect/>
                          <a:stretch>
                            <a:fillRect/>
                          </a:stretch>
                        </pic:blipFill>
                        <pic:spPr>
                          <a:xfrm>
                            <a:off x="0" y="0"/>
                            <a:ext cx="1247775" cy="419100"/>
                          </a:xfrm>
                          <a:prstGeom prst="rect">
                            <a:avLst/>
                          </a:prstGeom>
                          <a:noFill/>
                          <a:ln w="9525">
                            <a:noFill/>
                            <a:miter lim="800000"/>
                            <a:headEnd/>
                            <a:tailEnd/>
                          </a:ln>
                        </pic:spPr>
                      </pic:pic>
                    </a:graphicData>
                  </a:graphic>
                </wp:inline>
              </w:drawing>
            </w:r>
            <w:r>
              <w:t xml:space="preserve">                                       </w:t>
            </w:r>
            <w:r>
              <w:rPr>
                <w:rFonts w:hint="eastAsia"/>
              </w:rPr>
              <w:t xml:space="preserve"> （1.1</w:t>
            </w:r>
            <w:r>
              <w:t>-1</w:t>
            </w:r>
            <w:r>
              <w:rPr>
                <w:rFonts w:hint="eastAsia"/>
              </w:rPr>
              <w:t>）</w:t>
            </w:r>
          </w:p>
          <w:p>
            <w:pPr>
              <w:pStyle w:val="1671"/>
            </w:pPr>
            <w:r>
              <w:t>在</w:t>
            </w:r>
            <w:r>
              <w:drawing>
                <wp:inline distT="0" distB="0" distL="0" distR="0">
                  <wp:extent cx="142875" cy="152400"/>
                  <wp:effectExtent l="1905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64"/>
                          <a:srcRect/>
                          <a:stretch>
                            <a:fillRect/>
                          </a:stretch>
                        </pic:blipFill>
                        <pic:spPr>
                          <a:xfrm>
                            <a:off x="0" y="0"/>
                            <a:ext cx="142875" cy="152400"/>
                          </a:xfrm>
                          <a:prstGeom prst="rect">
                            <a:avLst/>
                          </a:prstGeom>
                          <a:noFill/>
                          <a:ln w="9525">
                            <a:noFill/>
                            <a:miter lim="800000"/>
                            <a:headEnd/>
                            <a:tailEnd/>
                          </a:ln>
                        </pic:spPr>
                      </pic:pic>
                    </a:graphicData>
                  </a:graphic>
                </wp:inline>
              </w:drawing>
            </w:r>
            <w:r>
              <w:t>坐标变换下，模式的控制方程组可写为：</w:t>
            </w:r>
          </w:p>
          <w:p>
            <w:pPr>
              <w:pStyle w:val="1671"/>
            </w:pPr>
            <w:r>
              <w:drawing>
                <wp:inline distT="0" distB="0" distL="0" distR="0">
                  <wp:extent cx="1714500" cy="41910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65"/>
                          <a:srcRect/>
                          <a:stretch>
                            <a:fillRect/>
                          </a:stretch>
                        </pic:blipFill>
                        <pic:spPr>
                          <a:xfrm>
                            <a:off x="0" y="0"/>
                            <a:ext cx="1714500" cy="419100"/>
                          </a:xfrm>
                          <a:prstGeom prst="rect">
                            <a:avLst/>
                          </a:prstGeom>
                          <a:noFill/>
                          <a:ln w="9525">
                            <a:noFill/>
                            <a:miter lim="800000"/>
                            <a:headEnd/>
                            <a:tailEnd/>
                          </a:ln>
                        </pic:spPr>
                      </pic:pic>
                    </a:graphicData>
                  </a:graphic>
                </wp:inline>
              </w:drawing>
            </w:r>
            <w:r>
              <w:t xml:space="preserve">                                  </w:t>
            </w:r>
            <w:r>
              <w:rPr>
                <w:rFonts w:hint="eastAsia"/>
              </w:rPr>
              <w:t>（1.1</w:t>
            </w:r>
            <w:r>
              <w:t>-</w:t>
            </w:r>
            <w:r>
              <w:rPr>
                <w:rFonts w:hint="eastAsia"/>
              </w:rPr>
              <w:t>2）</w:t>
            </w:r>
          </w:p>
          <w:p>
            <w:pPr>
              <w:pStyle w:val="1671"/>
            </w:pPr>
            <w:r>
              <w:drawing>
                <wp:inline distT="0" distB="0" distL="0" distR="0">
                  <wp:extent cx="4000500" cy="942975"/>
                  <wp:effectExtent l="1905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noChangeArrowheads="1"/>
                          </pic:cNvPicPr>
                        </pic:nvPicPr>
                        <pic:blipFill>
                          <a:blip r:embed="rId66"/>
                          <a:srcRect/>
                          <a:stretch>
                            <a:fillRect/>
                          </a:stretch>
                        </pic:blipFill>
                        <pic:spPr>
                          <a:xfrm>
                            <a:off x="0" y="0"/>
                            <a:ext cx="4000500" cy="942975"/>
                          </a:xfrm>
                          <a:prstGeom prst="rect">
                            <a:avLst/>
                          </a:prstGeom>
                          <a:noFill/>
                          <a:ln w="9525">
                            <a:noFill/>
                            <a:miter lim="800000"/>
                            <a:headEnd/>
                            <a:tailEnd/>
                          </a:ln>
                        </pic:spPr>
                      </pic:pic>
                    </a:graphicData>
                  </a:graphic>
                </wp:inline>
              </w:drawing>
            </w:r>
            <w:r>
              <w:t xml:space="preserve">   </w:t>
            </w:r>
            <w:r>
              <w:rPr>
                <w:rFonts w:hint="eastAsia"/>
              </w:rPr>
              <w:t xml:space="preserve"> （1.1</w:t>
            </w:r>
            <w:r>
              <w:t>-</w:t>
            </w:r>
            <w:r>
              <w:rPr>
                <w:rFonts w:hint="eastAsia"/>
              </w:rPr>
              <w:t>3）</w:t>
            </w:r>
          </w:p>
          <w:p>
            <w:pPr>
              <w:pStyle w:val="1671"/>
            </w:pPr>
          </w:p>
          <w:p>
            <w:pPr>
              <w:pStyle w:val="1671"/>
            </w:pPr>
            <w:r>
              <w:drawing>
                <wp:inline distT="0" distB="0" distL="0" distR="0">
                  <wp:extent cx="3962400" cy="942975"/>
                  <wp:effectExtent l="19050" t="0" r="0" b="0"/>
                  <wp:docPr id="17" name="图片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40"/>
                          <pic:cNvPicPr>
                            <a:picLocks noChangeAspect="1" noChangeArrowheads="1"/>
                          </pic:cNvPicPr>
                        </pic:nvPicPr>
                        <pic:blipFill>
                          <a:blip r:embed="rId67"/>
                          <a:srcRect/>
                          <a:stretch>
                            <a:fillRect/>
                          </a:stretch>
                        </pic:blipFill>
                        <pic:spPr>
                          <a:xfrm>
                            <a:off x="0" y="0"/>
                            <a:ext cx="3962400" cy="942975"/>
                          </a:xfrm>
                          <a:prstGeom prst="rect">
                            <a:avLst/>
                          </a:prstGeom>
                          <a:noFill/>
                          <a:ln w="9525">
                            <a:noFill/>
                            <a:miter lim="800000"/>
                            <a:headEnd/>
                            <a:tailEnd/>
                          </a:ln>
                        </pic:spPr>
                      </pic:pic>
                    </a:graphicData>
                  </a:graphic>
                </wp:inline>
              </w:drawing>
            </w:r>
            <w:r>
              <w:t xml:space="preserve">      </w:t>
            </w:r>
            <w:r>
              <w:rPr>
                <w:rFonts w:hint="eastAsia"/>
              </w:rPr>
              <w:t>（1.1</w:t>
            </w:r>
            <w:r>
              <w:t>-</w:t>
            </w:r>
            <w:r>
              <w:rPr>
                <w:rFonts w:hint="eastAsia"/>
              </w:rPr>
              <w:t>4）</w:t>
            </w:r>
          </w:p>
          <w:p>
            <w:pPr>
              <w:pStyle w:val="1671"/>
            </w:pPr>
            <w:r>
              <w:drawing>
                <wp:inline distT="0" distB="0" distL="0" distR="0">
                  <wp:extent cx="3619500" cy="419100"/>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68"/>
                          <a:srcRect/>
                          <a:stretch>
                            <a:fillRect/>
                          </a:stretch>
                        </pic:blipFill>
                        <pic:spPr>
                          <a:xfrm>
                            <a:off x="0" y="0"/>
                            <a:ext cx="3619500" cy="419100"/>
                          </a:xfrm>
                          <a:prstGeom prst="rect">
                            <a:avLst/>
                          </a:prstGeom>
                          <a:noFill/>
                          <a:ln w="9525">
                            <a:noFill/>
                            <a:miter lim="800000"/>
                            <a:headEnd/>
                            <a:tailEnd/>
                          </a:ln>
                        </pic:spPr>
                      </pic:pic>
                    </a:graphicData>
                  </a:graphic>
                </wp:inline>
              </w:drawing>
            </w:r>
            <w:r>
              <w:t xml:space="preserve">           </w:t>
            </w:r>
            <w:r>
              <w:rPr>
                <w:rFonts w:hint="eastAsia"/>
              </w:rPr>
              <w:t>（1.1</w:t>
            </w:r>
            <w:r>
              <w:t>-</w:t>
            </w:r>
            <w:r>
              <w:rPr>
                <w:rFonts w:hint="eastAsia"/>
              </w:rPr>
              <w:t>5）</w:t>
            </w:r>
          </w:p>
          <w:p>
            <w:pPr>
              <w:pStyle w:val="1671"/>
            </w:pPr>
            <w:r>
              <w:drawing>
                <wp:inline distT="0" distB="0" distL="0" distR="0">
                  <wp:extent cx="2952750" cy="390525"/>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noChangeArrowheads="1"/>
                          </pic:cNvPicPr>
                        </pic:nvPicPr>
                        <pic:blipFill>
                          <a:blip r:embed="rId69"/>
                          <a:srcRect/>
                          <a:stretch>
                            <a:fillRect/>
                          </a:stretch>
                        </pic:blipFill>
                        <pic:spPr>
                          <a:xfrm>
                            <a:off x="0" y="0"/>
                            <a:ext cx="2952750" cy="390525"/>
                          </a:xfrm>
                          <a:prstGeom prst="rect">
                            <a:avLst/>
                          </a:prstGeom>
                          <a:noFill/>
                          <a:ln w="9525">
                            <a:noFill/>
                            <a:miter lim="800000"/>
                            <a:headEnd/>
                            <a:tailEnd/>
                          </a:ln>
                        </pic:spPr>
                      </pic:pic>
                    </a:graphicData>
                  </a:graphic>
                </wp:inline>
              </w:drawing>
            </w:r>
            <w:r>
              <w:t xml:space="preserve"> </w:t>
            </w:r>
            <w:r>
              <w:rPr>
                <w:rFonts w:hint="eastAsia"/>
              </w:rPr>
              <w:t xml:space="preserve"> </w:t>
            </w:r>
            <w:r>
              <w:t xml:space="preserve">             </w:t>
            </w:r>
            <w:r>
              <w:rPr>
                <w:rFonts w:hint="eastAsia"/>
              </w:rPr>
              <w:t xml:space="preserve">     （1.1</w:t>
            </w:r>
            <w:r>
              <w:t>-</w:t>
            </w:r>
            <w:r>
              <w:rPr>
                <w:rFonts w:hint="eastAsia"/>
              </w:rPr>
              <w:t>6）</w:t>
            </w:r>
          </w:p>
          <w:p>
            <w:pPr>
              <w:pStyle w:val="1671"/>
            </w:pPr>
            <w:r>
              <w:drawing>
                <wp:inline distT="0" distB="0" distL="0" distR="0">
                  <wp:extent cx="723900" cy="200025"/>
                  <wp:effectExtent l="1905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noChangeArrowheads="1"/>
                          </pic:cNvPicPr>
                        </pic:nvPicPr>
                        <pic:blipFill>
                          <a:blip r:embed="rId70"/>
                          <a:srcRect/>
                          <a:stretch>
                            <a:fillRect/>
                          </a:stretch>
                        </pic:blipFill>
                        <pic:spPr>
                          <a:xfrm>
                            <a:off x="0" y="0"/>
                            <a:ext cx="723900" cy="200025"/>
                          </a:xfrm>
                          <a:prstGeom prst="rect">
                            <a:avLst/>
                          </a:prstGeom>
                          <a:noFill/>
                          <a:ln w="9525">
                            <a:noFill/>
                            <a:miter lim="800000"/>
                            <a:headEnd/>
                            <a:tailEnd/>
                          </a:ln>
                        </pic:spPr>
                      </pic:pic>
                    </a:graphicData>
                  </a:graphic>
                </wp:inline>
              </w:drawing>
            </w:r>
            <w:r>
              <w:t xml:space="preserve">                                                </w:t>
            </w:r>
            <w:r>
              <w:rPr>
                <w:rFonts w:hint="eastAsia"/>
              </w:rPr>
              <w:t xml:space="preserve"> （1.1</w:t>
            </w:r>
            <w:r>
              <w:t>-</w:t>
            </w:r>
            <w:r>
              <w:rPr>
                <w:rFonts w:hint="eastAsia"/>
              </w:rPr>
              <w:t>7）</w:t>
            </w:r>
          </w:p>
          <w:p>
            <w:pPr>
              <w:pStyle w:val="1671"/>
            </w:pPr>
            <w:r>
              <w:t>其中水平扩散项被定义为：</w:t>
            </w:r>
          </w:p>
          <w:p>
            <w:pPr>
              <w:pStyle w:val="1671"/>
            </w:pPr>
            <w:r>
              <w:drawing>
                <wp:inline distT="0" distB="0" distL="0" distR="0">
                  <wp:extent cx="2676525" cy="419100"/>
                  <wp:effectExtent l="19050" t="0" r="9525"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71"/>
                          <a:srcRect/>
                          <a:stretch>
                            <a:fillRect/>
                          </a:stretch>
                        </pic:blipFill>
                        <pic:spPr>
                          <a:xfrm>
                            <a:off x="0" y="0"/>
                            <a:ext cx="2676525" cy="419100"/>
                          </a:xfrm>
                          <a:prstGeom prst="rect">
                            <a:avLst/>
                          </a:prstGeom>
                          <a:noFill/>
                          <a:ln w="9525">
                            <a:noFill/>
                            <a:miter lim="800000"/>
                            <a:headEnd/>
                            <a:tailEnd/>
                          </a:ln>
                        </pic:spPr>
                      </pic:pic>
                    </a:graphicData>
                  </a:graphic>
                </wp:inline>
              </w:drawing>
            </w:r>
            <w:r>
              <w:t xml:space="preserve">                       </w:t>
            </w:r>
            <w:r>
              <w:rPr>
                <w:rFonts w:hint="eastAsia"/>
              </w:rPr>
              <w:t>（1.1</w:t>
            </w:r>
            <w:r>
              <w:t>-</w:t>
            </w:r>
            <w:r>
              <w:rPr>
                <w:rFonts w:hint="eastAsia"/>
              </w:rPr>
              <w:t>8）</w:t>
            </w:r>
          </w:p>
          <w:p>
            <w:pPr>
              <w:pStyle w:val="1671"/>
            </w:pPr>
            <w:r>
              <w:drawing>
                <wp:inline distT="0" distB="0" distL="0" distR="0">
                  <wp:extent cx="2676525" cy="419100"/>
                  <wp:effectExtent l="19050" t="0" r="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noChangeArrowheads="1"/>
                          </pic:cNvPicPr>
                        </pic:nvPicPr>
                        <pic:blipFill>
                          <a:blip r:embed="rId72"/>
                          <a:srcRect/>
                          <a:stretch>
                            <a:fillRect/>
                          </a:stretch>
                        </pic:blipFill>
                        <pic:spPr>
                          <a:xfrm>
                            <a:off x="0" y="0"/>
                            <a:ext cx="2676525" cy="419100"/>
                          </a:xfrm>
                          <a:prstGeom prst="rect">
                            <a:avLst/>
                          </a:prstGeom>
                          <a:noFill/>
                          <a:ln w="9525">
                            <a:noFill/>
                            <a:miter lim="800000"/>
                            <a:headEnd/>
                            <a:tailEnd/>
                          </a:ln>
                        </pic:spPr>
                      </pic:pic>
                    </a:graphicData>
                  </a:graphic>
                </wp:inline>
              </w:drawing>
            </w:r>
            <w:r>
              <w:t xml:space="preserve">                        </w:t>
            </w:r>
            <w:r>
              <w:rPr>
                <w:rFonts w:hint="eastAsia"/>
              </w:rPr>
              <w:t>（1.1</w:t>
            </w:r>
            <w:r>
              <w:t>-</w:t>
            </w:r>
            <w:r>
              <w:rPr>
                <w:rFonts w:hint="eastAsia"/>
              </w:rPr>
              <w:t>9）</w:t>
            </w:r>
          </w:p>
          <w:p>
            <w:pPr>
              <w:pStyle w:val="1671"/>
            </w:pPr>
            <w:r>
              <w:drawing>
                <wp:inline distT="0" distB="0" distL="0" distR="0">
                  <wp:extent cx="3924300" cy="419100"/>
                  <wp:effectExtent l="19050" t="0" r="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noChangeArrowheads="1"/>
                          </pic:cNvPicPr>
                        </pic:nvPicPr>
                        <pic:blipFill>
                          <a:blip r:embed="rId73"/>
                          <a:srcRect/>
                          <a:stretch>
                            <a:fillRect/>
                          </a:stretch>
                        </pic:blipFill>
                        <pic:spPr>
                          <a:xfrm>
                            <a:off x="0" y="0"/>
                            <a:ext cx="3924300" cy="419100"/>
                          </a:xfrm>
                          <a:prstGeom prst="rect">
                            <a:avLst/>
                          </a:prstGeom>
                          <a:noFill/>
                          <a:ln w="9525">
                            <a:noFill/>
                            <a:miter lim="800000"/>
                            <a:headEnd/>
                            <a:tailEnd/>
                          </a:ln>
                        </pic:spPr>
                      </pic:pic>
                    </a:graphicData>
                  </a:graphic>
                </wp:inline>
              </w:drawing>
            </w:r>
            <w:r>
              <w:t xml:space="preserve">      </w:t>
            </w:r>
            <w:r>
              <w:rPr>
                <w:rFonts w:hint="eastAsia"/>
              </w:rPr>
              <w:t>（1.1</w:t>
            </w:r>
            <w:r>
              <w:t>-</w:t>
            </w:r>
            <w:r>
              <w:rPr>
                <w:rFonts w:hint="eastAsia"/>
              </w:rPr>
              <w:t>10）</w:t>
            </w:r>
          </w:p>
          <w:p>
            <w:pPr>
              <w:pStyle w:val="1671"/>
            </w:pPr>
            <w:r>
              <w:t xml:space="preserve">式中 </w:t>
            </w:r>
            <w:r>
              <w:drawing>
                <wp:inline distT="0" distB="0" distL="0" distR="0">
                  <wp:extent cx="219075" cy="219075"/>
                  <wp:effectExtent l="0" t="0" r="9525"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noChangeArrowheads="1"/>
                          </pic:cNvPicPr>
                        </pic:nvPicPr>
                        <pic:blipFill>
                          <a:blip r:embed="rId74"/>
                          <a:srcRect/>
                          <a:stretch>
                            <a:fillRect/>
                          </a:stretch>
                        </pic:blipFill>
                        <pic:spPr>
                          <a:xfrm>
                            <a:off x="0" y="0"/>
                            <a:ext cx="219075" cy="219075"/>
                          </a:xfrm>
                          <a:prstGeom prst="rect">
                            <a:avLst/>
                          </a:prstGeom>
                          <a:noFill/>
                          <a:ln w="9525">
                            <a:noFill/>
                            <a:miter lim="800000"/>
                            <a:headEnd/>
                            <a:tailEnd/>
                          </a:ln>
                        </pic:spPr>
                      </pic:pic>
                    </a:graphicData>
                  </a:graphic>
                </wp:inline>
              </w:drawing>
            </w:r>
            <w:r>
              <w:t>，</w:t>
            </w:r>
            <w:r>
              <w:drawing>
                <wp:inline distT="0" distB="0" distL="0" distR="0">
                  <wp:extent cx="200025" cy="219075"/>
                  <wp:effectExtent l="0" t="0" r="9525"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noChangeArrowheads="1"/>
                          </pic:cNvPicPr>
                        </pic:nvPicPr>
                        <pic:blipFill>
                          <a:blip r:embed="rId75"/>
                          <a:srcRect/>
                          <a:stretch>
                            <a:fillRect/>
                          </a:stretch>
                        </pic:blipFill>
                        <pic:spPr>
                          <a:xfrm>
                            <a:off x="0" y="0"/>
                            <a:ext cx="200025" cy="219075"/>
                          </a:xfrm>
                          <a:prstGeom prst="rect">
                            <a:avLst/>
                          </a:prstGeom>
                          <a:noFill/>
                          <a:ln w="9525">
                            <a:noFill/>
                            <a:miter lim="800000"/>
                            <a:headEnd/>
                            <a:tailEnd/>
                          </a:ln>
                        </pic:spPr>
                      </pic:pic>
                    </a:graphicData>
                  </a:graphic>
                </wp:inline>
              </w:drawing>
            </w:r>
            <w:r>
              <w:t>分别为水平涡动粘性系数和热扩散系数；</w:t>
            </w:r>
            <w:r>
              <w:drawing>
                <wp:inline distT="0" distB="0" distL="0" distR="0">
                  <wp:extent cx="714375" cy="200025"/>
                  <wp:effectExtent l="0" t="0" r="9525"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noChangeArrowheads="1"/>
                          </pic:cNvPicPr>
                        </pic:nvPicPr>
                        <pic:blipFill>
                          <a:blip r:embed="rId76"/>
                          <a:srcRect/>
                          <a:stretch>
                            <a:fillRect/>
                          </a:stretch>
                        </pic:blipFill>
                        <pic:spPr>
                          <a:xfrm>
                            <a:off x="0" y="0"/>
                            <a:ext cx="714375" cy="200025"/>
                          </a:xfrm>
                          <a:prstGeom prst="rect">
                            <a:avLst/>
                          </a:prstGeom>
                          <a:noFill/>
                          <a:ln w="9525">
                            <a:noFill/>
                            <a:miter lim="800000"/>
                            <a:headEnd/>
                            <a:tailEnd/>
                          </a:ln>
                        </pic:spPr>
                      </pic:pic>
                    </a:graphicData>
                  </a:graphic>
                </wp:inline>
              </w:drawing>
            </w:r>
            <w:r>
              <w:t>；</w:t>
            </w:r>
            <w:r>
              <w:drawing>
                <wp:inline distT="0" distB="0" distL="0" distR="0">
                  <wp:extent cx="152400" cy="200025"/>
                  <wp:effectExtent l="19050" t="0" r="0" b="0"/>
                  <wp:docPr id="16"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50"/>
                          <pic:cNvPicPr>
                            <a:picLocks noChangeAspect="1" noChangeArrowheads="1"/>
                          </pic:cNvPicPr>
                        </pic:nvPicPr>
                        <pic:blipFill>
                          <a:blip r:embed="rId77"/>
                          <a:srcRect/>
                          <a:stretch>
                            <a:fillRect/>
                          </a:stretch>
                        </pic:blipFill>
                        <pic:spPr>
                          <a:xfrm>
                            <a:off x="0" y="0"/>
                            <a:ext cx="152400" cy="200025"/>
                          </a:xfrm>
                          <a:prstGeom prst="rect">
                            <a:avLst/>
                          </a:prstGeom>
                          <a:noFill/>
                          <a:ln w="9525">
                            <a:noFill/>
                            <a:miter lim="800000"/>
                            <a:headEnd/>
                            <a:tailEnd/>
                          </a:ln>
                        </pic:spPr>
                      </pic:pic>
                    </a:graphicData>
                  </a:graphic>
                </wp:inline>
              </w:drawing>
            </w:r>
            <w:r>
              <w:t>为科氏参数</w:t>
            </w:r>
            <w:r>
              <w:drawing>
                <wp:inline distT="0" distB="0" distL="0" distR="0">
                  <wp:extent cx="238125" cy="219075"/>
                  <wp:effectExtent l="0" t="0" r="9525"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noChangeArrowheads="1"/>
                          </pic:cNvPicPr>
                        </pic:nvPicPr>
                        <pic:blipFill>
                          <a:blip r:embed="rId78"/>
                          <a:srcRect/>
                          <a:stretch>
                            <a:fillRect/>
                          </a:stretch>
                        </pic:blipFill>
                        <pic:spPr>
                          <a:xfrm>
                            <a:off x="0" y="0"/>
                            <a:ext cx="238125" cy="219075"/>
                          </a:xfrm>
                          <a:prstGeom prst="rect">
                            <a:avLst/>
                          </a:prstGeom>
                          <a:noFill/>
                          <a:ln w="9525">
                            <a:noFill/>
                            <a:miter lim="800000"/>
                            <a:headEnd/>
                            <a:tailEnd/>
                          </a:ln>
                        </pic:spPr>
                      </pic:pic>
                    </a:graphicData>
                  </a:graphic>
                </wp:inline>
              </w:drawing>
            </w:r>
            <w:r>
              <w:t>为垂向湍粘滞系数；</w:t>
            </w:r>
            <w:r>
              <w:drawing>
                <wp:inline distT="0" distB="0" distL="0" distR="0">
                  <wp:extent cx="142875" cy="142875"/>
                  <wp:effectExtent l="19050" t="0" r="9525"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noChangeArrowheads="1"/>
                          </pic:cNvPicPr>
                        </pic:nvPicPr>
                        <pic:blipFill>
                          <a:blip r:embed="rId79"/>
                          <a:srcRect/>
                          <a:stretch>
                            <a:fillRect/>
                          </a:stretch>
                        </pic:blipFill>
                        <pic:spPr>
                          <a:xfrm>
                            <a:off x="0" y="0"/>
                            <a:ext cx="142875" cy="142875"/>
                          </a:xfrm>
                          <a:prstGeom prst="rect">
                            <a:avLst/>
                          </a:prstGeom>
                          <a:noFill/>
                          <a:ln w="9525">
                            <a:noFill/>
                            <a:miter lim="800000"/>
                            <a:headEnd/>
                            <a:tailEnd/>
                          </a:ln>
                        </pic:spPr>
                      </pic:pic>
                    </a:graphicData>
                  </a:graphic>
                </wp:inline>
              </w:drawing>
            </w:r>
            <w:r>
              <w:t>为坐标变换后的垂向速度。</w:t>
            </w:r>
          </w:p>
          <w:p>
            <w:pPr>
              <w:pStyle w:val="1671"/>
            </w:pPr>
            <w:r>
              <w:rPr>
                <w:rFonts w:hint="eastAsia"/>
              </w:rPr>
              <w:t>（2）</w:t>
            </w:r>
            <w:r>
              <w:t>湍封闭方案</w:t>
            </w:r>
          </w:p>
          <w:p>
            <w:pPr>
              <w:pStyle w:val="1671"/>
            </w:pPr>
            <w:r>
              <w:rPr>
                <w:rFonts w:hint="eastAsia"/>
              </w:rPr>
              <w:t>①</w:t>
            </w:r>
            <w:r>
              <w:t>水平涡动粘性系数和热扩散系数：</w:t>
            </w:r>
          </w:p>
          <w:p>
            <w:pPr>
              <w:pStyle w:val="1671"/>
            </w:pPr>
            <w:r>
              <w:rPr>
                <w:rFonts w:eastAsia="方正宋三简体"/>
              </w:rPr>
              <w:drawing>
                <wp:inline distT="0" distB="0" distL="0" distR="0">
                  <wp:extent cx="2867025" cy="466725"/>
                  <wp:effectExtent l="0" t="0"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noChangeArrowheads="1"/>
                          </pic:cNvPicPr>
                        </pic:nvPicPr>
                        <pic:blipFill>
                          <a:blip r:embed="rId80"/>
                          <a:srcRect/>
                          <a:stretch>
                            <a:fillRect/>
                          </a:stretch>
                        </pic:blipFill>
                        <pic:spPr>
                          <a:xfrm>
                            <a:off x="0" y="0"/>
                            <a:ext cx="2867025" cy="466725"/>
                          </a:xfrm>
                          <a:prstGeom prst="rect">
                            <a:avLst/>
                          </a:prstGeom>
                          <a:noFill/>
                          <a:ln w="9525">
                            <a:noFill/>
                            <a:miter lim="800000"/>
                            <a:headEnd/>
                            <a:tailEnd/>
                          </a:ln>
                        </pic:spPr>
                      </pic:pic>
                    </a:graphicData>
                  </a:graphic>
                </wp:inline>
              </w:drawing>
            </w:r>
            <w:r>
              <w:rPr>
                <w:rFonts w:eastAsia="方正宋三简体"/>
              </w:rPr>
              <w:t xml:space="preserve">         </w:t>
            </w:r>
            <w:r>
              <w:t xml:space="preserve">           </w:t>
            </w:r>
            <w:r>
              <w:rPr>
                <w:rFonts w:hint="eastAsia"/>
              </w:rPr>
              <w:t>（1.1</w:t>
            </w:r>
            <w:r>
              <w:t>-</w:t>
            </w:r>
            <w:r>
              <w:rPr>
                <w:rFonts w:hint="eastAsia"/>
              </w:rPr>
              <w:t>11）</w:t>
            </w:r>
          </w:p>
          <w:p>
            <w:pPr>
              <w:pStyle w:val="1671"/>
            </w:pPr>
            <w:r>
              <w:drawing>
                <wp:inline distT="0" distB="0" distL="0" distR="0">
                  <wp:extent cx="2895600" cy="466725"/>
                  <wp:effectExtent l="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noChangeArrowheads="1"/>
                          </pic:cNvPicPr>
                        </pic:nvPicPr>
                        <pic:blipFill>
                          <a:blip r:embed="rId81"/>
                          <a:srcRect/>
                          <a:stretch>
                            <a:fillRect/>
                          </a:stretch>
                        </pic:blipFill>
                        <pic:spPr>
                          <a:xfrm>
                            <a:off x="0" y="0"/>
                            <a:ext cx="2895600" cy="466725"/>
                          </a:xfrm>
                          <a:prstGeom prst="rect">
                            <a:avLst/>
                          </a:prstGeom>
                          <a:noFill/>
                          <a:ln w="9525">
                            <a:noFill/>
                            <a:miter lim="800000"/>
                            <a:headEnd/>
                            <a:tailEnd/>
                          </a:ln>
                        </pic:spPr>
                      </pic:pic>
                    </a:graphicData>
                  </a:graphic>
                </wp:inline>
              </w:drawing>
            </w:r>
            <w:r>
              <w:t xml:space="preserve">                   </w:t>
            </w:r>
            <w:r>
              <w:rPr>
                <w:rFonts w:hint="eastAsia"/>
              </w:rPr>
              <w:t xml:space="preserve"> （1.1</w:t>
            </w:r>
            <w:r>
              <w:t>-</w:t>
            </w:r>
            <w:r>
              <w:rPr>
                <w:rFonts w:hint="eastAsia"/>
              </w:rPr>
              <w:t>12）</w:t>
            </w:r>
          </w:p>
          <w:p>
            <w:pPr>
              <w:pStyle w:val="1671"/>
            </w:pPr>
            <w:r>
              <w:rPr>
                <w:rFonts w:hint="eastAsia"/>
              </w:rPr>
              <w:t>②</w:t>
            </w:r>
            <w:r>
              <w:t>垂直涡动粘性系数和热扩散系数的确定：</w:t>
            </w:r>
          </w:p>
          <w:p>
            <w:pPr>
              <w:pStyle w:val="1671"/>
            </w:pPr>
            <w:r>
              <w:t>MY-2.5 模型：</w:t>
            </w:r>
          </w:p>
          <w:p>
            <w:pPr>
              <w:pStyle w:val="1671"/>
              <w:ind w:firstLine="0" w:firstLineChars="0"/>
            </w:pPr>
            <w:r>
              <w:drawing>
                <wp:inline distT="0" distB="0" distL="0" distR="0">
                  <wp:extent cx="4572000" cy="962025"/>
                  <wp:effectExtent l="19050" t="0" r="0" b="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noChangeArrowheads="1"/>
                          </pic:cNvPicPr>
                        </pic:nvPicPr>
                        <pic:blipFill>
                          <a:blip r:embed="rId82"/>
                          <a:srcRect/>
                          <a:stretch>
                            <a:fillRect/>
                          </a:stretch>
                        </pic:blipFill>
                        <pic:spPr>
                          <a:xfrm>
                            <a:off x="0" y="0"/>
                            <a:ext cx="4572000" cy="962025"/>
                          </a:xfrm>
                          <a:prstGeom prst="rect">
                            <a:avLst/>
                          </a:prstGeom>
                          <a:noFill/>
                          <a:ln w="9525">
                            <a:noFill/>
                            <a:miter lim="800000"/>
                            <a:headEnd/>
                            <a:tailEnd/>
                          </a:ln>
                        </pic:spPr>
                      </pic:pic>
                    </a:graphicData>
                  </a:graphic>
                </wp:inline>
              </w:drawing>
            </w:r>
            <w:r>
              <w:t xml:space="preserve"> </w:t>
            </w:r>
            <w:r>
              <w:rPr>
                <w:rFonts w:hint="eastAsia"/>
              </w:rPr>
              <w:t>（1.1</w:t>
            </w:r>
            <w:r>
              <w:t>-</w:t>
            </w:r>
            <w:r>
              <w:rPr>
                <w:rFonts w:hint="eastAsia"/>
              </w:rPr>
              <w:t>13）</w:t>
            </w:r>
          </w:p>
          <w:p>
            <w:pPr>
              <w:pStyle w:val="1671"/>
              <w:ind w:firstLine="0" w:firstLineChars="0"/>
            </w:pPr>
            <w:r>
              <w:drawing>
                <wp:inline distT="0" distB="0" distL="0" distR="0">
                  <wp:extent cx="4543425" cy="876300"/>
                  <wp:effectExtent l="19050" t="0" r="9525"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noChangeArrowheads="1"/>
                          </pic:cNvPicPr>
                        </pic:nvPicPr>
                        <pic:blipFill>
                          <a:blip r:embed="rId83"/>
                          <a:srcRect/>
                          <a:stretch>
                            <a:fillRect/>
                          </a:stretch>
                        </pic:blipFill>
                        <pic:spPr>
                          <a:xfrm>
                            <a:off x="0" y="0"/>
                            <a:ext cx="4543425" cy="876300"/>
                          </a:xfrm>
                          <a:prstGeom prst="rect">
                            <a:avLst/>
                          </a:prstGeom>
                          <a:noFill/>
                          <a:ln w="9525">
                            <a:noFill/>
                            <a:miter lim="800000"/>
                            <a:headEnd/>
                            <a:tailEnd/>
                          </a:ln>
                        </pic:spPr>
                      </pic:pic>
                    </a:graphicData>
                  </a:graphic>
                </wp:inline>
              </w:drawing>
            </w:r>
            <w:r>
              <w:rPr>
                <w:rFonts w:hint="eastAsia"/>
              </w:rPr>
              <w:t>（1.1</w:t>
            </w:r>
            <w:r>
              <w:t>-</w:t>
            </w:r>
            <w:r>
              <w:rPr>
                <w:rFonts w:hint="eastAsia"/>
              </w:rPr>
              <w:t>14）</w:t>
            </w:r>
          </w:p>
          <w:p>
            <w:pPr>
              <w:pStyle w:val="1671"/>
            </w:pPr>
            <w:r>
              <w:t>式中，</w:t>
            </w:r>
            <w:r>
              <w:drawing>
                <wp:inline distT="0" distB="0" distL="0" distR="0">
                  <wp:extent cx="342900" cy="352425"/>
                  <wp:effectExtent l="19050" t="0" r="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noChangeArrowheads="1"/>
                          </pic:cNvPicPr>
                        </pic:nvPicPr>
                        <pic:blipFill>
                          <a:blip r:embed="rId84"/>
                          <a:srcRect/>
                          <a:stretch>
                            <a:fillRect/>
                          </a:stretch>
                        </pic:blipFill>
                        <pic:spPr>
                          <a:xfrm>
                            <a:off x="0" y="0"/>
                            <a:ext cx="342900" cy="352425"/>
                          </a:xfrm>
                          <a:prstGeom prst="rect">
                            <a:avLst/>
                          </a:prstGeom>
                          <a:noFill/>
                          <a:ln w="9525">
                            <a:noFill/>
                            <a:miter lim="800000"/>
                            <a:headEnd/>
                            <a:tailEnd/>
                          </a:ln>
                        </pic:spPr>
                      </pic:pic>
                    </a:graphicData>
                  </a:graphic>
                </wp:inline>
              </w:drawing>
            </w:r>
            <w:r>
              <w:t>为湍流动能；</w:t>
            </w:r>
            <w:r>
              <w:drawing>
                <wp:inline distT="0" distB="0" distL="0" distR="0">
                  <wp:extent cx="85725" cy="180975"/>
                  <wp:effectExtent l="19050" t="0" r="9525" b="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noChangeArrowheads="1"/>
                          </pic:cNvPicPr>
                        </pic:nvPicPr>
                        <pic:blipFill>
                          <a:blip r:embed="rId85"/>
                          <a:srcRect/>
                          <a:stretch>
                            <a:fillRect/>
                          </a:stretch>
                        </pic:blipFill>
                        <pic:spPr>
                          <a:xfrm>
                            <a:off x="0" y="0"/>
                            <a:ext cx="85725" cy="180975"/>
                          </a:xfrm>
                          <a:prstGeom prst="rect">
                            <a:avLst/>
                          </a:prstGeom>
                          <a:noFill/>
                          <a:ln w="9525">
                            <a:noFill/>
                            <a:miter lim="800000"/>
                            <a:headEnd/>
                            <a:tailEnd/>
                          </a:ln>
                        </pic:spPr>
                      </pic:pic>
                    </a:graphicData>
                  </a:graphic>
                </wp:inline>
              </w:drawing>
            </w:r>
            <w:r>
              <w:t>为湍流宏观尺度。</w:t>
            </w:r>
          </w:p>
          <w:p>
            <w:pPr>
              <w:pStyle w:val="1671"/>
            </w:pPr>
            <w:r>
              <w:rPr>
                <w:rFonts w:hint="eastAsia"/>
              </w:rPr>
              <w:t>（3）差分方法</w:t>
            </w:r>
          </w:p>
          <w:p>
            <w:pPr>
              <w:pStyle w:val="1671"/>
            </w:pPr>
            <w:r>
              <w:rPr>
                <w:rFonts w:hint="eastAsia"/>
              </w:rPr>
              <w:t>对潮汐、潮流的模拟，FVCOM模式采用有限体积的方法，FVCOM用积分的方式通过计算非重叠水平三角形控制体的通量来解控制方程，这种有限体积方法很好地将有限元（finite-element）方法处理海湾岸边界复杂曲折的优点和有限差分方法简单的离散结构、高效的计算效率结合起来，并且对于近岸、河口具有复杂地形、岸界的区域来说，它更好的保证了质量、动量、盐度和热量的守恒性。</w:t>
            </w:r>
          </w:p>
          <w:p>
            <w:pPr>
              <w:pStyle w:val="1671"/>
            </w:pPr>
            <w:r>
              <w:rPr>
                <w:rFonts w:hint="eastAsia"/>
              </w:rPr>
              <w:t>（4）边界和自由条件</w:t>
            </w:r>
          </w:p>
          <w:p>
            <w:pPr>
              <w:pStyle w:val="1671"/>
            </w:pPr>
            <w:r>
              <w:rPr>
                <w:rFonts w:hint="eastAsia"/>
              </w:rPr>
              <w:t>①</w:t>
            </w:r>
            <w:r>
              <w:t>自由表面边界条件</w:t>
            </w:r>
            <w:r>
              <w:drawing>
                <wp:inline distT="0" distB="0" distL="0" distR="0">
                  <wp:extent cx="428625" cy="180975"/>
                  <wp:effectExtent l="19050" t="0" r="9525" b="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noChangeArrowheads="1"/>
                          </pic:cNvPicPr>
                        </pic:nvPicPr>
                        <pic:blipFill>
                          <a:blip r:embed="rId86"/>
                          <a:srcRect/>
                          <a:stretch>
                            <a:fillRect/>
                          </a:stretch>
                        </pic:blipFill>
                        <pic:spPr>
                          <a:xfrm>
                            <a:off x="0" y="0"/>
                            <a:ext cx="428625" cy="180975"/>
                          </a:xfrm>
                          <a:prstGeom prst="rect">
                            <a:avLst/>
                          </a:prstGeom>
                          <a:noFill/>
                          <a:ln w="9525">
                            <a:noFill/>
                            <a:miter lim="800000"/>
                            <a:headEnd/>
                            <a:tailEnd/>
                          </a:ln>
                        </pic:spPr>
                      </pic:pic>
                    </a:graphicData>
                  </a:graphic>
                </wp:inline>
              </w:drawing>
            </w:r>
            <w:r>
              <w:t xml:space="preserve">： </w:t>
            </w:r>
          </w:p>
          <w:p>
            <w:pPr>
              <w:pStyle w:val="1671"/>
            </w:pPr>
            <w:r>
              <w:drawing>
                <wp:inline distT="0" distB="0" distL="0" distR="0">
                  <wp:extent cx="4438650" cy="847725"/>
                  <wp:effectExtent l="0" t="0" r="0"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60"/>
                          <pic:cNvPicPr>
                            <a:picLocks noChangeAspect="1" noChangeArrowheads="1"/>
                          </pic:cNvPicPr>
                        </pic:nvPicPr>
                        <pic:blipFill>
                          <a:blip r:embed="rId87"/>
                          <a:srcRect/>
                          <a:stretch>
                            <a:fillRect/>
                          </a:stretch>
                        </pic:blipFill>
                        <pic:spPr>
                          <a:xfrm>
                            <a:off x="0" y="0"/>
                            <a:ext cx="4438650" cy="847725"/>
                          </a:xfrm>
                          <a:prstGeom prst="rect">
                            <a:avLst/>
                          </a:prstGeom>
                          <a:noFill/>
                          <a:ln w="9525">
                            <a:noFill/>
                            <a:miter lim="800000"/>
                            <a:headEnd/>
                            <a:tailEnd/>
                          </a:ln>
                        </pic:spPr>
                      </pic:pic>
                    </a:graphicData>
                  </a:graphic>
                </wp:inline>
              </w:drawing>
            </w:r>
            <w:r>
              <w:rPr>
                <w:rFonts w:hint="eastAsia"/>
              </w:rPr>
              <w:t>（1.1-15）</w:t>
            </w:r>
          </w:p>
          <w:p>
            <w:pPr>
              <w:pStyle w:val="1671"/>
            </w:pPr>
            <w:r>
              <w:t>对于纯天文潮，风应力</w:t>
            </w:r>
            <w:r>
              <w:drawing>
                <wp:inline distT="0" distB="0" distL="0" distR="0">
                  <wp:extent cx="409575" cy="228600"/>
                  <wp:effectExtent l="19050" t="0" r="9525"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161"/>
                          <pic:cNvPicPr>
                            <a:picLocks noChangeAspect="1" noChangeArrowheads="1"/>
                          </pic:cNvPicPr>
                        </pic:nvPicPr>
                        <pic:blipFill>
                          <a:blip r:embed="rId88"/>
                          <a:srcRect/>
                          <a:stretch>
                            <a:fillRect/>
                          </a:stretch>
                        </pic:blipFill>
                        <pic:spPr>
                          <a:xfrm>
                            <a:off x="0" y="0"/>
                            <a:ext cx="409575" cy="228600"/>
                          </a:xfrm>
                          <a:prstGeom prst="rect">
                            <a:avLst/>
                          </a:prstGeom>
                          <a:noFill/>
                          <a:ln w="9525">
                            <a:noFill/>
                            <a:miter lim="800000"/>
                            <a:headEnd/>
                            <a:tailEnd/>
                          </a:ln>
                        </pic:spPr>
                      </pic:pic>
                    </a:graphicData>
                  </a:graphic>
                </wp:inline>
              </w:drawing>
            </w:r>
            <w:r>
              <w:t>，表面热通量</w:t>
            </w:r>
            <w:r>
              <w:drawing>
                <wp:inline distT="0" distB="0" distL="0" distR="0">
                  <wp:extent cx="885825" cy="228600"/>
                  <wp:effectExtent l="19050" t="0" r="9525" b="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162"/>
                          <pic:cNvPicPr>
                            <a:picLocks noChangeAspect="1" noChangeArrowheads="1"/>
                          </pic:cNvPicPr>
                        </pic:nvPicPr>
                        <pic:blipFill>
                          <a:blip r:embed="rId89"/>
                          <a:srcRect/>
                          <a:stretch>
                            <a:fillRect/>
                          </a:stretch>
                        </pic:blipFill>
                        <pic:spPr>
                          <a:xfrm>
                            <a:off x="0" y="0"/>
                            <a:ext cx="885825" cy="228600"/>
                          </a:xfrm>
                          <a:prstGeom prst="rect">
                            <a:avLst/>
                          </a:prstGeom>
                          <a:noFill/>
                          <a:ln w="9525">
                            <a:noFill/>
                            <a:miter lim="800000"/>
                            <a:headEnd/>
                            <a:tailEnd/>
                          </a:ln>
                        </pic:spPr>
                      </pic:pic>
                    </a:graphicData>
                  </a:graphic>
                </wp:inline>
              </w:drawing>
            </w:r>
            <w:r>
              <w:t>，短波辐射</w:t>
            </w:r>
            <w:r>
              <w:drawing>
                <wp:inline distT="0" distB="0" distL="0" distR="0">
                  <wp:extent cx="1057275" cy="200025"/>
                  <wp:effectExtent l="19050" t="0" r="9525" b="0"/>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163"/>
                          <pic:cNvPicPr>
                            <a:picLocks noChangeAspect="1" noChangeArrowheads="1"/>
                          </pic:cNvPicPr>
                        </pic:nvPicPr>
                        <pic:blipFill>
                          <a:blip r:embed="rId90"/>
                          <a:srcRect/>
                          <a:stretch>
                            <a:fillRect/>
                          </a:stretch>
                        </pic:blipFill>
                        <pic:spPr>
                          <a:xfrm>
                            <a:off x="0" y="0"/>
                            <a:ext cx="1057275" cy="200025"/>
                          </a:xfrm>
                          <a:prstGeom prst="rect">
                            <a:avLst/>
                          </a:prstGeom>
                          <a:noFill/>
                          <a:ln w="9525">
                            <a:noFill/>
                            <a:miter lim="800000"/>
                            <a:headEnd/>
                            <a:tailEnd/>
                          </a:ln>
                        </pic:spPr>
                      </pic:pic>
                    </a:graphicData>
                  </a:graphic>
                </wp:inline>
              </w:drawing>
            </w:r>
            <w:r>
              <w:t>，蒸发E=0；降水P=0；</w:t>
            </w:r>
          </w:p>
          <w:p>
            <w:pPr>
              <w:pStyle w:val="1671"/>
            </w:pPr>
            <w:r>
              <w:rPr>
                <w:rFonts w:hint="eastAsia"/>
              </w:rPr>
              <w:t>②</w:t>
            </w:r>
            <w:r>
              <w:t>在近海底处边界条件</w:t>
            </w:r>
            <w:r>
              <w:drawing>
                <wp:inline distT="0" distB="0" distL="0" distR="0">
                  <wp:extent cx="447675" cy="180975"/>
                  <wp:effectExtent l="19050" t="0" r="9525" b="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164"/>
                          <pic:cNvPicPr>
                            <a:picLocks noChangeAspect="1" noChangeArrowheads="1"/>
                          </pic:cNvPicPr>
                        </pic:nvPicPr>
                        <pic:blipFill>
                          <a:blip r:embed="rId91"/>
                          <a:srcRect/>
                          <a:stretch>
                            <a:fillRect/>
                          </a:stretch>
                        </pic:blipFill>
                        <pic:spPr>
                          <a:xfrm>
                            <a:off x="0" y="0"/>
                            <a:ext cx="447675" cy="180975"/>
                          </a:xfrm>
                          <a:prstGeom prst="rect">
                            <a:avLst/>
                          </a:prstGeom>
                          <a:noFill/>
                          <a:ln w="9525">
                            <a:noFill/>
                            <a:miter lim="800000"/>
                            <a:headEnd/>
                            <a:tailEnd/>
                          </a:ln>
                        </pic:spPr>
                      </pic:pic>
                    </a:graphicData>
                  </a:graphic>
                </wp:inline>
              </w:drawing>
            </w:r>
            <w:r>
              <w:t>：</w:t>
            </w:r>
          </w:p>
          <w:p>
            <w:pPr>
              <w:pStyle w:val="1671"/>
            </w:pPr>
            <w:r>
              <w:drawing>
                <wp:inline distT="0" distB="0" distL="0" distR="0">
                  <wp:extent cx="3524250" cy="1057275"/>
                  <wp:effectExtent l="1905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165"/>
                          <pic:cNvPicPr>
                            <a:picLocks noChangeAspect="1" noChangeArrowheads="1"/>
                          </pic:cNvPicPr>
                        </pic:nvPicPr>
                        <pic:blipFill>
                          <a:blip r:embed="rId92"/>
                          <a:srcRect/>
                          <a:stretch>
                            <a:fillRect/>
                          </a:stretch>
                        </pic:blipFill>
                        <pic:spPr>
                          <a:xfrm>
                            <a:off x="0" y="0"/>
                            <a:ext cx="3524250" cy="1057275"/>
                          </a:xfrm>
                          <a:prstGeom prst="rect">
                            <a:avLst/>
                          </a:prstGeom>
                          <a:noFill/>
                          <a:ln w="9525">
                            <a:noFill/>
                            <a:miter lim="800000"/>
                            <a:headEnd/>
                            <a:tailEnd/>
                          </a:ln>
                        </pic:spPr>
                      </pic:pic>
                    </a:graphicData>
                  </a:graphic>
                </wp:inline>
              </w:drawing>
            </w:r>
            <w:r>
              <w:t xml:space="preserve">      </w:t>
            </w:r>
            <w:r>
              <w:rPr>
                <w:rFonts w:hint="eastAsia"/>
              </w:rPr>
              <w:t xml:space="preserve">     （1.1-16）</w:t>
            </w:r>
          </w:p>
          <w:p>
            <w:pPr>
              <w:pStyle w:val="1671"/>
            </w:pPr>
            <w:r>
              <w:t>式中，</w:t>
            </w:r>
            <w:r>
              <w:drawing>
                <wp:inline distT="0" distB="0" distL="0" distR="0">
                  <wp:extent cx="1781175" cy="295275"/>
                  <wp:effectExtent l="19050" t="0" r="9525" b="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166"/>
                          <pic:cNvPicPr>
                            <a:picLocks noChangeAspect="1" noChangeArrowheads="1"/>
                          </pic:cNvPicPr>
                        </pic:nvPicPr>
                        <pic:blipFill>
                          <a:blip r:embed="rId93"/>
                          <a:srcRect/>
                          <a:stretch>
                            <a:fillRect/>
                          </a:stretch>
                        </pic:blipFill>
                        <pic:spPr>
                          <a:xfrm>
                            <a:off x="0" y="0"/>
                            <a:ext cx="1781175" cy="295275"/>
                          </a:xfrm>
                          <a:prstGeom prst="rect">
                            <a:avLst/>
                          </a:prstGeom>
                          <a:noFill/>
                          <a:ln w="9525">
                            <a:noFill/>
                            <a:miter lim="800000"/>
                            <a:headEnd/>
                            <a:tailEnd/>
                          </a:ln>
                        </pic:spPr>
                      </pic:pic>
                    </a:graphicData>
                  </a:graphic>
                </wp:inline>
              </w:drawing>
            </w:r>
            <w:r>
              <w:t>，其中</w:t>
            </w:r>
            <w:r>
              <w:drawing>
                <wp:inline distT="0" distB="0" distL="0" distR="0">
                  <wp:extent cx="1924050" cy="752475"/>
                  <wp:effectExtent l="19050" t="0" r="0" b="0"/>
                  <wp:docPr id="167" name="图片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图片 167"/>
                          <pic:cNvPicPr>
                            <a:picLocks noChangeAspect="1" noChangeArrowheads="1"/>
                          </pic:cNvPicPr>
                        </pic:nvPicPr>
                        <pic:blipFill>
                          <a:blip r:embed="rId94"/>
                          <a:srcRect/>
                          <a:stretch>
                            <a:fillRect/>
                          </a:stretch>
                        </pic:blipFill>
                        <pic:spPr>
                          <a:xfrm>
                            <a:off x="0" y="0"/>
                            <a:ext cx="1924050" cy="752475"/>
                          </a:xfrm>
                          <a:prstGeom prst="rect">
                            <a:avLst/>
                          </a:prstGeom>
                          <a:noFill/>
                          <a:ln w="9525">
                            <a:noFill/>
                            <a:miter lim="800000"/>
                            <a:headEnd/>
                            <a:tailEnd/>
                          </a:ln>
                        </pic:spPr>
                      </pic:pic>
                    </a:graphicData>
                  </a:graphic>
                </wp:inline>
              </w:drawing>
            </w:r>
            <w:r>
              <w:t>，</w:t>
            </w:r>
            <w:r>
              <w:drawing>
                <wp:inline distT="0" distB="0" distL="0" distR="0">
                  <wp:extent cx="495300" cy="180975"/>
                  <wp:effectExtent l="19050" t="0" r="0" b="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168"/>
                          <pic:cNvPicPr>
                            <a:picLocks noChangeAspect="1" noChangeArrowheads="1"/>
                          </pic:cNvPicPr>
                        </pic:nvPicPr>
                        <pic:blipFill>
                          <a:blip r:embed="rId95"/>
                          <a:srcRect/>
                          <a:stretch>
                            <a:fillRect/>
                          </a:stretch>
                        </pic:blipFill>
                        <pic:spPr>
                          <a:xfrm>
                            <a:off x="0" y="0"/>
                            <a:ext cx="495300" cy="180975"/>
                          </a:xfrm>
                          <a:prstGeom prst="rect">
                            <a:avLst/>
                          </a:prstGeom>
                          <a:noFill/>
                          <a:ln w="9525">
                            <a:noFill/>
                            <a:miter lim="800000"/>
                            <a:headEnd/>
                            <a:tailEnd/>
                          </a:ln>
                        </pic:spPr>
                      </pic:pic>
                    </a:graphicData>
                  </a:graphic>
                </wp:inline>
              </w:drawing>
            </w:r>
            <w:r>
              <w:t>是Karman常数，</w:t>
            </w:r>
            <w:r>
              <w:drawing>
                <wp:inline distT="0" distB="0" distL="0" distR="0">
                  <wp:extent cx="161925" cy="228600"/>
                  <wp:effectExtent l="0" t="0" r="9525" b="0"/>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图片 169"/>
                          <pic:cNvPicPr>
                            <a:picLocks noChangeAspect="1" noChangeArrowheads="1"/>
                          </pic:cNvPicPr>
                        </pic:nvPicPr>
                        <pic:blipFill>
                          <a:blip r:embed="rId96"/>
                          <a:srcRect/>
                          <a:stretch>
                            <a:fillRect/>
                          </a:stretch>
                        </pic:blipFill>
                        <pic:spPr>
                          <a:xfrm>
                            <a:off x="0" y="0"/>
                            <a:ext cx="161925" cy="228600"/>
                          </a:xfrm>
                          <a:prstGeom prst="rect">
                            <a:avLst/>
                          </a:prstGeom>
                          <a:noFill/>
                          <a:ln w="9525">
                            <a:noFill/>
                            <a:miter lim="800000"/>
                            <a:headEnd/>
                            <a:tailEnd/>
                          </a:ln>
                        </pic:spPr>
                      </pic:pic>
                    </a:graphicData>
                  </a:graphic>
                </wp:inline>
              </w:drawing>
            </w:r>
            <w:r>
              <w:t>是海底粗糙度，</w:t>
            </w:r>
            <w:r>
              <w:drawing>
                <wp:inline distT="0" distB="0" distL="0" distR="0">
                  <wp:extent cx="219075" cy="228600"/>
                  <wp:effectExtent l="0" t="0" r="0" b="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70"/>
                          <pic:cNvPicPr>
                            <a:picLocks noChangeAspect="1" noChangeArrowheads="1"/>
                          </pic:cNvPicPr>
                        </pic:nvPicPr>
                        <pic:blipFill>
                          <a:blip r:embed="rId97"/>
                          <a:srcRect/>
                          <a:stretch>
                            <a:fillRect/>
                          </a:stretch>
                        </pic:blipFill>
                        <pic:spPr>
                          <a:xfrm>
                            <a:off x="0" y="0"/>
                            <a:ext cx="219075" cy="228600"/>
                          </a:xfrm>
                          <a:prstGeom prst="rect">
                            <a:avLst/>
                          </a:prstGeom>
                          <a:noFill/>
                          <a:ln w="9525">
                            <a:noFill/>
                            <a:miter lim="800000"/>
                            <a:headEnd/>
                            <a:tailEnd/>
                          </a:ln>
                        </pic:spPr>
                      </pic:pic>
                    </a:graphicData>
                  </a:graphic>
                </wp:inline>
              </w:drawing>
            </w:r>
            <w:r>
              <w:t>是离海底最近网格与海底的距离。</w:t>
            </w:r>
          </w:p>
          <w:p>
            <w:pPr>
              <w:pStyle w:val="1671"/>
            </w:pPr>
            <w:r>
              <w:rPr>
                <w:rFonts w:hint="eastAsia"/>
              </w:rPr>
              <w:t>③</w:t>
            </w:r>
            <w:r>
              <w:t>岸边界条件：</w:t>
            </w:r>
          </w:p>
          <w:p>
            <w:pPr>
              <w:pStyle w:val="1671"/>
            </w:pPr>
            <w:r>
              <w:drawing>
                <wp:inline distT="0" distB="0" distL="0" distR="0">
                  <wp:extent cx="1971675" cy="390525"/>
                  <wp:effectExtent l="19050" t="0" r="0" b="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171"/>
                          <pic:cNvPicPr>
                            <a:picLocks noChangeAspect="1" noChangeArrowheads="1"/>
                          </pic:cNvPicPr>
                        </pic:nvPicPr>
                        <pic:blipFill>
                          <a:blip r:embed="rId98"/>
                          <a:srcRect/>
                          <a:stretch>
                            <a:fillRect/>
                          </a:stretch>
                        </pic:blipFill>
                        <pic:spPr>
                          <a:xfrm>
                            <a:off x="0" y="0"/>
                            <a:ext cx="1971675" cy="390525"/>
                          </a:xfrm>
                          <a:prstGeom prst="rect">
                            <a:avLst/>
                          </a:prstGeom>
                          <a:noFill/>
                          <a:ln w="9525">
                            <a:noFill/>
                            <a:miter lim="800000"/>
                            <a:headEnd/>
                            <a:tailEnd/>
                          </a:ln>
                        </pic:spPr>
                      </pic:pic>
                    </a:graphicData>
                  </a:graphic>
                </wp:inline>
              </w:drawing>
            </w:r>
            <w:r>
              <w:t xml:space="preserve">                             </w:t>
            </w:r>
            <w:r>
              <w:rPr>
                <w:rFonts w:hint="eastAsia"/>
              </w:rPr>
              <w:t xml:space="preserve">   （1.1-17）</w:t>
            </w:r>
            <w:r>
              <w:t xml:space="preserve"> </w:t>
            </w:r>
          </w:p>
          <w:p>
            <w:pPr>
              <w:topLinePunct/>
              <w:adjustRightInd w:val="0"/>
              <w:snapToGrid w:val="0"/>
              <w:spacing w:line="360" w:lineRule="auto"/>
              <w:ind w:firstLine="420" w:firstLineChars="200"/>
              <w:rPr>
                <w:sz w:val="24"/>
              </w:rPr>
            </w:pPr>
            <w:r>
              <w:t>其中，</w:t>
            </w:r>
            <w:r>
              <w:drawing>
                <wp:inline distT="0" distB="0" distL="0" distR="0">
                  <wp:extent cx="123825" cy="161925"/>
                  <wp:effectExtent l="19050" t="0" r="9525" b="0"/>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72"/>
                          <pic:cNvPicPr>
                            <a:picLocks noChangeAspect="1" noChangeArrowheads="1"/>
                          </pic:cNvPicPr>
                        </pic:nvPicPr>
                        <pic:blipFill>
                          <a:blip r:embed="rId99"/>
                          <a:srcRect/>
                          <a:stretch>
                            <a:fillRect/>
                          </a:stretch>
                        </pic:blipFill>
                        <pic:spPr>
                          <a:xfrm>
                            <a:off x="0" y="0"/>
                            <a:ext cx="123825" cy="161925"/>
                          </a:xfrm>
                          <a:prstGeom prst="rect">
                            <a:avLst/>
                          </a:prstGeom>
                          <a:noFill/>
                          <a:ln w="9525">
                            <a:noFill/>
                            <a:miter lim="800000"/>
                            <a:headEnd/>
                            <a:tailEnd/>
                          </a:ln>
                        </pic:spPr>
                      </pic:pic>
                    </a:graphicData>
                  </a:graphic>
                </wp:inline>
              </w:drawing>
            </w:r>
            <w:r>
              <w:t>为岸线外法线方向。</w:t>
            </w:r>
          </w:p>
          <w:p>
            <w:pPr>
              <w:pStyle w:val="1671"/>
              <w:ind w:firstLine="482"/>
              <w:rPr>
                <w:b/>
              </w:rPr>
            </w:pPr>
            <w:r>
              <w:rPr>
                <w:rFonts w:hint="eastAsia"/>
                <w:b/>
              </w:rPr>
              <w:t>1</w:t>
            </w:r>
            <w:r>
              <w:rPr>
                <w:b/>
              </w:rPr>
              <w:t>.1.</w:t>
            </w:r>
            <w:r>
              <w:rPr>
                <w:rFonts w:hint="eastAsia"/>
                <w:b/>
              </w:rPr>
              <w:t>2</w:t>
            </w:r>
            <w:r>
              <w:rPr>
                <w:b/>
              </w:rPr>
              <w:t xml:space="preserve">  </w:t>
            </w:r>
            <w:r>
              <w:rPr>
                <w:rFonts w:hint="eastAsia"/>
                <w:b/>
              </w:rPr>
              <w:t>模型设置</w:t>
            </w:r>
          </w:p>
          <w:p>
            <w:pPr>
              <w:pStyle w:val="1671"/>
            </w:pPr>
            <w:r>
              <w:rPr>
                <w:rFonts w:hint="eastAsia"/>
              </w:rPr>
              <w:t>（1）计算域</w:t>
            </w:r>
          </w:p>
          <w:p>
            <w:pPr>
              <w:pStyle w:val="1671"/>
            </w:pPr>
            <w:r>
              <w:rPr>
                <w:rFonts w:hint="eastAsia"/>
              </w:rPr>
              <w:t>模型模拟的海域具体范围如图1.1.1所示。</w:t>
            </w:r>
          </w:p>
          <w:p>
            <w:pPr>
              <w:pStyle w:val="1671"/>
            </w:pPr>
            <w:r>
              <w:rPr>
                <w:rFonts w:hint="eastAsia"/>
              </w:rPr>
              <w:t>（2）网格设置</w:t>
            </w:r>
          </w:p>
          <w:p>
            <w:pPr>
              <w:pStyle w:val="1671"/>
            </w:pPr>
            <w:r>
              <w:rPr>
                <w:rFonts w:hint="eastAsia"/>
              </w:rPr>
              <w:t>水动力模型采用无结构的三角形网格系统，考虑到实测的流速数据，将垂直方向分为5层，大海域网格系统如图1.1.1所示。</w:t>
            </w:r>
          </w:p>
          <w:p>
            <w:pPr>
              <w:pStyle w:val="1671"/>
            </w:pPr>
            <w:r>
              <w:rPr>
                <w:rFonts w:hint="eastAsia"/>
              </w:rPr>
              <w:t>模型采用三角形网格剖分计算域，工程所处网格分辨率最小为50m。大海域计算域内共有</w:t>
            </w:r>
            <w:r>
              <w:t>7576</w:t>
            </w:r>
            <w:r>
              <w:rPr>
                <w:rFonts w:hint="eastAsia"/>
              </w:rPr>
              <w:t>个结点（node），</w:t>
            </w:r>
            <w:r>
              <w:t>14247</w:t>
            </w:r>
            <w:r>
              <w:rPr>
                <w:rFonts w:hint="eastAsia"/>
              </w:rPr>
              <w:t>个三角形单元（cell）。</w:t>
            </w:r>
          </w:p>
          <w:p>
            <w:pPr>
              <w:pStyle w:val="1671"/>
            </w:pPr>
            <w:r>
              <w:rPr>
                <w:rFonts w:hint="eastAsia"/>
              </w:rPr>
              <w:t>（3）水深和岸界</w:t>
            </w:r>
          </w:p>
          <w:p>
            <w:pPr>
              <w:pStyle w:val="1671"/>
            </w:pPr>
            <w:r>
              <w:rPr>
                <w:rFonts w:hint="eastAsia"/>
              </w:rPr>
              <w:t>海域的岸线和水深地形充分考虑了近年来工程建设对岸线和水深变化的影响，主要依据为中国人民解放军司令部航海保证部的海图数据，水深等值线见图1.1.3。</w:t>
            </w:r>
          </w:p>
          <w:p>
            <w:pPr>
              <w:pStyle w:val="1671"/>
            </w:pPr>
            <w:r>
              <w:rPr>
                <w:rFonts w:hint="eastAsia"/>
              </w:rPr>
              <w:t>（4）大海域模型水边界输入</w:t>
            </w:r>
          </w:p>
          <w:p>
            <w:pPr>
              <w:pStyle w:val="1671"/>
            </w:pPr>
            <w:r>
              <w:rPr>
                <w:rFonts w:hint="eastAsia"/>
              </w:rPr>
              <w:t>边界上采用潮汐调和常数预报开边界水位，为了与实测资料对比，数值模型计算时间涵盖了现场观测时段。</w:t>
            </w:r>
          </w:p>
          <w:p>
            <w:pPr>
              <w:pStyle w:val="1671"/>
            </w:pPr>
            <w:r>
              <w:rPr>
                <w:rFonts w:hint="eastAsia"/>
              </w:rPr>
              <w:t>针对本海区的特点选取M</w:t>
            </w:r>
            <w:r>
              <w:rPr>
                <w:rFonts w:hint="eastAsia"/>
                <w:vertAlign w:val="subscript"/>
              </w:rPr>
              <w:t>2</w:t>
            </w:r>
            <w:r>
              <w:rPr>
                <w:rFonts w:hint="eastAsia"/>
              </w:rPr>
              <w:t>、S</w:t>
            </w:r>
            <w:r>
              <w:rPr>
                <w:rFonts w:hint="eastAsia"/>
                <w:vertAlign w:val="subscript"/>
              </w:rPr>
              <w:t>2</w:t>
            </w:r>
            <w:r>
              <w:rPr>
                <w:rFonts w:hint="eastAsia"/>
              </w:rPr>
              <w:t>、K</w:t>
            </w:r>
            <w:r>
              <w:rPr>
                <w:rFonts w:hint="eastAsia"/>
                <w:vertAlign w:val="subscript"/>
              </w:rPr>
              <w:t>1</w:t>
            </w:r>
            <w:r>
              <w:rPr>
                <w:rFonts w:hint="eastAsia"/>
              </w:rPr>
              <w:t>、O</w:t>
            </w:r>
            <w:r>
              <w:rPr>
                <w:rFonts w:hint="eastAsia"/>
                <w:vertAlign w:val="subscript"/>
              </w:rPr>
              <w:t>1</w:t>
            </w:r>
            <w:r>
              <w:rPr>
                <w:rFonts w:hint="eastAsia"/>
              </w:rPr>
              <w:t>四大主要分潮预报的边界潮位来驱动模式，计算公式如下：</w:t>
            </w:r>
          </w:p>
          <w:p>
            <w:pPr>
              <w:pStyle w:val="1671"/>
            </w:pPr>
            <w:r>
              <w:drawing>
                <wp:inline distT="0" distB="0" distL="0" distR="0">
                  <wp:extent cx="2600325" cy="428625"/>
                  <wp:effectExtent l="0" t="0" r="0"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235"/>
                          <pic:cNvPicPr>
                            <a:picLocks noChangeAspect="1" noChangeArrowheads="1"/>
                          </pic:cNvPicPr>
                        </pic:nvPicPr>
                        <pic:blipFill>
                          <a:blip r:embed="rId100"/>
                          <a:srcRect/>
                          <a:stretch>
                            <a:fillRect/>
                          </a:stretch>
                        </pic:blipFill>
                        <pic:spPr>
                          <a:xfrm>
                            <a:off x="0" y="0"/>
                            <a:ext cx="2600325" cy="428625"/>
                          </a:xfrm>
                          <a:prstGeom prst="rect">
                            <a:avLst/>
                          </a:prstGeom>
                          <a:noFill/>
                          <a:ln w="9525">
                            <a:noFill/>
                            <a:miter lim="800000"/>
                            <a:headEnd/>
                            <a:tailEnd/>
                          </a:ln>
                        </pic:spPr>
                      </pic:pic>
                    </a:graphicData>
                  </a:graphic>
                </wp:inline>
              </w:drawing>
            </w:r>
            <w:r>
              <w:t xml:space="preserve">        </w:t>
            </w:r>
            <w:r>
              <w:rPr>
                <w:rFonts w:hint="eastAsia"/>
              </w:rPr>
              <w:t xml:space="preserve">               （1.1-18）</w:t>
            </w:r>
          </w:p>
          <w:p>
            <w:pPr>
              <w:pStyle w:val="1671"/>
            </w:pPr>
            <w:r>
              <w:t>其中，</w:t>
            </w:r>
            <w:r>
              <w:drawing>
                <wp:inline distT="0" distB="0" distL="0" distR="0">
                  <wp:extent cx="123825" cy="161925"/>
                  <wp:effectExtent l="19050" t="0" r="9525" b="0"/>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noChangeArrowheads="1"/>
                          </pic:cNvPicPr>
                        </pic:nvPicPr>
                        <pic:blipFill>
                          <a:blip r:embed="rId101"/>
                          <a:srcRect/>
                          <a:stretch>
                            <a:fillRect/>
                          </a:stretch>
                        </pic:blipFill>
                        <pic:spPr>
                          <a:xfrm>
                            <a:off x="0" y="0"/>
                            <a:ext cx="123825" cy="161925"/>
                          </a:xfrm>
                          <a:prstGeom prst="rect">
                            <a:avLst/>
                          </a:prstGeom>
                          <a:noFill/>
                          <a:ln w="9525">
                            <a:noFill/>
                            <a:miter lim="800000"/>
                            <a:headEnd/>
                            <a:tailEnd/>
                          </a:ln>
                        </pic:spPr>
                      </pic:pic>
                    </a:graphicData>
                  </a:graphic>
                </wp:inline>
              </w:drawing>
            </w:r>
            <w:r>
              <w:t>为水位，</w:t>
            </w:r>
            <w:r>
              <w:drawing>
                <wp:inline distT="0" distB="0" distL="0" distR="0">
                  <wp:extent cx="409575" cy="228600"/>
                  <wp:effectExtent l="0" t="0" r="9525" b="0"/>
                  <wp:docPr id="237" name="图片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图片 237"/>
                          <pic:cNvPicPr>
                            <a:picLocks noChangeAspect="1" noChangeArrowheads="1"/>
                          </pic:cNvPicPr>
                        </pic:nvPicPr>
                        <pic:blipFill>
                          <a:blip r:embed="rId102"/>
                          <a:srcRect/>
                          <a:stretch>
                            <a:fillRect/>
                          </a:stretch>
                        </pic:blipFill>
                        <pic:spPr>
                          <a:xfrm>
                            <a:off x="0" y="0"/>
                            <a:ext cx="409575" cy="228600"/>
                          </a:xfrm>
                          <a:prstGeom prst="rect">
                            <a:avLst/>
                          </a:prstGeom>
                          <a:noFill/>
                          <a:ln w="9525">
                            <a:noFill/>
                            <a:miter lim="800000"/>
                            <a:headEnd/>
                            <a:tailEnd/>
                          </a:ln>
                        </pic:spPr>
                      </pic:pic>
                    </a:graphicData>
                  </a:graphic>
                </wp:inline>
              </w:drawing>
            </w:r>
            <w:r>
              <w:t>为第</w:t>
            </w:r>
            <w:r>
              <w:drawing>
                <wp:inline distT="0" distB="0" distL="0" distR="0">
                  <wp:extent cx="85725" cy="161925"/>
                  <wp:effectExtent l="19050" t="0" r="9525" b="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noChangeArrowheads="1"/>
                          </pic:cNvPicPr>
                        </pic:nvPicPr>
                        <pic:blipFill>
                          <a:blip r:embed="rId103"/>
                          <a:srcRect/>
                          <a:stretch>
                            <a:fillRect/>
                          </a:stretch>
                        </pic:blipFill>
                        <pic:spPr>
                          <a:xfrm>
                            <a:off x="0" y="0"/>
                            <a:ext cx="85725" cy="161925"/>
                          </a:xfrm>
                          <a:prstGeom prst="rect">
                            <a:avLst/>
                          </a:prstGeom>
                          <a:noFill/>
                          <a:ln w="9525">
                            <a:noFill/>
                            <a:miter lim="800000"/>
                            <a:headEnd/>
                            <a:tailEnd/>
                          </a:ln>
                        </pic:spPr>
                      </pic:pic>
                    </a:graphicData>
                  </a:graphic>
                </wp:inline>
              </w:drawing>
            </w:r>
            <w:r>
              <w:t>个分潮的调和常数，</w:t>
            </w:r>
            <w:r>
              <w:drawing>
                <wp:inline distT="0" distB="0" distL="0" distR="0">
                  <wp:extent cx="142875" cy="200025"/>
                  <wp:effectExtent l="0" t="0" r="9525" b="0"/>
                  <wp:docPr id="239" name="图片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图片 239"/>
                          <pic:cNvPicPr>
                            <a:picLocks noChangeAspect="1" noChangeArrowheads="1"/>
                          </pic:cNvPicPr>
                        </pic:nvPicPr>
                        <pic:blipFill>
                          <a:blip r:embed="rId104"/>
                          <a:srcRect/>
                          <a:stretch>
                            <a:fillRect/>
                          </a:stretch>
                        </pic:blipFill>
                        <pic:spPr>
                          <a:xfrm>
                            <a:off x="0" y="0"/>
                            <a:ext cx="142875" cy="200025"/>
                          </a:xfrm>
                          <a:prstGeom prst="rect">
                            <a:avLst/>
                          </a:prstGeom>
                          <a:noFill/>
                          <a:ln w="9525">
                            <a:noFill/>
                            <a:miter lim="800000"/>
                            <a:headEnd/>
                            <a:tailEnd/>
                          </a:ln>
                        </pic:spPr>
                      </pic:pic>
                    </a:graphicData>
                  </a:graphic>
                </wp:inline>
              </w:drawing>
            </w:r>
            <w:r>
              <w:t>为分潮的角速度，</w:t>
            </w:r>
            <w:r>
              <w:drawing>
                <wp:inline distT="0" distB="0" distL="0" distR="0">
                  <wp:extent cx="104775" cy="152400"/>
                  <wp:effectExtent l="19050" t="0" r="0" b="0"/>
                  <wp:docPr id="240" name="图片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图片 240"/>
                          <pic:cNvPicPr>
                            <a:picLocks noChangeAspect="1" noChangeArrowheads="1"/>
                          </pic:cNvPicPr>
                        </pic:nvPicPr>
                        <pic:blipFill>
                          <a:blip r:embed="rId105"/>
                          <a:srcRect/>
                          <a:stretch>
                            <a:fillRect/>
                          </a:stretch>
                        </pic:blipFill>
                        <pic:spPr>
                          <a:xfrm>
                            <a:off x="0" y="0"/>
                            <a:ext cx="104775" cy="152400"/>
                          </a:xfrm>
                          <a:prstGeom prst="rect">
                            <a:avLst/>
                          </a:prstGeom>
                          <a:noFill/>
                          <a:ln w="9525">
                            <a:noFill/>
                            <a:miter lim="800000"/>
                            <a:headEnd/>
                            <a:tailEnd/>
                          </a:ln>
                        </pic:spPr>
                      </pic:pic>
                    </a:graphicData>
                  </a:graphic>
                </wp:inline>
              </w:drawing>
            </w:r>
            <w:r>
              <w:t>为时间，</w:t>
            </w:r>
            <w:r>
              <w:drawing>
                <wp:inline distT="0" distB="0" distL="0" distR="0">
                  <wp:extent cx="133350" cy="200025"/>
                  <wp:effectExtent l="19050" t="0" r="0" b="0"/>
                  <wp:docPr id="241" name="图片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图片 241"/>
                          <pic:cNvPicPr>
                            <a:picLocks noChangeAspect="1" noChangeArrowheads="1"/>
                          </pic:cNvPicPr>
                        </pic:nvPicPr>
                        <pic:blipFill>
                          <a:blip r:embed="rId106"/>
                          <a:srcRect/>
                          <a:stretch>
                            <a:fillRect/>
                          </a:stretch>
                        </pic:blipFill>
                        <pic:spPr>
                          <a:xfrm>
                            <a:off x="0" y="0"/>
                            <a:ext cx="133350" cy="200025"/>
                          </a:xfrm>
                          <a:prstGeom prst="rect">
                            <a:avLst/>
                          </a:prstGeom>
                          <a:noFill/>
                          <a:ln w="9525">
                            <a:noFill/>
                            <a:miter lim="800000"/>
                            <a:headEnd/>
                            <a:tailEnd/>
                          </a:ln>
                        </pic:spPr>
                      </pic:pic>
                    </a:graphicData>
                  </a:graphic>
                </wp:inline>
              </w:drawing>
            </w:r>
            <w:r>
              <w:t>为分潮的交点因子，</w:t>
            </w:r>
            <w:r>
              <w:drawing>
                <wp:inline distT="0" distB="0" distL="0" distR="0">
                  <wp:extent cx="171450" cy="200025"/>
                  <wp:effectExtent l="19050" t="0" r="0" b="0"/>
                  <wp:docPr id="242" name="图片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242"/>
                          <pic:cNvPicPr>
                            <a:picLocks noChangeAspect="1" noChangeArrowheads="1"/>
                          </pic:cNvPicPr>
                        </pic:nvPicPr>
                        <pic:blipFill>
                          <a:blip r:embed="rId107"/>
                          <a:srcRect/>
                          <a:stretch>
                            <a:fillRect/>
                          </a:stretch>
                        </pic:blipFill>
                        <pic:spPr>
                          <a:xfrm>
                            <a:off x="0" y="0"/>
                            <a:ext cx="171450" cy="200025"/>
                          </a:xfrm>
                          <a:prstGeom prst="rect">
                            <a:avLst/>
                          </a:prstGeom>
                          <a:noFill/>
                          <a:ln w="9525">
                            <a:noFill/>
                            <a:miter lim="800000"/>
                            <a:headEnd/>
                            <a:tailEnd/>
                          </a:ln>
                        </pic:spPr>
                      </pic:pic>
                    </a:graphicData>
                  </a:graphic>
                </wp:inline>
              </w:drawing>
            </w:r>
            <w:r>
              <w:t>为分潮的天文初位相，</w:t>
            </w:r>
            <w:r>
              <w:drawing>
                <wp:inline distT="0" distB="0" distL="0" distR="0">
                  <wp:extent cx="133350" cy="200025"/>
                  <wp:effectExtent l="19050" t="0" r="0"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243"/>
                          <pic:cNvPicPr>
                            <a:picLocks noChangeAspect="1" noChangeArrowheads="1"/>
                          </pic:cNvPicPr>
                        </pic:nvPicPr>
                        <pic:blipFill>
                          <a:blip r:embed="rId108"/>
                          <a:srcRect/>
                          <a:stretch>
                            <a:fillRect/>
                          </a:stretch>
                        </pic:blipFill>
                        <pic:spPr>
                          <a:xfrm>
                            <a:off x="0" y="0"/>
                            <a:ext cx="133350" cy="200025"/>
                          </a:xfrm>
                          <a:prstGeom prst="rect">
                            <a:avLst/>
                          </a:prstGeom>
                          <a:noFill/>
                          <a:ln w="9525">
                            <a:noFill/>
                            <a:miter lim="800000"/>
                            <a:headEnd/>
                            <a:tailEnd/>
                          </a:ln>
                        </pic:spPr>
                      </pic:pic>
                    </a:graphicData>
                  </a:graphic>
                </wp:inline>
              </w:drawing>
            </w:r>
            <w:r>
              <w:t>为分潮的交点订正角。</w:t>
            </w:r>
          </w:p>
          <w:p>
            <w:pPr>
              <w:pStyle w:val="1671"/>
            </w:pPr>
            <w:r>
              <w:rPr>
                <w:rFonts w:hint="eastAsia"/>
              </w:rPr>
              <w:t>（5）初始条件</w:t>
            </w:r>
          </w:p>
          <w:p>
            <w:pPr>
              <w:pStyle w:val="1671"/>
            </w:pPr>
            <w:r>
              <w:rPr>
                <w:rFonts w:hint="eastAsia"/>
              </w:rPr>
              <w:t>模式为正压，水温场和盐度场取为常数，分别为20℃和3</w:t>
            </w:r>
            <w:r>
              <w:t>1.8</w:t>
            </w:r>
            <w:r>
              <w:rPr>
                <w:rFonts w:hint="eastAsia"/>
              </w:rPr>
              <w:t>。初始的水位场和流速场均为0。</w:t>
            </w:r>
          </w:p>
          <w:p>
            <w:pPr>
              <w:pStyle w:val="1671"/>
            </w:pPr>
            <w:r>
              <w:rPr>
                <w:rFonts w:hint="eastAsia"/>
              </w:rPr>
              <w:t>（6）计算时间步长</w:t>
            </w:r>
          </w:p>
          <w:p>
            <w:pPr>
              <w:pStyle w:val="1671"/>
            </w:pPr>
            <w:r>
              <w:rPr>
                <w:rFonts w:hint="eastAsia"/>
              </w:rPr>
              <w:t>在工程区域，水平分辨率最小可以达到</w:t>
            </w:r>
            <w:r>
              <w:t>3</w:t>
            </w:r>
            <w:r>
              <w:rPr>
                <w:rFonts w:hint="eastAsia"/>
              </w:rPr>
              <w:t>0m，为使模式稳定，需要满足CFL条件，选取外模时间步长：1s，内模时间步长为1</w:t>
            </w:r>
            <w:r>
              <w:t>0</w:t>
            </w:r>
            <w:r>
              <w:rPr>
                <w:rFonts w:hint="eastAsia"/>
              </w:rPr>
              <w:t>s。为了配合模型结果与观测资料（大潮期）进行验证，模型计算的时间为20</w:t>
            </w:r>
            <w:r>
              <w:t>15</w:t>
            </w:r>
            <w:r>
              <w:rPr>
                <w:rFonts w:hint="eastAsia"/>
              </w:rPr>
              <w:t>年</w:t>
            </w:r>
            <w:r>
              <w:t>12</w:t>
            </w:r>
            <w:r>
              <w:rPr>
                <w:rFonts w:hint="eastAsia"/>
              </w:rPr>
              <w:t>月2</w:t>
            </w:r>
            <w:r>
              <w:t>5</w:t>
            </w:r>
            <w:r>
              <w:rPr>
                <w:rFonts w:hint="eastAsia"/>
              </w:rPr>
              <w:t>日9时至20</w:t>
            </w:r>
            <w:r>
              <w:t>15</w:t>
            </w:r>
            <w:r>
              <w:rPr>
                <w:rFonts w:hint="eastAsia"/>
              </w:rPr>
              <w:t>年</w:t>
            </w:r>
            <w:r>
              <w:t>12</w:t>
            </w:r>
            <w:r>
              <w:rPr>
                <w:rFonts w:hint="eastAsia"/>
              </w:rPr>
              <w:t>月2</w:t>
            </w:r>
            <w:r>
              <w:t>6</w:t>
            </w:r>
            <w:r>
              <w:rPr>
                <w:rFonts w:hint="eastAsia"/>
              </w:rPr>
              <w:t>日8时，每6分钟输出一组数据。前4天用于数值模式的稳定时间，输出后面的数据进行分析、计算与验证。</w:t>
            </w:r>
          </w:p>
          <w:p>
            <w:pPr>
              <w:pStyle w:val="1671"/>
            </w:pPr>
            <w:r>
              <w:rPr>
                <w:rFonts w:hint="eastAsia"/>
              </w:rPr>
              <w:t>在本次数值模拟中，蒸发、降水、径流量等因素没有虑及。</w:t>
            </w:r>
          </w:p>
          <w:p>
            <w:pPr>
              <w:autoSpaceDE w:val="0"/>
              <w:autoSpaceDN w:val="0"/>
              <w:adjustRightInd w:val="0"/>
              <w:spacing w:line="360" w:lineRule="auto"/>
              <w:jc w:val="center"/>
              <w:rPr>
                <w:b/>
                <w:kern w:val="0"/>
              </w:rPr>
            </w:pPr>
            <w:r>
              <w:drawing>
                <wp:inline distT="0" distB="0" distL="0" distR="0">
                  <wp:extent cx="4826635" cy="3745865"/>
                  <wp:effectExtent l="0" t="0" r="0" b="698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109"/>
                          <a:stretch>
                            <a:fillRect/>
                          </a:stretch>
                        </pic:blipFill>
                        <pic:spPr>
                          <a:xfrm>
                            <a:off x="0" y="0"/>
                            <a:ext cx="4837117" cy="3753590"/>
                          </a:xfrm>
                          <a:prstGeom prst="rect">
                            <a:avLst/>
                          </a:prstGeom>
                        </pic:spPr>
                      </pic:pic>
                    </a:graphicData>
                  </a:graphic>
                </wp:inline>
              </w:drawing>
            </w:r>
          </w:p>
          <w:p>
            <w:pPr>
              <w:autoSpaceDE w:val="0"/>
              <w:autoSpaceDN w:val="0"/>
              <w:adjustRightInd w:val="0"/>
              <w:spacing w:line="360" w:lineRule="auto"/>
              <w:jc w:val="center"/>
              <w:rPr>
                <w:b/>
                <w:kern w:val="0"/>
              </w:rPr>
            </w:pPr>
            <w:r>
              <w:rPr>
                <w:rFonts w:hint="eastAsia"/>
                <w:b/>
                <w:kern w:val="0"/>
              </w:rPr>
              <w:t>图1.1.1  计算域网格</w:t>
            </w:r>
          </w:p>
          <w:p>
            <w:pPr>
              <w:autoSpaceDE w:val="0"/>
              <w:autoSpaceDN w:val="0"/>
              <w:adjustRightInd w:val="0"/>
              <w:jc w:val="center"/>
              <w:rPr>
                <w:b/>
                <w:kern w:val="0"/>
              </w:rPr>
            </w:pPr>
            <w:r>
              <w:drawing>
                <wp:inline distT="0" distB="0" distL="0" distR="0">
                  <wp:extent cx="4857750" cy="3779520"/>
                  <wp:effectExtent l="0" t="0" r="0" b="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110"/>
                          <a:stretch>
                            <a:fillRect/>
                          </a:stretch>
                        </pic:blipFill>
                        <pic:spPr>
                          <a:xfrm>
                            <a:off x="0" y="0"/>
                            <a:ext cx="4858358" cy="3780000"/>
                          </a:xfrm>
                          <a:prstGeom prst="rect">
                            <a:avLst/>
                          </a:prstGeom>
                        </pic:spPr>
                      </pic:pic>
                    </a:graphicData>
                  </a:graphic>
                </wp:inline>
              </w:drawing>
            </w:r>
          </w:p>
          <w:p>
            <w:pPr>
              <w:autoSpaceDE w:val="0"/>
              <w:autoSpaceDN w:val="0"/>
              <w:adjustRightInd w:val="0"/>
              <w:spacing w:line="360" w:lineRule="auto"/>
              <w:jc w:val="center"/>
              <w:rPr>
                <w:b/>
                <w:kern w:val="0"/>
              </w:rPr>
            </w:pPr>
            <w:r>
              <w:rPr>
                <w:rFonts w:hint="eastAsia"/>
                <w:b/>
                <w:kern w:val="0"/>
              </w:rPr>
              <w:t>图1.1.2 潮流验证点</w:t>
            </w:r>
          </w:p>
          <w:p>
            <w:pPr>
              <w:pStyle w:val="35"/>
              <w:spacing w:line="240" w:lineRule="auto"/>
              <w:ind w:firstLine="0"/>
              <w:jc w:val="center"/>
              <w:textAlignment w:val="baseline"/>
            </w:pPr>
            <w:r>
              <w:drawing>
                <wp:inline distT="0" distB="0" distL="0" distR="0">
                  <wp:extent cx="4864100" cy="3779520"/>
                  <wp:effectExtent l="0" t="0" r="0" b="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spect="1"/>
                          </pic:cNvPicPr>
                        </pic:nvPicPr>
                        <pic:blipFill>
                          <a:blip r:embed="rId111"/>
                          <a:stretch>
                            <a:fillRect/>
                          </a:stretch>
                        </pic:blipFill>
                        <pic:spPr>
                          <a:xfrm>
                            <a:off x="0" y="0"/>
                            <a:ext cx="4864409" cy="3780000"/>
                          </a:xfrm>
                          <a:prstGeom prst="rect">
                            <a:avLst/>
                          </a:prstGeom>
                        </pic:spPr>
                      </pic:pic>
                    </a:graphicData>
                  </a:graphic>
                </wp:inline>
              </w:drawing>
            </w:r>
          </w:p>
          <w:p>
            <w:pPr>
              <w:autoSpaceDE w:val="0"/>
              <w:autoSpaceDN w:val="0"/>
              <w:adjustRightInd w:val="0"/>
              <w:spacing w:line="360" w:lineRule="auto"/>
              <w:jc w:val="center"/>
              <w:rPr>
                <w:b/>
                <w:kern w:val="0"/>
              </w:rPr>
            </w:pPr>
            <w:r>
              <w:rPr>
                <w:rFonts w:hint="eastAsia"/>
                <w:b/>
                <w:kern w:val="0"/>
              </w:rPr>
              <w:t>图1.1.</w:t>
            </w:r>
            <w:r>
              <w:rPr>
                <w:b/>
                <w:kern w:val="0"/>
              </w:rPr>
              <w:t>3</w:t>
            </w:r>
            <w:r>
              <w:rPr>
                <w:rFonts w:hint="eastAsia"/>
                <w:b/>
                <w:kern w:val="0"/>
              </w:rPr>
              <w:t xml:space="preserve"> 计算域水深地形图</w:t>
            </w:r>
          </w:p>
          <w:p>
            <w:pPr>
              <w:pStyle w:val="1671"/>
            </w:pPr>
          </w:p>
          <w:p>
            <w:pPr>
              <w:topLinePunct/>
              <w:adjustRightInd w:val="0"/>
              <w:snapToGrid w:val="0"/>
              <w:spacing w:line="360" w:lineRule="auto"/>
              <w:ind w:firstLine="480" w:firstLineChars="200"/>
              <w:rPr>
                <w:sz w:val="24"/>
                <w:highlight w:val="green"/>
              </w:rPr>
            </w:pPr>
          </w:p>
          <w:p>
            <w:pPr>
              <w:pStyle w:val="1671"/>
              <w:ind w:firstLine="482"/>
              <w:rPr>
                <w:b/>
              </w:rPr>
            </w:pPr>
            <w:r>
              <w:rPr>
                <w:rFonts w:hint="eastAsia"/>
                <w:b/>
              </w:rPr>
              <w:t>1</w:t>
            </w:r>
            <w:r>
              <w:rPr>
                <w:b/>
              </w:rPr>
              <w:t>.1.</w:t>
            </w:r>
            <w:r>
              <w:rPr>
                <w:rFonts w:hint="eastAsia"/>
                <w:b/>
              </w:rPr>
              <w:t>3</w:t>
            </w:r>
            <w:r>
              <w:rPr>
                <w:b/>
              </w:rPr>
              <w:t xml:space="preserve">  </w:t>
            </w:r>
            <w:r>
              <w:rPr>
                <w:rFonts w:hint="eastAsia"/>
                <w:b/>
              </w:rPr>
              <w:t>潮流潮位验证</w:t>
            </w:r>
          </w:p>
          <w:p>
            <w:pPr>
              <w:pStyle w:val="1671"/>
            </w:pPr>
            <w:r>
              <w:rPr>
                <w:rFonts w:hint="eastAsia"/>
              </w:rPr>
              <w:t>为验证所建潮流模型的模拟精度，采用的验证资料为：20</w:t>
            </w:r>
            <w:r>
              <w:t>15</w:t>
            </w:r>
            <w:r>
              <w:rPr>
                <w:rFonts w:hint="eastAsia"/>
              </w:rPr>
              <w:t>年</w:t>
            </w:r>
            <w:r>
              <w:t>12</w:t>
            </w:r>
            <w:r>
              <w:rPr>
                <w:rFonts w:hint="eastAsia"/>
              </w:rPr>
              <w:t>月2</w:t>
            </w:r>
            <w:r>
              <w:t>5</w:t>
            </w:r>
            <w:r>
              <w:rPr>
                <w:rFonts w:hint="eastAsia"/>
              </w:rPr>
              <w:t>日9时至</w:t>
            </w:r>
            <w:r>
              <w:t>12</w:t>
            </w:r>
            <w:r>
              <w:rPr>
                <w:rFonts w:hint="eastAsia"/>
              </w:rPr>
              <w:t>月2</w:t>
            </w:r>
            <w:r>
              <w:t>6</w:t>
            </w:r>
            <w:r>
              <w:rPr>
                <w:rFonts w:hint="eastAsia"/>
              </w:rPr>
              <w:t>日8时在项目排水口邻近海域设置的1个潮流监测站位（图1.1.2）。由潮流验证结果（图1.1-4）可以得出，模拟海域潮流与实测潮流之间吻合良好。对比可知论观测期间计算潮流与实测潮流在各个时刻均有良好的一致性。验证表明模型能够较准确的模拟出最大流发生时刻、转流时间以及潮流性质，潮流场模拟的重现度良好。计算潮流流速和流向变化趋势与实测潮流一致，但也有一定的差异，造成这种差异的原因有两个方面：一是因为计算潮流只能反映计算网格点的流速，虽然三角形网格相对于正交网格可以更为接近实测流点，但仍然与其空间位置存在偏差；二是实测资料包含了风及温盐等动力过程，而模式仅为潮汐过程，并没有考虑表面风和斜压所造成的流动。通过流速流向图的比较表明潮流模式的计算结果是可信的，模拟结果能较好地体现该海域的潮汐潮流特征。</w:t>
            </w:r>
          </w:p>
          <w:p>
            <w:pPr>
              <w:spacing w:line="360" w:lineRule="auto"/>
              <w:jc w:val="center"/>
              <w:rPr>
                <w:rFonts w:eastAsia="黑体"/>
                <w:szCs w:val="21"/>
              </w:rPr>
            </w:pPr>
            <w:r>
              <w:rPr>
                <w:rFonts w:eastAsia="黑体"/>
                <w:szCs w:val="21"/>
              </w:rPr>
              <w:drawing>
                <wp:inline distT="0" distB="0" distL="0" distR="0">
                  <wp:extent cx="3243580" cy="1958975"/>
                  <wp:effectExtent l="0" t="0" r="0" b="3175"/>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a:xfrm>
                            <a:off x="0" y="0"/>
                            <a:ext cx="3267686" cy="1973527"/>
                          </a:xfrm>
                          <a:prstGeom prst="rect">
                            <a:avLst/>
                          </a:prstGeom>
                          <a:noFill/>
                          <a:ln>
                            <a:noFill/>
                          </a:ln>
                        </pic:spPr>
                      </pic:pic>
                    </a:graphicData>
                  </a:graphic>
                </wp:inline>
              </w:drawing>
            </w:r>
            <w:r>
              <w:rPr>
                <w:rFonts w:eastAsia="黑体"/>
                <w:szCs w:val="21"/>
              </w:rPr>
              <w:drawing>
                <wp:inline distT="0" distB="0" distL="0" distR="0">
                  <wp:extent cx="3069590" cy="1677035"/>
                  <wp:effectExtent l="0" t="0" r="0" b="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a:xfrm>
                            <a:off x="0" y="0"/>
                            <a:ext cx="3097667" cy="1692822"/>
                          </a:xfrm>
                          <a:prstGeom prst="rect">
                            <a:avLst/>
                          </a:prstGeom>
                          <a:noFill/>
                          <a:ln>
                            <a:noFill/>
                          </a:ln>
                        </pic:spPr>
                      </pic:pic>
                    </a:graphicData>
                  </a:graphic>
                </wp:inline>
              </w:drawing>
            </w:r>
          </w:p>
          <w:p>
            <w:pPr>
              <w:autoSpaceDE w:val="0"/>
              <w:autoSpaceDN w:val="0"/>
              <w:adjustRightInd w:val="0"/>
              <w:spacing w:line="360" w:lineRule="auto"/>
              <w:jc w:val="center"/>
              <w:rPr>
                <w:sz w:val="24"/>
                <w:highlight w:val="green"/>
              </w:rPr>
            </w:pPr>
            <w:r>
              <w:rPr>
                <w:rFonts w:hint="eastAsia"/>
                <w:b/>
                <w:kern w:val="0"/>
              </w:rPr>
              <w:t>图1.1.</w:t>
            </w:r>
            <w:r>
              <w:rPr>
                <w:b/>
                <w:kern w:val="0"/>
              </w:rPr>
              <w:t xml:space="preserve">4  </w:t>
            </w:r>
            <w:r>
              <w:rPr>
                <w:rFonts w:hint="eastAsia"/>
                <w:b/>
                <w:kern w:val="0"/>
              </w:rPr>
              <w:t>V1流速流向验证</w:t>
            </w:r>
          </w:p>
          <w:p>
            <w:pPr>
              <w:pStyle w:val="51"/>
              <w:spacing w:line="360" w:lineRule="auto"/>
              <w:ind w:firstLine="494"/>
              <w:rPr>
                <w:rFonts w:ascii="Times New Roman" w:hAnsi="Times New Roman"/>
                <w:b/>
                <w:sz w:val="24"/>
              </w:rPr>
            </w:pPr>
            <w:r>
              <w:rPr>
                <w:rFonts w:hint="eastAsia" w:ascii="Times New Roman" w:hAnsi="Times New Roman"/>
                <w:b/>
                <w:sz w:val="24"/>
              </w:rPr>
              <w:t>1</w:t>
            </w:r>
            <w:r>
              <w:rPr>
                <w:rFonts w:ascii="Times New Roman" w:hAnsi="Times New Roman"/>
                <w:b/>
                <w:sz w:val="24"/>
              </w:rPr>
              <w:t>.1.</w:t>
            </w:r>
            <w:r>
              <w:rPr>
                <w:rFonts w:hint="eastAsia" w:ascii="Times New Roman" w:hAnsi="Times New Roman"/>
                <w:b/>
                <w:sz w:val="24"/>
              </w:rPr>
              <w:t>4</w:t>
            </w:r>
            <w:r>
              <w:rPr>
                <w:rFonts w:ascii="Times New Roman" w:hAnsi="Times New Roman"/>
                <w:b/>
                <w:sz w:val="24"/>
              </w:rPr>
              <w:t xml:space="preserve">  </w:t>
            </w:r>
            <w:r>
              <w:rPr>
                <w:rFonts w:hint="eastAsia" w:ascii="Times New Roman" w:hAnsi="Times New Roman"/>
                <w:b/>
                <w:sz w:val="24"/>
              </w:rPr>
              <w:t>工程海域潮流场分析</w:t>
            </w:r>
          </w:p>
          <w:p>
            <w:pPr>
              <w:pStyle w:val="51"/>
              <w:spacing w:line="360" w:lineRule="auto"/>
              <w:ind w:firstLine="492"/>
              <w:rPr>
                <w:rFonts w:ascii="Times New Roman" w:hAnsi="Times New Roman"/>
                <w:sz w:val="24"/>
              </w:rPr>
            </w:pPr>
            <w:r>
              <w:rPr>
                <w:rFonts w:hint="eastAsia" w:ascii="Times New Roman" w:hAnsi="Times New Roman"/>
                <w:sz w:val="24"/>
              </w:rPr>
              <w:t>图1.1.</w:t>
            </w:r>
            <w:r>
              <w:rPr>
                <w:rFonts w:ascii="Times New Roman" w:hAnsi="Times New Roman"/>
                <w:sz w:val="24"/>
              </w:rPr>
              <w:t>5</w:t>
            </w:r>
            <w:r>
              <w:rPr>
                <w:rFonts w:hint="eastAsia" w:ascii="Times New Roman" w:hAnsi="Times New Roman"/>
                <w:sz w:val="24"/>
              </w:rPr>
              <w:t>和图1.1.</w:t>
            </w:r>
            <w:r>
              <w:rPr>
                <w:rFonts w:ascii="Times New Roman" w:hAnsi="Times New Roman"/>
                <w:sz w:val="24"/>
              </w:rPr>
              <w:t>6</w:t>
            </w:r>
            <w:r>
              <w:rPr>
                <w:rFonts w:hint="eastAsia" w:ascii="Times New Roman" w:hAnsi="Times New Roman"/>
                <w:sz w:val="24"/>
              </w:rPr>
              <w:t>分别为工程海域涨急和落急流场分布图。涨急时，海水由东向西北方向流动，近岸海域流速较小，项目排水口海域流速在0.05m/s左右，刘公岛和赵北咀东侧大部分海域的流速在0.4</w:t>
            </w:r>
            <w:r>
              <w:rPr>
                <w:rFonts w:ascii="Times New Roman" w:hAnsi="Times New Roman"/>
                <w:sz w:val="24"/>
              </w:rPr>
              <w:t>m/s</w:t>
            </w:r>
            <w:r>
              <w:rPr>
                <w:rFonts w:hint="eastAsia" w:ascii="Times New Roman" w:hAnsi="Times New Roman"/>
                <w:sz w:val="24"/>
              </w:rPr>
              <w:t>左右，刘公岛以及威海近海之间的海域流速较小。</w:t>
            </w:r>
          </w:p>
          <w:p>
            <w:pPr>
              <w:pStyle w:val="51"/>
              <w:spacing w:line="360" w:lineRule="auto"/>
              <w:ind w:firstLine="492"/>
              <w:rPr>
                <w:rFonts w:ascii="方正书宋简体"/>
              </w:rPr>
            </w:pPr>
            <w:r>
              <w:rPr>
                <w:rFonts w:hint="eastAsia" w:ascii="Times New Roman" w:hAnsi="Times New Roman"/>
                <w:sz w:val="24"/>
              </w:rPr>
              <w:t>图1.1.</w:t>
            </w:r>
            <w:r>
              <w:rPr>
                <w:rFonts w:ascii="Times New Roman" w:hAnsi="Times New Roman"/>
                <w:sz w:val="24"/>
              </w:rPr>
              <w:t>6</w:t>
            </w:r>
            <w:r>
              <w:rPr>
                <w:rFonts w:hint="eastAsia" w:ascii="Times New Roman" w:hAnsi="Times New Roman"/>
                <w:sz w:val="24"/>
              </w:rPr>
              <w:t>为落急时刻流场，从图中可以看出，落急时刻海水流向与涨急时刻正好相反，近岸海域流速依然较小，项目排水口海域流速小于0.05m/s，刘公岛和赵北咀东侧大部分海域的流速在0.25</w:t>
            </w:r>
            <w:r>
              <w:rPr>
                <w:rFonts w:ascii="Times New Roman" w:hAnsi="Times New Roman"/>
                <w:sz w:val="24"/>
              </w:rPr>
              <w:t>m/s</w:t>
            </w:r>
            <w:r>
              <w:rPr>
                <w:rFonts w:hint="eastAsia" w:ascii="Times New Roman" w:hAnsi="Times New Roman"/>
                <w:sz w:val="24"/>
              </w:rPr>
              <w:t>左右，刘公岛以及威海近海海域的流速较小。落急流速小于涨急流速。</w:t>
            </w:r>
          </w:p>
          <w:p>
            <w:pPr>
              <w:autoSpaceDE w:val="0"/>
              <w:autoSpaceDN w:val="0"/>
              <w:adjustRightInd w:val="0"/>
              <w:jc w:val="center"/>
              <w:rPr>
                <w:spacing w:val="2"/>
                <w:kern w:val="0"/>
              </w:rPr>
            </w:pPr>
            <w:r>
              <w:drawing>
                <wp:inline distT="0" distB="0" distL="0" distR="0">
                  <wp:extent cx="4868545" cy="3779520"/>
                  <wp:effectExtent l="0" t="0" r="8255" b="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pic:cNvPicPr>
                            <a:picLocks noChangeAspect="1"/>
                          </pic:cNvPicPr>
                        </pic:nvPicPr>
                        <pic:blipFill>
                          <a:blip r:embed="rId114"/>
                          <a:stretch>
                            <a:fillRect/>
                          </a:stretch>
                        </pic:blipFill>
                        <pic:spPr>
                          <a:xfrm>
                            <a:off x="0" y="0"/>
                            <a:ext cx="4869126" cy="3780000"/>
                          </a:xfrm>
                          <a:prstGeom prst="rect">
                            <a:avLst/>
                          </a:prstGeom>
                        </pic:spPr>
                      </pic:pic>
                    </a:graphicData>
                  </a:graphic>
                </wp:inline>
              </w:drawing>
            </w:r>
          </w:p>
          <w:p>
            <w:pPr>
              <w:autoSpaceDE w:val="0"/>
              <w:autoSpaceDN w:val="0"/>
              <w:adjustRightInd w:val="0"/>
              <w:spacing w:line="440" w:lineRule="exact"/>
              <w:jc w:val="center"/>
              <w:rPr>
                <w:b/>
                <w:kern w:val="0"/>
              </w:rPr>
            </w:pPr>
            <w:r>
              <w:rPr>
                <w:rFonts w:hint="eastAsia"/>
                <w:b/>
                <w:kern w:val="0"/>
              </w:rPr>
              <w:t>图1.1.</w:t>
            </w:r>
            <w:r>
              <w:rPr>
                <w:b/>
                <w:kern w:val="0"/>
              </w:rPr>
              <w:t>5</w:t>
            </w:r>
            <w:r>
              <w:rPr>
                <w:rFonts w:hint="eastAsia"/>
                <w:b/>
                <w:kern w:val="0"/>
              </w:rPr>
              <w:t xml:space="preserve">  涨</w:t>
            </w:r>
            <w:r>
              <w:rPr>
                <w:b/>
                <w:kern w:val="0"/>
              </w:rPr>
              <w:t>急时刻流场</w:t>
            </w:r>
          </w:p>
          <w:p>
            <w:pPr>
              <w:pStyle w:val="315"/>
              <w:ind w:firstLine="0" w:firstLineChars="0"/>
              <w:jc w:val="center"/>
              <w:rPr>
                <w:rFonts w:eastAsia="方正宋三简体"/>
                <w:b/>
                <w:kern w:val="0"/>
              </w:rPr>
            </w:pPr>
            <w:r>
              <w:drawing>
                <wp:inline distT="0" distB="0" distL="0" distR="0">
                  <wp:extent cx="4866005" cy="3779520"/>
                  <wp:effectExtent l="0" t="0" r="0" b="0"/>
                  <wp:docPr id="8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pic:cNvPicPr>
                            <a:picLocks noChangeAspect="1"/>
                          </pic:cNvPicPr>
                        </pic:nvPicPr>
                        <pic:blipFill>
                          <a:blip r:embed="rId115"/>
                          <a:stretch>
                            <a:fillRect/>
                          </a:stretch>
                        </pic:blipFill>
                        <pic:spPr>
                          <a:xfrm>
                            <a:off x="0" y="0"/>
                            <a:ext cx="4866429" cy="3780000"/>
                          </a:xfrm>
                          <a:prstGeom prst="rect">
                            <a:avLst/>
                          </a:prstGeom>
                        </pic:spPr>
                      </pic:pic>
                    </a:graphicData>
                  </a:graphic>
                </wp:inline>
              </w:drawing>
            </w:r>
          </w:p>
          <w:p>
            <w:pPr>
              <w:topLinePunct/>
              <w:adjustRightInd w:val="0"/>
              <w:snapToGrid w:val="0"/>
              <w:spacing w:line="360" w:lineRule="auto"/>
              <w:ind w:firstLine="422" w:firstLineChars="200"/>
              <w:jc w:val="center"/>
              <w:rPr>
                <w:sz w:val="24"/>
                <w:highlight w:val="green"/>
              </w:rPr>
            </w:pPr>
            <w:r>
              <w:rPr>
                <w:rFonts w:hint="eastAsia"/>
                <w:b/>
                <w:kern w:val="0"/>
              </w:rPr>
              <w:t>图1.1.</w:t>
            </w:r>
            <w:r>
              <w:rPr>
                <w:b/>
                <w:kern w:val="0"/>
              </w:rPr>
              <w:t>6</w:t>
            </w:r>
            <w:r>
              <w:rPr>
                <w:rFonts w:hint="eastAsia"/>
                <w:b/>
                <w:kern w:val="0"/>
              </w:rPr>
              <w:t xml:space="preserve"> </w:t>
            </w:r>
            <w:r>
              <w:rPr>
                <w:b/>
                <w:kern w:val="0"/>
              </w:rPr>
              <w:t xml:space="preserve"> </w:t>
            </w:r>
            <w:r>
              <w:rPr>
                <w:rFonts w:hint="eastAsia"/>
                <w:b/>
                <w:kern w:val="0"/>
              </w:rPr>
              <w:t>落</w:t>
            </w:r>
            <w:r>
              <w:rPr>
                <w:b/>
                <w:kern w:val="0"/>
              </w:rPr>
              <w:t>急时刻流场</w:t>
            </w:r>
          </w:p>
          <w:p>
            <w:pPr>
              <w:pStyle w:val="51"/>
              <w:spacing w:line="360" w:lineRule="auto"/>
              <w:ind w:firstLine="494"/>
              <w:rPr>
                <w:rFonts w:ascii="Times New Roman" w:hAnsi="Times New Roman"/>
                <w:b/>
                <w:sz w:val="24"/>
              </w:rPr>
            </w:pPr>
            <w:r>
              <w:rPr>
                <w:rFonts w:hint="eastAsia" w:ascii="Times New Roman" w:hAnsi="Times New Roman"/>
                <w:b/>
                <w:sz w:val="24"/>
              </w:rPr>
              <w:t>1.2 浓盐水环境影响预测</w:t>
            </w:r>
          </w:p>
          <w:p>
            <w:pPr>
              <w:pStyle w:val="51"/>
              <w:spacing w:line="360" w:lineRule="auto"/>
              <w:ind w:firstLine="492"/>
              <w:rPr>
                <w:rFonts w:ascii="Times New Roman" w:hAnsi="Times New Roman"/>
                <w:sz w:val="24"/>
              </w:rPr>
            </w:pPr>
            <w:r>
              <w:rPr>
                <w:rFonts w:hint="eastAsia" w:ascii="Times New Roman" w:hAnsi="Times New Roman"/>
                <w:sz w:val="24"/>
              </w:rPr>
              <w:t>本项目产生的海水淡化浓盐水在厂内接入直流排放系统，随直流系统排水排放。</w:t>
            </w:r>
          </w:p>
          <w:p>
            <w:pPr>
              <w:pStyle w:val="51"/>
              <w:spacing w:line="360" w:lineRule="auto"/>
              <w:ind w:firstLine="492"/>
              <w:rPr>
                <w:rFonts w:ascii="Times New Roman" w:hAnsi="Times New Roman"/>
                <w:sz w:val="24"/>
              </w:rPr>
            </w:pPr>
            <w:r>
              <w:rPr>
                <w:rFonts w:hint="eastAsia" w:ascii="Times New Roman" w:hAnsi="Times New Roman"/>
                <w:sz w:val="24"/>
              </w:rPr>
              <w:t>为研究排海浓盐水对周边环境产生的影响，利用数值模拟方法对浓盐水进入水体的盐度进行了模拟预测。</w:t>
            </w:r>
          </w:p>
          <w:p>
            <w:pPr>
              <w:pStyle w:val="51"/>
              <w:spacing w:line="360" w:lineRule="auto"/>
              <w:ind w:firstLine="492"/>
              <w:rPr>
                <w:rFonts w:ascii="Times New Roman" w:hAnsi="Times New Roman"/>
                <w:sz w:val="24"/>
              </w:rPr>
            </w:pPr>
            <w:r>
              <w:rPr>
                <w:rFonts w:hint="eastAsia" w:ascii="Times New Roman" w:hAnsi="Times New Roman"/>
                <w:sz w:val="24"/>
              </w:rPr>
              <w:t>（1）预测源强</w:t>
            </w:r>
          </w:p>
          <w:p>
            <w:pPr>
              <w:pStyle w:val="51"/>
              <w:spacing w:line="360" w:lineRule="auto"/>
              <w:ind w:firstLine="492"/>
            </w:pPr>
            <w:r>
              <w:rPr>
                <w:rFonts w:hint="eastAsia" w:ascii="Times New Roman" w:hAnsi="Times New Roman"/>
                <w:sz w:val="24"/>
              </w:rPr>
              <w:t>本项目产生的浓盐水源强见表1.2.1。本项目浓盐水排放的含盐量为</w:t>
            </w:r>
            <w:r>
              <w:rPr>
                <w:rFonts w:ascii="Times New Roman" w:hAnsi="Times New Roman"/>
                <w:sz w:val="24"/>
              </w:rPr>
              <w:t>39249 mg/L</w:t>
            </w:r>
            <w:r>
              <w:rPr>
                <w:rFonts w:hint="eastAsia" w:ascii="Times New Roman" w:hAnsi="Times New Roman"/>
                <w:sz w:val="24"/>
              </w:rPr>
              <w:t>，流量为</w:t>
            </w:r>
            <w:r>
              <w:rPr>
                <w:rFonts w:ascii="Times New Roman" w:hAnsi="Times New Roman"/>
                <w:sz w:val="24"/>
              </w:rPr>
              <w:t>17818.33m</w:t>
            </w:r>
            <w:r>
              <w:rPr>
                <w:rFonts w:ascii="Times New Roman" w:hAnsi="Times New Roman"/>
                <w:sz w:val="24"/>
                <w:vertAlign w:val="superscript"/>
              </w:rPr>
              <w:t>3</w:t>
            </w:r>
            <w:r>
              <w:rPr>
                <w:rFonts w:ascii="Times New Roman" w:hAnsi="Times New Roman"/>
                <w:sz w:val="24"/>
              </w:rPr>
              <w:t>/h</w:t>
            </w:r>
            <w:r>
              <w:rPr>
                <w:rFonts w:hint="eastAsia" w:ascii="Times New Roman" w:hAnsi="Times New Roman"/>
                <w:sz w:val="24"/>
              </w:rPr>
              <w:t>。</w:t>
            </w:r>
          </w:p>
          <w:p>
            <w:pPr>
              <w:autoSpaceDE w:val="0"/>
              <w:autoSpaceDN w:val="0"/>
              <w:adjustRightInd w:val="0"/>
              <w:spacing w:line="360" w:lineRule="auto"/>
              <w:jc w:val="center"/>
            </w:pPr>
            <w:r>
              <w:rPr>
                <w:rFonts w:hint="eastAsia"/>
                <w:b/>
                <w:kern w:val="0"/>
              </w:rPr>
              <w:t>表1.2.1 浓盐水预测源强</w:t>
            </w:r>
          </w:p>
          <w:tbl>
            <w:tblPr>
              <w:tblStyle w:val="89"/>
              <w:tblW w:w="883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6"/>
              <w:gridCol w:w="1466"/>
              <w:gridCol w:w="1467"/>
              <w:gridCol w:w="1467"/>
              <w:gridCol w:w="1467"/>
              <w:gridCol w:w="15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32" w:type="dxa"/>
                  <w:gridSpan w:val="2"/>
                </w:tcPr>
                <w:p>
                  <w:pPr>
                    <w:ind w:firstLine="210"/>
                    <w:jc w:val="center"/>
                    <w:rPr>
                      <w:szCs w:val="21"/>
                    </w:rPr>
                  </w:pPr>
                  <w:r>
                    <w:rPr>
                      <w:szCs w:val="21"/>
                    </w:rPr>
                    <w:t>直流系统排水（海水）</w:t>
                  </w:r>
                </w:p>
              </w:tc>
              <w:tc>
                <w:tcPr>
                  <w:tcW w:w="2934" w:type="dxa"/>
                  <w:gridSpan w:val="2"/>
                </w:tcPr>
                <w:p>
                  <w:pPr>
                    <w:ind w:firstLine="210"/>
                    <w:jc w:val="center"/>
                    <w:rPr>
                      <w:szCs w:val="21"/>
                    </w:rPr>
                  </w:pPr>
                  <w:r>
                    <w:rPr>
                      <w:szCs w:val="21"/>
                    </w:rPr>
                    <w:t>反渗透浓排水</w:t>
                  </w:r>
                </w:p>
              </w:tc>
              <w:tc>
                <w:tcPr>
                  <w:tcW w:w="2969" w:type="dxa"/>
                  <w:gridSpan w:val="2"/>
                </w:tcPr>
                <w:p>
                  <w:pPr>
                    <w:ind w:firstLine="210"/>
                    <w:jc w:val="center"/>
                    <w:rPr>
                      <w:szCs w:val="21"/>
                    </w:rPr>
                  </w:pPr>
                  <w:r>
                    <w:rPr>
                      <w:szCs w:val="21"/>
                    </w:rPr>
                    <w:t>掺混后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466" w:type="dxa"/>
                </w:tcPr>
                <w:p>
                  <w:pPr>
                    <w:ind w:firstLine="210"/>
                    <w:jc w:val="center"/>
                    <w:rPr>
                      <w:szCs w:val="21"/>
                    </w:rPr>
                  </w:pPr>
                  <w:r>
                    <w:rPr>
                      <w:szCs w:val="21"/>
                    </w:rPr>
                    <w:t>含盐量</w:t>
                  </w:r>
                </w:p>
              </w:tc>
              <w:tc>
                <w:tcPr>
                  <w:tcW w:w="1466" w:type="dxa"/>
                </w:tcPr>
                <w:p>
                  <w:pPr>
                    <w:ind w:firstLine="210"/>
                    <w:jc w:val="center"/>
                    <w:rPr>
                      <w:szCs w:val="21"/>
                    </w:rPr>
                  </w:pPr>
                  <w:r>
                    <w:rPr>
                      <w:szCs w:val="21"/>
                    </w:rPr>
                    <w:t>流量</w:t>
                  </w:r>
                </w:p>
              </w:tc>
              <w:tc>
                <w:tcPr>
                  <w:tcW w:w="1467" w:type="dxa"/>
                </w:tcPr>
                <w:p>
                  <w:pPr>
                    <w:ind w:firstLine="210"/>
                    <w:jc w:val="center"/>
                    <w:rPr>
                      <w:szCs w:val="21"/>
                    </w:rPr>
                  </w:pPr>
                  <w:r>
                    <w:rPr>
                      <w:szCs w:val="21"/>
                    </w:rPr>
                    <w:t>含盐量</w:t>
                  </w:r>
                </w:p>
              </w:tc>
              <w:tc>
                <w:tcPr>
                  <w:tcW w:w="1467" w:type="dxa"/>
                </w:tcPr>
                <w:p>
                  <w:pPr>
                    <w:ind w:firstLine="210"/>
                    <w:jc w:val="center"/>
                    <w:rPr>
                      <w:szCs w:val="21"/>
                    </w:rPr>
                  </w:pPr>
                  <w:r>
                    <w:rPr>
                      <w:szCs w:val="21"/>
                    </w:rPr>
                    <w:t>流量</w:t>
                  </w:r>
                </w:p>
              </w:tc>
              <w:tc>
                <w:tcPr>
                  <w:tcW w:w="1467" w:type="dxa"/>
                </w:tcPr>
                <w:p>
                  <w:pPr>
                    <w:ind w:firstLine="210"/>
                    <w:jc w:val="center"/>
                    <w:rPr>
                      <w:szCs w:val="21"/>
                    </w:rPr>
                  </w:pPr>
                  <w:r>
                    <w:rPr>
                      <w:szCs w:val="21"/>
                    </w:rPr>
                    <w:t>含盐量</w:t>
                  </w:r>
                </w:p>
              </w:tc>
              <w:tc>
                <w:tcPr>
                  <w:tcW w:w="1502" w:type="dxa"/>
                </w:tcPr>
                <w:p>
                  <w:pPr>
                    <w:ind w:firstLine="210"/>
                    <w:jc w:val="center"/>
                    <w:rPr>
                      <w:szCs w:val="21"/>
                    </w:rPr>
                  </w:pPr>
                  <w:r>
                    <w:rPr>
                      <w:szCs w:val="21"/>
                    </w:rPr>
                    <w:t>流量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466" w:type="dxa"/>
                </w:tcPr>
                <w:p>
                  <w:pPr>
                    <w:ind w:firstLine="210"/>
                    <w:jc w:val="center"/>
                    <w:rPr>
                      <w:szCs w:val="21"/>
                    </w:rPr>
                  </w:pPr>
                  <w:r>
                    <w:rPr>
                      <w:szCs w:val="21"/>
                    </w:rPr>
                    <w:t>mg/L</w:t>
                  </w:r>
                </w:p>
              </w:tc>
              <w:tc>
                <w:tcPr>
                  <w:tcW w:w="1466" w:type="dxa"/>
                </w:tcPr>
                <w:p>
                  <w:pPr>
                    <w:ind w:firstLine="210"/>
                    <w:jc w:val="center"/>
                    <w:rPr>
                      <w:szCs w:val="21"/>
                    </w:rPr>
                  </w:pPr>
                  <w:r>
                    <w:rPr>
                      <w:szCs w:val="21"/>
                    </w:rPr>
                    <w:t>m</w:t>
                  </w:r>
                  <w:r>
                    <w:rPr>
                      <w:szCs w:val="21"/>
                      <w:vertAlign w:val="superscript"/>
                    </w:rPr>
                    <w:t>3</w:t>
                  </w:r>
                  <w:r>
                    <w:rPr>
                      <w:szCs w:val="21"/>
                    </w:rPr>
                    <w:t>/h</w:t>
                  </w:r>
                </w:p>
              </w:tc>
              <w:tc>
                <w:tcPr>
                  <w:tcW w:w="1467" w:type="dxa"/>
                </w:tcPr>
                <w:p>
                  <w:pPr>
                    <w:ind w:firstLine="210"/>
                    <w:jc w:val="center"/>
                    <w:rPr>
                      <w:szCs w:val="21"/>
                    </w:rPr>
                  </w:pPr>
                  <w:r>
                    <w:rPr>
                      <w:szCs w:val="21"/>
                    </w:rPr>
                    <w:t>mg/L</w:t>
                  </w:r>
                </w:p>
              </w:tc>
              <w:tc>
                <w:tcPr>
                  <w:tcW w:w="1467" w:type="dxa"/>
                </w:tcPr>
                <w:p>
                  <w:pPr>
                    <w:ind w:firstLine="210"/>
                    <w:jc w:val="center"/>
                    <w:rPr>
                      <w:szCs w:val="21"/>
                    </w:rPr>
                  </w:pPr>
                  <w:r>
                    <w:rPr>
                      <w:szCs w:val="21"/>
                    </w:rPr>
                    <w:t>m</w:t>
                  </w:r>
                  <w:r>
                    <w:rPr>
                      <w:szCs w:val="21"/>
                      <w:vertAlign w:val="superscript"/>
                    </w:rPr>
                    <w:t>3</w:t>
                  </w:r>
                  <w:r>
                    <w:rPr>
                      <w:szCs w:val="21"/>
                    </w:rPr>
                    <w:t>/h</w:t>
                  </w:r>
                </w:p>
              </w:tc>
              <w:tc>
                <w:tcPr>
                  <w:tcW w:w="1467" w:type="dxa"/>
                </w:tcPr>
                <w:p>
                  <w:pPr>
                    <w:ind w:firstLine="210"/>
                    <w:jc w:val="center"/>
                    <w:rPr>
                      <w:szCs w:val="21"/>
                    </w:rPr>
                  </w:pPr>
                  <w:r>
                    <w:rPr>
                      <w:szCs w:val="21"/>
                    </w:rPr>
                    <w:t>mg/L</w:t>
                  </w:r>
                </w:p>
              </w:tc>
              <w:tc>
                <w:tcPr>
                  <w:tcW w:w="1502" w:type="dxa"/>
                </w:tcPr>
                <w:p>
                  <w:pPr>
                    <w:ind w:firstLine="210"/>
                    <w:jc w:val="center"/>
                    <w:rPr>
                      <w:szCs w:val="21"/>
                    </w:rPr>
                  </w:pPr>
                  <w:r>
                    <w:rPr>
                      <w:szCs w:val="21"/>
                    </w:rPr>
                    <w:t>m</w:t>
                  </w:r>
                  <w:r>
                    <w:rPr>
                      <w:szCs w:val="21"/>
                      <w:vertAlign w:val="superscript"/>
                    </w:rPr>
                    <w:t>3</w:t>
                  </w:r>
                  <w:r>
                    <w:rPr>
                      <w:szCs w:val="21"/>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466" w:type="dxa"/>
                </w:tcPr>
                <w:p>
                  <w:pPr>
                    <w:ind w:firstLine="210"/>
                    <w:jc w:val="center"/>
                    <w:rPr>
                      <w:szCs w:val="21"/>
                    </w:rPr>
                  </w:pPr>
                  <w:r>
                    <w:rPr>
                      <w:szCs w:val="21"/>
                    </w:rPr>
                    <w:t>31790</w:t>
                  </w:r>
                </w:p>
              </w:tc>
              <w:tc>
                <w:tcPr>
                  <w:tcW w:w="1466" w:type="dxa"/>
                </w:tcPr>
                <w:p>
                  <w:pPr>
                    <w:ind w:firstLine="210"/>
                    <w:jc w:val="center"/>
                    <w:rPr>
                      <w:szCs w:val="21"/>
                    </w:rPr>
                  </w:pPr>
                  <w:r>
                    <w:rPr>
                      <w:szCs w:val="21"/>
                    </w:rPr>
                    <w:t>10000</w:t>
                  </w:r>
                </w:p>
              </w:tc>
              <w:tc>
                <w:tcPr>
                  <w:tcW w:w="1467" w:type="dxa"/>
                </w:tcPr>
                <w:p>
                  <w:pPr>
                    <w:ind w:firstLine="210"/>
                    <w:jc w:val="center"/>
                    <w:rPr>
                      <w:szCs w:val="21"/>
                    </w:rPr>
                  </w:pPr>
                  <w:r>
                    <w:rPr>
                      <w:szCs w:val="21"/>
                    </w:rPr>
                    <w:t>48790</w:t>
                  </w:r>
                </w:p>
              </w:tc>
              <w:tc>
                <w:tcPr>
                  <w:tcW w:w="1467" w:type="dxa"/>
                </w:tcPr>
                <w:p>
                  <w:pPr>
                    <w:ind w:firstLine="210"/>
                    <w:jc w:val="center"/>
                    <w:rPr>
                      <w:szCs w:val="21"/>
                    </w:rPr>
                  </w:pPr>
                  <w:r>
                    <w:rPr>
                      <w:szCs w:val="21"/>
                    </w:rPr>
                    <w:t>7818.33</w:t>
                  </w:r>
                </w:p>
              </w:tc>
              <w:tc>
                <w:tcPr>
                  <w:tcW w:w="1467" w:type="dxa"/>
                </w:tcPr>
                <w:p>
                  <w:pPr>
                    <w:ind w:firstLine="210"/>
                    <w:jc w:val="center"/>
                    <w:rPr>
                      <w:szCs w:val="21"/>
                    </w:rPr>
                  </w:pPr>
                  <w:r>
                    <w:rPr>
                      <w:szCs w:val="21"/>
                    </w:rPr>
                    <w:t>39249</w:t>
                  </w:r>
                </w:p>
              </w:tc>
              <w:tc>
                <w:tcPr>
                  <w:tcW w:w="1502" w:type="dxa"/>
                </w:tcPr>
                <w:p>
                  <w:pPr>
                    <w:ind w:firstLine="210"/>
                    <w:jc w:val="center"/>
                    <w:rPr>
                      <w:szCs w:val="21"/>
                    </w:rPr>
                  </w:pPr>
                  <w:r>
                    <w:rPr>
                      <w:szCs w:val="21"/>
                    </w:rPr>
                    <w:t>17818.33</w:t>
                  </w:r>
                </w:p>
              </w:tc>
            </w:tr>
          </w:tbl>
          <w:p>
            <w:pPr>
              <w:pStyle w:val="51"/>
              <w:spacing w:line="360" w:lineRule="auto"/>
              <w:ind w:firstLine="492"/>
              <w:rPr>
                <w:rFonts w:ascii="Times New Roman" w:hAnsi="Times New Roman"/>
                <w:sz w:val="24"/>
              </w:rPr>
            </w:pPr>
            <w:r>
              <w:rPr>
                <w:rFonts w:hint="eastAsia" w:ascii="Times New Roman" w:hAnsi="Times New Roman"/>
                <w:sz w:val="24"/>
              </w:rPr>
              <w:t>（2）预测结果与分析</w:t>
            </w:r>
          </w:p>
          <w:p>
            <w:pPr>
              <w:pStyle w:val="51"/>
              <w:spacing w:line="360" w:lineRule="auto"/>
              <w:ind w:firstLine="492"/>
              <w:rPr>
                <w:rFonts w:ascii="Times New Roman" w:hAnsi="Times New Roman"/>
                <w:sz w:val="24"/>
              </w:rPr>
            </w:pPr>
            <w:r>
              <w:rPr>
                <w:rFonts w:ascii="Times New Roman" w:hAnsi="Times New Roman"/>
                <w:sz w:val="24"/>
              </w:rPr>
              <w:t>图</w:t>
            </w:r>
            <w:r>
              <w:rPr>
                <w:rFonts w:hint="eastAsia" w:ascii="Times New Roman" w:hAnsi="Times New Roman"/>
                <w:sz w:val="24"/>
              </w:rPr>
              <w:t>1.2.1</w:t>
            </w:r>
            <w:r>
              <w:rPr>
                <w:rFonts w:ascii="Times New Roman" w:hAnsi="Times New Roman"/>
                <w:sz w:val="24"/>
              </w:rPr>
              <w:t>为预测</w:t>
            </w:r>
            <w:r>
              <w:rPr>
                <w:rFonts w:hint="eastAsia" w:ascii="Times New Roman" w:hAnsi="Times New Roman"/>
                <w:sz w:val="24"/>
              </w:rPr>
              <w:t>的本项目浓盐水进入海域与海水混合后浓盐水包络线</w:t>
            </w:r>
            <w:r>
              <w:rPr>
                <w:rFonts w:ascii="Times New Roman" w:hAnsi="Times New Roman"/>
                <w:sz w:val="24"/>
              </w:rPr>
              <w:t>分布。</w:t>
            </w:r>
          </w:p>
          <w:p>
            <w:pPr>
              <w:pStyle w:val="51"/>
              <w:spacing w:line="360" w:lineRule="auto"/>
              <w:ind w:firstLine="492"/>
              <w:rPr>
                <w:rFonts w:ascii="Times New Roman" w:hAnsi="Times New Roman"/>
                <w:sz w:val="24"/>
              </w:rPr>
            </w:pPr>
            <w:r>
              <w:rPr>
                <w:rFonts w:hint="eastAsia" w:ascii="Times New Roman" w:hAnsi="Times New Roman"/>
                <w:sz w:val="24"/>
              </w:rPr>
              <w:t>从图1.2.1可以看出，浓盐水盐度最大</w:t>
            </w:r>
            <w:r>
              <w:rPr>
                <w:rFonts w:ascii="Times New Roman" w:hAnsi="Times New Roman"/>
                <w:sz w:val="24"/>
              </w:rPr>
              <w:t>为</w:t>
            </w:r>
            <w:r>
              <w:rPr>
                <w:rFonts w:hint="eastAsia" w:ascii="Times New Roman" w:hAnsi="Times New Roman"/>
                <w:sz w:val="24"/>
              </w:rPr>
              <w:t>35.16‰</w:t>
            </w:r>
            <w:r>
              <w:rPr>
                <w:rFonts w:ascii="Times New Roman" w:hAnsi="Times New Roman"/>
                <w:sz w:val="24"/>
              </w:rPr>
              <w:t>，</w:t>
            </w:r>
            <w:r>
              <w:rPr>
                <w:rFonts w:hint="eastAsia" w:ascii="Times New Roman" w:hAnsi="Times New Roman"/>
                <w:sz w:val="24"/>
              </w:rPr>
              <w:t xml:space="preserve"> 31.9‰包络线顺岸</w:t>
            </w:r>
            <w:r>
              <w:rPr>
                <w:rFonts w:ascii="Times New Roman" w:hAnsi="Times New Roman"/>
                <w:sz w:val="24"/>
              </w:rPr>
              <w:t>影响</w:t>
            </w:r>
            <w:r>
              <w:rPr>
                <w:rFonts w:hint="eastAsia" w:ascii="Times New Roman" w:hAnsi="Times New Roman"/>
                <w:sz w:val="24"/>
              </w:rPr>
              <w:t>的最大</w:t>
            </w:r>
            <w:r>
              <w:rPr>
                <w:rFonts w:ascii="Times New Roman" w:hAnsi="Times New Roman"/>
                <w:sz w:val="24"/>
              </w:rPr>
              <w:t>距离约</w:t>
            </w:r>
            <w:r>
              <w:rPr>
                <w:rFonts w:hint="eastAsia" w:ascii="Times New Roman" w:hAnsi="Times New Roman"/>
                <w:sz w:val="24"/>
              </w:rPr>
              <w:t>4.7k</w:t>
            </w:r>
            <w:r>
              <w:rPr>
                <w:rFonts w:ascii="Times New Roman" w:hAnsi="Times New Roman"/>
                <w:sz w:val="24"/>
              </w:rPr>
              <w:t>m，</w:t>
            </w:r>
            <w:r>
              <w:rPr>
                <w:rFonts w:hint="eastAsia" w:ascii="Times New Roman" w:hAnsi="Times New Roman"/>
                <w:sz w:val="24"/>
              </w:rPr>
              <w:t>垂岸</w:t>
            </w:r>
            <w:r>
              <w:rPr>
                <w:rFonts w:ascii="Times New Roman" w:hAnsi="Times New Roman"/>
                <w:sz w:val="24"/>
              </w:rPr>
              <w:t>影响</w:t>
            </w:r>
            <w:r>
              <w:rPr>
                <w:rFonts w:hint="eastAsia" w:ascii="Times New Roman" w:hAnsi="Times New Roman"/>
                <w:sz w:val="24"/>
              </w:rPr>
              <w:t>的</w:t>
            </w:r>
            <w:r>
              <w:rPr>
                <w:rFonts w:ascii="Times New Roman" w:hAnsi="Times New Roman"/>
                <w:sz w:val="24"/>
              </w:rPr>
              <w:t>最大距离为</w:t>
            </w:r>
            <w:r>
              <w:rPr>
                <w:rFonts w:hint="eastAsia" w:ascii="Times New Roman" w:hAnsi="Times New Roman"/>
                <w:sz w:val="24"/>
              </w:rPr>
              <w:t>2.7km</w:t>
            </w:r>
            <w:r>
              <w:rPr>
                <w:rFonts w:ascii="Times New Roman" w:hAnsi="Times New Roman"/>
                <w:sz w:val="24"/>
              </w:rPr>
              <w:t>。</w:t>
            </w:r>
          </w:p>
          <w:p>
            <w:pPr>
              <w:ind w:firstLine="420" w:firstLineChars="200"/>
            </w:pPr>
          </w:p>
          <w:p>
            <w:pPr>
              <w:jc w:val="center"/>
            </w:pPr>
            <w:r>
              <w:drawing>
                <wp:inline distT="0" distB="0" distL="0" distR="0">
                  <wp:extent cx="4902200" cy="3803015"/>
                  <wp:effectExtent l="0" t="0" r="0" b="6985"/>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spect="1"/>
                          </pic:cNvPicPr>
                        </pic:nvPicPr>
                        <pic:blipFill>
                          <a:blip r:embed="rId116"/>
                          <a:stretch>
                            <a:fillRect/>
                          </a:stretch>
                        </pic:blipFill>
                        <pic:spPr>
                          <a:xfrm>
                            <a:off x="0" y="0"/>
                            <a:ext cx="4906340" cy="3806134"/>
                          </a:xfrm>
                          <a:prstGeom prst="rect">
                            <a:avLst/>
                          </a:prstGeom>
                        </pic:spPr>
                      </pic:pic>
                    </a:graphicData>
                  </a:graphic>
                </wp:inline>
              </w:drawing>
            </w:r>
          </w:p>
          <w:p>
            <w:pPr>
              <w:autoSpaceDE w:val="0"/>
              <w:autoSpaceDN w:val="0"/>
              <w:adjustRightInd w:val="0"/>
              <w:spacing w:line="360" w:lineRule="auto"/>
              <w:jc w:val="center"/>
              <w:rPr>
                <w:sz w:val="24"/>
              </w:rPr>
            </w:pPr>
            <w:r>
              <w:rPr>
                <w:b/>
                <w:kern w:val="0"/>
              </w:rPr>
              <w:t>图</w:t>
            </w:r>
            <w:r>
              <w:rPr>
                <w:rFonts w:hint="eastAsia"/>
                <w:b/>
                <w:kern w:val="0"/>
              </w:rPr>
              <w:t>1.2.1</w:t>
            </w:r>
            <w:r>
              <w:rPr>
                <w:b/>
                <w:kern w:val="0"/>
              </w:rPr>
              <w:t xml:space="preserve"> </w:t>
            </w:r>
            <w:r>
              <w:rPr>
                <w:rFonts w:hint="eastAsia"/>
                <w:b/>
                <w:kern w:val="0"/>
              </w:rPr>
              <w:t xml:space="preserve"> 浓盐水预测分布图</w:t>
            </w:r>
          </w:p>
          <w:p>
            <w:pPr>
              <w:pStyle w:val="51"/>
              <w:spacing w:line="360" w:lineRule="auto"/>
              <w:ind w:firstLine="494"/>
              <w:rPr>
                <w:rFonts w:ascii="Times New Roman" w:hAnsi="Times New Roman"/>
                <w:b/>
                <w:sz w:val="24"/>
              </w:rPr>
            </w:pPr>
            <w:r>
              <w:rPr>
                <w:rFonts w:hint="eastAsia" w:ascii="Times New Roman" w:hAnsi="Times New Roman"/>
                <w:b/>
                <w:sz w:val="24"/>
              </w:rPr>
              <w:t>1.3</w:t>
            </w:r>
            <w:r>
              <w:rPr>
                <w:rFonts w:ascii="Times New Roman" w:hAnsi="Times New Roman"/>
                <w:b/>
                <w:sz w:val="24"/>
              </w:rPr>
              <w:t xml:space="preserve"> </w:t>
            </w:r>
            <w:r>
              <w:rPr>
                <w:rFonts w:hint="eastAsia" w:ascii="Times New Roman" w:hAnsi="Times New Roman"/>
                <w:b/>
                <w:sz w:val="24"/>
              </w:rPr>
              <w:t>浓盐水排海对海水水质的影响分析</w:t>
            </w:r>
          </w:p>
          <w:p>
            <w:pPr>
              <w:pStyle w:val="51"/>
              <w:spacing w:line="360" w:lineRule="auto"/>
              <w:ind w:firstLine="492"/>
              <w:rPr>
                <w:rFonts w:ascii="Times New Roman" w:hAnsi="Times New Roman"/>
                <w:sz w:val="24"/>
              </w:rPr>
            </w:pPr>
            <w:r>
              <w:rPr>
                <w:rFonts w:hint="eastAsia" w:ascii="Times New Roman" w:hAnsi="Times New Roman"/>
                <w:sz w:val="24"/>
              </w:rPr>
              <w:t>本项目浓盐水最大排放量为</w:t>
            </w:r>
            <w:r>
              <w:rPr>
                <w:rFonts w:ascii="Times New Roman" w:hAnsi="Times New Roman"/>
                <w:sz w:val="24"/>
              </w:rPr>
              <w:t>17818.33m</w:t>
            </w:r>
            <w:r>
              <w:rPr>
                <w:rFonts w:ascii="Times New Roman" w:hAnsi="Times New Roman"/>
                <w:sz w:val="24"/>
                <w:vertAlign w:val="superscript"/>
              </w:rPr>
              <w:t>3</w:t>
            </w:r>
            <w:r>
              <w:rPr>
                <w:rFonts w:ascii="Times New Roman" w:hAnsi="Times New Roman"/>
                <w:sz w:val="24"/>
              </w:rPr>
              <w:t>/h</w:t>
            </w:r>
            <w:r>
              <w:rPr>
                <w:rFonts w:hint="eastAsia" w:ascii="Times New Roman" w:hAnsi="Times New Roman"/>
                <w:sz w:val="24"/>
              </w:rPr>
              <w:t>，海水淡化后的浓盐水盐度约为</w:t>
            </w:r>
            <w:r>
              <w:rPr>
                <w:rFonts w:ascii="Times New Roman" w:hAnsi="Times New Roman"/>
                <w:sz w:val="24"/>
              </w:rPr>
              <w:t>48.79</w:t>
            </w:r>
            <w:r>
              <w:rPr>
                <w:rFonts w:hint="eastAsia" w:ascii="Times New Roman" w:hAnsi="Times New Roman"/>
                <w:sz w:val="24"/>
              </w:rPr>
              <w:t>，含盐量变为取水口海水含盐量的1.53倍。2020年8月工程附近海域20个站位的实测盐度平均值为31.</w:t>
            </w:r>
            <w:r>
              <w:rPr>
                <w:rFonts w:ascii="Times New Roman" w:hAnsi="Times New Roman"/>
                <w:sz w:val="24"/>
              </w:rPr>
              <w:t>7</w:t>
            </w:r>
            <w:r>
              <w:rPr>
                <w:rFonts w:hint="eastAsia" w:ascii="Times New Roman" w:hAnsi="Times New Roman"/>
                <w:sz w:val="24"/>
              </w:rPr>
              <w:t>9，浓盐水主要成分均为海水的主要成分，</w:t>
            </w:r>
            <w:r>
              <w:rPr>
                <w:rFonts w:ascii="Times New Roman" w:hAnsi="Times New Roman"/>
                <w:sz w:val="24"/>
              </w:rPr>
              <w:t>其主要</w:t>
            </w:r>
            <w:r>
              <w:rPr>
                <w:rFonts w:hint="eastAsia" w:ascii="Times New Roman" w:hAnsi="Times New Roman"/>
                <w:sz w:val="24"/>
              </w:rPr>
              <w:t>为钠离子、氯离子、镁离子和硫酸根离子等均为海水的主要成分，以离子形态存在于海水中，均不是累积性污染因子。浓盐水与直流循环冷却水混合后排入威海湾。</w:t>
            </w:r>
          </w:p>
          <w:p>
            <w:pPr>
              <w:pStyle w:val="51"/>
              <w:spacing w:line="360" w:lineRule="auto"/>
              <w:ind w:firstLine="492"/>
              <w:rPr>
                <w:rFonts w:ascii="Times New Roman" w:hAnsi="Times New Roman"/>
                <w:sz w:val="24"/>
              </w:rPr>
            </w:pPr>
            <w:r>
              <w:rPr>
                <w:rFonts w:hint="eastAsia" w:ascii="Times New Roman" w:hAnsi="Times New Roman"/>
                <w:sz w:val="24"/>
              </w:rPr>
              <w:t>经计算，全部项目建成后，海水淡化浓盐水和电厂现有直流循环冷却水混合后的排水盐度约</w:t>
            </w:r>
            <w:r>
              <w:rPr>
                <w:rFonts w:ascii="Times New Roman" w:hAnsi="Times New Roman"/>
                <w:sz w:val="24"/>
              </w:rPr>
              <w:t>39.25</w:t>
            </w:r>
            <w:r>
              <w:rPr>
                <w:rFonts w:hint="eastAsia" w:ascii="Times New Roman" w:hAnsi="Times New Roman"/>
                <w:sz w:val="24"/>
              </w:rPr>
              <w:t>，根据前节预测结果，浓盐水排海造成排放口附近海域盐度升高约0.9，在周边农渔业区和海洋保护区的盐度增量极小，因而对农渔业区和海洋保护区的水质影响较小。总体而言，浓盐水因经温排水稀释后排放，入海源强较小，再经海水稀释扩散后，对工程附近海域盐度的影响较小，</w:t>
            </w:r>
            <w:r>
              <w:rPr>
                <w:rFonts w:ascii="Times New Roman" w:hAnsi="Times New Roman"/>
                <w:sz w:val="24"/>
              </w:rPr>
              <w:t>基本不</w:t>
            </w:r>
            <w:r>
              <w:rPr>
                <w:rFonts w:hint="eastAsia" w:ascii="Times New Roman" w:hAnsi="Times New Roman"/>
                <w:sz w:val="24"/>
              </w:rPr>
              <w:t>会</w:t>
            </w:r>
            <w:r>
              <w:rPr>
                <w:rFonts w:ascii="Times New Roman" w:hAnsi="Times New Roman"/>
                <w:sz w:val="24"/>
              </w:rPr>
              <w:t>对</w:t>
            </w:r>
            <w:r>
              <w:rPr>
                <w:rFonts w:hint="eastAsia" w:ascii="Times New Roman" w:hAnsi="Times New Roman"/>
                <w:sz w:val="24"/>
              </w:rPr>
              <w:t>排水</w:t>
            </w:r>
            <w:r>
              <w:rPr>
                <w:rFonts w:ascii="Times New Roman" w:hAnsi="Times New Roman"/>
                <w:sz w:val="24"/>
              </w:rPr>
              <w:t>口周边海域的生物群落造成影响</w:t>
            </w:r>
            <w:r>
              <w:rPr>
                <w:rFonts w:hint="eastAsia" w:ascii="Times New Roman" w:hAnsi="Times New Roman"/>
                <w:sz w:val="24"/>
              </w:rPr>
              <w:t>。</w:t>
            </w:r>
          </w:p>
          <w:p>
            <w:pPr>
              <w:pStyle w:val="51"/>
              <w:spacing w:line="360" w:lineRule="auto"/>
              <w:ind w:firstLine="494"/>
              <w:rPr>
                <w:rFonts w:ascii="Times New Roman" w:hAnsi="Times New Roman"/>
                <w:b/>
                <w:bCs/>
                <w:sz w:val="24"/>
              </w:rPr>
            </w:pPr>
            <w:r>
              <w:rPr>
                <w:rFonts w:hint="eastAsia" w:ascii="Times New Roman" w:hAnsi="Times New Roman"/>
                <w:b/>
                <w:bCs/>
                <w:sz w:val="24"/>
              </w:rPr>
              <w:t>1</w:t>
            </w:r>
            <w:r>
              <w:rPr>
                <w:rFonts w:ascii="Times New Roman" w:hAnsi="Times New Roman"/>
                <w:b/>
                <w:bCs/>
                <w:sz w:val="24"/>
              </w:rPr>
              <w:t xml:space="preserve">.4 </w:t>
            </w:r>
            <w:r>
              <w:rPr>
                <w:rFonts w:hint="eastAsia" w:ascii="Times New Roman" w:hAnsi="Times New Roman"/>
                <w:b/>
                <w:bCs/>
                <w:sz w:val="24"/>
              </w:rPr>
              <w:t>地下水环境影响分析</w:t>
            </w:r>
          </w:p>
          <w:p>
            <w:pPr>
              <w:widowControl/>
              <w:spacing w:line="440" w:lineRule="exact"/>
              <w:ind w:firstLine="480" w:firstLineChars="200"/>
              <w:jc w:val="left"/>
              <w:rPr>
                <w:rFonts w:ascii="Calibri" w:hAnsi="Calibri"/>
                <w:kern w:val="0"/>
                <w:sz w:val="24"/>
              </w:rPr>
            </w:pPr>
            <w:r>
              <w:rPr>
                <w:rFonts w:hint="eastAsia" w:ascii="Calibri" w:hAnsi="Calibri"/>
                <w:kern w:val="0"/>
                <w:sz w:val="24"/>
              </w:rPr>
              <w:t>根据《环境影响评价技术导则</w:t>
            </w:r>
            <w:r>
              <w:rPr>
                <w:rFonts w:ascii="Calibri" w:hAnsi="Calibri"/>
                <w:kern w:val="0"/>
                <w:sz w:val="24"/>
              </w:rPr>
              <w:t xml:space="preserve">  </w:t>
            </w:r>
            <w:r>
              <w:rPr>
                <w:rFonts w:hint="eastAsia" w:ascii="Calibri" w:hAnsi="Calibri"/>
                <w:kern w:val="0"/>
                <w:sz w:val="24"/>
              </w:rPr>
              <w:t>地下水环境》（</w:t>
            </w:r>
            <w:r>
              <w:rPr>
                <w:rFonts w:ascii="Calibri" w:hAnsi="Calibri"/>
                <w:kern w:val="0"/>
                <w:sz w:val="24"/>
              </w:rPr>
              <w:t>HJ610-2016</w:t>
            </w:r>
            <w:r>
              <w:rPr>
                <w:rFonts w:hint="eastAsia" w:ascii="Calibri" w:hAnsi="Calibri"/>
                <w:kern w:val="0"/>
                <w:sz w:val="24"/>
              </w:rPr>
              <w:t>），本项目为地下水环境影响评价行业分类表中的Ⅳ类，根据导则一般性原则：Ⅳ类建设项目不开展地下水环境影响评价。</w:t>
            </w:r>
          </w:p>
          <w:p>
            <w:pPr>
              <w:widowControl/>
              <w:spacing w:line="440" w:lineRule="exact"/>
              <w:ind w:firstLine="480" w:firstLineChars="200"/>
              <w:jc w:val="left"/>
              <w:rPr>
                <w:rFonts w:ascii="Calibri" w:hAnsi="Calibri"/>
                <w:kern w:val="0"/>
                <w:sz w:val="24"/>
              </w:rPr>
            </w:pPr>
            <w:r>
              <w:rPr>
                <w:rFonts w:hint="eastAsia" w:ascii="Calibri" w:hAnsi="Calibri"/>
                <w:kern w:val="0"/>
                <w:sz w:val="24"/>
              </w:rPr>
              <w:t>为防止本项目造成地下水污染，地下水污染防治措施按照“源头控制、分区防治、污染监控、应急响应”相结合的原则，从污染物的产生、入渗、扩散、应急响应全阶段进行控制。</w:t>
            </w:r>
          </w:p>
          <w:p>
            <w:pPr>
              <w:widowControl/>
              <w:spacing w:line="440" w:lineRule="exact"/>
              <w:ind w:firstLine="480" w:firstLineChars="200"/>
              <w:jc w:val="left"/>
              <w:rPr>
                <w:sz w:val="24"/>
              </w:rPr>
            </w:pPr>
            <w:r>
              <w:rPr>
                <w:rFonts w:hint="eastAsia" w:ascii="Calibri" w:hAnsi="Calibri"/>
                <w:kern w:val="0"/>
                <w:sz w:val="24"/>
              </w:rPr>
              <w:t>为此，项目将厂房地面全部采取硬化措施，对供水、排水、海水淡化生产区域、加药间、储罐、滤池、中和池采取防渗措施，可能产生渗漏的环节均得到有效控制，在落实好上述地下水污染防治措施后，可最大程度的减少项目对浅层地下水的影响，地下水的水质不会发生明显变化。</w:t>
            </w:r>
          </w:p>
          <w:p>
            <w:pPr>
              <w:pStyle w:val="51"/>
              <w:spacing w:line="360" w:lineRule="auto"/>
              <w:ind w:firstLine="494"/>
              <w:rPr>
                <w:rFonts w:ascii="Times New Roman" w:hAnsi="Times New Roman"/>
                <w:b/>
                <w:bCs/>
                <w:sz w:val="24"/>
              </w:rPr>
            </w:pPr>
            <w:r>
              <w:rPr>
                <w:rFonts w:ascii="Times New Roman" w:hAnsi="Times New Roman"/>
                <w:b/>
                <w:bCs/>
                <w:sz w:val="24"/>
              </w:rPr>
              <w:t xml:space="preserve">2. </w:t>
            </w:r>
            <w:r>
              <w:rPr>
                <w:rFonts w:hint="eastAsia" w:ascii="Times New Roman" w:hAnsi="Times New Roman"/>
                <w:b/>
                <w:bCs/>
                <w:sz w:val="24"/>
              </w:rPr>
              <w:t>大</w:t>
            </w:r>
            <w:r>
              <w:rPr>
                <w:rFonts w:ascii="Times New Roman" w:hAnsi="Times New Roman"/>
                <w:b/>
                <w:bCs/>
                <w:sz w:val="24"/>
              </w:rPr>
              <w:t>气环境影响分析</w:t>
            </w:r>
          </w:p>
          <w:p>
            <w:pPr>
              <w:pStyle w:val="51"/>
              <w:spacing w:line="360" w:lineRule="auto"/>
              <w:ind w:firstLine="492"/>
              <w:rPr>
                <w:rFonts w:ascii="Times New Roman" w:hAnsi="Times New Roman"/>
                <w:sz w:val="24"/>
              </w:rPr>
            </w:pPr>
            <w:r>
              <w:rPr>
                <w:rFonts w:hint="eastAsia" w:ascii="Times New Roman" w:hAnsi="Times New Roman"/>
                <w:sz w:val="24"/>
              </w:rPr>
              <w:t>本项目运营期间不产生大气污染物，对周围大气环境无影响。</w:t>
            </w:r>
          </w:p>
          <w:p>
            <w:pPr>
              <w:pStyle w:val="51"/>
              <w:spacing w:line="360" w:lineRule="auto"/>
              <w:ind w:firstLine="494"/>
              <w:rPr>
                <w:rFonts w:ascii="Times New Roman" w:hAnsi="Times New Roman"/>
                <w:b/>
                <w:bCs/>
                <w:sz w:val="24"/>
              </w:rPr>
            </w:pPr>
            <w:r>
              <w:rPr>
                <w:rFonts w:ascii="Times New Roman" w:hAnsi="Times New Roman"/>
                <w:b/>
                <w:bCs/>
                <w:sz w:val="24"/>
              </w:rPr>
              <w:t>3. 声环境影响分析</w:t>
            </w:r>
          </w:p>
          <w:p>
            <w:pPr>
              <w:pStyle w:val="51"/>
              <w:spacing w:line="360" w:lineRule="auto"/>
              <w:ind w:firstLine="492"/>
              <w:rPr>
                <w:rFonts w:ascii="Times New Roman" w:hAnsi="Times New Roman"/>
                <w:sz w:val="24"/>
              </w:rPr>
            </w:pPr>
            <w:r>
              <w:rPr>
                <w:rFonts w:hint="eastAsia" w:ascii="Times New Roman" w:hAnsi="Times New Roman"/>
                <w:sz w:val="24"/>
              </w:rPr>
              <w:t>本项目</w:t>
            </w:r>
            <w:r>
              <w:rPr>
                <w:rFonts w:ascii="Times New Roman" w:hAnsi="Times New Roman"/>
                <w:sz w:val="24"/>
              </w:rPr>
              <w:t>营运期噪声主要来源于海水取水泵</w:t>
            </w:r>
            <w:r>
              <w:rPr>
                <w:rFonts w:hint="eastAsia" w:ascii="Times New Roman" w:hAnsi="Times New Roman"/>
                <w:sz w:val="24"/>
              </w:rPr>
              <w:t>，污泥脱水泵，超滤、反渗透、低温多效过程中的高压泵、浓水泵、产品水泵、空压机、加药及计量泵等</w:t>
            </w:r>
            <w:r>
              <w:rPr>
                <w:rFonts w:ascii="Times New Roman" w:hAnsi="Times New Roman"/>
                <w:sz w:val="24"/>
              </w:rPr>
              <w:t>产生的噪声。</w:t>
            </w:r>
          </w:p>
          <w:p>
            <w:pPr>
              <w:pStyle w:val="51"/>
              <w:spacing w:line="360" w:lineRule="auto"/>
              <w:ind w:firstLine="492"/>
              <w:rPr>
                <w:rFonts w:ascii="Times New Roman" w:hAnsi="Times New Roman"/>
                <w:sz w:val="24"/>
              </w:rPr>
            </w:pPr>
            <w:r>
              <w:rPr>
                <w:rFonts w:ascii="Times New Roman" w:hAnsi="Times New Roman"/>
                <w:sz w:val="24"/>
              </w:rPr>
              <w:t>由厂区平面布置及建设工程设计资料可知，</w:t>
            </w:r>
            <w:r>
              <w:rPr>
                <w:rFonts w:hint="eastAsia" w:ascii="Times New Roman" w:hAnsi="Times New Roman"/>
                <w:sz w:val="24"/>
              </w:rPr>
              <w:t>项目选用低噪音的机械设备，并对高压泵等高噪声设备采取消声、减震措施，鼓风机采用消音罩，空气压缩机、水泵等</w:t>
            </w:r>
            <w:r>
              <w:rPr>
                <w:rFonts w:ascii="Times New Roman" w:hAnsi="Times New Roman"/>
                <w:sz w:val="24"/>
              </w:rPr>
              <w:t>均置于专用房内，面向界外的门窗为专用隔声门窗。</w:t>
            </w:r>
            <w:r>
              <w:rPr>
                <w:rFonts w:hint="eastAsia" w:ascii="Times New Roman" w:hAnsi="Times New Roman"/>
                <w:sz w:val="24"/>
              </w:rPr>
              <w:t>上述各设备综合隔声效果保守按照25 dB(A)计。</w:t>
            </w:r>
          </w:p>
          <w:p>
            <w:pPr>
              <w:widowControl/>
              <w:adjustRightInd w:val="0"/>
              <w:snapToGrid w:val="0"/>
              <w:spacing w:line="360" w:lineRule="auto"/>
              <w:ind w:firstLine="480" w:firstLineChars="200"/>
              <w:rPr>
                <w:rFonts w:eastAsiaTheme="minorEastAsia"/>
                <w:bCs/>
                <w:sz w:val="24"/>
                <w:szCs w:val="20"/>
              </w:rPr>
            </w:pPr>
            <w:r>
              <w:rPr>
                <w:rFonts w:hint="eastAsia" w:eastAsiaTheme="minorEastAsia"/>
                <w:bCs/>
                <w:sz w:val="24"/>
                <w:szCs w:val="20"/>
              </w:rPr>
              <w:t>考据最不利时，即一期、二期建成后，全部设备投入使用后的产噪情况。根据项目噪声源的分布及其与电厂各厂界的相对位置关系，将本项目噪声预测方案及相关计算数据见表</w:t>
            </w:r>
            <w:r>
              <w:rPr>
                <w:rFonts w:eastAsiaTheme="minorEastAsia"/>
                <w:bCs/>
                <w:sz w:val="24"/>
                <w:szCs w:val="20"/>
              </w:rPr>
              <w:t>18</w:t>
            </w:r>
            <w:r>
              <w:rPr>
                <w:rFonts w:hint="eastAsia" w:eastAsiaTheme="minorEastAsia"/>
                <w:bCs/>
                <w:sz w:val="24"/>
                <w:szCs w:val="20"/>
              </w:rPr>
              <w:t>。</w:t>
            </w:r>
          </w:p>
          <w:p>
            <w:pPr>
              <w:adjustRightInd w:val="0"/>
              <w:snapToGrid w:val="0"/>
              <w:spacing w:line="360" w:lineRule="auto"/>
              <w:jc w:val="center"/>
              <w:rPr>
                <w:b/>
                <w:bCs/>
                <w:kern w:val="0"/>
                <w:sz w:val="24"/>
                <w:szCs w:val="18"/>
              </w:rPr>
            </w:pPr>
            <w:r>
              <w:rPr>
                <w:b/>
                <w:bCs/>
                <w:kern w:val="0"/>
                <w:sz w:val="24"/>
                <w:szCs w:val="18"/>
              </w:rPr>
              <w:t>表18 主要设备所在位置与厂界最近距离一览表</w:t>
            </w:r>
          </w:p>
          <w:tbl>
            <w:tblPr>
              <w:tblStyle w:val="88"/>
              <w:tblW w:w="883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8"/>
              <w:gridCol w:w="2518"/>
              <w:gridCol w:w="1081"/>
              <w:gridCol w:w="1081"/>
              <w:gridCol w:w="1081"/>
              <w:gridCol w:w="1081"/>
              <w:gridCol w:w="1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exact"/>
                <w:jc w:val="center"/>
              </w:trPr>
              <w:tc>
                <w:tcPr>
                  <w:tcW w:w="518" w:type="dxa"/>
                  <w:vMerge w:val="restart"/>
                  <w:vAlign w:val="center"/>
                </w:tcPr>
                <w:p>
                  <w:pPr>
                    <w:adjustRightInd w:val="0"/>
                    <w:snapToGrid w:val="0"/>
                    <w:jc w:val="center"/>
                    <w:rPr>
                      <w:sz w:val="24"/>
                      <w:szCs w:val="22"/>
                    </w:rPr>
                  </w:pPr>
                  <w:r>
                    <w:rPr>
                      <w:sz w:val="24"/>
                      <w:szCs w:val="22"/>
                    </w:rPr>
                    <w:t>编号</w:t>
                  </w:r>
                </w:p>
              </w:tc>
              <w:tc>
                <w:tcPr>
                  <w:tcW w:w="2518" w:type="dxa"/>
                  <w:vMerge w:val="restart"/>
                  <w:vAlign w:val="center"/>
                </w:tcPr>
                <w:p>
                  <w:pPr>
                    <w:adjustRightInd w:val="0"/>
                    <w:snapToGrid w:val="0"/>
                    <w:jc w:val="center"/>
                    <w:rPr>
                      <w:sz w:val="24"/>
                      <w:szCs w:val="22"/>
                    </w:rPr>
                  </w:pPr>
                  <w:r>
                    <w:rPr>
                      <w:sz w:val="24"/>
                      <w:szCs w:val="22"/>
                    </w:rPr>
                    <w:t>噪声源所在位置</w:t>
                  </w:r>
                </w:p>
              </w:tc>
              <w:tc>
                <w:tcPr>
                  <w:tcW w:w="4324" w:type="dxa"/>
                  <w:gridSpan w:val="4"/>
                  <w:vAlign w:val="center"/>
                </w:tcPr>
                <w:p>
                  <w:pPr>
                    <w:adjustRightInd w:val="0"/>
                    <w:snapToGrid w:val="0"/>
                    <w:jc w:val="center"/>
                    <w:rPr>
                      <w:sz w:val="24"/>
                      <w:szCs w:val="22"/>
                    </w:rPr>
                  </w:pPr>
                  <w:r>
                    <w:rPr>
                      <w:sz w:val="24"/>
                      <w:szCs w:val="22"/>
                    </w:rPr>
                    <w:t>离厂界预测点最近距离(m)</w:t>
                  </w:r>
                </w:p>
              </w:tc>
              <w:tc>
                <w:tcPr>
                  <w:tcW w:w="1475" w:type="dxa"/>
                  <w:vMerge w:val="restart"/>
                  <w:vAlign w:val="center"/>
                </w:tcPr>
                <w:p>
                  <w:pPr>
                    <w:adjustRightInd w:val="0"/>
                    <w:snapToGrid w:val="0"/>
                    <w:jc w:val="center"/>
                    <w:rPr>
                      <w:sz w:val="24"/>
                      <w:szCs w:val="22"/>
                    </w:rPr>
                  </w:pPr>
                  <w:r>
                    <w:rPr>
                      <w:sz w:val="24"/>
                      <w:szCs w:val="22"/>
                    </w:rPr>
                    <w:t>隔声量dB(A)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47" w:hRule="exact"/>
                <w:jc w:val="center"/>
              </w:trPr>
              <w:tc>
                <w:tcPr>
                  <w:tcW w:w="518" w:type="dxa"/>
                  <w:vMerge w:val="continue"/>
                  <w:vAlign w:val="center"/>
                </w:tcPr>
                <w:p>
                  <w:pPr>
                    <w:adjustRightInd w:val="0"/>
                    <w:snapToGrid w:val="0"/>
                    <w:jc w:val="center"/>
                    <w:rPr>
                      <w:sz w:val="24"/>
                      <w:szCs w:val="22"/>
                    </w:rPr>
                  </w:pPr>
                </w:p>
              </w:tc>
              <w:tc>
                <w:tcPr>
                  <w:tcW w:w="2518" w:type="dxa"/>
                  <w:vMerge w:val="continue"/>
                  <w:vAlign w:val="center"/>
                </w:tcPr>
                <w:p>
                  <w:pPr>
                    <w:adjustRightInd w:val="0"/>
                    <w:snapToGrid w:val="0"/>
                    <w:jc w:val="center"/>
                    <w:rPr>
                      <w:sz w:val="24"/>
                      <w:szCs w:val="22"/>
                    </w:rPr>
                  </w:pPr>
                </w:p>
              </w:tc>
              <w:tc>
                <w:tcPr>
                  <w:tcW w:w="1081" w:type="dxa"/>
                  <w:vAlign w:val="center"/>
                </w:tcPr>
                <w:p>
                  <w:pPr>
                    <w:adjustRightInd w:val="0"/>
                    <w:snapToGrid w:val="0"/>
                    <w:jc w:val="center"/>
                    <w:rPr>
                      <w:sz w:val="24"/>
                      <w:szCs w:val="22"/>
                    </w:rPr>
                  </w:pPr>
                  <w:r>
                    <w:rPr>
                      <w:rFonts w:hint="eastAsia"/>
                      <w:sz w:val="24"/>
                      <w:szCs w:val="22"/>
                    </w:rPr>
                    <w:t>东厂界</w:t>
                  </w:r>
                  <w:r>
                    <w:rPr>
                      <w:sz w:val="24"/>
                      <w:szCs w:val="22"/>
                    </w:rPr>
                    <w:t>1#</w:t>
                  </w:r>
                </w:p>
              </w:tc>
              <w:tc>
                <w:tcPr>
                  <w:tcW w:w="1081" w:type="dxa"/>
                  <w:vAlign w:val="center"/>
                </w:tcPr>
                <w:p>
                  <w:pPr>
                    <w:adjustRightInd w:val="0"/>
                    <w:snapToGrid w:val="0"/>
                    <w:jc w:val="center"/>
                    <w:rPr>
                      <w:sz w:val="24"/>
                      <w:szCs w:val="22"/>
                    </w:rPr>
                  </w:pPr>
                  <w:r>
                    <w:rPr>
                      <w:rFonts w:hint="eastAsia"/>
                      <w:sz w:val="24"/>
                      <w:szCs w:val="22"/>
                    </w:rPr>
                    <w:t>南厂界</w:t>
                  </w:r>
                  <w:r>
                    <w:rPr>
                      <w:sz w:val="24"/>
                      <w:szCs w:val="22"/>
                    </w:rPr>
                    <w:t>2#</w:t>
                  </w:r>
                </w:p>
              </w:tc>
              <w:tc>
                <w:tcPr>
                  <w:tcW w:w="1081" w:type="dxa"/>
                  <w:vAlign w:val="center"/>
                </w:tcPr>
                <w:p>
                  <w:pPr>
                    <w:adjustRightInd w:val="0"/>
                    <w:snapToGrid w:val="0"/>
                    <w:jc w:val="center"/>
                    <w:rPr>
                      <w:sz w:val="24"/>
                      <w:szCs w:val="22"/>
                    </w:rPr>
                  </w:pPr>
                  <w:r>
                    <w:rPr>
                      <w:rFonts w:hint="eastAsia"/>
                      <w:sz w:val="24"/>
                      <w:szCs w:val="22"/>
                    </w:rPr>
                    <w:t>西厂界</w:t>
                  </w:r>
                  <w:r>
                    <w:rPr>
                      <w:sz w:val="24"/>
                      <w:szCs w:val="22"/>
                    </w:rPr>
                    <w:t>3#</w:t>
                  </w:r>
                </w:p>
              </w:tc>
              <w:tc>
                <w:tcPr>
                  <w:tcW w:w="1081" w:type="dxa"/>
                  <w:vAlign w:val="center"/>
                </w:tcPr>
                <w:p>
                  <w:pPr>
                    <w:adjustRightInd w:val="0"/>
                    <w:snapToGrid w:val="0"/>
                    <w:jc w:val="center"/>
                    <w:rPr>
                      <w:sz w:val="24"/>
                      <w:szCs w:val="22"/>
                    </w:rPr>
                  </w:pPr>
                  <w:r>
                    <w:rPr>
                      <w:rFonts w:hint="eastAsia"/>
                      <w:sz w:val="24"/>
                      <w:szCs w:val="22"/>
                    </w:rPr>
                    <w:t>北厂界4</w:t>
                  </w:r>
                  <w:r>
                    <w:rPr>
                      <w:sz w:val="24"/>
                      <w:szCs w:val="22"/>
                    </w:rPr>
                    <w:t>#</w:t>
                  </w:r>
                </w:p>
              </w:tc>
              <w:tc>
                <w:tcPr>
                  <w:tcW w:w="1475" w:type="dxa"/>
                  <w:vMerge w:val="continue"/>
                  <w:vAlign w:val="center"/>
                </w:tcPr>
                <w:p>
                  <w:pPr>
                    <w:adjustRightInd w:val="0"/>
                    <w:snapToGrid w:val="0"/>
                    <w:jc w:val="center"/>
                    <w:rPr>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32" w:hRule="exact"/>
                <w:jc w:val="center"/>
              </w:trPr>
              <w:tc>
                <w:tcPr>
                  <w:tcW w:w="518" w:type="dxa"/>
                  <w:vAlign w:val="center"/>
                </w:tcPr>
                <w:p>
                  <w:pPr>
                    <w:adjustRightInd w:val="0"/>
                    <w:snapToGrid w:val="0"/>
                    <w:jc w:val="center"/>
                    <w:rPr>
                      <w:sz w:val="24"/>
                      <w:szCs w:val="22"/>
                    </w:rPr>
                  </w:pPr>
                  <w:r>
                    <w:rPr>
                      <w:sz w:val="24"/>
                      <w:szCs w:val="22"/>
                    </w:rPr>
                    <w:t>1</w:t>
                  </w:r>
                </w:p>
              </w:tc>
              <w:tc>
                <w:tcPr>
                  <w:tcW w:w="2518" w:type="dxa"/>
                  <w:vAlign w:val="center"/>
                </w:tcPr>
                <w:p>
                  <w:pPr>
                    <w:adjustRightInd w:val="0"/>
                    <w:snapToGrid w:val="0"/>
                    <w:jc w:val="center"/>
                    <w:rPr>
                      <w:sz w:val="24"/>
                      <w:szCs w:val="22"/>
                    </w:rPr>
                  </w:pPr>
                  <w:r>
                    <w:rPr>
                      <w:rFonts w:hint="eastAsia"/>
                      <w:sz w:val="24"/>
                      <w:szCs w:val="22"/>
                    </w:rPr>
                    <w:t>一期海水淡化车间（取水泵房、污泥脱水、反渗透、超滤工序）</w:t>
                  </w:r>
                </w:p>
              </w:tc>
              <w:tc>
                <w:tcPr>
                  <w:tcW w:w="1081" w:type="dxa"/>
                  <w:vAlign w:val="center"/>
                </w:tcPr>
                <w:p>
                  <w:pPr>
                    <w:adjustRightInd w:val="0"/>
                    <w:snapToGrid w:val="0"/>
                    <w:jc w:val="center"/>
                    <w:rPr>
                      <w:sz w:val="24"/>
                      <w:szCs w:val="22"/>
                    </w:rPr>
                  </w:pPr>
                  <w:r>
                    <w:rPr>
                      <w:sz w:val="24"/>
                      <w:szCs w:val="22"/>
                    </w:rPr>
                    <w:t>1050</w:t>
                  </w:r>
                </w:p>
              </w:tc>
              <w:tc>
                <w:tcPr>
                  <w:tcW w:w="1081" w:type="dxa"/>
                  <w:vAlign w:val="center"/>
                </w:tcPr>
                <w:p>
                  <w:pPr>
                    <w:adjustRightInd w:val="0"/>
                    <w:snapToGrid w:val="0"/>
                    <w:jc w:val="center"/>
                    <w:rPr>
                      <w:sz w:val="24"/>
                      <w:szCs w:val="22"/>
                    </w:rPr>
                  </w:pPr>
                  <w:r>
                    <w:rPr>
                      <w:sz w:val="24"/>
                      <w:szCs w:val="22"/>
                    </w:rPr>
                    <w:t>195</w:t>
                  </w:r>
                </w:p>
              </w:tc>
              <w:tc>
                <w:tcPr>
                  <w:tcW w:w="1081" w:type="dxa"/>
                  <w:vAlign w:val="center"/>
                </w:tcPr>
                <w:p>
                  <w:pPr>
                    <w:adjustRightInd w:val="0"/>
                    <w:snapToGrid w:val="0"/>
                    <w:jc w:val="center"/>
                    <w:rPr>
                      <w:sz w:val="24"/>
                      <w:szCs w:val="22"/>
                    </w:rPr>
                  </w:pPr>
                  <w:r>
                    <w:rPr>
                      <w:sz w:val="24"/>
                      <w:szCs w:val="22"/>
                    </w:rPr>
                    <w:t>71</w:t>
                  </w:r>
                </w:p>
              </w:tc>
              <w:tc>
                <w:tcPr>
                  <w:tcW w:w="1081" w:type="dxa"/>
                  <w:vAlign w:val="center"/>
                </w:tcPr>
                <w:p>
                  <w:pPr>
                    <w:adjustRightInd w:val="0"/>
                    <w:snapToGrid w:val="0"/>
                    <w:jc w:val="center"/>
                    <w:rPr>
                      <w:sz w:val="24"/>
                      <w:szCs w:val="22"/>
                    </w:rPr>
                  </w:pPr>
                  <w:r>
                    <w:rPr>
                      <w:rFonts w:hint="eastAsia"/>
                      <w:sz w:val="24"/>
                      <w:szCs w:val="22"/>
                    </w:rPr>
                    <w:t>1</w:t>
                  </w:r>
                  <w:r>
                    <w:rPr>
                      <w:sz w:val="24"/>
                      <w:szCs w:val="22"/>
                    </w:rPr>
                    <w:t>61</w:t>
                  </w:r>
                </w:p>
              </w:tc>
              <w:tc>
                <w:tcPr>
                  <w:tcW w:w="1475" w:type="dxa"/>
                  <w:vAlign w:val="center"/>
                </w:tcPr>
                <w:p>
                  <w:pPr>
                    <w:adjustRightInd w:val="0"/>
                    <w:snapToGrid w:val="0"/>
                    <w:jc w:val="center"/>
                    <w:rPr>
                      <w:sz w:val="24"/>
                      <w:szCs w:val="22"/>
                    </w:rPr>
                  </w:pPr>
                  <w:r>
                    <w:rPr>
                      <w:sz w:val="24"/>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90" w:hRule="exact"/>
                <w:jc w:val="center"/>
              </w:trPr>
              <w:tc>
                <w:tcPr>
                  <w:tcW w:w="518" w:type="dxa"/>
                  <w:vAlign w:val="center"/>
                </w:tcPr>
                <w:p>
                  <w:pPr>
                    <w:adjustRightInd w:val="0"/>
                    <w:snapToGrid w:val="0"/>
                    <w:jc w:val="center"/>
                    <w:rPr>
                      <w:sz w:val="24"/>
                      <w:szCs w:val="22"/>
                    </w:rPr>
                  </w:pPr>
                  <w:r>
                    <w:rPr>
                      <w:rFonts w:hint="eastAsia"/>
                      <w:sz w:val="24"/>
                      <w:szCs w:val="22"/>
                    </w:rPr>
                    <w:t>2</w:t>
                  </w:r>
                </w:p>
              </w:tc>
              <w:tc>
                <w:tcPr>
                  <w:tcW w:w="2518" w:type="dxa"/>
                  <w:vAlign w:val="center"/>
                </w:tcPr>
                <w:p>
                  <w:pPr>
                    <w:adjustRightInd w:val="0"/>
                    <w:snapToGrid w:val="0"/>
                    <w:jc w:val="center"/>
                    <w:rPr>
                      <w:sz w:val="24"/>
                      <w:szCs w:val="22"/>
                    </w:rPr>
                  </w:pPr>
                  <w:r>
                    <w:rPr>
                      <w:rFonts w:hint="eastAsia"/>
                      <w:sz w:val="24"/>
                      <w:szCs w:val="22"/>
                    </w:rPr>
                    <w:t>二期海水淡化车间（反渗透、低温多效工序及加药间）</w:t>
                  </w:r>
                </w:p>
              </w:tc>
              <w:tc>
                <w:tcPr>
                  <w:tcW w:w="1081" w:type="dxa"/>
                  <w:vAlign w:val="center"/>
                </w:tcPr>
                <w:p>
                  <w:pPr>
                    <w:adjustRightInd w:val="0"/>
                    <w:snapToGrid w:val="0"/>
                    <w:jc w:val="center"/>
                    <w:rPr>
                      <w:sz w:val="24"/>
                      <w:szCs w:val="22"/>
                    </w:rPr>
                  </w:pPr>
                  <w:r>
                    <w:rPr>
                      <w:sz w:val="24"/>
                      <w:szCs w:val="22"/>
                    </w:rPr>
                    <w:t>872</w:t>
                  </w:r>
                </w:p>
              </w:tc>
              <w:tc>
                <w:tcPr>
                  <w:tcW w:w="1081" w:type="dxa"/>
                  <w:vAlign w:val="center"/>
                </w:tcPr>
                <w:p>
                  <w:pPr>
                    <w:adjustRightInd w:val="0"/>
                    <w:snapToGrid w:val="0"/>
                    <w:jc w:val="center"/>
                    <w:rPr>
                      <w:sz w:val="24"/>
                      <w:szCs w:val="22"/>
                    </w:rPr>
                  </w:pPr>
                  <w:r>
                    <w:rPr>
                      <w:rFonts w:hint="eastAsia"/>
                      <w:sz w:val="24"/>
                      <w:szCs w:val="22"/>
                    </w:rPr>
                    <w:t>3</w:t>
                  </w:r>
                  <w:r>
                    <w:rPr>
                      <w:sz w:val="24"/>
                      <w:szCs w:val="22"/>
                    </w:rPr>
                    <w:t>05</w:t>
                  </w:r>
                </w:p>
              </w:tc>
              <w:tc>
                <w:tcPr>
                  <w:tcW w:w="1081" w:type="dxa"/>
                  <w:vAlign w:val="center"/>
                </w:tcPr>
                <w:p>
                  <w:pPr>
                    <w:adjustRightInd w:val="0"/>
                    <w:snapToGrid w:val="0"/>
                    <w:jc w:val="center"/>
                    <w:rPr>
                      <w:sz w:val="24"/>
                      <w:szCs w:val="22"/>
                    </w:rPr>
                  </w:pPr>
                  <w:r>
                    <w:rPr>
                      <w:rFonts w:hint="eastAsia"/>
                      <w:sz w:val="24"/>
                      <w:szCs w:val="22"/>
                    </w:rPr>
                    <w:t>2</w:t>
                  </w:r>
                  <w:r>
                    <w:rPr>
                      <w:sz w:val="24"/>
                      <w:szCs w:val="22"/>
                    </w:rPr>
                    <w:t>22</w:t>
                  </w:r>
                </w:p>
              </w:tc>
              <w:tc>
                <w:tcPr>
                  <w:tcW w:w="1081" w:type="dxa"/>
                  <w:vAlign w:val="center"/>
                </w:tcPr>
                <w:p>
                  <w:pPr>
                    <w:adjustRightInd w:val="0"/>
                    <w:snapToGrid w:val="0"/>
                    <w:jc w:val="center"/>
                    <w:rPr>
                      <w:sz w:val="24"/>
                      <w:szCs w:val="22"/>
                    </w:rPr>
                  </w:pPr>
                  <w:r>
                    <w:rPr>
                      <w:rFonts w:hint="eastAsia"/>
                      <w:sz w:val="24"/>
                      <w:szCs w:val="22"/>
                    </w:rPr>
                    <w:t>3</w:t>
                  </w:r>
                  <w:r>
                    <w:rPr>
                      <w:sz w:val="24"/>
                      <w:szCs w:val="22"/>
                    </w:rPr>
                    <w:t>25</w:t>
                  </w:r>
                </w:p>
              </w:tc>
              <w:tc>
                <w:tcPr>
                  <w:tcW w:w="1475" w:type="dxa"/>
                  <w:vAlign w:val="center"/>
                </w:tcPr>
                <w:p>
                  <w:pPr>
                    <w:adjustRightInd w:val="0"/>
                    <w:snapToGrid w:val="0"/>
                    <w:jc w:val="center"/>
                    <w:rPr>
                      <w:sz w:val="24"/>
                      <w:szCs w:val="22"/>
                    </w:rPr>
                  </w:pPr>
                  <w:r>
                    <w:rPr>
                      <w:rFonts w:hint="eastAsia"/>
                      <w:sz w:val="24"/>
                      <w:szCs w:val="22"/>
                    </w:rPr>
                    <w:t>2</w:t>
                  </w:r>
                  <w:r>
                    <w:rPr>
                      <w:sz w:val="24"/>
                      <w:szCs w:val="2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35" w:hRule="exact"/>
                <w:jc w:val="center"/>
              </w:trPr>
              <w:tc>
                <w:tcPr>
                  <w:tcW w:w="518" w:type="dxa"/>
                  <w:vAlign w:val="center"/>
                </w:tcPr>
                <w:p>
                  <w:pPr>
                    <w:adjustRightInd w:val="0"/>
                    <w:snapToGrid w:val="0"/>
                    <w:jc w:val="center"/>
                    <w:rPr>
                      <w:sz w:val="24"/>
                      <w:szCs w:val="22"/>
                    </w:rPr>
                  </w:pPr>
                  <w:r>
                    <w:rPr>
                      <w:rFonts w:hint="eastAsia"/>
                      <w:sz w:val="24"/>
                      <w:szCs w:val="22"/>
                    </w:rPr>
                    <w:t>3</w:t>
                  </w:r>
                </w:p>
              </w:tc>
              <w:tc>
                <w:tcPr>
                  <w:tcW w:w="2518" w:type="dxa"/>
                  <w:vAlign w:val="center"/>
                </w:tcPr>
                <w:p>
                  <w:pPr>
                    <w:adjustRightInd w:val="0"/>
                    <w:snapToGrid w:val="0"/>
                    <w:jc w:val="center"/>
                    <w:rPr>
                      <w:sz w:val="24"/>
                      <w:szCs w:val="22"/>
                    </w:rPr>
                  </w:pPr>
                  <w:r>
                    <w:rPr>
                      <w:rFonts w:hint="eastAsia"/>
                      <w:sz w:val="24"/>
                      <w:szCs w:val="22"/>
                    </w:rPr>
                    <w:t>汽机房</w:t>
                  </w:r>
                </w:p>
              </w:tc>
              <w:tc>
                <w:tcPr>
                  <w:tcW w:w="1081" w:type="dxa"/>
                  <w:vAlign w:val="center"/>
                </w:tcPr>
                <w:p>
                  <w:pPr>
                    <w:adjustRightInd w:val="0"/>
                    <w:snapToGrid w:val="0"/>
                    <w:jc w:val="center"/>
                    <w:rPr>
                      <w:sz w:val="24"/>
                      <w:szCs w:val="22"/>
                    </w:rPr>
                  </w:pPr>
                  <w:r>
                    <w:rPr>
                      <w:rFonts w:hint="eastAsia"/>
                      <w:sz w:val="24"/>
                      <w:szCs w:val="22"/>
                    </w:rPr>
                    <w:t>8</w:t>
                  </w:r>
                  <w:r>
                    <w:rPr>
                      <w:sz w:val="24"/>
                      <w:szCs w:val="22"/>
                    </w:rPr>
                    <w:t>82</w:t>
                  </w:r>
                </w:p>
              </w:tc>
              <w:tc>
                <w:tcPr>
                  <w:tcW w:w="1081" w:type="dxa"/>
                  <w:vAlign w:val="center"/>
                </w:tcPr>
                <w:p>
                  <w:pPr>
                    <w:adjustRightInd w:val="0"/>
                    <w:snapToGrid w:val="0"/>
                    <w:jc w:val="center"/>
                    <w:rPr>
                      <w:sz w:val="24"/>
                      <w:szCs w:val="22"/>
                    </w:rPr>
                  </w:pPr>
                  <w:r>
                    <w:rPr>
                      <w:rFonts w:hint="eastAsia"/>
                      <w:sz w:val="24"/>
                      <w:szCs w:val="22"/>
                    </w:rPr>
                    <w:t>3</w:t>
                  </w:r>
                  <w:r>
                    <w:rPr>
                      <w:sz w:val="24"/>
                      <w:szCs w:val="22"/>
                    </w:rPr>
                    <w:t>73</w:t>
                  </w:r>
                </w:p>
              </w:tc>
              <w:tc>
                <w:tcPr>
                  <w:tcW w:w="1081" w:type="dxa"/>
                  <w:vAlign w:val="center"/>
                </w:tcPr>
                <w:p>
                  <w:pPr>
                    <w:adjustRightInd w:val="0"/>
                    <w:snapToGrid w:val="0"/>
                    <w:jc w:val="center"/>
                    <w:rPr>
                      <w:sz w:val="24"/>
                      <w:szCs w:val="22"/>
                    </w:rPr>
                  </w:pPr>
                  <w:r>
                    <w:rPr>
                      <w:rFonts w:hint="eastAsia"/>
                      <w:sz w:val="24"/>
                      <w:szCs w:val="22"/>
                    </w:rPr>
                    <w:t>1</w:t>
                  </w:r>
                  <w:r>
                    <w:rPr>
                      <w:sz w:val="24"/>
                      <w:szCs w:val="22"/>
                    </w:rPr>
                    <w:t>49</w:t>
                  </w:r>
                </w:p>
              </w:tc>
              <w:tc>
                <w:tcPr>
                  <w:tcW w:w="1081" w:type="dxa"/>
                  <w:vAlign w:val="center"/>
                </w:tcPr>
                <w:p>
                  <w:pPr>
                    <w:adjustRightInd w:val="0"/>
                    <w:snapToGrid w:val="0"/>
                    <w:jc w:val="center"/>
                    <w:rPr>
                      <w:sz w:val="24"/>
                      <w:szCs w:val="22"/>
                    </w:rPr>
                  </w:pPr>
                  <w:r>
                    <w:rPr>
                      <w:rFonts w:hint="eastAsia"/>
                      <w:sz w:val="24"/>
                      <w:szCs w:val="22"/>
                    </w:rPr>
                    <w:t>2</w:t>
                  </w:r>
                  <w:r>
                    <w:rPr>
                      <w:sz w:val="24"/>
                      <w:szCs w:val="22"/>
                    </w:rPr>
                    <w:t>77</w:t>
                  </w:r>
                </w:p>
              </w:tc>
              <w:tc>
                <w:tcPr>
                  <w:tcW w:w="1475" w:type="dxa"/>
                  <w:vAlign w:val="center"/>
                </w:tcPr>
                <w:p>
                  <w:pPr>
                    <w:adjustRightInd w:val="0"/>
                    <w:snapToGrid w:val="0"/>
                    <w:jc w:val="center"/>
                    <w:rPr>
                      <w:sz w:val="24"/>
                      <w:szCs w:val="22"/>
                    </w:rPr>
                  </w:pPr>
                  <w:r>
                    <w:rPr>
                      <w:rFonts w:hint="eastAsia"/>
                      <w:sz w:val="24"/>
                      <w:szCs w:val="22"/>
                    </w:rPr>
                    <w:t>2</w:t>
                  </w:r>
                  <w:r>
                    <w:rPr>
                      <w:sz w:val="24"/>
                      <w:szCs w:val="2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exact"/>
                <w:jc w:val="center"/>
              </w:trPr>
              <w:tc>
                <w:tcPr>
                  <w:tcW w:w="518" w:type="dxa"/>
                  <w:vAlign w:val="center"/>
                </w:tcPr>
                <w:p>
                  <w:pPr>
                    <w:adjustRightInd w:val="0"/>
                    <w:snapToGrid w:val="0"/>
                    <w:jc w:val="center"/>
                    <w:rPr>
                      <w:sz w:val="24"/>
                      <w:szCs w:val="22"/>
                    </w:rPr>
                  </w:pPr>
                  <w:r>
                    <w:rPr>
                      <w:sz w:val="24"/>
                      <w:szCs w:val="22"/>
                    </w:rPr>
                    <w:t>4</w:t>
                  </w:r>
                </w:p>
              </w:tc>
              <w:tc>
                <w:tcPr>
                  <w:tcW w:w="2518" w:type="dxa"/>
                  <w:vAlign w:val="center"/>
                </w:tcPr>
                <w:p>
                  <w:pPr>
                    <w:adjustRightInd w:val="0"/>
                    <w:snapToGrid w:val="0"/>
                    <w:jc w:val="center"/>
                    <w:rPr>
                      <w:sz w:val="24"/>
                      <w:szCs w:val="22"/>
                    </w:rPr>
                  </w:pPr>
                  <w:r>
                    <w:rPr>
                      <w:rFonts w:hint="eastAsia"/>
                      <w:sz w:val="24"/>
                      <w:szCs w:val="22"/>
                    </w:rPr>
                    <w:t>产品水池及送水泵房</w:t>
                  </w:r>
                </w:p>
              </w:tc>
              <w:tc>
                <w:tcPr>
                  <w:tcW w:w="1081" w:type="dxa"/>
                  <w:vAlign w:val="center"/>
                </w:tcPr>
                <w:p>
                  <w:pPr>
                    <w:adjustRightInd w:val="0"/>
                    <w:snapToGrid w:val="0"/>
                    <w:jc w:val="center"/>
                    <w:rPr>
                      <w:sz w:val="24"/>
                      <w:szCs w:val="22"/>
                    </w:rPr>
                  </w:pPr>
                  <w:r>
                    <w:rPr>
                      <w:sz w:val="24"/>
                      <w:szCs w:val="22"/>
                    </w:rPr>
                    <w:t>872</w:t>
                  </w:r>
                </w:p>
              </w:tc>
              <w:tc>
                <w:tcPr>
                  <w:tcW w:w="1081" w:type="dxa"/>
                  <w:vAlign w:val="center"/>
                </w:tcPr>
                <w:p>
                  <w:pPr>
                    <w:adjustRightInd w:val="0"/>
                    <w:snapToGrid w:val="0"/>
                    <w:jc w:val="center"/>
                    <w:rPr>
                      <w:sz w:val="24"/>
                      <w:szCs w:val="22"/>
                    </w:rPr>
                  </w:pPr>
                  <w:r>
                    <w:rPr>
                      <w:sz w:val="24"/>
                      <w:szCs w:val="22"/>
                    </w:rPr>
                    <w:t>265</w:t>
                  </w:r>
                </w:p>
              </w:tc>
              <w:tc>
                <w:tcPr>
                  <w:tcW w:w="1081" w:type="dxa"/>
                  <w:vAlign w:val="center"/>
                </w:tcPr>
                <w:p>
                  <w:pPr>
                    <w:adjustRightInd w:val="0"/>
                    <w:snapToGrid w:val="0"/>
                    <w:jc w:val="center"/>
                    <w:rPr>
                      <w:sz w:val="24"/>
                      <w:szCs w:val="22"/>
                    </w:rPr>
                  </w:pPr>
                  <w:r>
                    <w:rPr>
                      <w:sz w:val="24"/>
                      <w:szCs w:val="22"/>
                    </w:rPr>
                    <w:t>222</w:t>
                  </w:r>
                </w:p>
              </w:tc>
              <w:tc>
                <w:tcPr>
                  <w:tcW w:w="1081" w:type="dxa"/>
                  <w:vAlign w:val="center"/>
                </w:tcPr>
                <w:p>
                  <w:pPr>
                    <w:adjustRightInd w:val="0"/>
                    <w:snapToGrid w:val="0"/>
                    <w:jc w:val="center"/>
                    <w:rPr>
                      <w:sz w:val="24"/>
                      <w:szCs w:val="22"/>
                    </w:rPr>
                  </w:pPr>
                  <w:r>
                    <w:rPr>
                      <w:sz w:val="24"/>
                      <w:szCs w:val="22"/>
                    </w:rPr>
                    <w:t>382</w:t>
                  </w:r>
                </w:p>
              </w:tc>
              <w:tc>
                <w:tcPr>
                  <w:tcW w:w="1475" w:type="dxa"/>
                  <w:vAlign w:val="center"/>
                </w:tcPr>
                <w:p>
                  <w:pPr>
                    <w:adjustRightInd w:val="0"/>
                    <w:snapToGrid w:val="0"/>
                    <w:jc w:val="center"/>
                    <w:rPr>
                      <w:sz w:val="24"/>
                      <w:szCs w:val="22"/>
                    </w:rPr>
                  </w:pPr>
                  <w:r>
                    <w:rPr>
                      <w:sz w:val="24"/>
                      <w:szCs w:val="22"/>
                    </w:rPr>
                    <w:t>25</w:t>
                  </w:r>
                </w:p>
              </w:tc>
            </w:tr>
          </w:tbl>
          <w:p>
            <w:pPr>
              <w:adjustRightInd w:val="0"/>
              <w:snapToGrid w:val="0"/>
              <w:spacing w:line="360" w:lineRule="auto"/>
              <w:ind w:firstLine="480" w:firstLineChars="200"/>
              <w:rPr>
                <w:sz w:val="24"/>
              </w:rPr>
            </w:pPr>
            <w:r>
              <w:rPr>
                <w:rFonts w:hint="eastAsia"/>
                <w:sz w:val="24"/>
              </w:rPr>
              <w:t>在进行噪声预测时，只考虑各噪声源所在厂房围护结构的屏蔽效应、初声源至受声点的距离衰减以及空气吸收等主要衰减因素，各噪声源强只考虑常规降噪措施。</w:t>
            </w:r>
          </w:p>
          <w:p>
            <w:pPr>
              <w:adjustRightInd w:val="0"/>
              <w:snapToGrid w:val="0"/>
              <w:spacing w:line="360" w:lineRule="auto"/>
              <w:ind w:firstLine="480" w:firstLineChars="200"/>
              <w:rPr>
                <w:sz w:val="24"/>
              </w:rPr>
            </w:pPr>
            <w:r>
              <w:rPr>
                <w:rFonts w:hint="eastAsia"/>
                <w:sz w:val="24"/>
              </w:rPr>
              <w:t>按照《环境影响评价技术导则</w:t>
            </w:r>
            <w:r>
              <w:rPr>
                <w:sz w:val="24"/>
              </w:rPr>
              <w:t xml:space="preserve"> </w:t>
            </w:r>
            <w:r>
              <w:rPr>
                <w:rFonts w:hint="eastAsia"/>
                <w:sz w:val="24"/>
              </w:rPr>
              <w:t>声环境》（</w:t>
            </w:r>
            <w:r>
              <w:rPr>
                <w:sz w:val="24"/>
              </w:rPr>
              <w:t>HJ 2.4-2009</w:t>
            </w:r>
            <w:r>
              <w:rPr>
                <w:rFonts w:hint="eastAsia"/>
                <w:sz w:val="24"/>
              </w:rPr>
              <w:t>）中有关规定，采用附录</w:t>
            </w:r>
            <w:r>
              <w:rPr>
                <w:sz w:val="24"/>
              </w:rPr>
              <w:t>A</w:t>
            </w:r>
            <w:r>
              <w:rPr>
                <w:rFonts w:hint="eastAsia"/>
                <w:sz w:val="24"/>
              </w:rPr>
              <w:t>中</w:t>
            </w:r>
            <w:r>
              <w:rPr>
                <w:sz w:val="24"/>
              </w:rPr>
              <w:t>“</w:t>
            </w:r>
            <w:r>
              <w:rPr>
                <w:rFonts w:hint="eastAsia"/>
                <w:sz w:val="24"/>
              </w:rPr>
              <w:t>工业噪声预测计算模式</w:t>
            </w:r>
            <w:r>
              <w:rPr>
                <w:sz w:val="24"/>
              </w:rPr>
              <w:t>”</w:t>
            </w:r>
            <w:r>
              <w:rPr>
                <w:rFonts w:hint="eastAsia"/>
                <w:sz w:val="24"/>
              </w:rPr>
              <w:t>中的模式，对项目所有的噪声源进行预测，以下分析仅考虑噪声源的几何发散衰减情况以及对厂界噪声的影响。</w:t>
            </w:r>
          </w:p>
          <w:p>
            <w:pPr>
              <w:adjustRightInd w:val="0"/>
              <w:snapToGrid w:val="0"/>
              <w:spacing w:line="360" w:lineRule="auto"/>
              <w:ind w:firstLine="480" w:firstLineChars="200"/>
              <w:rPr>
                <w:sz w:val="24"/>
              </w:rPr>
            </w:pPr>
            <w:r>
              <w:rPr>
                <w:rFonts w:hint="eastAsia"/>
                <w:sz w:val="24"/>
              </w:rPr>
              <w:t>选用以下模式进行噪声预测：</w:t>
            </w:r>
          </w:p>
          <w:p>
            <w:pPr>
              <w:adjustRightInd w:val="0"/>
              <w:snapToGrid w:val="0"/>
              <w:spacing w:line="360" w:lineRule="auto"/>
              <w:ind w:firstLine="480" w:firstLineChars="200"/>
              <w:rPr>
                <w:sz w:val="24"/>
              </w:rPr>
            </w:pPr>
            <w:r>
              <w:rPr>
                <w:rFonts w:hint="eastAsia"/>
                <w:sz w:val="24"/>
              </w:rPr>
              <w:t>（</w:t>
            </w:r>
            <w:r>
              <w:rPr>
                <w:sz w:val="24"/>
              </w:rPr>
              <w:t>1</w:t>
            </w:r>
            <w:r>
              <w:rPr>
                <w:rFonts w:hint="eastAsia"/>
                <w:sz w:val="24"/>
              </w:rPr>
              <w:t>）点声源几何发散衰减计算</w:t>
            </w:r>
          </w:p>
          <w:p>
            <w:pPr>
              <w:adjustRightInd w:val="0"/>
              <w:snapToGrid w:val="0"/>
              <w:spacing w:line="360" w:lineRule="auto"/>
              <w:ind w:firstLine="480" w:firstLineChars="200"/>
              <w:rPr>
                <w:sz w:val="24"/>
              </w:rPr>
            </w:pPr>
            <w:r>
              <w:rPr>
                <w:rFonts w:hint="eastAsia"/>
                <w:sz w:val="24"/>
              </w:rPr>
              <w:t>若测点</w:t>
            </w:r>
            <w:r>
              <w:rPr>
                <w:sz w:val="24"/>
              </w:rPr>
              <w:t>1</w:t>
            </w:r>
            <w:r>
              <w:rPr>
                <w:rFonts w:hint="eastAsia"/>
                <w:sz w:val="24"/>
              </w:rPr>
              <w:t>，</w:t>
            </w:r>
            <w:r>
              <w:rPr>
                <w:sz w:val="24"/>
              </w:rPr>
              <w:t>2</w:t>
            </w:r>
            <w:r>
              <w:rPr>
                <w:rFonts w:hint="eastAsia"/>
                <w:sz w:val="24"/>
              </w:rPr>
              <w:t>与点声源的距离分别为</w:t>
            </w:r>
            <w:r>
              <w:rPr>
                <w:sz w:val="24"/>
              </w:rPr>
              <w:t>r1</w:t>
            </w:r>
            <w:r>
              <w:rPr>
                <w:rFonts w:hint="eastAsia"/>
                <w:sz w:val="24"/>
              </w:rPr>
              <w:t>、</w:t>
            </w:r>
            <w:r>
              <w:rPr>
                <w:sz w:val="24"/>
              </w:rPr>
              <w:t>r2</w:t>
            </w:r>
            <w:r>
              <w:rPr>
                <w:rFonts w:hint="eastAsia"/>
                <w:sz w:val="24"/>
              </w:rPr>
              <w:t>，则几何发散衰减量为：</w:t>
            </w:r>
          </w:p>
          <w:p>
            <w:pPr>
              <w:adjustRightInd w:val="0"/>
              <w:snapToGrid w:val="0"/>
              <w:spacing w:line="360" w:lineRule="auto"/>
              <w:ind w:firstLine="480" w:firstLineChars="200"/>
              <w:rPr>
                <w:sz w:val="24"/>
              </w:rPr>
            </w:pPr>
            <w:r>
              <w:rPr>
                <w:rFonts w:hint="eastAsia"/>
                <w:sz w:val="24"/>
              </w:rPr>
              <w:t>在半自由声场中，点声源的声压级与声功率级的关系式分别为：</w:t>
            </w:r>
          </w:p>
          <w:p>
            <w:pPr>
              <w:adjustRightInd w:val="0"/>
              <w:snapToGrid w:val="0"/>
              <w:spacing w:after="120" w:line="360" w:lineRule="auto"/>
              <w:ind w:firstLine="420" w:firstLineChars="200"/>
              <w:jc w:val="center"/>
              <w:rPr>
                <w:snapToGrid w:val="0"/>
                <w:kern w:val="0"/>
                <w:sz w:val="24"/>
              </w:rPr>
            </w:pPr>
            <w:r>
              <w:rPr>
                <w:rFonts w:ascii="Calibri" w:hAnsi="Calibri"/>
                <w:szCs w:val="21"/>
              </w:rPr>
              <w:drawing>
                <wp:anchor distT="0" distB="0" distL="114300" distR="114300" simplePos="0" relativeHeight="251899904" behindDoc="0" locked="0" layoutInCell="1" allowOverlap="1">
                  <wp:simplePos x="0" y="0"/>
                  <wp:positionH relativeFrom="column">
                    <wp:posOffset>1522095</wp:posOffset>
                  </wp:positionH>
                  <wp:positionV relativeFrom="paragraph">
                    <wp:posOffset>387985</wp:posOffset>
                  </wp:positionV>
                  <wp:extent cx="2533650" cy="501015"/>
                  <wp:effectExtent l="0" t="0" r="0" b="0"/>
                  <wp:wrapNone/>
                  <wp:docPr id="228" name="图片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图片 299"/>
                          <pic:cNvPicPr>
                            <a:picLocks noChangeAspect="1" noChangeArrowheads="1"/>
                          </pic:cNvPicPr>
                        </pic:nvPicPr>
                        <pic:blipFill>
                          <a:blip r:embed="rId117">
                            <a:lum contrast="18000"/>
                            <a:extLst>
                              <a:ext uri="{28A0092B-C50C-407E-A947-70E740481C1C}">
                                <a14:useLocalDpi xmlns:a14="http://schemas.microsoft.com/office/drawing/2010/main" val="0"/>
                              </a:ext>
                            </a:extLst>
                          </a:blip>
                          <a:srcRect/>
                          <a:stretch>
                            <a:fillRect/>
                          </a:stretch>
                        </pic:blipFill>
                        <pic:spPr>
                          <a:xfrm>
                            <a:off x="0" y="0"/>
                            <a:ext cx="2533650" cy="501015"/>
                          </a:xfrm>
                          <a:prstGeom prst="rect">
                            <a:avLst/>
                          </a:prstGeom>
                          <a:noFill/>
                        </pic:spPr>
                      </pic:pic>
                    </a:graphicData>
                  </a:graphic>
                </wp:anchor>
              </w:drawing>
            </w:r>
            <w:r>
              <w:rPr>
                <w:snapToGrid w:val="0"/>
                <w:kern w:val="0"/>
                <w:sz w:val="24"/>
              </w:rPr>
              <w:object>
                <v:shape id="_x0000_i1044" o:spt="75" type="#_x0000_t75" style="height:21.75pt;width:151.5pt;" o:ole="t" filled="f" o:preferrelative="t" stroked="f" coordsize="21600,21600">
                  <v:path/>
                  <v:fill on="f" focussize="0,0"/>
                  <v:stroke on="f" joinstyle="miter"/>
                  <v:imagedata r:id="rId119" o:title=""/>
                  <o:lock v:ext="edit" aspectratio="t"/>
                  <w10:wrap type="none"/>
                  <w10:anchorlock/>
                </v:shape>
                <o:OLEObject Type="Embed" ProgID="Equation.3" ShapeID="_x0000_i1044" DrawAspect="Content" ObjectID="_1468075744" r:id="rId118">
                  <o:LockedField>false</o:LockedField>
                </o:OLEObject>
              </w:object>
            </w:r>
          </w:p>
          <w:p>
            <w:pPr>
              <w:adjustRightInd w:val="0"/>
              <w:snapToGrid w:val="0"/>
              <w:spacing w:before="120" w:after="120" w:line="360" w:lineRule="auto"/>
              <w:ind w:firstLine="480" w:firstLineChars="200"/>
              <w:jc w:val="center"/>
              <w:rPr>
                <w:snapToGrid w:val="0"/>
                <w:kern w:val="0"/>
                <w:sz w:val="24"/>
              </w:rPr>
            </w:pPr>
          </w:p>
          <w:p>
            <w:pPr>
              <w:adjustRightInd w:val="0"/>
              <w:snapToGrid w:val="0"/>
              <w:spacing w:line="360" w:lineRule="auto"/>
              <w:ind w:firstLine="480" w:firstLineChars="200"/>
              <w:rPr>
                <w:sz w:val="24"/>
              </w:rPr>
            </w:pPr>
            <w:r>
              <w:rPr>
                <w:rFonts w:hint="eastAsia"/>
                <w:sz w:val="24"/>
              </w:rPr>
              <w:t>（</w:t>
            </w:r>
            <w:r>
              <w:rPr>
                <w:sz w:val="24"/>
              </w:rPr>
              <w:t>2</w:t>
            </w:r>
            <w:r>
              <w:rPr>
                <w:rFonts w:hint="eastAsia"/>
                <w:sz w:val="24"/>
              </w:rPr>
              <w:t>）室内声源向室外传播的计算</w:t>
            </w:r>
          </w:p>
          <w:p>
            <w:pPr>
              <w:adjustRightInd w:val="0"/>
              <w:snapToGrid w:val="0"/>
              <w:spacing w:line="360" w:lineRule="auto"/>
              <w:ind w:firstLine="480" w:firstLineChars="200"/>
              <w:rPr>
                <w:sz w:val="24"/>
              </w:rPr>
            </w:pPr>
            <w:r>
              <w:rPr>
                <w:sz w:val="24"/>
              </w:rPr>
              <w:t>1</w:t>
            </w:r>
            <w:r>
              <w:rPr>
                <w:rFonts w:hint="eastAsia"/>
                <w:sz w:val="24"/>
              </w:rPr>
              <w:t>）室内声源在围护结构出的倍频带声压级：</w:t>
            </w:r>
          </w:p>
          <w:p>
            <w:pPr>
              <w:adjustRightInd w:val="0"/>
              <w:snapToGrid w:val="0"/>
              <w:spacing w:before="120" w:after="120" w:line="360" w:lineRule="auto"/>
              <w:ind w:firstLine="420" w:firstLineChars="200"/>
              <w:rPr>
                <w:snapToGrid w:val="0"/>
                <w:kern w:val="0"/>
                <w:sz w:val="24"/>
              </w:rPr>
            </w:pPr>
            <w:r>
              <w:rPr>
                <w:rFonts w:ascii="Calibri" w:hAnsi="Calibri"/>
                <w:szCs w:val="21"/>
              </w:rPr>
              <w:pict>
                <v:shape id="对象 4733" o:spid="_x0000_s1046" o:spt="75" type="#_x0000_t75" style="position:absolute;left:0pt;margin-left:135pt;margin-top:-8.55pt;height:40.75pt;width:211.5pt;z-index:251901952;mso-width-relative:page;mso-height-relative:page;" o:ole="t" fillcolor="#6D6D6D" filled="f" o:preferrelative="t" stroked="f" coordsize="21600,21600">
                  <v:path/>
                  <v:fill on="f" focussize="0,0"/>
                  <v:stroke on="f" joinstyle="miter"/>
                  <v:imagedata r:id="rId121" o:title=""/>
                  <o:lock v:ext="edit" aspectratio="t"/>
                </v:shape>
                <o:OLEObject Type="Embed" ProgID="Equation.3" ShapeID="对象 4733" DrawAspect="Content" ObjectID="_1468075745" r:id="rId120">
                  <o:LockedField>false</o:LockedField>
                </o:OLEObject>
              </w:pict>
            </w:r>
          </w:p>
          <w:p>
            <w:pPr>
              <w:adjustRightInd w:val="0"/>
              <w:snapToGrid w:val="0"/>
              <w:spacing w:line="360" w:lineRule="auto"/>
              <w:ind w:firstLine="480" w:firstLineChars="200"/>
              <w:rPr>
                <w:sz w:val="24"/>
              </w:rPr>
            </w:pPr>
            <w:r>
              <w:rPr>
                <w:rFonts w:hint="eastAsia"/>
                <w:sz w:val="24"/>
              </w:rPr>
              <w:t>式中：</w:t>
            </w:r>
            <w:r>
              <w:rPr>
                <w:sz w:val="24"/>
              </w:rPr>
              <w:t>L</w:t>
            </w:r>
            <w:r>
              <w:rPr>
                <w:sz w:val="24"/>
                <w:vertAlign w:val="subscript"/>
              </w:rPr>
              <w:t>w1</w:t>
            </w:r>
            <w:r>
              <w:rPr>
                <w:sz w:val="24"/>
              </w:rPr>
              <w:t>——</w:t>
            </w:r>
            <w:r>
              <w:rPr>
                <w:rFonts w:hint="eastAsia"/>
                <w:sz w:val="24"/>
              </w:rPr>
              <w:t>某个室内声源在靠近围护结构处产生的倍频带声功率级；</w:t>
            </w:r>
          </w:p>
          <w:p>
            <w:pPr>
              <w:adjustRightInd w:val="0"/>
              <w:snapToGrid w:val="0"/>
              <w:spacing w:line="360" w:lineRule="auto"/>
              <w:ind w:firstLine="1200" w:firstLineChars="500"/>
              <w:rPr>
                <w:sz w:val="24"/>
              </w:rPr>
            </w:pPr>
            <w:r>
              <w:rPr>
                <w:sz w:val="24"/>
              </w:rPr>
              <w:t>r</w:t>
            </w:r>
            <w:r>
              <w:rPr>
                <w:sz w:val="24"/>
                <w:vertAlign w:val="subscript"/>
              </w:rPr>
              <w:t>1</w:t>
            </w:r>
            <w:r>
              <w:rPr>
                <w:sz w:val="24"/>
              </w:rPr>
              <w:t>——</w:t>
            </w:r>
            <w:r>
              <w:rPr>
                <w:rFonts w:hint="eastAsia"/>
                <w:sz w:val="24"/>
              </w:rPr>
              <w:t>某个室内声源在靠近围护结构处的距离；</w:t>
            </w:r>
          </w:p>
          <w:p>
            <w:pPr>
              <w:adjustRightInd w:val="0"/>
              <w:snapToGrid w:val="0"/>
              <w:spacing w:line="360" w:lineRule="auto"/>
              <w:ind w:firstLine="1200" w:firstLineChars="500"/>
              <w:rPr>
                <w:sz w:val="24"/>
              </w:rPr>
            </w:pPr>
            <w:r>
              <w:rPr>
                <w:sz w:val="24"/>
              </w:rPr>
              <w:t>Q——</w:t>
            </w:r>
            <w:r>
              <w:rPr>
                <w:rFonts w:hint="eastAsia"/>
                <w:sz w:val="24"/>
              </w:rPr>
              <w:t>方向性因子；</w:t>
            </w:r>
          </w:p>
          <w:p>
            <w:pPr>
              <w:adjustRightInd w:val="0"/>
              <w:snapToGrid w:val="0"/>
              <w:spacing w:line="360" w:lineRule="auto"/>
              <w:ind w:firstLine="1200" w:firstLineChars="500"/>
              <w:rPr>
                <w:sz w:val="24"/>
              </w:rPr>
            </w:pPr>
            <w:r>
              <w:rPr>
                <w:sz w:val="24"/>
              </w:rPr>
              <w:t>R——</w:t>
            </w:r>
            <w:r>
              <w:rPr>
                <w:rFonts w:hint="eastAsia"/>
                <w:sz w:val="24"/>
              </w:rPr>
              <w:t>房间常数；</w:t>
            </w:r>
          </w:p>
          <w:p>
            <w:pPr>
              <w:adjustRightInd w:val="0"/>
              <w:snapToGrid w:val="0"/>
              <w:spacing w:line="360" w:lineRule="auto"/>
              <w:ind w:firstLine="1200" w:firstLineChars="500"/>
              <w:rPr>
                <w:sz w:val="24"/>
              </w:rPr>
            </w:pPr>
            <w:r>
              <w:rPr>
                <w:sz w:val="24"/>
              </w:rPr>
              <w:t>Lp</w:t>
            </w:r>
            <w:r>
              <w:rPr>
                <w:sz w:val="24"/>
                <w:vertAlign w:val="subscript"/>
              </w:rPr>
              <w:t>1</w:t>
            </w:r>
            <w:r>
              <w:rPr>
                <w:sz w:val="24"/>
              </w:rPr>
              <w:t>——</w:t>
            </w:r>
            <w:r>
              <w:rPr>
                <w:rFonts w:hint="eastAsia"/>
                <w:sz w:val="24"/>
              </w:rPr>
              <w:t>靠近围护结构处的倍频带声压级；可以是测量值或计算值。</w:t>
            </w:r>
          </w:p>
          <w:p>
            <w:pPr>
              <w:adjustRightInd w:val="0"/>
              <w:snapToGrid w:val="0"/>
              <w:spacing w:line="360" w:lineRule="auto"/>
              <w:ind w:firstLine="480" w:firstLineChars="200"/>
              <w:rPr>
                <w:sz w:val="24"/>
              </w:rPr>
            </w:pPr>
            <w:r>
              <w:rPr>
                <w:sz w:val="24"/>
              </w:rPr>
              <w:t>2</w:t>
            </w:r>
            <w:r>
              <w:rPr>
                <w:rFonts w:hint="eastAsia"/>
                <w:sz w:val="24"/>
              </w:rPr>
              <w:t>）所有室内声源在靠近围护结构处的声压级：</w:t>
            </w:r>
          </w:p>
          <w:p>
            <w:pPr>
              <w:adjustRightInd w:val="0"/>
              <w:snapToGrid w:val="0"/>
              <w:spacing w:line="360" w:lineRule="auto"/>
              <w:ind w:firstLine="420" w:firstLineChars="200"/>
              <w:jc w:val="left"/>
              <w:rPr>
                <w:snapToGrid w:val="0"/>
                <w:sz w:val="24"/>
              </w:rPr>
            </w:pPr>
            <w:r>
              <w:rPr>
                <w:rFonts w:ascii="Calibri" w:hAnsi="Calibri"/>
                <w:szCs w:val="21"/>
              </w:rPr>
              <w:pict>
                <v:shape id="对象 4734" o:spid="_x0000_s1045" o:spt="75" type="#_x0000_t75" style="position:absolute;left:0pt;margin-left:162.75pt;margin-top:0pt;height:39.2pt;width:132pt;z-index:251900928;mso-width-relative:page;mso-height-relative:page;" o:ole="t" fillcolor="#6D6D6D" filled="f" o:preferrelative="t" stroked="f" coordsize="21600,21600">
                  <v:path/>
                  <v:fill on="f" focussize="0,0"/>
                  <v:stroke on="f" joinstyle="miter"/>
                  <v:imagedata r:id="rId123" o:title=""/>
                  <o:lock v:ext="edit" aspectratio="t"/>
                </v:shape>
                <o:OLEObject Type="Embed" ProgID="Equation.3" ShapeID="对象 4734" DrawAspect="Content" ObjectID="_1468075746" r:id="rId122">
                  <o:LockedField>false</o:LockedField>
                </o:OLEObject>
              </w:pict>
            </w:r>
          </w:p>
          <w:p>
            <w:pPr>
              <w:adjustRightInd w:val="0"/>
              <w:snapToGrid w:val="0"/>
              <w:spacing w:line="360" w:lineRule="auto"/>
              <w:ind w:firstLine="480" w:firstLineChars="200"/>
              <w:rPr>
                <w:sz w:val="24"/>
              </w:rPr>
            </w:pPr>
            <w:r>
              <w:rPr>
                <w:sz w:val="24"/>
              </w:rPr>
              <w:t>3</w:t>
            </w:r>
            <w:r>
              <w:rPr>
                <w:rFonts w:hint="eastAsia"/>
                <w:sz w:val="24"/>
              </w:rPr>
              <w:t>）等效室外声源</w:t>
            </w:r>
          </w:p>
          <w:p>
            <w:pPr>
              <w:adjustRightInd w:val="0"/>
              <w:snapToGrid w:val="0"/>
              <w:spacing w:line="360" w:lineRule="auto"/>
              <w:ind w:firstLine="480" w:firstLineChars="200"/>
              <w:rPr>
                <w:sz w:val="24"/>
              </w:rPr>
            </w:pPr>
            <w:r>
              <w:rPr>
                <w:rFonts w:hint="eastAsia"/>
                <w:sz w:val="24"/>
              </w:rPr>
              <w:t>若声源所在室内声场近似扩散声场，</w:t>
            </w:r>
            <w:r>
              <w:rPr>
                <w:sz w:val="24"/>
              </w:rPr>
              <w:t>LP</w:t>
            </w:r>
            <w:r>
              <w:rPr>
                <w:sz w:val="24"/>
                <w:vertAlign w:val="subscript"/>
              </w:rPr>
              <w:t>1</w:t>
            </w:r>
            <w:r>
              <w:rPr>
                <w:rFonts w:hint="eastAsia"/>
                <w:sz w:val="24"/>
              </w:rPr>
              <w:t>、</w:t>
            </w:r>
            <w:r>
              <w:rPr>
                <w:sz w:val="24"/>
              </w:rPr>
              <w:t>LP</w:t>
            </w:r>
            <w:r>
              <w:rPr>
                <w:sz w:val="24"/>
                <w:vertAlign w:val="subscript"/>
              </w:rPr>
              <w:t>2</w:t>
            </w:r>
            <w:r>
              <w:rPr>
                <w:rFonts w:hint="eastAsia"/>
                <w:sz w:val="24"/>
              </w:rPr>
              <w:t>分别为靠近开口处（或窗户）室内、室外的声级，则</w:t>
            </w:r>
            <w:r>
              <w:rPr>
                <w:sz w:val="24"/>
              </w:rPr>
              <w:t>LP</w:t>
            </w:r>
            <w:r>
              <w:rPr>
                <w:sz w:val="24"/>
                <w:vertAlign w:val="subscript"/>
              </w:rPr>
              <w:t>2</w:t>
            </w:r>
            <w:r>
              <w:rPr>
                <w:rFonts w:hint="eastAsia"/>
                <w:sz w:val="24"/>
              </w:rPr>
              <w:t>可表示为：</w:t>
            </w:r>
          </w:p>
          <w:p>
            <w:pPr>
              <w:adjustRightInd w:val="0"/>
              <w:snapToGrid w:val="0"/>
              <w:spacing w:line="360" w:lineRule="auto"/>
              <w:jc w:val="center"/>
              <w:rPr>
                <w:sz w:val="24"/>
              </w:rPr>
            </w:pPr>
            <w:r>
              <w:rPr>
                <w:sz w:val="24"/>
              </w:rPr>
              <w:drawing>
                <wp:inline distT="0" distB="0" distL="0" distR="0">
                  <wp:extent cx="1478280" cy="274320"/>
                  <wp:effectExtent l="0" t="0" r="0" b="0"/>
                  <wp:docPr id="229" name="图片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134"/>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a:xfrm>
                            <a:off x="0" y="0"/>
                            <a:ext cx="1478280" cy="274320"/>
                          </a:xfrm>
                          <a:prstGeom prst="rect">
                            <a:avLst/>
                          </a:prstGeom>
                          <a:noFill/>
                          <a:ln>
                            <a:noFill/>
                          </a:ln>
                        </pic:spPr>
                      </pic:pic>
                    </a:graphicData>
                  </a:graphic>
                </wp:inline>
              </w:drawing>
            </w:r>
          </w:p>
          <w:p>
            <w:pPr>
              <w:adjustRightInd w:val="0"/>
              <w:snapToGrid w:val="0"/>
              <w:spacing w:line="360" w:lineRule="auto"/>
              <w:ind w:firstLine="480" w:firstLineChars="200"/>
              <w:rPr>
                <w:sz w:val="24"/>
              </w:rPr>
            </w:pPr>
            <w:r>
              <w:rPr>
                <w:rFonts w:hint="eastAsia"/>
                <w:sz w:val="24"/>
              </w:rPr>
              <w:t>式中：</w:t>
            </w:r>
            <w:r>
              <w:rPr>
                <w:sz w:val="24"/>
              </w:rPr>
              <w:t>TL ——</w:t>
            </w:r>
            <w:r>
              <w:rPr>
                <w:rFonts w:hint="eastAsia"/>
                <w:sz w:val="24"/>
              </w:rPr>
              <w:t>隔墙（或窗户）的传输损失，</w:t>
            </w:r>
            <w:r>
              <w:rPr>
                <w:sz w:val="24"/>
              </w:rPr>
              <w:t>dB(A)</w:t>
            </w:r>
            <w:r>
              <w:rPr>
                <w:rFonts w:hint="eastAsia"/>
                <w:sz w:val="24"/>
              </w:rPr>
              <w:t>。</w:t>
            </w:r>
          </w:p>
          <w:p>
            <w:pPr>
              <w:adjustRightInd w:val="0"/>
              <w:snapToGrid w:val="0"/>
              <w:spacing w:line="360" w:lineRule="auto"/>
              <w:ind w:firstLine="480" w:firstLineChars="200"/>
              <w:rPr>
                <w:sz w:val="24"/>
              </w:rPr>
            </w:pPr>
            <w:r>
              <w:rPr>
                <w:rFonts w:hint="eastAsia"/>
                <w:sz w:val="24"/>
              </w:rPr>
              <w:t>若为计算值，将室外声级</w:t>
            </w:r>
            <w:r>
              <w:rPr>
                <w:sz w:val="24"/>
              </w:rPr>
              <w:t>LP</w:t>
            </w:r>
            <w:r>
              <w:rPr>
                <w:sz w:val="24"/>
                <w:vertAlign w:val="subscript"/>
              </w:rPr>
              <w:t>2</w:t>
            </w:r>
            <w:r>
              <w:rPr>
                <w:rFonts w:hint="eastAsia"/>
                <w:sz w:val="24"/>
              </w:rPr>
              <w:t>和透声面积换算成等效室外声源，计算出等效声源的倍频带的声功率级：</w:t>
            </w:r>
          </w:p>
          <w:p>
            <w:pPr>
              <w:adjustRightInd w:val="0"/>
              <w:snapToGrid w:val="0"/>
              <w:spacing w:line="360" w:lineRule="auto"/>
              <w:jc w:val="center"/>
              <w:rPr>
                <w:sz w:val="24"/>
              </w:rPr>
            </w:pPr>
            <w:r>
              <w:rPr>
                <w:sz w:val="24"/>
              </w:rPr>
              <w:drawing>
                <wp:inline distT="0" distB="0" distL="0" distR="0">
                  <wp:extent cx="1386840" cy="281940"/>
                  <wp:effectExtent l="0" t="0" r="3810" b="3810"/>
                  <wp:docPr id="230"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图片 136"/>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a:xfrm>
                            <a:off x="0" y="0"/>
                            <a:ext cx="1386840" cy="281940"/>
                          </a:xfrm>
                          <a:prstGeom prst="rect">
                            <a:avLst/>
                          </a:prstGeom>
                          <a:noFill/>
                          <a:ln>
                            <a:noFill/>
                          </a:ln>
                        </pic:spPr>
                      </pic:pic>
                    </a:graphicData>
                  </a:graphic>
                </wp:inline>
              </w:drawing>
            </w:r>
          </w:p>
          <w:p>
            <w:pPr>
              <w:adjustRightInd w:val="0"/>
              <w:snapToGrid w:val="0"/>
              <w:spacing w:line="360" w:lineRule="auto"/>
              <w:ind w:firstLine="480" w:firstLineChars="200"/>
              <w:rPr>
                <w:sz w:val="24"/>
              </w:rPr>
            </w:pPr>
            <w:r>
              <w:rPr>
                <w:rFonts w:hint="eastAsia"/>
                <w:sz w:val="24"/>
              </w:rPr>
              <w:t>式中：</w:t>
            </w:r>
            <w:r>
              <w:rPr>
                <w:sz w:val="24"/>
              </w:rPr>
              <w:t>L</w:t>
            </w:r>
            <w:r>
              <w:rPr>
                <w:sz w:val="24"/>
                <w:vertAlign w:val="subscript"/>
              </w:rPr>
              <w:t>P2</w:t>
            </w:r>
            <w:r>
              <w:rPr>
                <w:sz w:val="24"/>
              </w:rPr>
              <w:t>——</w:t>
            </w:r>
            <w:r>
              <w:rPr>
                <w:rFonts w:hint="eastAsia"/>
                <w:sz w:val="24"/>
              </w:rPr>
              <w:t>等效声源的倍频带声功率级；</w:t>
            </w:r>
          </w:p>
          <w:p>
            <w:pPr>
              <w:adjustRightInd w:val="0"/>
              <w:snapToGrid w:val="0"/>
              <w:spacing w:line="360" w:lineRule="auto"/>
              <w:ind w:firstLine="480" w:firstLineChars="200"/>
              <w:rPr>
                <w:sz w:val="24"/>
              </w:rPr>
            </w:pPr>
            <w:r>
              <w:rPr>
                <w:sz w:val="24"/>
              </w:rPr>
              <w:t xml:space="preserve">      S——</w:t>
            </w:r>
            <w:r>
              <w:rPr>
                <w:rFonts w:hint="eastAsia"/>
                <w:sz w:val="24"/>
              </w:rPr>
              <w:t>透声面积，</w:t>
            </w:r>
            <w:r>
              <w:rPr>
                <w:sz w:val="24"/>
              </w:rPr>
              <w:t>m</w:t>
            </w:r>
            <w:r>
              <w:rPr>
                <w:sz w:val="24"/>
                <w:vertAlign w:val="superscript"/>
              </w:rPr>
              <w:t>2</w:t>
            </w:r>
            <w:r>
              <w:rPr>
                <w:rFonts w:hint="eastAsia"/>
                <w:sz w:val="24"/>
              </w:rPr>
              <w:t>。</w:t>
            </w:r>
          </w:p>
          <w:p>
            <w:pPr>
              <w:adjustRightInd w:val="0"/>
              <w:snapToGrid w:val="0"/>
              <w:spacing w:line="360" w:lineRule="auto"/>
              <w:ind w:firstLine="480" w:firstLineChars="200"/>
              <w:rPr>
                <w:sz w:val="24"/>
              </w:rPr>
            </w:pPr>
            <w:r>
              <w:rPr>
                <w:rFonts w:hint="eastAsia"/>
                <w:sz w:val="24"/>
              </w:rPr>
              <w:t>等效室外声源的位置为围护结构的位置，其倍频带声功率级为</w:t>
            </w:r>
            <w:r>
              <w:rPr>
                <w:sz w:val="24"/>
              </w:rPr>
              <w:t>LW2</w:t>
            </w:r>
            <w:r>
              <w:rPr>
                <w:rFonts w:hint="eastAsia"/>
                <w:sz w:val="24"/>
              </w:rPr>
              <w:t>，由此按室外声源方法计算等效室外声源在预测点产生的声级。</w:t>
            </w:r>
          </w:p>
          <w:p>
            <w:pPr>
              <w:adjustRightInd w:val="0"/>
              <w:snapToGrid w:val="0"/>
              <w:spacing w:line="360" w:lineRule="auto"/>
              <w:ind w:firstLine="480" w:firstLineChars="200"/>
              <w:rPr>
                <w:sz w:val="24"/>
              </w:rPr>
            </w:pPr>
            <w:r>
              <w:rPr>
                <w:rFonts w:hint="eastAsia"/>
                <w:sz w:val="24"/>
              </w:rPr>
              <w:t>（</w:t>
            </w:r>
            <w:r>
              <w:rPr>
                <w:sz w:val="24"/>
              </w:rPr>
              <w:t>3</w:t>
            </w:r>
            <w:r>
              <w:rPr>
                <w:rFonts w:hint="eastAsia"/>
                <w:sz w:val="24"/>
              </w:rPr>
              <w:t>）室外点声源在预测点的声压级</w:t>
            </w:r>
          </w:p>
          <w:p>
            <w:pPr>
              <w:adjustRightInd w:val="0"/>
              <w:snapToGrid w:val="0"/>
              <w:spacing w:line="360" w:lineRule="auto"/>
              <w:jc w:val="center"/>
              <w:rPr>
                <w:snapToGrid w:val="0"/>
                <w:sz w:val="24"/>
              </w:rPr>
            </w:pPr>
            <w:r>
              <w:rPr>
                <w:snapToGrid w:val="0"/>
                <w:sz w:val="24"/>
              </w:rPr>
              <w:drawing>
                <wp:inline distT="0" distB="0" distL="0" distR="0">
                  <wp:extent cx="1706880" cy="259080"/>
                  <wp:effectExtent l="0" t="0" r="7620" b="7620"/>
                  <wp:docPr id="231" name="对象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对象 16"/>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a:xfrm>
                            <a:off x="0" y="0"/>
                            <a:ext cx="1706880" cy="259080"/>
                          </a:xfrm>
                          <a:prstGeom prst="rect">
                            <a:avLst/>
                          </a:prstGeom>
                          <a:noFill/>
                          <a:ln>
                            <a:noFill/>
                          </a:ln>
                        </pic:spPr>
                      </pic:pic>
                    </a:graphicData>
                  </a:graphic>
                </wp:inline>
              </w:drawing>
            </w:r>
          </w:p>
          <w:p>
            <w:pPr>
              <w:adjustRightInd w:val="0"/>
              <w:snapToGrid w:val="0"/>
              <w:spacing w:line="360" w:lineRule="auto"/>
              <w:ind w:firstLine="480" w:firstLineChars="200"/>
              <w:rPr>
                <w:sz w:val="24"/>
              </w:rPr>
            </w:pPr>
            <w:r>
              <w:rPr>
                <w:rFonts w:hint="eastAsia"/>
                <w:sz w:val="24"/>
              </w:rPr>
              <w:t>（</w:t>
            </w:r>
            <w:r>
              <w:rPr>
                <w:sz w:val="24"/>
              </w:rPr>
              <w:t>4</w:t>
            </w:r>
            <w:r>
              <w:rPr>
                <w:rFonts w:hint="eastAsia"/>
                <w:sz w:val="24"/>
              </w:rPr>
              <w:t>）设有</w:t>
            </w:r>
            <w:r>
              <w:rPr>
                <w:sz w:val="24"/>
              </w:rPr>
              <w:t>N</w:t>
            </w:r>
            <w:r>
              <w:rPr>
                <w:rFonts w:hint="eastAsia"/>
                <w:sz w:val="24"/>
              </w:rPr>
              <w:t>个室外声源，</w:t>
            </w:r>
            <w:r>
              <w:rPr>
                <w:sz w:val="24"/>
              </w:rPr>
              <w:t>M</w:t>
            </w:r>
            <w:r>
              <w:rPr>
                <w:rFonts w:hint="eastAsia"/>
                <w:sz w:val="24"/>
              </w:rPr>
              <w:t>个等效室外声源，则预测点处的总声压级</w:t>
            </w:r>
          </w:p>
          <w:p>
            <w:pPr>
              <w:adjustRightInd w:val="0"/>
              <w:snapToGrid w:val="0"/>
              <w:spacing w:line="360" w:lineRule="auto"/>
              <w:ind w:firstLine="480"/>
              <w:jc w:val="center"/>
              <w:rPr>
                <w:sz w:val="24"/>
              </w:rPr>
            </w:pPr>
            <w:r>
              <w:rPr>
                <w:sz w:val="24"/>
              </w:rPr>
              <w:drawing>
                <wp:inline distT="0" distB="0" distL="0" distR="0">
                  <wp:extent cx="2468880" cy="533400"/>
                  <wp:effectExtent l="0" t="0" r="0" b="0"/>
                  <wp:docPr id="232" name="图片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14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a:xfrm>
                            <a:off x="0" y="0"/>
                            <a:ext cx="2468880" cy="533400"/>
                          </a:xfrm>
                          <a:prstGeom prst="rect">
                            <a:avLst/>
                          </a:prstGeom>
                          <a:noFill/>
                          <a:ln>
                            <a:noFill/>
                          </a:ln>
                        </pic:spPr>
                      </pic:pic>
                    </a:graphicData>
                  </a:graphic>
                </wp:inline>
              </w:drawing>
            </w:r>
          </w:p>
          <w:p>
            <w:pPr>
              <w:adjustRightInd w:val="0"/>
              <w:snapToGrid w:val="0"/>
              <w:spacing w:line="360" w:lineRule="auto"/>
              <w:ind w:firstLine="480" w:firstLineChars="200"/>
              <w:rPr>
                <w:sz w:val="24"/>
              </w:rPr>
            </w:pPr>
            <w:r>
              <w:rPr>
                <w:rFonts w:hint="eastAsia"/>
                <w:sz w:val="24"/>
              </w:rPr>
              <w:t>根据预测模型，项目投产后噪声源经墙体、距离衰减后在厂界的噪声贡献值、厂界噪声现状监测结果（具体数值见电厂提供的2020年9月4日厂界噪声例行监测数据结果SHEOE-004-R04）以及叠加后的预测结果见表</w:t>
            </w:r>
            <w:r>
              <w:rPr>
                <w:sz w:val="24"/>
              </w:rPr>
              <w:t>19</w:t>
            </w:r>
            <w:r>
              <w:rPr>
                <w:rFonts w:hint="eastAsia"/>
                <w:sz w:val="24"/>
              </w:rPr>
              <w:t>。</w:t>
            </w:r>
          </w:p>
          <w:p>
            <w:pPr>
              <w:adjustRightInd w:val="0"/>
              <w:snapToGrid w:val="0"/>
              <w:spacing w:line="360" w:lineRule="auto"/>
              <w:ind w:firstLine="240" w:firstLineChars="100"/>
              <w:jc w:val="center"/>
              <w:rPr>
                <w:bCs/>
                <w:color w:val="FF0000"/>
                <w:sz w:val="24"/>
              </w:rPr>
            </w:pPr>
            <w:r>
              <w:rPr>
                <w:bCs/>
                <w:sz w:val="24"/>
              </w:rPr>
              <w:t xml:space="preserve">  </w:t>
            </w:r>
            <w:r>
              <w:rPr>
                <w:rFonts w:hint="eastAsia" w:ascii="Calibri" w:hAnsi="Calibri"/>
                <w:b/>
                <w:kern w:val="0"/>
                <w:sz w:val="24"/>
                <w:szCs w:val="21"/>
              </w:rPr>
              <w:t>表</w:t>
            </w:r>
            <w:r>
              <w:rPr>
                <w:rFonts w:ascii="Calibri" w:hAnsi="Calibri"/>
                <w:b/>
                <w:kern w:val="0"/>
                <w:sz w:val="24"/>
                <w:szCs w:val="21"/>
              </w:rPr>
              <w:t xml:space="preserve">19 </w:t>
            </w:r>
            <w:r>
              <w:rPr>
                <w:rFonts w:hint="eastAsia" w:ascii="Calibri" w:hAnsi="Calibri"/>
                <w:b/>
                <w:kern w:val="0"/>
                <w:sz w:val="24"/>
                <w:szCs w:val="21"/>
              </w:rPr>
              <w:t>噪声预测结果</w:t>
            </w:r>
            <w:r>
              <w:rPr>
                <w:rFonts w:ascii="Calibri" w:hAnsi="Calibri"/>
                <w:b/>
                <w:kern w:val="0"/>
                <w:sz w:val="24"/>
                <w:szCs w:val="21"/>
              </w:rPr>
              <w:t xml:space="preserve">     </w:t>
            </w:r>
            <w:r>
              <w:rPr>
                <w:rFonts w:hint="eastAsia" w:ascii="Calibri" w:hAnsi="Calibri"/>
                <w:b/>
                <w:kern w:val="0"/>
                <w:sz w:val="24"/>
                <w:szCs w:val="21"/>
              </w:rPr>
              <w:t>单位：</w:t>
            </w:r>
            <w:r>
              <w:rPr>
                <w:rFonts w:ascii="Calibri" w:hAnsi="Calibri"/>
                <w:b/>
                <w:kern w:val="0"/>
                <w:sz w:val="24"/>
                <w:szCs w:val="21"/>
              </w:rPr>
              <w:t>dB(A)</w:t>
            </w:r>
          </w:p>
          <w:tbl>
            <w:tblPr>
              <w:tblStyle w:val="88"/>
              <w:tblW w:w="83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26"/>
              <w:gridCol w:w="653"/>
              <w:gridCol w:w="654"/>
              <w:gridCol w:w="654"/>
              <w:gridCol w:w="654"/>
              <w:gridCol w:w="638"/>
              <w:gridCol w:w="639"/>
              <w:gridCol w:w="657"/>
              <w:gridCol w:w="6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334" w:hRule="atLeast"/>
                <w:jc w:val="center"/>
              </w:trPr>
              <w:tc>
                <w:tcPr>
                  <w:tcW w:w="3126" w:type="dxa"/>
                  <w:tcBorders>
                    <w:top w:val="single" w:color="auto" w:sz="12" w:space="0"/>
                    <w:left w:val="nil"/>
                    <w:bottom w:val="single" w:color="auto" w:sz="4" w:space="0"/>
                    <w:right w:val="single" w:color="auto" w:sz="4" w:space="0"/>
                    <w:tl2br w:val="single" w:color="auto" w:sz="4" w:space="0"/>
                  </w:tcBorders>
                  <w:vAlign w:val="center"/>
                </w:tcPr>
                <w:p>
                  <w:pPr>
                    <w:adjustRightInd w:val="0"/>
                    <w:snapToGrid w:val="0"/>
                    <w:jc w:val="center"/>
                    <w:rPr>
                      <w:b/>
                      <w:szCs w:val="21"/>
                    </w:rPr>
                  </w:pPr>
                  <w:r>
                    <w:rPr>
                      <w:b/>
                      <w:szCs w:val="21"/>
                    </w:rPr>
                    <w:t xml:space="preserve">                    </w:t>
                  </w:r>
                  <w:r>
                    <w:rPr>
                      <w:rFonts w:hint="eastAsia"/>
                      <w:b/>
                      <w:szCs w:val="21"/>
                    </w:rPr>
                    <w:t>位置</w:t>
                  </w:r>
                </w:p>
                <w:p>
                  <w:pPr>
                    <w:adjustRightInd w:val="0"/>
                    <w:snapToGrid w:val="0"/>
                    <w:rPr>
                      <w:b/>
                      <w:szCs w:val="21"/>
                    </w:rPr>
                  </w:pPr>
                  <w:r>
                    <w:rPr>
                      <w:rFonts w:hint="eastAsia"/>
                      <w:b/>
                      <w:szCs w:val="21"/>
                    </w:rPr>
                    <w:t>噪声</w:t>
                  </w:r>
                </w:p>
              </w:tc>
              <w:tc>
                <w:tcPr>
                  <w:tcW w:w="1307" w:type="dxa"/>
                  <w:gridSpan w:val="2"/>
                  <w:tcBorders>
                    <w:top w:val="single" w:color="auto" w:sz="12" w:space="0"/>
                    <w:left w:val="single" w:color="auto" w:sz="4" w:space="0"/>
                    <w:bottom w:val="single" w:color="auto" w:sz="4" w:space="0"/>
                    <w:right w:val="single" w:color="auto" w:sz="4" w:space="0"/>
                  </w:tcBorders>
                  <w:vAlign w:val="center"/>
                </w:tcPr>
                <w:p>
                  <w:pPr>
                    <w:tabs>
                      <w:tab w:val="left" w:pos="0"/>
                    </w:tabs>
                    <w:adjustRightInd w:val="0"/>
                    <w:snapToGrid w:val="0"/>
                    <w:spacing w:before="120" w:after="120"/>
                    <w:jc w:val="center"/>
                    <w:rPr>
                      <w:b/>
                      <w:szCs w:val="21"/>
                    </w:rPr>
                  </w:pPr>
                  <w:r>
                    <w:rPr>
                      <w:rFonts w:hint="eastAsia"/>
                      <w:b/>
                      <w:szCs w:val="21"/>
                    </w:rPr>
                    <w:t>东厂界</w:t>
                  </w:r>
                </w:p>
              </w:tc>
              <w:tc>
                <w:tcPr>
                  <w:tcW w:w="1308" w:type="dxa"/>
                  <w:gridSpan w:val="2"/>
                  <w:tcBorders>
                    <w:top w:val="single" w:color="auto" w:sz="12" w:space="0"/>
                    <w:left w:val="single" w:color="auto" w:sz="4" w:space="0"/>
                    <w:bottom w:val="single" w:color="auto" w:sz="4" w:space="0"/>
                    <w:right w:val="single" w:color="auto" w:sz="4" w:space="0"/>
                  </w:tcBorders>
                  <w:vAlign w:val="center"/>
                </w:tcPr>
                <w:p>
                  <w:pPr>
                    <w:tabs>
                      <w:tab w:val="left" w:pos="0"/>
                    </w:tabs>
                    <w:adjustRightInd w:val="0"/>
                    <w:snapToGrid w:val="0"/>
                    <w:spacing w:before="120" w:after="120"/>
                    <w:jc w:val="center"/>
                    <w:rPr>
                      <w:b/>
                      <w:szCs w:val="21"/>
                    </w:rPr>
                  </w:pPr>
                  <w:r>
                    <w:rPr>
                      <w:rFonts w:hint="eastAsia"/>
                      <w:b/>
                      <w:szCs w:val="21"/>
                    </w:rPr>
                    <w:t>南厂界</w:t>
                  </w:r>
                </w:p>
              </w:tc>
              <w:tc>
                <w:tcPr>
                  <w:tcW w:w="1277" w:type="dxa"/>
                  <w:gridSpan w:val="2"/>
                  <w:tcBorders>
                    <w:top w:val="single" w:color="auto" w:sz="12" w:space="0"/>
                    <w:left w:val="single" w:color="auto" w:sz="4" w:space="0"/>
                    <w:bottom w:val="single" w:color="auto" w:sz="4" w:space="0"/>
                    <w:right w:val="single" w:color="auto" w:sz="4" w:space="0"/>
                  </w:tcBorders>
                  <w:vAlign w:val="center"/>
                </w:tcPr>
                <w:p>
                  <w:pPr>
                    <w:adjustRightInd w:val="0"/>
                    <w:snapToGrid w:val="0"/>
                    <w:jc w:val="center"/>
                    <w:rPr>
                      <w:b/>
                      <w:szCs w:val="21"/>
                    </w:rPr>
                  </w:pPr>
                  <w:r>
                    <w:rPr>
                      <w:rFonts w:hint="eastAsia"/>
                      <w:b/>
                      <w:szCs w:val="21"/>
                    </w:rPr>
                    <w:t>西厂界</w:t>
                  </w:r>
                </w:p>
              </w:tc>
              <w:tc>
                <w:tcPr>
                  <w:tcW w:w="1315" w:type="dxa"/>
                  <w:gridSpan w:val="2"/>
                  <w:tcBorders>
                    <w:top w:val="single" w:color="auto" w:sz="12" w:space="0"/>
                    <w:left w:val="single" w:color="auto" w:sz="4" w:space="0"/>
                    <w:bottom w:val="single" w:color="auto" w:sz="4" w:space="0"/>
                    <w:right w:val="nil"/>
                  </w:tcBorders>
                  <w:vAlign w:val="center"/>
                </w:tcPr>
                <w:p>
                  <w:pPr>
                    <w:adjustRightInd w:val="0"/>
                    <w:snapToGrid w:val="0"/>
                    <w:jc w:val="center"/>
                    <w:rPr>
                      <w:b/>
                      <w:szCs w:val="21"/>
                    </w:rPr>
                  </w:pPr>
                  <w:r>
                    <w:rPr>
                      <w:rFonts w:hint="eastAsia"/>
                      <w:b/>
                      <w:szCs w:val="21"/>
                    </w:rPr>
                    <w:t>北厂界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334" w:hRule="atLeast"/>
                <w:jc w:val="center"/>
              </w:trPr>
              <w:tc>
                <w:tcPr>
                  <w:tcW w:w="3126" w:type="dxa"/>
                  <w:tcBorders>
                    <w:top w:val="single" w:color="auto" w:sz="4" w:space="0"/>
                    <w:left w:val="nil"/>
                    <w:bottom w:val="single" w:color="auto" w:sz="4" w:space="0"/>
                    <w:right w:val="single" w:color="auto" w:sz="4" w:space="0"/>
                  </w:tcBorders>
                  <w:vAlign w:val="center"/>
                </w:tcPr>
                <w:p>
                  <w:pPr>
                    <w:adjustRightInd w:val="0"/>
                    <w:snapToGrid w:val="0"/>
                    <w:jc w:val="center"/>
                    <w:rPr>
                      <w:szCs w:val="21"/>
                    </w:rPr>
                  </w:pPr>
                  <w:r>
                    <w:rPr>
                      <w:rFonts w:hint="eastAsia"/>
                      <w:szCs w:val="21"/>
                    </w:rPr>
                    <w:t>贡献值</w:t>
                  </w:r>
                </w:p>
              </w:tc>
              <w:tc>
                <w:tcPr>
                  <w:tcW w:w="1307"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szCs w:val="21"/>
                    </w:rPr>
                    <w:t>30.0</w:t>
                  </w:r>
                </w:p>
              </w:tc>
              <w:tc>
                <w:tcPr>
                  <w:tcW w:w="130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szCs w:val="21"/>
                    </w:rPr>
                    <w:t>48.8</w:t>
                  </w:r>
                </w:p>
              </w:tc>
              <w:tc>
                <w:tcPr>
                  <w:tcW w:w="1277"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szCs w:val="21"/>
                    </w:rPr>
                    <w:t>51.8</w:t>
                  </w:r>
                </w:p>
              </w:tc>
              <w:tc>
                <w:tcPr>
                  <w:tcW w:w="1315" w:type="dxa"/>
                  <w:gridSpan w:val="2"/>
                  <w:tcBorders>
                    <w:top w:val="single" w:color="auto" w:sz="4" w:space="0"/>
                    <w:left w:val="single" w:color="auto" w:sz="4" w:space="0"/>
                    <w:bottom w:val="single" w:color="auto" w:sz="4" w:space="0"/>
                    <w:right w:val="nil"/>
                  </w:tcBorders>
                  <w:vAlign w:val="center"/>
                </w:tcPr>
                <w:p>
                  <w:pPr>
                    <w:adjustRightInd w:val="0"/>
                    <w:snapToGrid w:val="0"/>
                    <w:jc w:val="center"/>
                    <w:rPr>
                      <w:szCs w:val="21"/>
                    </w:rPr>
                  </w:pPr>
                  <w:r>
                    <w:rPr>
                      <w:szCs w:val="21"/>
                    </w:rPr>
                    <w:t>49.3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4" w:hRule="atLeast"/>
                <w:jc w:val="center"/>
              </w:trPr>
              <w:tc>
                <w:tcPr>
                  <w:tcW w:w="3126" w:type="dxa"/>
                  <w:vMerge w:val="restart"/>
                  <w:tcBorders>
                    <w:top w:val="single" w:color="auto" w:sz="4" w:space="0"/>
                    <w:left w:val="nil"/>
                    <w:right w:val="single" w:color="auto" w:sz="4" w:space="0"/>
                  </w:tcBorders>
                  <w:vAlign w:val="center"/>
                </w:tcPr>
                <w:p>
                  <w:pPr>
                    <w:adjustRightInd w:val="0"/>
                    <w:snapToGrid w:val="0"/>
                    <w:jc w:val="center"/>
                    <w:rPr>
                      <w:szCs w:val="21"/>
                    </w:rPr>
                  </w:pPr>
                  <w:r>
                    <w:rPr>
                      <w:rFonts w:hint="eastAsia"/>
                      <w:szCs w:val="21"/>
                    </w:rPr>
                    <w:t>监测结果（取最大监测值）</w:t>
                  </w:r>
                </w:p>
              </w:tc>
              <w:tc>
                <w:tcPr>
                  <w:tcW w:w="65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昼</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夜</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昼</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夜</w:t>
                  </w:r>
                </w:p>
              </w:tc>
              <w:tc>
                <w:tcPr>
                  <w:tcW w:w="63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昼</w:t>
                  </w:r>
                </w:p>
              </w:tc>
              <w:tc>
                <w:tcPr>
                  <w:tcW w:w="63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夜</w:t>
                  </w:r>
                </w:p>
              </w:tc>
              <w:tc>
                <w:tcPr>
                  <w:tcW w:w="657" w:type="dxa"/>
                  <w:tcBorders>
                    <w:top w:val="single" w:color="auto" w:sz="4" w:space="0"/>
                    <w:left w:val="single" w:color="auto" w:sz="4" w:space="0"/>
                    <w:bottom w:val="single" w:color="auto" w:sz="4" w:space="0"/>
                    <w:right w:val="nil"/>
                  </w:tcBorders>
                  <w:vAlign w:val="center"/>
                </w:tcPr>
                <w:p>
                  <w:pPr>
                    <w:adjustRightInd w:val="0"/>
                    <w:snapToGrid w:val="0"/>
                    <w:jc w:val="center"/>
                    <w:rPr>
                      <w:szCs w:val="21"/>
                    </w:rPr>
                  </w:pPr>
                  <w:r>
                    <w:rPr>
                      <w:rFonts w:hint="eastAsia"/>
                      <w:szCs w:val="21"/>
                    </w:rPr>
                    <w:t>昼</w:t>
                  </w:r>
                </w:p>
              </w:tc>
              <w:tc>
                <w:tcPr>
                  <w:tcW w:w="658" w:type="dxa"/>
                  <w:tcBorders>
                    <w:top w:val="single" w:color="auto" w:sz="4" w:space="0"/>
                    <w:left w:val="single" w:color="auto" w:sz="4" w:space="0"/>
                    <w:bottom w:val="single" w:color="auto" w:sz="4" w:space="0"/>
                    <w:right w:val="nil"/>
                  </w:tcBorders>
                  <w:vAlign w:val="center"/>
                </w:tcPr>
                <w:p>
                  <w:pPr>
                    <w:adjustRightInd w:val="0"/>
                    <w:snapToGrid w:val="0"/>
                    <w:jc w:val="center"/>
                    <w:rPr>
                      <w:szCs w:val="21"/>
                    </w:rPr>
                  </w:pPr>
                  <w:r>
                    <w:rPr>
                      <w:rFonts w:hint="eastAsia"/>
                      <w:szCs w:val="21"/>
                    </w:rPr>
                    <w:t>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4" w:hRule="atLeast"/>
                <w:jc w:val="center"/>
              </w:trPr>
              <w:tc>
                <w:tcPr>
                  <w:tcW w:w="3126" w:type="dxa"/>
                  <w:vMerge w:val="continue"/>
                  <w:tcBorders>
                    <w:top w:val="single" w:color="auto" w:sz="4" w:space="0"/>
                    <w:left w:val="nil"/>
                    <w:right w:val="single" w:color="auto" w:sz="4" w:space="0"/>
                  </w:tcBorders>
                  <w:vAlign w:val="center"/>
                </w:tcPr>
                <w:p>
                  <w:pPr>
                    <w:adjustRightInd w:val="0"/>
                    <w:snapToGrid w:val="0"/>
                    <w:jc w:val="center"/>
                    <w:rPr>
                      <w:szCs w:val="21"/>
                    </w:rPr>
                  </w:pPr>
                </w:p>
              </w:tc>
              <w:tc>
                <w:tcPr>
                  <w:tcW w:w="65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4</w:t>
                  </w:r>
                  <w:r>
                    <w:rPr>
                      <w:szCs w:val="21"/>
                    </w:rPr>
                    <w:t>7.2</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4</w:t>
                  </w:r>
                  <w:r>
                    <w:rPr>
                      <w:szCs w:val="21"/>
                    </w:rPr>
                    <w:t>4.6</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6</w:t>
                  </w:r>
                  <w:r>
                    <w:rPr>
                      <w:szCs w:val="21"/>
                    </w:rPr>
                    <w:t>2.5</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5</w:t>
                  </w:r>
                  <w:r>
                    <w:rPr>
                      <w:szCs w:val="21"/>
                    </w:rPr>
                    <w:t>3.9</w:t>
                  </w:r>
                </w:p>
              </w:tc>
              <w:tc>
                <w:tcPr>
                  <w:tcW w:w="63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4</w:t>
                  </w:r>
                  <w:r>
                    <w:rPr>
                      <w:szCs w:val="21"/>
                    </w:rPr>
                    <w:t>9.5</w:t>
                  </w:r>
                </w:p>
              </w:tc>
              <w:tc>
                <w:tcPr>
                  <w:tcW w:w="63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4</w:t>
                  </w:r>
                  <w:r>
                    <w:rPr>
                      <w:szCs w:val="21"/>
                    </w:rPr>
                    <w:t>5.7</w:t>
                  </w:r>
                </w:p>
              </w:tc>
              <w:tc>
                <w:tcPr>
                  <w:tcW w:w="657" w:type="dxa"/>
                  <w:tcBorders>
                    <w:top w:val="single" w:color="auto" w:sz="4" w:space="0"/>
                    <w:left w:val="single" w:color="auto" w:sz="4" w:space="0"/>
                    <w:bottom w:val="single" w:color="auto" w:sz="4" w:space="0"/>
                    <w:right w:val="nil"/>
                  </w:tcBorders>
                  <w:vAlign w:val="center"/>
                </w:tcPr>
                <w:p>
                  <w:pPr>
                    <w:adjustRightInd w:val="0"/>
                    <w:snapToGrid w:val="0"/>
                    <w:jc w:val="center"/>
                    <w:rPr>
                      <w:szCs w:val="21"/>
                    </w:rPr>
                  </w:pPr>
                  <w:r>
                    <w:rPr>
                      <w:rFonts w:hint="eastAsia"/>
                      <w:szCs w:val="21"/>
                    </w:rPr>
                    <w:t>4</w:t>
                  </w:r>
                  <w:r>
                    <w:rPr>
                      <w:szCs w:val="21"/>
                    </w:rPr>
                    <w:t>3.2</w:t>
                  </w:r>
                </w:p>
              </w:tc>
              <w:tc>
                <w:tcPr>
                  <w:tcW w:w="658" w:type="dxa"/>
                  <w:tcBorders>
                    <w:top w:val="single" w:color="auto" w:sz="4" w:space="0"/>
                    <w:left w:val="single" w:color="auto" w:sz="4" w:space="0"/>
                    <w:bottom w:val="single" w:color="auto" w:sz="4" w:space="0"/>
                    <w:right w:val="nil"/>
                  </w:tcBorders>
                  <w:vAlign w:val="center"/>
                </w:tcPr>
                <w:p>
                  <w:pPr>
                    <w:adjustRightInd w:val="0"/>
                    <w:snapToGrid w:val="0"/>
                    <w:jc w:val="center"/>
                    <w:rPr>
                      <w:szCs w:val="21"/>
                    </w:rPr>
                  </w:pPr>
                  <w:r>
                    <w:rPr>
                      <w:szCs w:val="21"/>
                    </w:rPr>
                    <w:t>39.2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4" w:hRule="atLeast"/>
                <w:jc w:val="center"/>
              </w:trPr>
              <w:tc>
                <w:tcPr>
                  <w:tcW w:w="3126" w:type="dxa"/>
                  <w:tcBorders>
                    <w:top w:val="single" w:color="auto" w:sz="4" w:space="0"/>
                    <w:left w:val="nil"/>
                    <w:right w:val="single" w:color="auto" w:sz="4" w:space="0"/>
                  </w:tcBorders>
                  <w:vAlign w:val="center"/>
                </w:tcPr>
                <w:p>
                  <w:pPr>
                    <w:adjustRightInd w:val="0"/>
                    <w:snapToGrid w:val="0"/>
                    <w:jc w:val="center"/>
                    <w:rPr>
                      <w:szCs w:val="21"/>
                    </w:rPr>
                  </w:pPr>
                  <w:r>
                    <w:rPr>
                      <w:rFonts w:hint="eastAsia"/>
                      <w:szCs w:val="21"/>
                    </w:rPr>
                    <w:t>叠加值</w:t>
                  </w:r>
                </w:p>
              </w:tc>
              <w:tc>
                <w:tcPr>
                  <w:tcW w:w="65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4</w:t>
                  </w:r>
                  <w:r>
                    <w:rPr>
                      <w:szCs w:val="21"/>
                    </w:rPr>
                    <w:t>7.3</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4</w:t>
                  </w:r>
                  <w:r>
                    <w:rPr>
                      <w:szCs w:val="21"/>
                    </w:rPr>
                    <w:t>4.8</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6</w:t>
                  </w:r>
                  <w:r>
                    <w:rPr>
                      <w:szCs w:val="21"/>
                    </w:rPr>
                    <w:t>2.7</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5</w:t>
                  </w:r>
                  <w:r>
                    <w:rPr>
                      <w:szCs w:val="21"/>
                    </w:rPr>
                    <w:t>4.1</w:t>
                  </w:r>
                </w:p>
              </w:tc>
              <w:tc>
                <w:tcPr>
                  <w:tcW w:w="63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5</w:t>
                  </w:r>
                  <w:r>
                    <w:rPr>
                      <w:szCs w:val="21"/>
                    </w:rPr>
                    <w:t>3.8</w:t>
                  </w:r>
                </w:p>
              </w:tc>
              <w:tc>
                <w:tcPr>
                  <w:tcW w:w="63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r>
                    <w:rPr>
                      <w:rFonts w:hint="eastAsia"/>
                      <w:szCs w:val="21"/>
                    </w:rPr>
                    <w:t>5</w:t>
                  </w:r>
                  <w:r>
                    <w:rPr>
                      <w:szCs w:val="21"/>
                    </w:rPr>
                    <w:t>2.8</w:t>
                  </w:r>
                </w:p>
              </w:tc>
              <w:tc>
                <w:tcPr>
                  <w:tcW w:w="657" w:type="dxa"/>
                  <w:tcBorders>
                    <w:top w:val="single" w:color="auto" w:sz="4" w:space="0"/>
                    <w:left w:val="single" w:color="auto" w:sz="4" w:space="0"/>
                    <w:bottom w:val="single" w:color="auto" w:sz="4" w:space="0"/>
                    <w:right w:val="nil"/>
                  </w:tcBorders>
                  <w:vAlign w:val="center"/>
                </w:tcPr>
                <w:p>
                  <w:pPr>
                    <w:adjustRightInd w:val="0"/>
                    <w:snapToGrid w:val="0"/>
                    <w:jc w:val="center"/>
                    <w:rPr>
                      <w:szCs w:val="21"/>
                    </w:rPr>
                  </w:pPr>
                  <w:r>
                    <w:rPr>
                      <w:rFonts w:hint="eastAsia"/>
                      <w:szCs w:val="21"/>
                    </w:rPr>
                    <w:t>5</w:t>
                  </w:r>
                  <w:r>
                    <w:rPr>
                      <w:szCs w:val="21"/>
                    </w:rPr>
                    <w:t>0.3</w:t>
                  </w:r>
                </w:p>
              </w:tc>
              <w:tc>
                <w:tcPr>
                  <w:tcW w:w="658" w:type="dxa"/>
                  <w:tcBorders>
                    <w:top w:val="single" w:color="auto" w:sz="4" w:space="0"/>
                    <w:left w:val="single" w:color="auto" w:sz="4" w:space="0"/>
                    <w:bottom w:val="single" w:color="auto" w:sz="4" w:space="0"/>
                    <w:right w:val="nil"/>
                  </w:tcBorders>
                  <w:vAlign w:val="center"/>
                </w:tcPr>
                <w:p>
                  <w:pPr>
                    <w:adjustRightInd w:val="0"/>
                    <w:snapToGrid w:val="0"/>
                    <w:jc w:val="center"/>
                    <w:rPr>
                      <w:szCs w:val="21"/>
                    </w:rPr>
                  </w:pPr>
                  <w:r>
                    <w:rPr>
                      <w:rFonts w:hint="eastAsia"/>
                      <w:szCs w:val="21"/>
                    </w:rPr>
                    <w:t>4</w:t>
                  </w:r>
                  <w:r>
                    <w:rPr>
                      <w:szCs w:val="21"/>
                    </w:rPr>
                    <w:t>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4" w:hRule="atLeast"/>
                <w:jc w:val="center"/>
              </w:trPr>
              <w:tc>
                <w:tcPr>
                  <w:tcW w:w="3126" w:type="dxa"/>
                  <w:tcBorders>
                    <w:top w:val="single" w:color="auto" w:sz="4" w:space="0"/>
                    <w:left w:val="nil"/>
                    <w:bottom w:val="single" w:color="auto" w:sz="4" w:space="0"/>
                    <w:right w:val="single" w:color="auto" w:sz="4" w:space="0"/>
                  </w:tcBorders>
                  <w:vAlign w:val="center"/>
                </w:tcPr>
                <w:p>
                  <w:pPr>
                    <w:adjustRightInd w:val="0"/>
                    <w:snapToGrid w:val="0"/>
                    <w:jc w:val="center"/>
                    <w:rPr>
                      <w:szCs w:val="21"/>
                    </w:rPr>
                  </w:pPr>
                  <w:r>
                    <w:rPr>
                      <w:rFonts w:hint="eastAsia"/>
                      <w:szCs w:val="21"/>
                    </w:rPr>
                    <w:t>标准值</w:t>
                  </w:r>
                </w:p>
              </w:tc>
              <w:tc>
                <w:tcPr>
                  <w:tcW w:w="5207" w:type="dxa"/>
                  <w:gridSpan w:val="8"/>
                  <w:tcBorders>
                    <w:top w:val="single" w:color="auto" w:sz="4" w:space="0"/>
                    <w:left w:val="single" w:color="auto" w:sz="4" w:space="0"/>
                    <w:bottom w:val="single" w:color="auto" w:sz="4" w:space="0"/>
                    <w:right w:val="nil"/>
                  </w:tcBorders>
                  <w:vAlign w:val="center"/>
                </w:tcPr>
                <w:p>
                  <w:pPr>
                    <w:adjustRightInd w:val="0"/>
                    <w:snapToGrid w:val="0"/>
                    <w:jc w:val="center"/>
                    <w:rPr>
                      <w:szCs w:val="21"/>
                    </w:rPr>
                  </w:pPr>
                  <w:r>
                    <w:rPr>
                      <w:rFonts w:hint="eastAsia"/>
                      <w:szCs w:val="21"/>
                    </w:rPr>
                    <w:t>昼间：</w:t>
                  </w:r>
                  <w:r>
                    <w:rPr>
                      <w:szCs w:val="21"/>
                    </w:rPr>
                    <w:t>65</w:t>
                  </w:r>
                  <w:r>
                    <w:rPr>
                      <w:rFonts w:hint="eastAsia"/>
                      <w:szCs w:val="21"/>
                    </w:rPr>
                    <w:t>，夜间：</w:t>
                  </w:r>
                  <w:r>
                    <w:rPr>
                      <w:szCs w:val="21"/>
                    </w:rPr>
                    <w:t xml:space="preserve">55                                                                                                                                                             </w:t>
                  </w:r>
                </w:p>
              </w:tc>
            </w:tr>
          </w:tbl>
          <w:p>
            <w:pPr>
              <w:spacing w:line="360" w:lineRule="auto"/>
              <w:ind w:firstLine="480" w:firstLineChars="200"/>
              <w:rPr>
                <w:rFonts w:ascii="Calibri" w:hAnsi="Calibri"/>
                <w:color w:val="000000"/>
                <w:sz w:val="24"/>
                <w:szCs w:val="21"/>
              </w:rPr>
            </w:pPr>
            <w:r>
              <w:rPr>
                <w:rFonts w:hint="eastAsia"/>
                <w:sz w:val="24"/>
              </w:rPr>
              <w:t>噪声预测结果表明，投产后厂界噪声能够满足《工业企业厂界环境噪声排放标准》（</w:t>
            </w:r>
            <w:r>
              <w:rPr>
                <w:sz w:val="24"/>
              </w:rPr>
              <w:t>GB12348-2008</w:t>
            </w:r>
            <w:r>
              <w:rPr>
                <w:rFonts w:hint="eastAsia"/>
                <w:sz w:val="24"/>
              </w:rPr>
              <w:t>）的</w:t>
            </w:r>
            <w:r>
              <w:rPr>
                <w:sz w:val="24"/>
              </w:rPr>
              <w:t>3</w:t>
            </w:r>
            <w:r>
              <w:rPr>
                <w:rFonts w:hint="eastAsia"/>
                <w:sz w:val="24"/>
              </w:rPr>
              <w:t>类标准要求。</w:t>
            </w:r>
          </w:p>
          <w:p>
            <w:pPr>
              <w:pStyle w:val="51"/>
              <w:adjustRightInd w:val="0"/>
              <w:snapToGrid w:val="0"/>
              <w:spacing w:line="360" w:lineRule="auto"/>
              <w:ind w:firstLine="482" w:firstLineChars="200"/>
              <w:rPr>
                <w:b/>
                <w:bCs/>
                <w:sz w:val="24"/>
              </w:rPr>
            </w:pPr>
            <w:r>
              <w:rPr>
                <w:rFonts w:ascii="Times New Roman" w:hAnsi="Times New Roman"/>
                <w:b/>
                <w:bCs/>
                <w:sz w:val="24"/>
              </w:rPr>
              <w:t>4. 固体废弃物</w:t>
            </w:r>
          </w:p>
          <w:p>
            <w:pPr>
              <w:pStyle w:val="51"/>
              <w:adjustRightInd w:val="0"/>
              <w:snapToGrid w:val="0"/>
              <w:spacing w:line="360" w:lineRule="auto"/>
              <w:ind w:firstLine="492"/>
              <w:rPr>
                <w:rFonts w:ascii="Times New Roman" w:hAnsi="Times New Roman"/>
                <w:sz w:val="24"/>
              </w:rPr>
            </w:pPr>
            <w:r>
              <w:rPr>
                <w:rFonts w:ascii="Times New Roman" w:hAnsi="Times New Roman"/>
                <w:sz w:val="24"/>
              </w:rPr>
              <w:t>项目营运期</w:t>
            </w:r>
            <w:r>
              <w:rPr>
                <w:rFonts w:hint="eastAsia" w:ascii="Times New Roman" w:hAnsi="Times New Roman"/>
                <w:sz w:val="24"/>
              </w:rPr>
              <w:t>产生的V型滤池</w:t>
            </w:r>
            <w:r>
              <w:rPr>
                <w:rFonts w:ascii="Times New Roman" w:hAnsi="Times New Roman"/>
                <w:sz w:val="24"/>
              </w:rPr>
              <w:t>产生的排泥水经污泥系统处理</w:t>
            </w:r>
            <w:r>
              <w:rPr>
                <w:rFonts w:hint="eastAsia" w:ascii="Times New Roman" w:hAnsi="Times New Roman"/>
                <w:sz w:val="24"/>
              </w:rPr>
              <w:t>(浓缩、脱水)，</w:t>
            </w:r>
            <w:r>
              <w:rPr>
                <w:rFonts w:ascii="Times New Roman" w:hAnsi="Times New Roman"/>
                <w:sz w:val="24"/>
              </w:rPr>
              <w:t>泥饼</w:t>
            </w:r>
            <w:r>
              <w:rPr>
                <w:rFonts w:hint="eastAsia" w:ascii="Times New Roman" w:hAnsi="Times New Roman"/>
                <w:sz w:val="24"/>
              </w:rPr>
              <w:t>运至电厂掺烧</w:t>
            </w:r>
            <w:r>
              <w:rPr>
                <w:rFonts w:ascii="Times New Roman" w:hAnsi="Times New Roman"/>
                <w:sz w:val="24"/>
              </w:rPr>
              <w:t>。</w:t>
            </w:r>
            <w:r>
              <w:rPr>
                <w:rFonts w:hint="eastAsia" w:ascii="Times New Roman" w:hAnsi="Times New Roman"/>
                <w:sz w:val="24"/>
              </w:rPr>
              <w:t>超滤、反渗透工艺所需的滤膜等材料在达到使用年限后由厂家统一回收处理。</w:t>
            </w:r>
            <w:r>
              <w:rPr>
                <w:rFonts w:ascii="Times New Roman" w:hAnsi="Times New Roman"/>
                <w:sz w:val="24"/>
              </w:rPr>
              <w:t>在落实以上措施后</w:t>
            </w:r>
            <w:r>
              <w:rPr>
                <w:rFonts w:hint="eastAsia" w:ascii="Times New Roman" w:hAnsi="Times New Roman"/>
                <w:sz w:val="24"/>
              </w:rPr>
              <w:t>，</w:t>
            </w:r>
            <w:r>
              <w:rPr>
                <w:rFonts w:ascii="Times New Roman" w:hAnsi="Times New Roman"/>
                <w:sz w:val="24"/>
              </w:rPr>
              <w:t>本项目固废不会产生明显的</w:t>
            </w:r>
            <w:r>
              <w:rPr>
                <w:rFonts w:hint="eastAsia" w:ascii="Times New Roman" w:hAnsi="Times New Roman"/>
                <w:sz w:val="24"/>
              </w:rPr>
              <w:t>环境</w:t>
            </w:r>
            <w:r>
              <w:rPr>
                <w:rFonts w:ascii="Times New Roman" w:hAnsi="Times New Roman"/>
                <w:sz w:val="24"/>
              </w:rPr>
              <w:t>影响</w:t>
            </w:r>
            <w:r>
              <w:rPr>
                <w:rFonts w:hint="eastAsia" w:ascii="Times New Roman" w:hAnsi="Times New Roman"/>
                <w:sz w:val="24"/>
              </w:rPr>
              <w:t>。</w:t>
            </w:r>
          </w:p>
          <w:p>
            <w:pPr>
              <w:pStyle w:val="51"/>
              <w:adjustRightInd w:val="0"/>
              <w:snapToGrid w:val="0"/>
              <w:spacing w:line="360" w:lineRule="auto"/>
              <w:ind w:firstLine="494"/>
              <w:rPr>
                <w:rFonts w:ascii="Times New Roman" w:hAnsi="Times New Roman"/>
                <w:b/>
                <w:bCs/>
                <w:sz w:val="24"/>
              </w:rPr>
            </w:pPr>
            <w:r>
              <w:rPr>
                <w:rFonts w:hint="eastAsia" w:ascii="Times New Roman" w:hAnsi="Times New Roman"/>
                <w:b/>
                <w:bCs/>
                <w:sz w:val="24"/>
              </w:rPr>
              <w:t>5</w:t>
            </w:r>
            <w:r>
              <w:rPr>
                <w:rFonts w:ascii="Times New Roman" w:hAnsi="Times New Roman"/>
                <w:b/>
                <w:bCs/>
                <w:sz w:val="24"/>
              </w:rPr>
              <w:t xml:space="preserve">. </w:t>
            </w:r>
            <w:r>
              <w:rPr>
                <w:rFonts w:hint="eastAsia" w:ascii="Times New Roman" w:hAnsi="Times New Roman"/>
                <w:b/>
                <w:bCs/>
                <w:sz w:val="24"/>
              </w:rPr>
              <w:t>土壤环境影响分析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根据《环境影响评价技术导则 土壤环境(试行)》(HJ 964-2018)，本项目为海水淡化项目，属于</w:t>
            </w:r>
            <w:r>
              <w:rPr>
                <w:rFonts w:ascii="Times New Roman" w:hAnsi="Times New Roman"/>
                <w:sz w:val="24"/>
              </w:rPr>
              <w:t>HJ 964-2018</w:t>
            </w:r>
            <w:r>
              <w:rPr>
                <w:rFonts w:hint="eastAsia" w:ascii="Times New Roman" w:hAnsi="Times New Roman"/>
                <w:sz w:val="24"/>
              </w:rPr>
              <w:t>附录A中“其他行业”项目类别为“IV类”，根据《环境影响评价技术导则 土壤环境(试行)》(HJ 964-2018)，IV类建设项目可不开展土壤环境影响评价。</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本项目建设过程中对厂区地面采取硬化、防渗处理，化学药品储罐区域设有围堰，管道通过处采取相应的防渗措施，项目对厂区及附近土壤环境不会产生明显的不利影响。</w:t>
            </w:r>
          </w:p>
          <w:p>
            <w:pPr>
              <w:pStyle w:val="51"/>
              <w:adjustRightInd w:val="0"/>
              <w:snapToGrid w:val="0"/>
              <w:spacing w:line="360" w:lineRule="auto"/>
              <w:ind w:firstLine="494"/>
              <w:rPr>
                <w:rFonts w:ascii="Times New Roman" w:hAnsi="Times New Roman"/>
                <w:b/>
                <w:bCs/>
                <w:sz w:val="24"/>
              </w:rPr>
            </w:pPr>
            <w:r>
              <w:rPr>
                <w:rFonts w:ascii="Times New Roman" w:hAnsi="Times New Roman"/>
                <w:b/>
                <w:bCs/>
                <w:sz w:val="24"/>
              </w:rPr>
              <w:t xml:space="preserve">6. </w:t>
            </w:r>
            <w:r>
              <w:rPr>
                <w:rFonts w:hint="eastAsia" w:ascii="Times New Roman" w:hAnsi="Times New Roman"/>
                <w:b/>
                <w:bCs/>
                <w:sz w:val="24"/>
              </w:rPr>
              <w:t>环境风险分析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根据《建设项目环境风险评价技术导则》（HJ/T169-2018），环境风险评价是以突发性事故导致的危险物质环境急性损害防控为目标，对建设项目的环境风险进行分析、预测和评估，提出环境风险预防、控制、减缓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本工程设次氯酸钠溶液储罐、盐酸储罐、氢氧化钠储罐、混凝剂储罐各1处。各储罐容积为</w:t>
            </w:r>
            <w:r>
              <w:rPr>
                <w:rFonts w:ascii="Times New Roman" w:hAnsi="Times New Roman"/>
                <w:sz w:val="24"/>
              </w:rPr>
              <w:t>20</w:t>
            </w:r>
            <w:r>
              <w:rPr>
                <w:rFonts w:hint="eastAsia" w:ascii="Times New Roman" w:hAnsi="Times New Roman"/>
                <w:sz w:val="24"/>
              </w:rPr>
              <w:t>m</w:t>
            </w:r>
            <w:r>
              <w:rPr>
                <w:rFonts w:hint="eastAsia" w:ascii="Times New Roman" w:hAnsi="Times New Roman"/>
                <w:sz w:val="24"/>
                <w:vertAlign w:val="superscript"/>
              </w:rPr>
              <w:t>3</w:t>
            </w:r>
            <w:r>
              <w:rPr>
                <w:rFonts w:hint="eastAsia" w:ascii="Times New Roman" w:hAnsi="Times New Roman"/>
                <w:sz w:val="24"/>
              </w:rPr>
              <w:t>，各围堰有效容积为</w:t>
            </w:r>
            <w:r>
              <w:rPr>
                <w:rFonts w:ascii="Times New Roman" w:hAnsi="Times New Roman"/>
                <w:sz w:val="24"/>
              </w:rPr>
              <w:t>20</w:t>
            </w:r>
            <w:r>
              <w:rPr>
                <w:rFonts w:hint="eastAsia" w:ascii="Times New Roman" w:hAnsi="Times New Roman"/>
                <w:sz w:val="24"/>
              </w:rPr>
              <w:t>m</w:t>
            </w:r>
            <w:r>
              <w:rPr>
                <w:rFonts w:hint="eastAsia" w:ascii="Times New Roman" w:hAnsi="Times New Roman"/>
                <w:sz w:val="24"/>
                <w:vertAlign w:val="superscript"/>
              </w:rPr>
              <w:t>3</w:t>
            </w:r>
            <w:r>
              <w:rPr>
                <w:rFonts w:hint="eastAsia" w:ascii="Times New Roman" w:hAnsi="Times New Roman"/>
                <w:sz w:val="24"/>
              </w:rPr>
              <w:t>。工程环境风险分析如下：</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(1) 建设项目风险源调查</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根据《建设项目环境风险评价技术导则》（HJ/T 169-2018）对项目主要风险物质及生产系统危险性进行识别。</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①</w:t>
            </w:r>
            <w:r>
              <w:rPr>
                <w:rFonts w:ascii="Times New Roman" w:hAnsi="Times New Roman"/>
                <w:sz w:val="24"/>
              </w:rPr>
              <w:t xml:space="preserve"> </w:t>
            </w:r>
            <w:r>
              <w:rPr>
                <w:rFonts w:hint="eastAsia" w:ascii="Times New Roman" w:hAnsi="Times New Roman"/>
                <w:sz w:val="24"/>
              </w:rPr>
              <w:t>主要危险物质的风险识别</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其中次氯酸钠（</w:t>
            </w:r>
            <w:r>
              <w:rPr>
                <w:rFonts w:ascii="Times New Roman" w:hAnsi="Times New Roman"/>
                <w:sz w:val="24"/>
              </w:rPr>
              <w:t>10%</w:t>
            </w:r>
            <w:r>
              <w:rPr>
                <w:rFonts w:hint="eastAsia" w:ascii="Times New Roman" w:hAnsi="Times New Roman"/>
                <w:sz w:val="24"/>
              </w:rPr>
              <w:t>）最大储存量为</w:t>
            </w:r>
            <w:r>
              <w:rPr>
                <w:rFonts w:ascii="Times New Roman" w:hAnsi="Times New Roman"/>
                <w:sz w:val="24"/>
              </w:rPr>
              <w:t>19.2t</w:t>
            </w:r>
            <w:r>
              <w:rPr>
                <w:rFonts w:hint="eastAsia" w:ascii="Times New Roman" w:hAnsi="Times New Roman"/>
                <w:sz w:val="24"/>
              </w:rPr>
              <w:t>，折合成风险临界名录中纯物质后，为1</w:t>
            </w:r>
            <w:r>
              <w:rPr>
                <w:rFonts w:ascii="Times New Roman" w:hAnsi="Times New Roman"/>
                <w:sz w:val="24"/>
              </w:rPr>
              <w:t>.92</w:t>
            </w:r>
            <w:r>
              <w:rPr>
                <w:rFonts w:hint="eastAsia" w:ascii="Times New Roman" w:hAnsi="Times New Roman"/>
                <w:sz w:val="24"/>
              </w:rPr>
              <w:t>t；盐酸（</w:t>
            </w:r>
            <w:r>
              <w:rPr>
                <w:rFonts w:ascii="Times New Roman" w:hAnsi="Times New Roman"/>
                <w:sz w:val="24"/>
              </w:rPr>
              <w:t>30%</w:t>
            </w:r>
            <w:r>
              <w:rPr>
                <w:rFonts w:hint="eastAsia" w:ascii="Times New Roman" w:hAnsi="Times New Roman"/>
                <w:sz w:val="24"/>
              </w:rPr>
              <w:t>）最大储存量为</w:t>
            </w:r>
            <w:r>
              <w:rPr>
                <w:rFonts w:ascii="Times New Roman" w:hAnsi="Times New Roman"/>
                <w:sz w:val="24"/>
              </w:rPr>
              <w:t>18.88t</w:t>
            </w:r>
            <w:r>
              <w:rPr>
                <w:rFonts w:hint="eastAsia" w:ascii="Times New Roman" w:hAnsi="Times New Roman"/>
                <w:sz w:val="24"/>
              </w:rPr>
              <w:t>折合成风险临界名录中3</w:t>
            </w:r>
            <w:r>
              <w:rPr>
                <w:rFonts w:ascii="Times New Roman" w:hAnsi="Times New Roman"/>
                <w:sz w:val="24"/>
              </w:rPr>
              <w:t>7</w:t>
            </w:r>
            <w:r>
              <w:rPr>
                <w:rFonts w:hint="eastAsia" w:ascii="Times New Roman" w:hAnsi="Times New Roman"/>
                <w:sz w:val="24"/>
              </w:rPr>
              <w:t>%浓度后，为</w:t>
            </w:r>
            <w:r>
              <w:rPr>
                <w:rFonts w:ascii="Times New Roman" w:hAnsi="Times New Roman"/>
                <w:sz w:val="24"/>
              </w:rPr>
              <w:t>15.3</w:t>
            </w:r>
            <w:r>
              <w:rPr>
                <w:rFonts w:hint="eastAsia" w:ascii="Times New Roman" w:hAnsi="Times New Roman"/>
                <w:sz w:val="24"/>
              </w:rPr>
              <w:t>t；氢氧化钠（4</w:t>
            </w:r>
            <w:r>
              <w:rPr>
                <w:rFonts w:ascii="Times New Roman" w:hAnsi="Times New Roman"/>
                <w:sz w:val="24"/>
              </w:rPr>
              <w:t>0%</w:t>
            </w:r>
            <w:r>
              <w:rPr>
                <w:rFonts w:hint="eastAsia" w:ascii="Times New Roman" w:hAnsi="Times New Roman"/>
                <w:sz w:val="24"/>
              </w:rPr>
              <w:t>）最大暂存量为</w:t>
            </w:r>
            <w:r>
              <w:rPr>
                <w:rFonts w:ascii="Times New Roman" w:hAnsi="Times New Roman"/>
                <w:sz w:val="24"/>
              </w:rPr>
              <w:t>34.08t</w:t>
            </w:r>
            <w:r>
              <w:rPr>
                <w:rFonts w:hint="eastAsia" w:ascii="Times New Roman" w:hAnsi="Times New Roman"/>
                <w:sz w:val="24"/>
              </w:rPr>
              <w:t>，混凝剂最大暂存量为4</w:t>
            </w:r>
            <w:r>
              <w:rPr>
                <w:rFonts w:ascii="Times New Roman" w:hAnsi="Times New Roman"/>
                <w:sz w:val="24"/>
              </w:rPr>
              <w:t>6.4</w:t>
            </w:r>
            <w:r>
              <w:rPr>
                <w:rFonts w:hint="eastAsia" w:ascii="Times New Roman" w:hAnsi="Times New Roman"/>
                <w:sz w:val="24"/>
              </w:rPr>
              <w:t>t；4个储罐均储存于主车间北侧西北角室外储罐内。</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② 生产系统危险性识别</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项目生产过程中风险物质储罐或管道在使用过程中因设备老化或故障而引起的破损，造成化学试剂泄漏引起环境污染事故。</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w:t>
            </w:r>
            <w:r>
              <w:rPr>
                <w:rFonts w:ascii="Times New Roman" w:hAnsi="Times New Roman"/>
                <w:sz w:val="24"/>
              </w:rPr>
              <w:t xml:space="preserve">2) </w:t>
            </w:r>
            <w:r>
              <w:rPr>
                <w:rFonts w:hint="eastAsia" w:ascii="Times New Roman" w:hAnsi="Times New Roman"/>
                <w:sz w:val="24"/>
              </w:rPr>
              <w:t>建设项目风险调查及环境风险潜势初判</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建设项目环境风险潜势划分为Ⅰ、Ⅱ、Ⅲ、Ⅳ、Ⅳ</w:t>
            </w:r>
            <w:r>
              <w:rPr>
                <w:rFonts w:ascii="Times New Roman" w:hAnsi="Times New Roman"/>
                <w:sz w:val="24"/>
              </w:rPr>
              <w:t>+</w:t>
            </w:r>
            <w:r>
              <w:rPr>
                <w:rFonts w:hint="eastAsia" w:ascii="Times New Roman" w:hAnsi="Times New Roman"/>
                <w:sz w:val="24"/>
              </w:rPr>
              <w:t>级。按照《建设项目环境风险评价技术导则》（</w:t>
            </w:r>
            <w:r>
              <w:rPr>
                <w:rFonts w:ascii="Times New Roman" w:hAnsi="Times New Roman"/>
                <w:sz w:val="24"/>
              </w:rPr>
              <w:t>HJ 169-2018</w:t>
            </w:r>
            <w:r>
              <w:rPr>
                <w:rFonts w:hint="eastAsia" w:ascii="Times New Roman" w:hAnsi="Times New Roman"/>
                <w:sz w:val="24"/>
              </w:rPr>
              <w:t>）附录</w:t>
            </w:r>
            <w:r>
              <w:rPr>
                <w:rFonts w:ascii="Times New Roman" w:hAnsi="Times New Roman"/>
                <w:sz w:val="24"/>
              </w:rPr>
              <w:t xml:space="preserve">C </w:t>
            </w:r>
            <w:r>
              <w:rPr>
                <w:rFonts w:hint="eastAsia" w:ascii="Times New Roman" w:hAnsi="Times New Roman"/>
                <w:sz w:val="24"/>
              </w:rPr>
              <w:t>确定危险物质及工艺系统危险性（</w:t>
            </w:r>
            <w:r>
              <w:rPr>
                <w:rFonts w:ascii="Times New Roman" w:hAnsi="Times New Roman"/>
                <w:sz w:val="24"/>
              </w:rPr>
              <w:t>P</w:t>
            </w:r>
            <w:r>
              <w:rPr>
                <w:rFonts w:hint="eastAsia" w:ascii="Times New Roman" w:hAnsi="Times New Roman"/>
                <w:sz w:val="24"/>
              </w:rPr>
              <w:t>）分级。</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①</w:t>
            </w:r>
            <w:r>
              <w:rPr>
                <w:rFonts w:ascii="Times New Roman" w:hAnsi="Times New Roman"/>
                <w:sz w:val="24"/>
              </w:rPr>
              <w:t xml:space="preserve"> </w:t>
            </w:r>
            <w:r>
              <w:rPr>
                <w:rFonts w:hint="eastAsia" w:ascii="Times New Roman" w:hAnsi="Times New Roman"/>
                <w:sz w:val="24"/>
              </w:rPr>
              <w:t>项目危险物质及工艺系统危险等级</w:t>
            </w:r>
            <w:r>
              <w:rPr>
                <w:rFonts w:ascii="Times New Roman" w:hAnsi="Times New Roman"/>
                <w:sz w:val="24"/>
              </w:rPr>
              <w:t>(P)</w:t>
            </w:r>
          </w:p>
          <w:p>
            <w:pPr>
              <w:pStyle w:val="51"/>
              <w:adjustRightInd w:val="0"/>
              <w:snapToGrid w:val="0"/>
              <w:spacing w:line="360" w:lineRule="auto"/>
              <w:ind w:firstLine="492"/>
              <w:rPr>
                <w:rFonts w:ascii="Times New Roman" w:hAnsi="Times New Roman"/>
                <w:sz w:val="24"/>
              </w:rPr>
            </w:pPr>
            <w:r>
              <w:rPr>
                <w:rFonts w:ascii="Times New Roman" w:hAnsi="Times New Roman"/>
                <w:sz w:val="24"/>
              </w:rPr>
              <w:t xml:space="preserve">A. </w:t>
            </w:r>
            <w:r>
              <w:rPr>
                <w:rFonts w:hint="eastAsia" w:ascii="Times New Roman" w:hAnsi="Times New Roman"/>
                <w:sz w:val="24"/>
              </w:rPr>
              <w:t>危险物质储存量及分布情况</w:t>
            </w:r>
          </w:p>
          <w:p>
            <w:pPr>
              <w:adjustRightInd w:val="0"/>
              <w:snapToGrid w:val="0"/>
              <w:spacing w:line="360" w:lineRule="auto"/>
              <w:ind w:firstLine="480"/>
              <w:jc w:val="left"/>
              <w:rPr>
                <w:sz w:val="24"/>
              </w:rPr>
            </w:pPr>
            <w:r>
              <w:rPr>
                <w:rFonts w:ascii="宋体" w:hAnsi="宋体" w:cs="宋体"/>
                <w:sz w:val="24"/>
              </w:rPr>
              <w:t>根据《建设项目环境风险评价技术导则》（</w:t>
            </w:r>
            <w:r>
              <w:rPr>
                <w:sz w:val="24"/>
              </w:rPr>
              <w:t>HJ169-2018</w:t>
            </w:r>
            <w:r>
              <w:rPr>
                <w:rFonts w:ascii="宋体" w:hAnsi="宋体" w:cs="宋体"/>
                <w:sz w:val="24"/>
              </w:rPr>
              <w:t>），计算所涉及的每种危险物质在厂界内的最大存在总量与其在附录</w:t>
            </w:r>
            <w:r>
              <w:rPr>
                <w:sz w:val="24"/>
              </w:rPr>
              <w:t>B</w:t>
            </w:r>
            <w:r>
              <w:rPr>
                <w:rFonts w:ascii="宋体" w:hAnsi="宋体" w:cs="宋体"/>
                <w:sz w:val="24"/>
              </w:rPr>
              <w:t>中对应临界量的比值</w:t>
            </w:r>
            <w:r>
              <w:rPr>
                <w:sz w:val="24"/>
              </w:rPr>
              <w:t>Q</w:t>
            </w:r>
            <w:r>
              <w:rPr>
                <w:rFonts w:ascii="宋体" w:hAnsi="宋体" w:cs="宋体"/>
                <w:sz w:val="24"/>
              </w:rPr>
              <w:t>。在不同厂区的同一种物质，按其在厂界内的最大存在总量计算。</w:t>
            </w:r>
          </w:p>
          <w:p>
            <w:pPr>
              <w:adjustRightInd w:val="0"/>
              <w:snapToGrid w:val="0"/>
              <w:spacing w:line="360" w:lineRule="auto"/>
              <w:ind w:firstLine="480"/>
              <w:jc w:val="left"/>
              <w:rPr>
                <w:sz w:val="24"/>
              </w:rPr>
            </w:pPr>
            <w:r>
              <w:rPr>
                <w:rFonts w:ascii="宋体" w:hAnsi="宋体" w:cs="宋体"/>
                <w:sz w:val="24"/>
              </w:rPr>
              <w:t>当只涉及一种危险物质时，计算该物质的总量与其临界量比值，即为</w:t>
            </w:r>
            <w:r>
              <w:rPr>
                <w:sz w:val="24"/>
              </w:rPr>
              <w:t>Q</w:t>
            </w:r>
            <w:r>
              <w:rPr>
                <w:rFonts w:ascii="宋体" w:hAnsi="宋体" w:cs="宋体"/>
                <w:sz w:val="24"/>
              </w:rPr>
              <w:t>；</w:t>
            </w:r>
          </w:p>
          <w:p>
            <w:pPr>
              <w:adjustRightInd w:val="0"/>
              <w:snapToGrid w:val="0"/>
              <w:spacing w:line="360" w:lineRule="auto"/>
              <w:ind w:firstLine="480"/>
              <w:jc w:val="left"/>
              <w:rPr>
                <w:sz w:val="24"/>
              </w:rPr>
            </w:pPr>
            <w:r>
              <w:rPr>
                <w:rFonts w:ascii="宋体" w:hAnsi="宋体" w:cs="宋体"/>
                <w:sz w:val="24"/>
              </w:rPr>
              <w:t>当存在多种危险物质时，则按式</w:t>
            </w:r>
            <w:r>
              <w:rPr>
                <w:sz w:val="24"/>
              </w:rPr>
              <w:t>(C.1)</w:t>
            </w:r>
            <w:r>
              <w:rPr>
                <w:rFonts w:ascii="宋体" w:hAnsi="宋体" w:cs="宋体"/>
                <w:sz w:val="24"/>
              </w:rPr>
              <w:t>计算物质总量与其临界量比值</w:t>
            </w:r>
            <w:r>
              <w:rPr>
                <w:sz w:val="24"/>
              </w:rPr>
              <w:t>(Q)</w:t>
            </w:r>
            <w:r>
              <w:rPr>
                <w:rFonts w:ascii="宋体" w:hAnsi="宋体" w:cs="宋体"/>
                <w:sz w:val="24"/>
              </w:rPr>
              <w:t>：</w:t>
            </w:r>
          </w:p>
          <w:p>
            <w:pPr>
              <w:autoSpaceDE w:val="0"/>
              <w:autoSpaceDN w:val="0"/>
              <w:adjustRightInd w:val="0"/>
              <w:jc w:val="center"/>
              <w:rPr>
                <w:kern w:val="0"/>
                <w:sz w:val="24"/>
              </w:rPr>
            </w:pPr>
            <w:r>
              <w:rPr>
                <w:kern w:val="0"/>
                <w:sz w:val="24"/>
              </w:rPr>
              <w:t xml:space="preserve"> </w:t>
            </w:r>
            <w:r>
              <w:rPr>
                <w:kern w:val="0"/>
                <w:sz w:val="24"/>
              </w:rPr>
              <w:drawing>
                <wp:inline distT="0" distB="0" distL="0" distR="0">
                  <wp:extent cx="3451860" cy="571500"/>
                  <wp:effectExtent l="0" t="0" r="0" b="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a:xfrm>
                            <a:off x="0" y="0"/>
                            <a:ext cx="3451860" cy="571500"/>
                          </a:xfrm>
                          <a:prstGeom prst="rect">
                            <a:avLst/>
                          </a:prstGeom>
                          <a:noFill/>
                          <a:ln>
                            <a:noFill/>
                          </a:ln>
                        </pic:spPr>
                      </pic:pic>
                    </a:graphicData>
                  </a:graphic>
                </wp:inline>
              </w:drawing>
            </w:r>
          </w:p>
          <w:p>
            <w:pPr>
              <w:adjustRightInd w:val="0"/>
              <w:snapToGrid w:val="0"/>
              <w:spacing w:line="312" w:lineRule="auto"/>
              <w:ind w:firstLine="482"/>
              <w:jc w:val="left"/>
              <w:rPr>
                <w:sz w:val="24"/>
              </w:rPr>
            </w:pPr>
            <w:r>
              <w:rPr>
                <w:rFonts w:ascii="宋体" w:hAnsi="宋体" w:cs="宋体"/>
                <w:sz w:val="24"/>
              </w:rPr>
              <w:t>每种危险物质的最大存在总量，</w:t>
            </w:r>
            <w:r>
              <w:rPr>
                <w:sz w:val="24"/>
              </w:rPr>
              <w:t>t</w:t>
            </w:r>
            <w:r>
              <w:rPr>
                <w:rFonts w:ascii="宋体" w:hAnsi="宋体" w:cs="宋体"/>
                <w:sz w:val="24"/>
              </w:rPr>
              <w:t>；</w:t>
            </w:r>
            <w:r>
              <w:rPr>
                <w:sz w:val="24"/>
              </w:rPr>
              <w:t>Q1, Q2, … Qn—</w:t>
            </w:r>
            <w:r>
              <w:rPr>
                <w:rFonts w:ascii="宋体" w:hAnsi="宋体" w:cs="宋体"/>
                <w:sz w:val="24"/>
              </w:rPr>
              <w:t>每种危险物质的临界量，</w:t>
            </w:r>
            <w:r>
              <w:rPr>
                <w:sz w:val="24"/>
              </w:rPr>
              <w:t>t</w:t>
            </w:r>
            <w:r>
              <w:rPr>
                <w:rFonts w:ascii="宋体" w:hAnsi="宋体" w:cs="宋体"/>
                <w:sz w:val="24"/>
              </w:rPr>
              <w:t>。当</w:t>
            </w:r>
            <w:r>
              <w:rPr>
                <w:sz w:val="24"/>
              </w:rPr>
              <w:t>Q&lt;1</w:t>
            </w:r>
            <w:r>
              <w:rPr>
                <w:rFonts w:ascii="宋体" w:hAnsi="宋体" w:cs="宋体"/>
                <w:sz w:val="24"/>
              </w:rPr>
              <w:t>时，该项目环境风险潜势为</w:t>
            </w:r>
            <w:r>
              <w:rPr>
                <w:sz w:val="24"/>
              </w:rPr>
              <w:t>I</w:t>
            </w:r>
            <w:r>
              <w:rPr>
                <w:rFonts w:ascii="宋体" w:hAnsi="宋体" w:cs="宋体"/>
                <w:sz w:val="24"/>
              </w:rPr>
              <w:t>。</w:t>
            </w:r>
          </w:p>
          <w:p>
            <w:pPr>
              <w:adjustRightInd w:val="0"/>
              <w:snapToGrid w:val="0"/>
              <w:spacing w:line="312" w:lineRule="auto"/>
              <w:ind w:firstLine="482"/>
              <w:jc w:val="left"/>
              <w:rPr>
                <w:sz w:val="24"/>
              </w:rPr>
            </w:pPr>
            <w:r>
              <w:rPr>
                <w:rFonts w:ascii="宋体" w:hAnsi="宋体" w:cs="宋体"/>
                <w:sz w:val="24"/>
              </w:rPr>
              <w:t>当</w:t>
            </w:r>
            <w:r>
              <w:rPr>
                <w:sz w:val="24"/>
              </w:rPr>
              <w:t>Q≥1</w:t>
            </w:r>
            <w:r>
              <w:rPr>
                <w:rFonts w:ascii="宋体" w:hAnsi="宋体" w:cs="宋体"/>
                <w:sz w:val="24"/>
              </w:rPr>
              <w:t>时，将</w:t>
            </w:r>
            <w:r>
              <w:rPr>
                <w:sz w:val="24"/>
              </w:rPr>
              <w:t>Q</w:t>
            </w:r>
            <w:r>
              <w:rPr>
                <w:rFonts w:ascii="宋体" w:hAnsi="宋体" w:cs="宋体"/>
                <w:sz w:val="24"/>
              </w:rPr>
              <w:t>值划分为</w:t>
            </w:r>
            <w:r>
              <w:rPr>
                <w:sz w:val="24"/>
              </w:rPr>
              <w:t xml:space="preserve">: </w:t>
            </w:r>
            <w:r>
              <w:rPr>
                <w:rFonts w:ascii="宋体" w:hAnsi="宋体" w:cs="宋体"/>
                <w:sz w:val="24"/>
              </w:rPr>
              <w:t>（</w:t>
            </w:r>
            <w:r>
              <w:rPr>
                <w:sz w:val="24"/>
              </w:rPr>
              <w:t>1</w:t>
            </w:r>
            <w:r>
              <w:rPr>
                <w:rFonts w:ascii="宋体" w:hAnsi="宋体" w:cs="宋体"/>
                <w:sz w:val="24"/>
              </w:rPr>
              <w:t>）</w:t>
            </w:r>
            <w:r>
              <w:rPr>
                <w:sz w:val="24"/>
              </w:rPr>
              <w:t>1≤Q&lt;10</w:t>
            </w:r>
            <w:r>
              <w:rPr>
                <w:rFonts w:ascii="宋体" w:hAnsi="宋体" w:cs="宋体"/>
                <w:sz w:val="24"/>
              </w:rPr>
              <w:t>；（</w:t>
            </w:r>
            <w:r>
              <w:rPr>
                <w:sz w:val="24"/>
              </w:rPr>
              <w:t>2</w:t>
            </w:r>
            <w:r>
              <w:rPr>
                <w:rFonts w:ascii="宋体" w:hAnsi="宋体" w:cs="宋体"/>
                <w:sz w:val="24"/>
              </w:rPr>
              <w:t>）</w:t>
            </w:r>
            <w:r>
              <w:rPr>
                <w:sz w:val="24"/>
              </w:rPr>
              <w:t>10≤Q&lt;100</w:t>
            </w:r>
            <w:r>
              <w:rPr>
                <w:rFonts w:ascii="宋体" w:hAnsi="宋体" w:cs="宋体"/>
                <w:sz w:val="24"/>
              </w:rPr>
              <w:t>；（</w:t>
            </w:r>
            <w:r>
              <w:rPr>
                <w:sz w:val="24"/>
              </w:rPr>
              <w:t>3</w:t>
            </w:r>
            <w:r>
              <w:rPr>
                <w:rFonts w:ascii="宋体" w:hAnsi="宋体" w:cs="宋体"/>
                <w:sz w:val="24"/>
              </w:rPr>
              <w:t>）</w:t>
            </w:r>
            <w:r>
              <w:rPr>
                <w:sz w:val="24"/>
              </w:rPr>
              <w:t>Q≥100</w:t>
            </w:r>
            <w:r>
              <w:rPr>
                <w:rFonts w:ascii="宋体" w:hAnsi="宋体" w:cs="宋体"/>
                <w:sz w:val="24"/>
              </w:rPr>
              <w:t>。确定项目涉及的环境风险物质为盐酸、</w:t>
            </w:r>
            <w:r>
              <w:rPr>
                <w:rFonts w:hint="eastAsia" w:ascii="宋体" w:hAnsi="宋体" w:cs="宋体"/>
                <w:sz w:val="24"/>
              </w:rPr>
              <w:t>次氯酸钠</w:t>
            </w:r>
            <w:r>
              <w:rPr>
                <w:rFonts w:ascii="宋体" w:hAnsi="宋体" w:cs="宋体"/>
                <w:sz w:val="24"/>
              </w:rPr>
              <w:t>，</w:t>
            </w:r>
            <w:r>
              <w:rPr>
                <w:sz w:val="24"/>
              </w:rPr>
              <w:t>Q</w:t>
            </w:r>
            <w:r>
              <w:rPr>
                <w:rFonts w:ascii="宋体" w:hAnsi="宋体" w:cs="宋体"/>
                <w:sz w:val="24"/>
              </w:rPr>
              <w:t>值计算结果见表</w:t>
            </w:r>
            <w:r>
              <w:rPr>
                <w:sz w:val="24"/>
              </w:rPr>
              <w:t>20</w:t>
            </w:r>
            <w:r>
              <w:rPr>
                <w:rFonts w:ascii="宋体" w:hAnsi="宋体" w:cs="宋体"/>
                <w:sz w:val="24"/>
              </w:rPr>
              <w:t>。</w:t>
            </w:r>
          </w:p>
          <w:p>
            <w:pPr>
              <w:adjustRightInd w:val="0"/>
              <w:snapToGrid w:val="0"/>
              <w:spacing w:line="300" w:lineRule="auto"/>
              <w:ind w:firstLine="422"/>
              <w:jc w:val="center"/>
              <w:rPr>
                <w:b/>
                <w:bCs/>
                <w:sz w:val="24"/>
              </w:rPr>
            </w:pPr>
            <w:bookmarkStart w:id="23" w:name="_Hlk51593348"/>
            <w:r>
              <w:rPr>
                <w:rFonts w:ascii="宋体" w:hAnsi="宋体" w:cs="宋体"/>
                <w:b/>
                <w:bCs/>
                <w:sz w:val="24"/>
              </w:rPr>
              <w:t>表</w:t>
            </w:r>
            <w:r>
              <w:rPr>
                <w:b/>
                <w:bCs/>
                <w:sz w:val="24"/>
              </w:rPr>
              <w:t xml:space="preserve">20 </w:t>
            </w:r>
            <w:r>
              <w:rPr>
                <w:rFonts w:ascii="宋体" w:hAnsi="宋体" w:cs="宋体"/>
                <w:b/>
                <w:bCs/>
                <w:sz w:val="24"/>
              </w:rPr>
              <w:t>环境风险物质与临界量的比值结果</w:t>
            </w:r>
          </w:p>
          <w:tbl>
            <w:tblPr>
              <w:tblStyle w:val="88"/>
              <w:tblW w:w="82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3"/>
              <w:gridCol w:w="1401"/>
              <w:gridCol w:w="1392"/>
              <w:gridCol w:w="1524"/>
              <w:gridCol w:w="1139"/>
              <w:gridCol w:w="10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340" w:hRule="atLeast"/>
                <w:jc w:val="center"/>
              </w:trPr>
              <w:tc>
                <w:tcPr>
                  <w:tcW w:w="1683" w:type="dxa"/>
                  <w:vAlign w:val="center"/>
                </w:tcPr>
                <w:p>
                  <w:pPr>
                    <w:jc w:val="center"/>
                    <w:rPr>
                      <w:bCs/>
                      <w:szCs w:val="21"/>
                    </w:rPr>
                  </w:pPr>
                  <w:r>
                    <w:rPr>
                      <w:rFonts w:ascii="宋体" w:hAnsi="宋体" w:cs="宋体"/>
                      <w:bCs/>
                      <w:szCs w:val="21"/>
                    </w:rPr>
                    <w:t>物质名称</w:t>
                  </w:r>
                </w:p>
              </w:tc>
              <w:tc>
                <w:tcPr>
                  <w:tcW w:w="1401" w:type="dxa"/>
                  <w:vAlign w:val="center"/>
                </w:tcPr>
                <w:p>
                  <w:pPr>
                    <w:jc w:val="center"/>
                    <w:rPr>
                      <w:bCs/>
                      <w:szCs w:val="21"/>
                    </w:rPr>
                  </w:pPr>
                  <w:r>
                    <w:rPr>
                      <w:bCs/>
                      <w:szCs w:val="21"/>
                    </w:rPr>
                    <w:t>CAS</w:t>
                  </w:r>
                  <w:r>
                    <w:rPr>
                      <w:rFonts w:ascii="宋体" w:hAnsi="宋体" w:cs="宋体"/>
                      <w:bCs/>
                      <w:szCs w:val="21"/>
                    </w:rPr>
                    <w:t>号</w:t>
                  </w:r>
                </w:p>
              </w:tc>
              <w:tc>
                <w:tcPr>
                  <w:tcW w:w="1392" w:type="dxa"/>
                  <w:vAlign w:val="center"/>
                </w:tcPr>
                <w:p>
                  <w:pPr>
                    <w:jc w:val="center"/>
                    <w:rPr>
                      <w:bCs/>
                      <w:szCs w:val="21"/>
                    </w:rPr>
                  </w:pPr>
                  <w:r>
                    <w:rPr>
                      <w:rFonts w:ascii="宋体" w:hAnsi="宋体" w:cs="宋体"/>
                      <w:bCs/>
                      <w:szCs w:val="21"/>
                    </w:rPr>
                    <w:t>储存方式</w:t>
                  </w:r>
                </w:p>
              </w:tc>
              <w:tc>
                <w:tcPr>
                  <w:tcW w:w="1524" w:type="dxa"/>
                  <w:vAlign w:val="center"/>
                </w:tcPr>
                <w:p>
                  <w:pPr>
                    <w:jc w:val="center"/>
                    <w:rPr>
                      <w:bCs/>
                      <w:szCs w:val="21"/>
                    </w:rPr>
                  </w:pPr>
                  <w:r>
                    <w:rPr>
                      <w:rFonts w:ascii="宋体" w:hAnsi="宋体" w:cs="宋体"/>
                      <w:bCs/>
                      <w:szCs w:val="21"/>
                    </w:rPr>
                    <w:t>本项目最大储存量</w:t>
                  </w:r>
                  <w:r>
                    <w:rPr>
                      <w:bCs/>
                      <w:szCs w:val="21"/>
                    </w:rPr>
                    <w:t>q</w:t>
                  </w:r>
                  <w:r>
                    <w:rPr>
                      <w:rFonts w:ascii="宋体" w:hAnsi="宋体" w:cs="宋体"/>
                      <w:bCs/>
                      <w:szCs w:val="21"/>
                    </w:rPr>
                    <w:t>（</w:t>
                  </w:r>
                  <w:r>
                    <w:rPr>
                      <w:bCs/>
                      <w:szCs w:val="21"/>
                    </w:rPr>
                    <w:t>t</w:t>
                  </w:r>
                  <w:r>
                    <w:rPr>
                      <w:rFonts w:ascii="宋体" w:hAnsi="宋体" w:cs="宋体"/>
                      <w:bCs/>
                      <w:szCs w:val="21"/>
                    </w:rPr>
                    <w:t>）</w:t>
                  </w:r>
                </w:p>
              </w:tc>
              <w:tc>
                <w:tcPr>
                  <w:tcW w:w="1139" w:type="dxa"/>
                  <w:vAlign w:val="center"/>
                </w:tcPr>
                <w:p>
                  <w:pPr>
                    <w:jc w:val="center"/>
                    <w:rPr>
                      <w:bCs/>
                      <w:szCs w:val="21"/>
                    </w:rPr>
                  </w:pPr>
                  <w:r>
                    <w:rPr>
                      <w:rFonts w:ascii="宋体" w:hAnsi="宋体" w:cs="宋体"/>
                      <w:bCs/>
                      <w:szCs w:val="21"/>
                    </w:rPr>
                    <w:t>临界量</w:t>
                  </w:r>
                </w:p>
                <w:p>
                  <w:pPr>
                    <w:jc w:val="center"/>
                    <w:rPr>
                      <w:bCs/>
                      <w:szCs w:val="21"/>
                    </w:rPr>
                  </w:pPr>
                  <w:r>
                    <w:rPr>
                      <w:bCs/>
                      <w:szCs w:val="21"/>
                    </w:rPr>
                    <w:t>Q</w:t>
                  </w:r>
                  <w:r>
                    <w:rPr>
                      <w:rFonts w:ascii="宋体" w:hAnsi="宋体" w:cs="宋体"/>
                      <w:bCs/>
                      <w:szCs w:val="21"/>
                    </w:rPr>
                    <w:t>（</w:t>
                  </w:r>
                  <w:r>
                    <w:rPr>
                      <w:bCs/>
                      <w:szCs w:val="21"/>
                    </w:rPr>
                    <w:t>t</w:t>
                  </w:r>
                  <w:r>
                    <w:rPr>
                      <w:rFonts w:ascii="宋体" w:hAnsi="宋体" w:cs="宋体"/>
                      <w:bCs/>
                      <w:szCs w:val="21"/>
                    </w:rPr>
                    <w:t>）</w:t>
                  </w:r>
                </w:p>
              </w:tc>
              <w:tc>
                <w:tcPr>
                  <w:tcW w:w="1081" w:type="dxa"/>
                  <w:vAlign w:val="center"/>
                </w:tcPr>
                <w:p>
                  <w:pPr>
                    <w:jc w:val="center"/>
                    <w:rPr>
                      <w:bCs/>
                      <w:szCs w:val="21"/>
                    </w:rPr>
                  </w:pPr>
                  <w:r>
                    <w:rPr>
                      <w:bCs/>
                      <w:szCs w:val="21"/>
                    </w:rPr>
                    <w:t>q/Q</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340" w:hRule="atLeast"/>
                <w:jc w:val="center"/>
              </w:trPr>
              <w:tc>
                <w:tcPr>
                  <w:tcW w:w="1683" w:type="dxa"/>
                  <w:vAlign w:val="center"/>
                </w:tcPr>
                <w:p>
                  <w:pPr>
                    <w:jc w:val="center"/>
                    <w:rPr>
                      <w:szCs w:val="21"/>
                    </w:rPr>
                  </w:pPr>
                  <w:bookmarkStart w:id="24" w:name="_Hlk34001711"/>
                  <w:r>
                    <w:rPr>
                      <w:rFonts w:ascii="宋体" w:hAnsi="宋体" w:cs="宋体"/>
                      <w:szCs w:val="21"/>
                    </w:rPr>
                    <w:t>盐酸</w:t>
                  </w:r>
                </w:p>
              </w:tc>
              <w:tc>
                <w:tcPr>
                  <w:tcW w:w="1401" w:type="dxa"/>
                  <w:vAlign w:val="center"/>
                </w:tcPr>
                <w:p>
                  <w:pPr>
                    <w:jc w:val="center"/>
                    <w:rPr>
                      <w:szCs w:val="21"/>
                    </w:rPr>
                  </w:pPr>
                  <w:r>
                    <w:rPr>
                      <w:szCs w:val="21"/>
                    </w:rPr>
                    <w:t>7647-01-0</w:t>
                  </w:r>
                </w:p>
              </w:tc>
              <w:tc>
                <w:tcPr>
                  <w:tcW w:w="1392" w:type="dxa"/>
                </w:tcPr>
                <w:p>
                  <w:pPr>
                    <w:jc w:val="center"/>
                    <w:rPr>
                      <w:szCs w:val="21"/>
                    </w:rPr>
                  </w:pPr>
                  <w:r>
                    <w:rPr>
                      <w:rFonts w:hint="eastAsia"/>
                      <w:szCs w:val="21"/>
                    </w:rPr>
                    <w:t>储罐</w:t>
                  </w:r>
                </w:p>
              </w:tc>
              <w:tc>
                <w:tcPr>
                  <w:tcW w:w="1524" w:type="dxa"/>
                  <w:vAlign w:val="center"/>
                </w:tcPr>
                <w:p>
                  <w:pPr>
                    <w:jc w:val="center"/>
                    <w:rPr>
                      <w:szCs w:val="21"/>
                    </w:rPr>
                  </w:pPr>
                  <w:r>
                    <w:rPr>
                      <w:szCs w:val="21"/>
                    </w:rPr>
                    <w:t>15.3</w:t>
                  </w:r>
                </w:p>
              </w:tc>
              <w:tc>
                <w:tcPr>
                  <w:tcW w:w="1139" w:type="dxa"/>
                  <w:vAlign w:val="center"/>
                </w:tcPr>
                <w:p>
                  <w:pPr>
                    <w:jc w:val="center"/>
                    <w:rPr>
                      <w:szCs w:val="21"/>
                    </w:rPr>
                  </w:pPr>
                  <w:r>
                    <w:rPr>
                      <w:szCs w:val="21"/>
                    </w:rPr>
                    <w:t>7.5</w:t>
                  </w:r>
                </w:p>
              </w:tc>
              <w:tc>
                <w:tcPr>
                  <w:tcW w:w="1081" w:type="dxa"/>
                  <w:vAlign w:val="center"/>
                </w:tcPr>
                <w:p>
                  <w:pPr>
                    <w:jc w:val="center"/>
                    <w:rPr>
                      <w:szCs w:val="21"/>
                    </w:rPr>
                  </w:pPr>
                  <w:r>
                    <w:rPr>
                      <w:szCs w:val="21"/>
                    </w:rPr>
                    <w:t>2.04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683" w:type="dxa"/>
                  <w:vAlign w:val="center"/>
                </w:tcPr>
                <w:p>
                  <w:pPr>
                    <w:jc w:val="center"/>
                    <w:rPr>
                      <w:szCs w:val="21"/>
                    </w:rPr>
                  </w:pPr>
                  <w:r>
                    <w:rPr>
                      <w:rFonts w:hint="eastAsia" w:ascii="宋体" w:hAnsi="宋体" w:cs="宋体"/>
                      <w:szCs w:val="21"/>
                    </w:rPr>
                    <w:t>次氯酸钠</w:t>
                  </w:r>
                </w:p>
              </w:tc>
              <w:tc>
                <w:tcPr>
                  <w:tcW w:w="1401" w:type="dxa"/>
                  <w:vAlign w:val="center"/>
                </w:tcPr>
                <w:p>
                  <w:pPr>
                    <w:jc w:val="center"/>
                    <w:rPr>
                      <w:szCs w:val="21"/>
                    </w:rPr>
                  </w:pPr>
                  <w:r>
                    <w:rPr>
                      <w:szCs w:val="21"/>
                    </w:rPr>
                    <w:t>7681-52-9</w:t>
                  </w:r>
                </w:p>
              </w:tc>
              <w:tc>
                <w:tcPr>
                  <w:tcW w:w="1392" w:type="dxa"/>
                </w:tcPr>
                <w:p>
                  <w:pPr>
                    <w:jc w:val="center"/>
                    <w:rPr>
                      <w:szCs w:val="21"/>
                    </w:rPr>
                  </w:pPr>
                  <w:r>
                    <w:rPr>
                      <w:rFonts w:hint="eastAsia"/>
                      <w:szCs w:val="21"/>
                    </w:rPr>
                    <w:t>储罐</w:t>
                  </w:r>
                </w:p>
              </w:tc>
              <w:tc>
                <w:tcPr>
                  <w:tcW w:w="1524" w:type="dxa"/>
                  <w:vAlign w:val="center"/>
                </w:tcPr>
                <w:p>
                  <w:pPr>
                    <w:jc w:val="center"/>
                    <w:rPr>
                      <w:szCs w:val="21"/>
                    </w:rPr>
                  </w:pPr>
                  <w:r>
                    <w:rPr>
                      <w:szCs w:val="21"/>
                    </w:rPr>
                    <w:t>1.92</w:t>
                  </w:r>
                </w:p>
              </w:tc>
              <w:tc>
                <w:tcPr>
                  <w:tcW w:w="1139" w:type="dxa"/>
                  <w:vAlign w:val="center"/>
                </w:tcPr>
                <w:p>
                  <w:pPr>
                    <w:jc w:val="center"/>
                    <w:rPr>
                      <w:szCs w:val="21"/>
                    </w:rPr>
                  </w:pPr>
                  <w:r>
                    <w:rPr>
                      <w:szCs w:val="21"/>
                    </w:rPr>
                    <w:t>5</w:t>
                  </w:r>
                </w:p>
              </w:tc>
              <w:tc>
                <w:tcPr>
                  <w:tcW w:w="1081" w:type="dxa"/>
                  <w:vAlign w:val="center"/>
                </w:tcPr>
                <w:p>
                  <w:pPr>
                    <w:jc w:val="center"/>
                    <w:rPr>
                      <w:szCs w:val="21"/>
                    </w:rPr>
                  </w:pPr>
                  <w:r>
                    <w:rPr>
                      <w:szCs w:val="21"/>
                    </w:rPr>
                    <w:t>0.38</w:t>
                  </w:r>
                </w:p>
              </w:tc>
            </w:tr>
            <w:bookmarkEnd w:id="24"/>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2" w:hRule="atLeast"/>
                <w:jc w:val="center"/>
              </w:trPr>
              <w:tc>
                <w:tcPr>
                  <w:tcW w:w="7139" w:type="dxa"/>
                  <w:gridSpan w:val="5"/>
                  <w:vAlign w:val="center"/>
                </w:tcPr>
                <w:p>
                  <w:pPr>
                    <w:jc w:val="center"/>
                    <w:rPr>
                      <w:szCs w:val="21"/>
                    </w:rPr>
                  </w:pPr>
                  <w:r>
                    <w:rPr>
                      <w:szCs w:val="21"/>
                    </w:rPr>
                    <w:t>∑q</w:t>
                  </w:r>
                  <w:r>
                    <w:rPr>
                      <w:szCs w:val="21"/>
                      <w:vertAlign w:val="subscript"/>
                    </w:rPr>
                    <w:t>n</w:t>
                  </w:r>
                  <w:r>
                    <w:rPr>
                      <w:szCs w:val="21"/>
                    </w:rPr>
                    <w:t>/Q</w:t>
                  </w:r>
                  <w:r>
                    <w:rPr>
                      <w:szCs w:val="21"/>
                      <w:vertAlign w:val="subscript"/>
                    </w:rPr>
                    <w:t>n</w:t>
                  </w:r>
                </w:p>
              </w:tc>
              <w:tc>
                <w:tcPr>
                  <w:tcW w:w="1081" w:type="dxa"/>
                  <w:vAlign w:val="center"/>
                </w:tcPr>
                <w:p>
                  <w:pPr>
                    <w:jc w:val="center"/>
                    <w:rPr>
                      <w:szCs w:val="21"/>
                    </w:rPr>
                  </w:pPr>
                  <w:r>
                    <w:rPr>
                      <w:szCs w:val="21"/>
                    </w:rPr>
                    <w:t>2.42</w:t>
                  </w:r>
                </w:p>
              </w:tc>
            </w:tr>
            <w:bookmarkEnd w:id="23"/>
          </w:tbl>
          <w:p>
            <w:pPr>
              <w:adjustRightInd w:val="0"/>
              <w:snapToGrid w:val="0"/>
              <w:spacing w:line="360" w:lineRule="auto"/>
              <w:ind w:firstLine="480" w:firstLineChars="200"/>
              <w:rPr>
                <w:sz w:val="24"/>
              </w:rPr>
            </w:pPr>
            <w:r>
              <w:rPr>
                <w:rFonts w:ascii="宋体" w:hAnsi="宋体" w:cs="宋体"/>
                <w:sz w:val="24"/>
              </w:rPr>
              <w:t>根据计算结果表明，环境风险物质</w:t>
            </w:r>
            <w:r>
              <w:rPr>
                <w:sz w:val="24"/>
              </w:rPr>
              <w:t>Q</w:t>
            </w:r>
            <w:r>
              <w:rPr>
                <w:rFonts w:ascii="宋体" w:hAnsi="宋体" w:cs="宋体"/>
                <w:sz w:val="24"/>
              </w:rPr>
              <w:t>值为</w:t>
            </w:r>
            <w:r>
              <w:rPr>
                <w:sz w:val="24"/>
              </w:rPr>
              <w:t>2.42</w:t>
            </w:r>
            <w:r>
              <w:rPr>
                <w:rFonts w:hint="eastAsia"/>
                <w:sz w:val="24"/>
              </w:rPr>
              <w:t>，1≤Q&lt;10</w:t>
            </w:r>
            <w:r>
              <w:rPr>
                <w:rFonts w:ascii="宋体" w:hAnsi="宋体" w:cs="宋体"/>
                <w:sz w:val="24"/>
              </w:rPr>
              <w:t>。</w:t>
            </w:r>
          </w:p>
          <w:p>
            <w:pPr>
              <w:pStyle w:val="51"/>
              <w:adjustRightInd w:val="0"/>
              <w:snapToGrid w:val="0"/>
              <w:spacing w:line="360" w:lineRule="auto"/>
              <w:ind w:firstLine="492"/>
              <w:rPr>
                <w:rFonts w:ascii="Times New Roman" w:hAnsi="Times New Roman"/>
                <w:sz w:val="24"/>
              </w:rPr>
            </w:pPr>
            <w:r>
              <w:rPr>
                <w:rFonts w:ascii="Times New Roman" w:hAnsi="Times New Roman"/>
                <w:sz w:val="24"/>
              </w:rPr>
              <w:t xml:space="preserve">B. </w:t>
            </w:r>
            <w:r>
              <w:rPr>
                <w:rFonts w:hint="eastAsia" w:ascii="Times New Roman" w:hAnsi="Times New Roman"/>
                <w:sz w:val="24"/>
              </w:rPr>
              <w:t>行业及生产工艺</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本项目为海水淡化项目，采用“V型滤池</w:t>
            </w:r>
            <w:r>
              <w:rPr>
                <w:rFonts w:ascii="Times New Roman" w:hAnsi="Times New Roman"/>
                <w:sz w:val="24"/>
              </w:rPr>
              <w:t>+</w:t>
            </w:r>
            <w:r>
              <w:rPr>
                <w:rFonts w:hint="eastAsia" w:ascii="Times New Roman" w:hAnsi="Times New Roman"/>
                <w:sz w:val="24"/>
              </w:rPr>
              <w:t>超滤+反渗透</w:t>
            </w:r>
            <w:r>
              <w:rPr>
                <w:rFonts w:ascii="Times New Roman" w:hAnsi="Times New Roman"/>
                <w:sz w:val="24"/>
              </w:rPr>
              <w:t>+</w:t>
            </w:r>
            <w:r>
              <w:rPr>
                <w:rFonts w:hint="eastAsia" w:ascii="Times New Roman" w:hAnsi="Times New Roman"/>
                <w:sz w:val="24"/>
              </w:rPr>
              <w:t>矿化”及低温多效工艺，本项目行业及生产工艺</w:t>
            </w:r>
            <w:r>
              <w:rPr>
                <w:rFonts w:ascii="Times New Roman" w:hAnsi="Times New Roman"/>
                <w:sz w:val="24"/>
              </w:rPr>
              <w:t>(M)</w:t>
            </w:r>
            <w:r>
              <w:rPr>
                <w:rFonts w:hint="eastAsia" w:ascii="Times New Roman" w:hAnsi="Times New Roman"/>
                <w:sz w:val="24"/>
              </w:rPr>
              <w:t>为</w:t>
            </w:r>
            <w:r>
              <w:rPr>
                <w:rFonts w:ascii="Times New Roman" w:hAnsi="Times New Roman"/>
                <w:sz w:val="24"/>
              </w:rPr>
              <w:t>M4</w:t>
            </w:r>
            <w:r>
              <w:rPr>
                <w:rFonts w:hint="eastAsia" w:ascii="Times New Roman" w:hAnsi="Times New Roman"/>
                <w:sz w:val="24"/>
              </w:rPr>
              <w:t>。</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按照《建设项目环境风险评价技术导则》（</w:t>
            </w:r>
            <w:r>
              <w:rPr>
                <w:rFonts w:ascii="Times New Roman" w:hAnsi="Times New Roman"/>
                <w:sz w:val="24"/>
              </w:rPr>
              <w:t>HJ 169-2018</w:t>
            </w:r>
            <w:r>
              <w:rPr>
                <w:rFonts w:hint="eastAsia" w:ascii="Times New Roman" w:hAnsi="Times New Roman"/>
                <w:sz w:val="24"/>
              </w:rPr>
              <w:t>）附录</w:t>
            </w:r>
            <w:r>
              <w:rPr>
                <w:rFonts w:ascii="Times New Roman" w:hAnsi="Times New Roman"/>
                <w:sz w:val="24"/>
              </w:rPr>
              <w:t>C.2</w:t>
            </w:r>
            <w:r>
              <w:rPr>
                <w:rFonts w:hint="eastAsia" w:ascii="Times New Roman" w:hAnsi="Times New Roman"/>
                <w:sz w:val="24"/>
              </w:rPr>
              <w:t>危险物质数量与临界量比值</w:t>
            </w:r>
            <w:r>
              <w:rPr>
                <w:rFonts w:ascii="Times New Roman" w:hAnsi="Times New Roman"/>
                <w:sz w:val="24"/>
              </w:rPr>
              <w:t>(Q)</w:t>
            </w:r>
            <w:r>
              <w:rPr>
                <w:rFonts w:hint="eastAsia" w:ascii="Times New Roman" w:hAnsi="Times New Roman"/>
                <w:sz w:val="24"/>
              </w:rPr>
              <w:t>和行业及生产工艺</w:t>
            </w:r>
            <w:r>
              <w:rPr>
                <w:rFonts w:ascii="Times New Roman" w:hAnsi="Times New Roman"/>
                <w:sz w:val="24"/>
              </w:rPr>
              <w:t>(M)</w:t>
            </w:r>
            <w:r>
              <w:rPr>
                <w:rFonts w:hint="eastAsia" w:ascii="Times New Roman" w:hAnsi="Times New Roman"/>
                <w:sz w:val="24"/>
              </w:rPr>
              <w:t>，确定本项目危险物质及工艺系统危险等级</w:t>
            </w:r>
            <w:r>
              <w:rPr>
                <w:rFonts w:ascii="Times New Roman" w:hAnsi="Times New Roman"/>
                <w:sz w:val="24"/>
              </w:rPr>
              <w:t>(P)</w:t>
            </w:r>
            <w:r>
              <w:rPr>
                <w:rFonts w:hint="eastAsia" w:ascii="Times New Roman" w:hAnsi="Times New Roman"/>
                <w:sz w:val="24"/>
              </w:rPr>
              <w:t>为</w:t>
            </w:r>
            <w:r>
              <w:rPr>
                <w:rFonts w:ascii="Times New Roman" w:hAnsi="Times New Roman"/>
                <w:sz w:val="24"/>
              </w:rPr>
              <w:t>P4</w:t>
            </w:r>
            <w:r>
              <w:rPr>
                <w:rFonts w:hint="eastAsia" w:ascii="Times New Roman" w:hAnsi="Times New Roman"/>
                <w:sz w:val="24"/>
              </w:rPr>
              <w:t>。</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②</w:t>
            </w:r>
            <w:r>
              <w:rPr>
                <w:rFonts w:ascii="Times New Roman" w:hAnsi="Times New Roman"/>
                <w:sz w:val="24"/>
              </w:rPr>
              <w:t xml:space="preserve"> </w:t>
            </w:r>
            <w:r>
              <w:rPr>
                <w:rFonts w:hint="eastAsia" w:ascii="Times New Roman" w:hAnsi="Times New Roman"/>
                <w:sz w:val="24"/>
              </w:rPr>
              <w:t>环境敏感程度</w:t>
            </w:r>
            <w:r>
              <w:rPr>
                <w:rFonts w:ascii="Times New Roman" w:hAnsi="Times New Roman"/>
                <w:sz w:val="24"/>
              </w:rPr>
              <w:t>(E)</w:t>
            </w:r>
          </w:p>
          <w:p>
            <w:pPr>
              <w:pStyle w:val="51"/>
              <w:adjustRightInd w:val="0"/>
              <w:snapToGrid w:val="0"/>
              <w:spacing w:line="360" w:lineRule="auto"/>
              <w:ind w:firstLine="492"/>
              <w:rPr>
                <w:rFonts w:ascii="Times New Roman" w:hAnsi="Times New Roman"/>
                <w:sz w:val="24"/>
              </w:rPr>
            </w:pPr>
            <w:r>
              <w:rPr>
                <w:rFonts w:ascii="Times New Roman" w:hAnsi="Times New Roman"/>
                <w:sz w:val="24"/>
              </w:rPr>
              <w:t xml:space="preserve">A. </w:t>
            </w:r>
            <w:r>
              <w:rPr>
                <w:rFonts w:hint="eastAsia" w:ascii="Times New Roman" w:hAnsi="Times New Roman"/>
                <w:sz w:val="24"/>
              </w:rPr>
              <w:t>大气环境</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根据环境敏感目标环境敏感性及人口密度划分环境风险受体的敏感性，根据项目周围环境概况，本项目大气环境环境敏感程度分级为</w:t>
            </w:r>
            <w:r>
              <w:rPr>
                <w:rFonts w:ascii="Times New Roman" w:hAnsi="Times New Roman"/>
                <w:sz w:val="24"/>
              </w:rPr>
              <w:t>E2</w:t>
            </w:r>
            <w:r>
              <w:rPr>
                <w:rFonts w:hint="eastAsia" w:ascii="Times New Roman" w:hAnsi="Times New Roman"/>
                <w:sz w:val="24"/>
              </w:rPr>
              <w:t>。</w:t>
            </w:r>
          </w:p>
          <w:p>
            <w:pPr>
              <w:pStyle w:val="51"/>
              <w:adjustRightInd w:val="0"/>
              <w:snapToGrid w:val="0"/>
              <w:spacing w:line="360" w:lineRule="auto"/>
              <w:ind w:firstLine="492"/>
              <w:rPr>
                <w:rFonts w:cs="宋体"/>
                <w:sz w:val="24"/>
              </w:rPr>
            </w:pPr>
            <w:r>
              <w:rPr>
                <w:rFonts w:ascii="Times New Roman" w:hAnsi="Times New Roman"/>
                <w:sz w:val="24"/>
              </w:rPr>
              <w:t xml:space="preserve">B. </w:t>
            </w:r>
            <w:r>
              <w:rPr>
                <w:rFonts w:hint="eastAsia" w:cs="宋体"/>
                <w:sz w:val="24"/>
              </w:rPr>
              <w:t>地表水环境</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根据事故情况下危险物质泄漏到水体的排放点受纳地表水体功能敏感性，与下游环境敏感目标情况，本项目地表水环境敏感程度分级为</w:t>
            </w:r>
            <w:r>
              <w:rPr>
                <w:rFonts w:ascii="Times New Roman" w:hAnsi="Times New Roman"/>
                <w:sz w:val="24"/>
              </w:rPr>
              <w:t>E3</w:t>
            </w:r>
            <w:r>
              <w:rPr>
                <w:rFonts w:hint="eastAsia" w:ascii="Times New Roman" w:hAnsi="Times New Roman"/>
                <w:sz w:val="24"/>
              </w:rPr>
              <w:t>。</w:t>
            </w:r>
          </w:p>
          <w:p>
            <w:pPr>
              <w:pStyle w:val="51"/>
              <w:adjustRightInd w:val="0"/>
              <w:snapToGrid w:val="0"/>
              <w:spacing w:line="360" w:lineRule="auto"/>
              <w:ind w:firstLine="492"/>
              <w:rPr>
                <w:rFonts w:ascii="Times New Roman" w:hAnsi="Times New Roman"/>
                <w:sz w:val="24"/>
              </w:rPr>
            </w:pPr>
            <w:r>
              <w:rPr>
                <w:rFonts w:ascii="Times New Roman" w:hAnsi="Times New Roman"/>
                <w:sz w:val="24"/>
              </w:rPr>
              <w:t xml:space="preserve">C. </w:t>
            </w:r>
            <w:r>
              <w:rPr>
                <w:rFonts w:hint="eastAsia" w:ascii="Times New Roman" w:hAnsi="Times New Roman"/>
                <w:sz w:val="24"/>
              </w:rPr>
              <w:t>地下水环境</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根据地下水功能敏感性与包气带防污性能，本项目地下水敏感程度分级为</w:t>
            </w:r>
            <w:r>
              <w:rPr>
                <w:rFonts w:ascii="Times New Roman" w:hAnsi="Times New Roman"/>
                <w:sz w:val="24"/>
              </w:rPr>
              <w:t>E3</w:t>
            </w:r>
            <w:r>
              <w:rPr>
                <w:rFonts w:hint="eastAsia" w:ascii="Times New Roman" w:hAnsi="Times New Roman"/>
                <w:sz w:val="24"/>
              </w:rPr>
              <w:t>。</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根据本项目涉及的物质和工艺系统的危险性及其所在地的环境敏感程度，结合事故下环境影响途径，确定本项目环境风险潜势为</w:t>
            </w:r>
            <w:r>
              <w:rPr>
                <w:rFonts w:ascii="Times New Roman" w:hAnsi="Times New Roman"/>
                <w:sz w:val="24"/>
              </w:rPr>
              <w:t>II</w:t>
            </w:r>
            <w:r>
              <w:rPr>
                <w:rFonts w:hint="eastAsia" w:ascii="Times New Roman" w:hAnsi="Times New Roman"/>
                <w:sz w:val="24"/>
              </w:rPr>
              <w:t>，评价工作等级为三级，详见附表3-</w:t>
            </w:r>
            <w:r>
              <w:rPr>
                <w:rFonts w:ascii="Times New Roman" w:hAnsi="Times New Roman"/>
                <w:sz w:val="24"/>
              </w:rPr>
              <w:t>1</w:t>
            </w:r>
            <w:r>
              <w:rPr>
                <w:rFonts w:hint="eastAsia" w:ascii="Times New Roman" w:hAnsi="Times New Roman"/>
                <w:sz w:val="24"/>
              </w:rPr>
              <w:t>。</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 xml:space="preserve"> (</w:t>
            </w:r>
            <w:r>
              <w:rPr>
                <w:rFonts w:ascii="Times New Roman" w:hAnsi="Times New Roman"/>
                <w:sz w:val="24"/>
              </w:rPr>
              <w:t xml:space="preserve">3) </w:t>
            </w:r>
            <w:r>
              <w:rPr>
                <w:rFonts w:hint="eastAsia" w:ascii="Times New Roman" w:hAnsi="Times New Roman"/>
                <w:sz w:val="24"/>
              </w:rPr>
              <w:t>风险事故情形分析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根据项目所涉及的风险物质以及生产工艺，项目可能发生的风险事故为：</w:t>
            </w:r>
          </w:p>
          <w:p>
            <w:pPr>
              <w:pStyle w:val="51"/>
              <w:adjustRightInd w:val="0"/>
              <w:snapToGrid w:val="0"/>
              <w:spacing w:line="360" w:lineRule="auto"/>
              <w:ind w:firstLine="492"/>
              <w:rPr>
                <w:rFonts w:cs="宋体"/>
                <w:sz w:val="24"/>
              </w:rPr>
            </w:pPr>
            <w:r>
              <w:rPr>
                <w:rFonts w:hint="eastAsia" w:cs="宋体"/>
                <w:sz w:val="24"/>
              </w:rPr>
              <w:t>① 风险物质储罐发生泄漏导致风险物质进入周边环境，对周边地表水、地下水造成污染。</w:t>
            </w:r>
          </w:p>
          <w:p>
            <w:pPr>
              <w:pStyle w:val="51"/>
              <w:adjustRightInd w:val="0"/>
              <w:snapToGrid w:val="0"/>
              <w:spacing w:line="360" w:lineRule="auto"/>
              <w:ind w:firstLine="480" w:firstLineChars="200"/>
              <w:rPr>
                <w:rFonts w:ascii="Times New Roman" w:hAnsi="Times New Roman"/>
                <w:sz w:val="24"/>
              </w:rPr>
            </w:pPr>
            <w:r>
              <w:rPr>
                <w:rFonts w:hint="eastAsia" w:cs="宋体"/>
                <w:sz w:val="24"/>
              </w:rPr>
              <w:t>②风险物质发生泄漏遇到降雨，化学物质随雨水流入邻近海域，造成附近海域海水水质污染。</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w:t>
            </w:r>
            <w:r>
              <w:rPr>
                <w:rFonts w:ascii="Times New Roman" w:hAnsi="Times New Roman"/>
                <w:sz w:val="24"/>
              </w:rPr>
              <w:t>4) 环境风险后果及影响</w:t>
            </w:r>
            <w:r>
              <w:rPr>
                <w:rFonts w:hint="eastAsia" w:ascii="Times New Roman" w:hAnsi="Times New Roman"/>
                <w:sz w:val="24"/>
              </w:rPr>
              <w:t>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① 环境风险物质泄漏对环境空气影响分析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次氯酸钠（1</w:t>
            </w:r>
            <w:r>
              <w:rPr>
                <w:rFonts w:ascii="Times New Roman" w:hAnsi="Times New Roman"/>
                <w:sz w:val="24"/>
              </w:rPr>
              <w:t>0</w:t>
            </w:r>
            <w:r>
              <w:rPr>
                <w:rFonts w:hint="eastAsia" w:ascii="Times New Roman" w:hAnsi="Times New Roman"/>
                <w:sz w:val="24"/>
              </w:rPr>
              <w:t>%）、盐酸（3</w:t>
            </w:r>
            <w:r>
              <w:rPr>
                <w:rFonts w:ascii="Times New Roman" w:hAnsi="Times New Roman"/>
                <w:sz w:val="24"/>
              </w:rPr>
              <w:t>0</w:t>
            </w:r>
            <w:r>
              <w:rPr>
                <w:rFonts w:hint="eastAsia" w:ascii="Times New Roman" w:hAnsi="Times New Roman"/>
                <w:sz w:val="24"/>
              </w:rPr>
              <w:t>%）储存浓度较低，发生泄漏事故后气体挥发量极小，对周围大气环境无不利影响。</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② 环境风险物质泄漏对地表水环境影响分析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本工程涉及的环境风险物质为次氯酸钠、盐酸，储存在专用储罐内，若发生泄漏，可能会流入附近水环境中，对周围水环境造成污染，储罐储存量较小，储罐周边采取防渗处理且设置有围堰，泄漏不会大量流入周边水环境中，</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③ 环境风险物质泄漏对地下水环境影响分析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本工程涉及的环境风险物质为次氯酸钠、盐酸，储存在专用储罐内，若发生泄漏，可能会通过地面渗透对厂区及周围地下水环境造成不利影响，项目厂区地面采取硬化处理，加药间采取防渗处理，并设置有围堰，围堰有效容积大于试剂原料储存容积，当试剂发生泄漏时，试剂将被截留在围堰内。对厂区及周边地下水环境影响较小。</w:t>
            </w:r>
          </w:p>
          <w:p>
            <w:pPr>
              <w:pStyle w:val="51"/>
              <w:adjustRightInd w:val="0"/>
              <w:snapToGrid w:val="0"/>
              <w:spacing w:line="360" w:lineRule="auto"/>
              <w:ind w:firstLine="492"/>
              <w:rPr>
                <w:rFonts w:ascii="Times New Roman" w:hAnsi="Times New Roman"/>
                <w:sz w:val="24"/>
              </w:rPr>
            </w:pPr>
            <w:r>
              <w:rPr>
                <w:rFonts w:ascii="Times New Roman" w:hAnsi="Times New Roman"/>
                <w:sz w:val="24"/>
              </w:rPr>
              <w:t xml:space="preserve">(5) </w:t>
            </w:r>
            <w:r>
              <w:rPr>
                <w:rFonts w:hint="eastAsia" w:ascii="Times New Roman" w:hAnsi="Times New Roman"/>
                <w:sz w:val="24"/>
              </w:rPr>
              <w:t>环境风险防范措施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环境风险防范的核心是降低风险度，可以从两个方面采取措施，一是降低事故发生概率，二是减轻事故危害强度，此外预先指定好切实可行的事故应急预案，可以大大减轻事故发生时可能受到的损失，针对项目具体情况提出以下环境风险防范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① 总图布置和建筑安全防范措施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A</w:t>
            </w:r>
            <w:r>
              <w:rPr>
                <w:rFonts w:ascii="Times New Roman" w:hAnsi="Times New Roman"/>
                <w:sz w:val="24"/>
              </w:rPr>
              <w:t xml:space="preserve">. </w:t>
            </w:r>
            <w:r>
              <w:rPr>
                <w:rFonts w:hint="eastAsia" w:ascii="Times New Roman" w:hAnsi="Times New Roman"/>
                <w:sz w:val="24"/>
              </w:rPr>
              <w:t>项目总图布置上各建、构筑物间的防火间距均按要求设置，各主要通道宽度满足消防、安全卫生、地下管线及管架布置、绿化工程等方面的要求。</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B</w:t>
            </w:r>
            <w:r>
              <w:rPr>
                <w:rFonts w:ascii="Times New Roman" w:hAnsi="Times New Roman"/>
                <w:sz w:val="24"/>
              </w:rPr>
              <w:t xml:space="preserve">. </w:t>
            </w:r>
            <w:r>
              <w:rPr>
                <w:rFonts w:hint="eastAsia" w:ascii="Times New Roman" w:hAnsi="Times New Roman"/>
                <w:sz w:val="24"/>
              </w:rPr>
              <w:t xml:space="preserve">罐区、仓库及固体废物储存场内及周边均应为硬化地面，并采取相应的防渗措施。在四周设废水收集沟，收集沟与事故水池相连。确保发生事故时，泄漏的化学品及应急处理时产生的废水可完全被收集处理，不会通过渗透和地表径流污染地下水和海水。 </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C.</w:t>
            </w:r>
            <w:r>
              <w:rPr>
                <w:rFonts w:ascii="Times New Roman" w:hAnsi="Times New Roman"/>
                <w:sz w:val="24"/>
              </w:rPr>
              <w:t xml:space="preserve"> </w:t>
            </w:r>
            <w:r>
              <w:rPr>
                <w:rFonts w:hint="eastAsia" w:ascii="Times New Roman" w:hAnsi="Times New Roman"/>
                <w:sz w:val="24"/>
              </w:rPr>
              <w:t>建筑上遵守国家现行的技术规范和规定，结合厂区生产特点，建、构筑物的平面布置、空间处理、结构选型、构造措施及材料选用等方面满足防火、防爆、防毒、防腐蚀、防噪音、防水、防潮、防震、隔热、洁净等要求。</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D</w:t>
            </w:r>
            <w:r>
              <w:rPr>
                <w:rFonts w:ascii="Times New Roman" w:hAnsi="Times New Roman"/>
                <w:sz w:val="24"/>
              </w:rPr>
              <w:t xml:space="preserve">. </w:t>
            </w:r>
            <w:r>
              <w:rPr>
                <w:rFonts w:hint="eastAsia" w:ascii="Times New Roman" w:hAnsi="Times New Roman"/>
                <w:sz w:val="24"/>
              </w:rPr>
              <w:t>罐区设有高度适宜的围堰，作为泄漏事故的一级防控；事故废水导入事故水池，采取适当的方式处理。</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②工艺技术设计安全防范措施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A</w:t>
            </w:r>
            <w:r>
              <w:rPr>
                <w:rFonts w:ascii="Times New Roman" w:hAnsi="Times New Roman"/>
                <w:sz w:val="24"/>
              </w:rPr>
              <w:t xml:space="preserve">. </w:t>
            </w:r>
            <w:r>
              <w:rPr>
                <w:rFonts w:hint="eastAsia" w:ascii="Times New Roman" w:hAnsi="Times New Roman"/>
                <w:sz w:val="24"/>
              </w:rPr>
              <w:t>所有物料管线、设备必须处于密闭状态；</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B</w:t>
            </w:r>
            <w:r>
              <w:rPr>
                <w:rFonts w:ascii="Times New Roman" w:hAnsi="Times New Roman"/>
                <w:sz w:val="24"/>
              </w:rPr>
              <w:t xml:space="preserve">. </w:t>
            </w:r>
            <w:r>
              <w:rPr>
                <w:rFonts w:hint="eastAsia" w:ascii="Times New Roman" w:hAnsi="Times New Roman"/>
                <w:sz w:val="24"/>
              </w:rPr>
              <w:t>设备和机械要保持干净，没有不必要的油和油脂，并且要装有合适的防护设施。工具要正确摆放在指定的地方，并且要没有油和油脂，以备随时使用；</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C</w:t>
            </w:r>
            <w:r>
              <w:rPr>
                <w:rFonts w:ascii="Times New Roman" w:hAnsi="Times New Roman"/>
                <w:sz w:val="24"/>
              </w:rPr>
              <w:t xml:space="preserve">. </w:t>
            </w:r>
            <w:r>
              <w:rPr>
                <w:rFonts w:hint="eastAsia" w:ascii="Times New Roman" w:hAnsi="Times New Roman"/>
                <w:sz w:val="24"/>
              </w:rPr>
              <w:t>加强安全管理，建立完善的安全制度，设立工艺设备的巡检路线和巡检记录。</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③ 风险防范日常管理措施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A</w:t>
            </w:r>
            <w:r>
              <w:rPr>
                <w:rFonts w:ascii="Times New Roman" w:hAnsi="Times New Roman"/>
                <w:sz w:val="24"/>
              </w:rPr>
              <w:t xml:space="preserve">. </w:t>
            </w:r>
            <w:r>
              <w:rPr>
                <w:rFonts w:hint="eastAsia" w:ascii="Times New Roman" w:hAnsi="Times New Roman"/>
                <w:sz w:val="24"/>
              </w:rPr>
              <w:t>加强安全、消防和环保管理，建立健全环保、安全、消防各项制度，设置环保、安全、消防设施专职管理人员，保证设施正常运行或处于良好的待命状态。</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B</w:t>
            </w:r>
            <w:r>
              <w:rPr>
                <w:rFonts w:ascii="Times New Roman" w:hAnsi="Times New Roman"/>
                <w:sz w:val="24"/>
              </w:rPr>
              <w:t xml:space="preserve">. </w:t>
            </w:r>
            <w:r>
              <w:rPr>
                <w:rFonts w:hint="eastAsia" w:ascii="Times New Roman" w:hAnsi="Times New Roman"/>
                <w:sz w:val="24"/>
              </w:rPr>
              <w:t>加强安全教育，企业内全体人员都认识安全、杜绝事故的意义和重要性，了解事故处理程序和要求，了解处理事故的措施和器材的使用方法，特别是明确自己在处理事故中的职责。加强对职工培训，掌握具体化学品的性质和事故发生时相应的处理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C</w:t>
            </w:r>
            <w:r>
              <w:rPr>
                <w:rFonts w:ascii="Times New Roman" w:hAnsi="Times New Roman"/>
                <w:sz w:val="24"/>
              </w:rPr>
              <w:t xml:space="preserve">. </w:t>
            </w:r>
            <w:r>
              <w:rPr>
                <w:rFonts w:hint="eastAsia" w:ascii="Times New Roman" w:hAnsi="Times New Roman"/>
                <w:sz w:val="24"/>
              </w:rPr>
              <w:t>原料来源必须有正规的渠道，有专门的运输车辆运输，要求押运人员持有押运证，并携带安全资料表，装卸过程要轻装轻放，避免撞击、重压造成泄漏。</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D</w:t>
            </w:r>
            <w:r>
              <w:rPr>
                <w:rFonts w:ascii="Times New Roman" w:hAnsi="Times New Roman"/>
                <w:sz w:val="24"/>
              </w:rPr>
              <w:t xml:space="preserve">. </w:t>
            </w:r>
            <w:r>
              <w:rPr>
                <w:rFonts w:hint="eastAsia" w:ascii="Times New Roman" w:hAnsi="Times New Roman"/>
                <w:sz w:val="24"/>
              </w:rPr>
              <w:t>强化岗位责任制，严格各项操作规程和奖惩制度，除设置专门环保机构外，各生产单位都要设专人具体负责本单位的安全和环保问题，对易发事故的各生产环节必须经常检查，杜绝事故隐患，发现问题及时处置并立即向有关部门报告。</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E</w:t>
            </w:r>
            <w:r>
              <w:rPr>
                <w:rFonts w:ascii="Times New Roman" w:hAnsi="Times New Roman"/>
                <w:sz w:val="24"/>
              </w:rPr>
              <w:t xml:space="preserve">. </w:t>
            </w:r>
            <w:r>
              <w:rPr>
                <w:rFonts w:hint="eastAsia" w:ascii="Times New Roman" w:hAnsi="Times New Roman"/>
                <w:sz w:val="24"/>
              </w:rPr>
              <w:t>加强和强化公司安全检查和巡查体系的建立，定期、定点、定向的对公司所有存在安全隐患和环境风险隐患的设备设施进行安全排出和检查。对排查出的风险隐患要得到及时的处理，并作相关的记录，以便做到风险防范有章可查，有帐可查。</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④ 风险事故发生后防范及减缓措施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A</w:t>
            </w:r>
            <w:r>
              <w:rPr>
                <w:rFonts w:ascii="Times New Roman" w:hAnsi="Times New Roman"/>
                <w:sz w:val="24"/>
              </w:rPr>
              <w:t xml:space="preserve">. </w:t>
            </w:r>
            <w:r>
              <w:rPr>
                <w:rFonts w:hint="eastAsia" w:ascii="Times New Roman" w:hAnsi="Times New Roman"/>
                <w:sz w:val="24"/>
              </w:rPr>
              <w:t>物料泄漏应急、救援及减缓措施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当发生化学试剂泄漏时，可根据物料性质，选取以下措施，防止事态进一步发展：少量液体泄漏时，用砂土或其他材料吸附或吸收；大量液体泄漏时，构筑临时围堤收容。用耐腐蚀泵转移至槽车或专用收集器内，回收或运至废物处理场所处置。</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B</w:t>
            </w:r>
            <w:r>
              <w:rPr>
                <w:rFonts w:ascii="Times New Roman" w:hAnsi="Times New Roman"/>
                <w:sz w:val="24"/>
              </w:rPr>
              <w:t xml:space="preserve">. </w:t>
            </w:r>
            <w:r>
              <w:rPr>
                <w:rFonts w:hint="eastAsia" w:ascii="Times New Roman" w:hAnsi="Times New Roman"/>
                <w:sz w:val="24"/>
              </w:rPr>
              <w:t>事故水三级防控措施</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项目在发生泄漏事故时，事故污水可能会对周围的环境水体造成风险影响，可引发一系列的次生水环境风险事故。为了防止事故污水对周围环境水体的影响，项目拟对事故泄漏物质和污水实施三级防控措施，具体内容如下：</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一级防控：化学药剂储罐区设有高度适宜的围堰，作为项目事故泄漏物质和消防废水的一级防线；防止液体物料或消防废水流出罐区，实现装置区和罐区的初期雨水、地面冲洗水收集和处理。围绕次氯酸钠、盐酸储罐区设置围堰，一旦出现液体泄漏，通过围堰将其拦住。</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二级防控：事故发生后，根据泄漏量的情况启动二级防控措施，即在泄漏量较小时采取消防沙或吸附土覆盖处理；在泄漏量较大时，立即用防腐蚀泵对物料进行回收，尽可能的减少物料外泄量和污水的浓度，降低事故状态下事故废水外溢对环境的影响。项目在储罐区域围堰设有暗沟通至废水池，废水池容积800m</w:t>
            </w:r>
            <w:r>
              <w:rPr>
                <w:rFonts w:ascii="Times New Roman" w:hAnsi="Times New Roman"/>
                <w:sz w:val="24"/>
                <w:vertAlign w:val="superscript"/>
              </w:rPr>
              <w:t>3</w:t>
            </w:r>
            <w:r>
              <w:rPr>
                <w:rFonts w:hint="eastAsia" w:ascii="Times New Roman" w:hAnsi="Times New Roman"/>
                <w:sz w:val="24"/>
              </w:rPr>
              <w:t>，可作为事故水池。当启动二级防控措施时，迅速切断事故排水的直接外排，通过阻断雨水明渠，将事故污染水以及泄漏物料排入二级应急缓冲池，暂时储存起来。</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三级防控：当项目事故废水突破一、二级防线时，启动事故废水三级防控应急系统，进行污水调节和暂存。此时，阻断厂内雨水明渠，不能让泄漏物质和消防污水直接外排，将其引入废水池存放。</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项目发生泄漏、火灾事故率极低，泄漏物质和消防污水暂存在围堰内或事故池内不会直接排放到周围水体中，不对周围水环境造成影响。但由于项目无事故污水处理能力，此泄漏物质和事故水须经专家论证确定处理方案后委托当地有相应处理能力的单位处理。</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在进行“三级防控”体系建设的同时，还应对试剂运输、使用管理等方面进行严格管理，尽可能降低事故发生的概率。</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在风险物质的运输过程中，针对本身的风险特性，应设立清晰的危险品标志；减少物质泄漏以及性质相悖的货物直接接触造成事故。液体原料的运输装卸要严格按《危险化学品安全管理条例》的要求，加强管理；制定安全操作规程，要求操作人员严格按操作规程作业。</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加强使用管理，对液体药剂用量进行严格登记，液体药剂储罐区和投加泵房应配置消防器材，同时要对液体药剂投加人员配备必要的劳保防护用品，以减轻和避免风险物质对人体健康的危害，液体药剂投加人员使用液体药剂的过程中应严格《危险化学品管理制度》。</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w:t>
            </w:r>
            <w:r>
              <w:rPr>
                <w:rFonts w:ascii="Times New Roman" w:hAnsi="Times New Roman"/>
                <w:sz w:val="24"/>
              </w:rPr>
              <w:t xml:space="preserve">6) </w:t>
            </w:r>
            <w:r>
              <w:rPr>
                <w:rFonts w:hint="eastAsia" w:ascii="Times New Roman" w:hAnsi="Times New Roman"/>
                <w:sz w:val="24"/>
              </w:rPr>
              <w:t>风险评价结论</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综合以上分析，项目风险评价结论如下：</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①</w:t>
            </w:r>
            <w:r>
              <w:rPr>
                <w:rFonts w:ascii="Times New Roman" w:hAnsi="Times New Roman"/>
                <w:sz w:val="24"/>
              </w:rPr>
              <w:t xml:space="preserve"> </w:t>
            </w:r>
            <w:r>
              <w:rPr>
                <w:rFonts w:hint="eastAsia" w:ascii="Times New Roman" w:hAnsi="Times New Roman"/>
                <w:sz w:val="24"/>
              </w:rPr>
              <w:t>通过项目风险源辨识和风险事故分析，项目环境风险潜势为</w:t>
            </w:r>
            <w:r>
              <w:rPr>
                <w:rFonts w:ascii="Times New Roman" w:hAnsi="Times New Roman"/>
                <w:sz w:val="24"/>
              </w:rPr>
              <w:t>II</w:t>
            </w:r>
            <w:r>
              <w:rPr>
                <w:rFonts w:hint="eastAsia" w:ascii="Times New Roman" w:hAnsi="Times New Roman"/>
                <w:sz w:val="24"/>
              </w:rPr>
              <w:t>，存在试剂泄漏事故风险，最大可信事故为化学试剂泄漏导致次氯酸钠、盐酸等化学试剂外泄进入环境，对周围地表水、地下水造成污染，项目存储试剂浓度较低，基本无气体挥发，发生泄漏事故时对周围环境空气无影响。</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②</w:t>
            </w:r>
            <w:r>
              <w:rPr>
                <w:rFonts w:ascii="Times New Roman" w:hAnsi="Times New Roman"/>
                <w:sz w:val="24"/>
              </w:rPr>
              <w:t xml:space="preserve"> </w:t>
            </w:r>
            <w:r>
              <w:rPr>
                <w:rFonts w:hint="eastAsia" w:ascii="Times New Roman" w:hAnsi="Times New Roman"/>
                <w:sz w:val="24"/>
              </w:rPr>
              <w:t>项目若发生泄漏事故会对周边环境造成影响，需要采取必要的防范措施。在进行“三级防控”体系建设的同时，对试剂运输、使用管理等方面进行严格管理，采取必要的风险防范措施后，能有效的防止泄漏等事故的发生，一旦发生事故，依靠相应的安全防护设施和事故应急措施也能及时控制事故，防止事故的蔓延，可以有效的降低事故对周围环境的影响。</w:t>
            </w:r>
          </w:p>
          <w:p>
            <w:pPr>
              <w:pStyle w:val="51"/>
              <w:adjustRightInd w:val="0"/>
              <w:snapToGrid w:val="0"/>
              <w:spacing w:line="360" w:lineRule="auto"/>
              <w:ind w:firstLine="492"/>
              <w:rPr>
                <w:rFonts w:cs="宋体"/>
                <w:sz w:val="24"/>
              </w:rPr>
            </w:pPr>
            <w:r>
              <w:rPr>
                <w:rFonts w:hint="eastAsia" w:ascii="Times New Roman" w:hAnsi="Times New Roman"/>
                <w:sz w:val="24"/>
              </w:rPr>
              <w:t>因此，</w:t>
            </w:r>
            <w:r>
              <w:rPr>
                <w:rFonts w:cs="宋体"/>
                <w:sz w:val="24"/>
              </w:rPr>
              <w:t>在风险防范措施和应急预案落实到位后，环境风险可防控。</w:t>
            </w:r>
          </w:p>
          <w:p>
            <w:pPr>
              <w:pStyle w:val="51"/>
              <w:adjustRightInd w:val="0"/>
              <w:snapToGrid w:val="0"/>
              <w:spacing w:line="360" w:lineRule="auto"/>
              <w:ind w:firstLine="494"/>
              <w:rPr>
                <w:rFonts w:ascii="Times New Roman" w:hAnsi="Times New Roman"/>
                <w:b/>
                <w:bCs/>
                <w:sz w:val="24"/>
              </w:rPr>
            </w:pPr>
            <w:r>
              <w:rPr>
                <w:rFonts w:hint="eastAsia" w:ascii="Times New Roman" w:hAnsi="Times New Roman"/>
                <w:b/>
                <w:bCs/>
                <w:sz w:val="24"/>
              </w:rPr>
              <w:t>7. 选址可行性与“三线一单”分析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w:t>
            </w:r>
            <w:r>
              <w:rPr>
                <w:rFonts w:ascii="Times New Roman" w:hAnsi="Times New Roman"/>
                <w:sz w:val="24"/>
              </w:rPr>
              <w:t xml:space="preserve">1) </w:t>
            </w:r>
            <w:r>
              <w:rPr>
                <w:rFonts w:hint="eastAsia" w:ascii="Times New Roman" w:hAnsi="Times New Roman"/>
                <w:sz w:val="24"/>
              </w:rPr>
              <w:t>项目选址与《威海市环境总体规划》(2014-2030)的符合性</w:t>
            </w:r>
          </w:p>
          <w:p>
            <w:pPr>
              <w:pStyle w:val="51"/>
              <w:adjustRightInd w:val="0"/>
              <w:snapToGrid w:val="0"/>
              <w:spacing w:line="360" w:lineRule="auto"/>
              <w:ind w:firstLine="480" w:firstLineChars="200"/>
              <w:rPr>
                <w:rFonts w:ascii="Times New Roman" w:hAnsi="Times New Roman"/>
                <w:sz w:val="24"/>
              </w:rPr>
            </w:pPr>
            <w:r>
              <w:rPr>
                <w:rFonts w:hint="eastAsia" w:ascii="Times New Roman" w:hAnsi="Times New Roman"/>
                <w:sz w:val="24"/>
              </w:rPr>
              <w:t>《威海市环境总体规划》(2014-2030)将威海陆域划分为大气环境一级、二级和一般管控区，实行分级管控；将威海全市域划分为水环境一级管控区、水环境二级管控区、水环境一般管控区，实行分级管控；将威海全市域划分为生态环境一级管控区、生态环境二级管控区、生态环境一般管控区，实行分级管控。要求贯彻实施区域性大气污染物综合排放标准，深化重点行业污染治理。新建、改建、扩建项目，满足产业准入、总量控制、排放标准等管理度要求的前提下，实行工业项目进园、集约高效发展；生态环境一般管控区为重点发展、优先发展区域。在开发建设中应尽量减少对生态系统的破坏，强化环境保护和资源节约利用，不得违反相关法律法规进行开发建设。项目处于大气、水和生态一般管控区，并符合一般管控区的要求。</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w:t>
            </w:r>
            <w:r>
              <w:rPr>
                <w:rFonts w:ascii="Times New Roman" w:hAnsi="Times New Roman"/>
                <w:sz w:val="24"/>
              </w:rPr>
              <w:t xml:space="preserve">2) </w:t>
            </w:r>
            <w:r>
              <w:rPr>
                <w:rFonts w:hint="eastAsia" w:ascii="Times New Roman" w:hAnsi="Times New Roman"/>
                <w:sz w:val="24"/>
              </w:rPr>
              <w:t>项目“三线一单”符合性分析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① 生态保护红线</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根据《山东省生态保护红线规划(2016-2020年)》，本项目不在生态保护红线范围内，距离项目西北向4km处为威海刘公岛海洋保护区，详见附图</w:t>
            </w:r>
            <w:r>
              <w:rPr>
                <w:rFonts w:ascii="Times New Roman" w:hAnsi="Times New Roman"/>
                <w:sz w:val="24"/>
              </w:rPr>
              <w:t>6</w:t>
            </w:r>
            <w:r>
              <w:rPr>
                <w:rFonts w:hint="eastAsia" w:ascii="Times New Roman" w:hAnsi="Times New Roman"/>
                <w:sz w:val="24"/>
              </w:rPr>
              <w:t>。</w:t>
            </w:r>
          </w:p>
          <w:p>
            <w:pPr>
              <w:pStyle w:val="51"/>
              <w:adjustRightInd w:val="0"/>
              <w:snapToGrid w:val="0"/>
              <w:spacing w:line="360" w:lineRule="auto"/>
              <w:ind w:firstLine="492"/>
              <w:rPr>
                <w:rFonts w:ascii="Times New Roman" w:hAnsi="Times New Roman"/>
                <w:sz w:val="24"/>
              </w:rPr>
            </w:pPr>
            <w:r>
              <w:rPr>
                <w:rFonts w:hint="eastAsia" w:cs="宋体"/>
                <w:sz w:val="24"/>
              </w:rPr>
              <w:t>②</w:t>
            </w:r>
            <w:r>
              <w:rPr>
                <w:rFonts w:ascii="Times New Roman" w:hAnsi="Times New Roman"/>
                <w:sz w:val="24"/>
              </w:rPr>
              <w:t xml:space="preserve"> 环境质量底线</w:t>
            </w:r>
          </w:p>
          <w:p>
            <w:pPr>
              <w:pStyle w:val="51"/>
              <w:adjustRightInd w:val="0"/>
              <w:snapToGrid w:val="0"/>
              <w:spacing w:line="360" w:lineRule="auto"/>
              <w:ind w:firstLine="492"/>
              <w:rPr>
                <w:rFonts w:ascii="Times New Roman" w:hAnsi="Times New Roman"/>
                <w:sz w:val="24"/>
              </w:rPr>
            </w:pPr>
            <w:r>
              <w:rPr>
                <w:rFonts w:ascii="Times New Roman" w:hAnsi="Times New Roman"/>
                <w:sz w:val="24"/>
              </w:rPr>
              <w:t>工程完成后，总生产能力达到10万m</w:t>
            </w:r>
            <w:r>
              <w:rPr>
                <w:rFonts w:ascii="Times New Roman" w:hAnsi="Times New Roman"/>
                <w:sz w:val="24"/>
                <w:vertAlign w:val="superscript"/>
              </w:rPr>
              <w:t>3</w:t>
            </w:r>
            <w:r>
              <w:rPr>
                <w:rFonts w:ascii="Times New Roman" w:hAnsi="Times New Roman"/>
                <w:sz w:val="24"/>
              </w:rPr>
              <w:t>/d，浓盐水</w:t>
            </w:r>
            <w:r>
              <w:rPr>
                <w:rFonts w:hint="eastAsia" w:ascii="Times New Roman" w:hAnsi="Times New Roman"/>
                <w:sz w:val="24"/>
              </w:rPr>
              <w:t>中pH、SS</w:t>
            </w:r>
            <w:r>
              <w:rPr>
                <w:rFonts w:ascii="Times New Roman" w:hAnsi="Times New Roman"/>
                <w:sz w:val="24"/>
              </w:rPr>
              <w:t>排放执行《流域水污染物综合排放标准 第5部分：半岛流域》(DB37/3416.5-2018)的二级标准</w:t>
            </w:r>
            <w:r>
              <w:rPr>
                <w:rFonts w:hint="eastAsia" w:ascii="Times New Roman" w:hAnsi="Times New Roman"/>
                <w:sz w:val="24"/>
              </w:rPr>
              <w:t>(pH</w:t>
            </w:r>
            <w:r>
              <w:rPr>
                <w:rFonts w:ascii="Times New Roman" w:hAnsi="Times New Roman"/>
                <w:sz w:val="24"/>
              </w:rPr>
              <w:t xml:space="preserve"> 6-9</w:t>
            </w:r>
            <w:r>
              <w:rPr>
                <w:rFonts w:hint="eastAsia" w:ascii="Times New Roman" w:hAnsi="Times New Roman"/>
                <w:sz w:val="24"/>
              </w:rPr>
              <w:t>，SS</w:t>
            </w:r>
            <w:r>
              <w:rPr>
                <w:rFonts w:ascii="Times New Roman" w:hAnsi="Times New Roman"/>
                <w:sz w:val="24"/>
              </w:rPr>
              <w:t xml:space="preserve"> 30</w:t>
            </w:r>
            <w:r>
              <w:rPr>
                <w:rFonts w:hint="eastAsia" w:ascii="Times New Roman" w:hAnsi="Times New Roman"/>
                <w:sz w:val="24"/>
              </w:rPr>
              <w:t>mg/L</w:t>
            </w:r>
            <w:r>
              <w:rPr>
                <w:rFonts w:ascii="Times New Roman" w:hAnsi="Times New Roman"/>
                <w:sz w:val="24"/>
              </w:rPr>
              <w:t>)。</w:t>
            </w:r>
          </w:p>
          <w:p>
            <w:pPr>
              <w:pStyle w:val="51"/>
              <w:adjustRightInd w:val="0"/>
              <w:snapToGrid w:val="0"/>
              <w:spacing w:line="360" w:lineRule="auto"/>
              <w:ind w:firstLine="492"/>
              <w:rPr>
                <w:rFonts w:ascii="Times New Roman" w:hAnsi="Times New Roman"/>
                <w:sz w:val="24"/>
              </w:rPr>
            </w:pPr>
            <w:r>
              <w:rPr>
                <w:rFonts w:ascii="Times New Roman" w:hAnsi="Times New Roman"/>
                <w:sz w:val="24"/>
              </w:rPr>
              <w:t>项目的建设不影响附近海域水质、沉积物等达标情况，符合环境质量底线控制要求。</w:t>
            </w:r>
          </w:p>
          <w:p>
            <w:pPr>
              <w:pStyle w:val="51"/>
              <w:adjustRightInd w:val="0"/>
              <w:snapToGrid w:val="0"/>
              <w:spacing w:line="360" w:lineRule="auto"/>
              <w:ind w:firstLine="492"/>
              <w:rPr>
                <w:rFonts w:ascii="Times New Roman" w:hAnsi="Times New Roman"/>
                <w:sz w:val="24"/>
              </w:rPr>
            </w:pPr>
            <w:r>
              <w:rPr>
                <w:rFonts w:hint="eastAsia" w:cs="宋体"/>
                <w:sz w:val="24"/>
              </w:rPr>
              <w:t>③</w:t>
            </w:r>
            <w:r>
              <w:rPr>
                <w:rFonts w:ascii="Times New Roman" w:hAnsi="Times New Roman"/>
                <w:sz w:val="24"/>
              </w:rPr>
              <w:t xml:space="preserve"> 资源利用上线</w:t>
            </w:r>
          </w:p>
          <w:p>
            <w:pPr>
              <w:pStyle w:val="51"/>
              <w:adjustRightInd w:val="0"/>
              <w:snapToGrid w:val="0"/>
              <w:spacing w:line="360" w:lineRule="auto"/>
              <w:ind w:firstLine="492"/>
              <w:rPr>
                <w:rFonts w:ascii="Times New Roman" w:hAnsi="Times New Roman"/>
                <w:sz w:val="24"/>
              </w:rPr>
            </w:pPr>
            <w:r>
              <w:rPr>
                <w:rFonts w:ascii="Times New Roman" w:hAnsi="Times New Roman"/>
                <w:sz w:val="24"/>
              </w:rPr>
              <w:t>本项目原料为</w:t>
            </w:r>
            <w:r>
              <w:rPr>
                <w:rFonts w:hint="eastAsia" w:ascii="Times New Roman" w:hAnsi="Times New Roman"/>
                <w:sz w:val="24"/>
              </w:rPr>
              <w:t>附近海域</w:t>
            </w:r>
            <w:r>
              <w:rPr>
                <w:rFonts w:ascii="Times New Roman" w:hAnsi="Times New Roman"/>
                <w:sz w:val="24"/>
              </w:rPr>
              <w:t>海水</w:t>
            </w:r>
            <w:r>
              <w:rPr>
                <w:rFonts w:hint="eastAsia" w:ascii="Times New Roman" w:hAnsi="Times New Roman"/>
                <w:sz w:val="24"/>
              </w:rPr>
              <w:t>及电厂内温排水</w:t>
            </w:r>
            <w:r>
              <w:rPr>
                <w:rFonts w:ascii="Times New Roman" w:hAnsi="Times New Roman"/>
                <w:sz w:val="24"/>
              </w:rPr>
              <w:t>，不取用地表水或地下水，不涉及资源利用上线问题。</w:t>
            </w:r>
          </w:p>
          <w:p>
            <w:pPr>
              <w:pStyle w:val="51"/>
              <w:adjustRightInd w:val="0"/>
              <w:snapToGrid w:val="0"/>
              <w:spacing w:line="360" w:lineRule="auto"/>
              <w:ind w:firstLine="492"/>
              <w:rPr>
                <w:rFonts w:ascii="Times New Roman" w:hAnsi="Times New Roman"/>
                <w:sz w:val="24"/>
              </w:rPr>
            </w:pPr>
            <w:r>
              <w:rPr>
                <w:rFonts w:hint="eastAsia" w:cs="宋体"/>
                <w:sz w:val="24"/>
              </w:rPr>
              <w:t>④</w:t>
            </w:r>
            <w:r>
              <w:rPr>
                <w:rFonts w:ascii="Times New Roman" w:hAnsi="Times New Roman"/>
                <w:sz w:val="24"/>
              </w:rPr>
              <w:t xml:space="preserve"> 环境准入负面清单</w:t>
            </w:r>
          </w:p>
          <w:p>
            <w:pPr>
              <w:pStyle w:val="51"/>
              <w:adjustRightInd w:val="0"/>
              <w:snapToGrid w:val="0"/>
              <w:spacing w:line="360" w:lineRule="auto"/>
              <w:ind w:firstLine="492"/>
              <w:rPr>
                <w:rFonts w:ascii="Times New Roman" w:hAnsi="Times New Roman"/>
                <w:sz w:val="24"/>
              </w:rPr>
            </w:pPr>
            <w:r>
              <w:rPr>
                <w:rFonts w:ascii="Times New Roman" w:hAnsi="Times New Roman"/>
                <w:sz w:val="24"/>
              </w:rPr>
              <w:t>本项目为城市供水基础设施建设项目，不列入环境准入负面清单。</w:t>
            </w:r>
          </w:p>
          <w:p>
            <w:pPr>
              <w:pStyle w:val="51"/>
              <w:adjustRightInd w:val="0"/>
              <w:snapToGrid w:val="0"/>
              <w:spacing w:line="360" w:lineRule="auto"/>
              <w:ind w:firstLine="494"/>
              <w:rPr>
                <w:rFonts w:ascii="Times New Roman" w:hAnsi="Times New Roman"/>
                <w:b/>
                <w:bCs/>
                <w:sz w:val="24"/>
              </w:rPr>
            </w:pPr>
            <w:r>
              <w:rPr>
                <w:rFonts w:hint="eastAsia" w:ascii="Times New Roman" w:hAnsi="Times New Roman"/>
                <w:b/>
                <w:bCs/>
                <w:sz w:val="24"/>
              </w:rPr>
              <w:t>8. 平面布局合理性</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厂区主要建(构)筑物有：V型滤池及加药间、海水淡化车间、浓缩池下叠排泥水池、脱水机房、清水池及送水泵房等。</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厂区建(构)筑物的设计以满足生产工艺及相关专业功能要求为原则，以生产、管理、生活提供方便为前提，以实用、经济、美观为原则，并力求厂区与周边环境相协调，使海水淡化厂在平面布置及建筑处理上达到规划的要求。</w:t>
            </w:r>
          </w:p>
          <w:p>
            <w:pPr>
              <w:pStyle w:val="51"/>
              <w:adjustRightInd w:val="0"/>
              <w:snapToGrid w:val="0"/>
              <w:spacing w:line="360" w:lineRule="auto"/>
              <w:ind w:firstLine="494"/>
              <w:rPr>
                <w:rFonts w:ascii="Times New Roman" w:hAnsi="Times New Roman"/>
                <w:b/>
                <w:bCs/>
                <w:sz w:val="24"/>
              </w:rPr>
            </w:pPr>
            <w:r>
              <w:rPr>
                <w:rFonts w:hint="eastAsia" w:ascii="Times New Roman" w:hAnsi="Times New Roman"/>
                <w:b/>
                <w:bCs/>
                <w:sz w:val="24"/>
              </w:rPr>
              <w:t>9. 环境管理与监测计划</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按照《国家重点监控企业自行监测及信息公开办法》、《国家重点监控企业污染源监督性监测及信息公开办法》、《排污单位自行监测技术指南 总则》(HJ 819-2017)等国家发布的有关标准、规范、规定执行。</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w:t>
            </w:r>
            <w:r>
              <w:rPr>
                <w:rFonts w:ascii="Times New Roman" w:hAnsi="Times New Roman"/>
                <w:sz w:val="24"/>
              </w:rPr>
              <w:t xml:space="preserve">1) </w:t>
            </w:r>
            <w:r>
              <w:rPr>
                <w:rFonts w:hint="eastAsia" w:ascii="Times New Roman" w:hAnsi="Times New Roman"/>
                <w:sz w:val="24"/>
              </w:rPr>
              <w:t>环境管理及环境监测制度</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① 环境保护管理机构及职责</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本项目环境保护工作由安全生产运营部负责，专门管理企业环保事宜，贯彻执行国家、山东省和威海市有关环保法规，掌握污染防治措施运行效果，监测排水水质。设有专职人员，负责环保方面的行政和技术管理工作，下设实验室，专职负责污染防治设施的正常运行，监测排水水质，确保污染物排放达标。</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② 环境管理内容</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主要履行以下职责：贯彻执行国家、山东省和威海市环保法规、标准和政策；建立环保工作管理制度并落实执行；做好进出水水质监测并建立监测档案；负责企业环保教育、宣传和技术培训。</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实验室主要履行如下职责：制定监测年度计划；建立健全监测规章制度；完成各项日常及临时监测任务、编制监测报表；在发生突发环境事故后，参加事故应急分析。</w:t>
            </w:r>
          </w:p>
          <w:p>
            <w:pPr>
              <w:pStyle w:val="51"/>
              <w:adjustRightInd w:val="0"/>
              <w:snapToGrid w:val="0"/>
              <w:spacing w:line="360" w:lineRule="auto"/>
              <w:ind w:firstLine="492"/>
              <w:rPr>
                <w:rFonts w:ascii="Times New Roman" w:hAnsi="Times New Roman"/>
                <w:sz w:val="24"/>
              </w:rPr>
            </w:pPr>
            <w:r>
              <w:rPr>
                <w:rFonts w:hint="eastAsia" w:ascii="Times New Roman" w:hAnsi="Times New Roman"/>
                <w:sz w:val="24"/>
              </w:rPr>
              <w:t>③ 环境监测制度</w:t>
            </w:r>
          </w:p>
          <w:p>
            <w:pPr>
              <w:pStyle w:val="51"/>
              <w:adjustRightInd w:val="0"/>
              <w:snapToGrid w:val="0"/>
              <w:spacing w:line="360" w:lineRule="auto"/>
              <w:ind w:firstLine="492"/>
              <w:rPr>
                <w:rFonts w:eastAsiaTheme="minorEastAsia"/>
                <w:bCs/>
                <w:sz w:val="24"/>
                <w:szCs w:val="20"/>
              </w:rPr>
            </w:pPr>
            <w:r>
              <w:rPr>
                <w:rFonts w:ascii="Times New Roman" w:hAnsi="Times New Roman" w:eastAsiaTheme="minorEastAsia"/>
                <w:bCs/>
                <w:sz w:val="24"/>
                <w:szCs w:val="20"/>
              </w:rPr>
              <w:t>项目完成后，监测计划见表21。</w:t>
            </w:r>
          </w:p>
          <w:p>
            <w:pPr>
              <w:adjustRightInd w:val="0"/>
              <w:snapToGrid w:val="0"/>
              <w:spacing w:line="360" w:lineRule="auto"/>
              <w:jc w:val="center"/>
              <w:rPr>
                <w:b/>
                <w:bCs/>
                <w:kern w:val="0"/>
                <w:sz w:val="24"/>
                <w:szCs w:val="18"/>
              </w:rPr>
            </w:pPr>
            <w:r>
              <w:rPr>
                <w:b/>
                <w:bCs/>
                <w:kern w:val="0"/>
                <w:sz w:val="24"/>
                <w:szCs w:val="18"/>
              </w:rPr>
              <w:t xml:space="preserve">表21 </w:t>
            </w:r>
            <w:r>
              <w:rPr>
                <w:rFonts w:hint="eastAsia"/>
                <w:b/>
                <w:bCs/>
                <w:kern w:val="0"/>
                <w:sz w:val="24"/>
                <w:szCs w:val="18"/>
              </w:rPr>
              <w:t xml:space="preserve"> </w:t>
            </w:r>
            <w:r>
              <w:rPr>
                <w:b/>
                <w:bCs/>
                <w:kern w:val="0"/>
                <w:sz w:val="24"/>
                <w:szCs w:val="18"/>
              </w:rPr>
              <w:t>环境监测计划一览表</w:t>
            </w:r>
          </w:p>
          <w:tbl>
            <w:tblPr>
              <w:tblStyle w:val="88"/>
              <w:tblW w:w="883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7"/>
              <w:gridCol w:w="2385"/>
              <w:gridCol w:w="3221"/>
              <w:gridCol w:w="20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454" w:hRule="atLeast"/>
                <w:jc w:val="center"/>
              </w:trPr>
              <w:tc>
                <w:tcPr>
                  <w:tcW w:w="120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类型</w:t>
                  </w:r>
                </w:p>
              </w:tc>
              <w:tc>
                <w:tcPr>
                  <w:tcW w:w="238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监测点位</w:t>
                  </w:r>
                </w:p>
              </w:tc>
              <w:tc>
                <w:tcPr>
                  <w:tcW w:w="322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监测因子</w:t>
                  </w:r>
                </w:p>
              </w:tc>
              <w:tc>
                <w:tcPr>
                  <w:tcW w:w="202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454" w:hRule="atLeast"/>
                <w:jc w:val="center"/>
              </w:trPr>
              <w:tc>
                <w:tcPr>
                  <w:tcW w:w="120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噪声</w:t>
                  </w:r>
                </w:p>
              </w:tc>
              <w:tc>
                <w:tcPr>
                  <w:tcW w:w="238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厂界外</w:t>
                  </w:r>
                  <w:r>
                    <w:rPr>
                      <w:sz w:val="24"/>
                      <w:szCs w:val="22"/>
                    </w:rPr>
                    <w:t>1m</w:t>
                  </w:r>
                  <w:r>
                    <w:rPr>
                      <w:rFonts w:hint="eastAsia"/>
                      <w:sz w:val="24"/>
                      <w:szCs w:val="22"/>
                    </w:rPr>
                    <w:t>处</w:t>
                  </w:r>
                </w:p>
              </w:tc>
              <w:tc>
                <w:tcPr>
                  <w:tcW w:w="322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等效连续</w:t>
                  </w:r>
                  <w:r>
                    <w:rPr>
                      <w:sz w:val="24"/>
                      <w:szCs w:val="22"/>
                    </w:rPr>
                    <w:t>A</w:t>
                  </w:r>
                  <w:r>
                    <w:rPr>
                      <w:rFonts w:hint="eastAsia"/>
                      <w:sz w:val="24"/>
                      <w:szCs w:val="22"/>
                    </w:rPr>
                    <w:t>声级</w:t>
                  </w:r>
                </w:p>
              </w:tc>
              <w:tc>
                <w:tcPr>
                  <w:tcW w:w="202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每季度一次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jc w:val="center"/>
              </w:trPr>
              <w:tc>
                <w:tcPr>
                  <w:tcW w:w="120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废水</w:t>
                  </w:r>
                </w:p>
              </w:tc>
              <w:tc>
                <w:tcPr>
                  <w:tcW w:w="238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 w:val="24"/>
                      <w:szCs w:val="22"/>
                    </w:rPr>
                  </w:pPr>
                  <w:r>
                    <w:rPr>
                      <w:rFonts w:hint="eastAsia"/>
                      <w:sz w:val="24"/>
                      <w:szCs w:val="22"/>
                    </w:rPr>
                    <w:t>浓盐水总排放口</w:t>
                  </w:r>
                </w:p>
              </w:tc>
              <w:tc>
                <w:tcPr>
                  <w:tcW w:w="3221" w:type="dxa"/>
                  <w:tcBorders>
                    <w:top w:val="single" w:color="auto" w:sz="4" w:space="0"/>
                    <w:left w:val="single" w:color="auto" w:sz="4" w:space="0"/>
                    <w:right w:val="single" w:color="auto" w:sz="4" w:space="0"/>
                  </w:tcBorders>
                  <w:vAlign w:val="center"/>
                </w:tcPr>
                <w:p>
                  <w:pPr>
                    <w:adjustRightInd w:val="0"/>
                    <w:snapToGrid w:val="0"/>
                    <w:jc w:val="center"/>
                    <w:rPr>
                      <w:sz w:val="24"/>
                      <w:szCs w:val="22"/>
                    </w:rPr>
                  </w:pPr>
                  <w:r>
                    <w:rPr>
                      <w:sz w:val="24"/>
                      <w:szCs w:val="22"/>
                    </w:rPr>
                    <w:t>pH</w:t>
                  </w:r>
                  <w:r>
                    <w:rPr>
                      <w:rFonts w:hint="eastAsia"/>
                      <w:sz w:val="24"/>
                      <w:szCs w:val="22"/>
                    </w:rPr>
                    <w:t>值、SS</w:t>
                  </w:r>
                </w:p>
              </w:tc>
              <w:tc>
                <w:tcPr>
                  <w:tcW w:w="2022" w:type="dxa"/>
                  <w:tcBorders>
                    <w:top w:val="single" w:color="auto" w:sz="4" w:space="0"/>
                    <w:left w:val="single" w:color="auto" w:sz="4" w:space="0"/>
                    <w:right w:val="single" w:color="auto" w:sz="4" w:space="0"/>
                  </w:tcBorders>
                  <w:vAlign w:val="center"/>
                </w:tcPr>
                <w:p>
                  <w:pPr>
                    <w:adjustRightInd w:val="0"/>
                    <w:snapToGrid w:val="0"/>
                    <w:jc w:val="center"/>
                    <w:rPr>
                      <w:sz w:val="24"/>
                      <w:szCs w:val="22"/>
                    </w:rPr>
                  </w:pPr>
                  <w:r>
                    <w:rPr>
                      <w:rFonts w:hint="eastAsia"/>
                      <w:sz w:val="24"/>
                      <w:szCs w:val="22"/>
                    </w:rPr>
                    <w:t>每季度一次</w:t>
                  </w:r>
                </w:p>
              </w:tc>
            </w:tr>
          </w:tbl>
          <w:p>
            <w:pPr>
              <w:widowControl/>
              <w:adjustRightInd w:val="0"/>
              <w:snapToGrid w:val="0"/>
              <w:spacing w:line="360" w:lineRule="auto"/>
              <w:ind w:firstLine="480" w:firstLineChars="200"/>
              <w:rPr>
                <w:rFonts w:cstheme="minorBidi"/>
                <w:snapToGrid w:val="0"/>
                <w:kern w:val="0"/>
                <w:sz w:val="24"/>
                <w:szCs w:val="22"/>
              </w:rPr>
            </w:pPr>
            <w:r>
              <w:rPr>
                <w:rFonts w:hint="eastAsia" w:cstheme="minorBidi"/>
                <w:snapToGrid w:val="0"/>
                <w:kern w:val="0"/>
                <w:sz w:val="24"/>
                <w:szCs w:val="22"/>
              </w:rPr>
              <w:t>1</w:t>
            </w:r>
            <w:r>
              <w:rPr>
                <w:rFonts w:cstheme="minorBidi"/>
                <w:snapToGrid w:val="0"/>
                <w:kern w:val="0"/>
                <w:sz w:val="24"/>
                <w:szCs w:val="22"/>
              </w:rPr>
              <w:t>0</w:t>
            </w:r>
            <w:r>
              <w:rPr>
                <w:rFonts w:hint="eastAsia" w:cstheme="minorBidi"/>
                <w:snapToGrid w:val="0"/>
                <w:kern w:val="0"/>
                <w:sz w:val="24"/>
                <w:szCs w:val="22"/>
              </w:rPr>
              <w:t xml:space="preserve">. </w:t>
            </w:r>
            <w:r>
              <w:rPr>
                <w:rFonts w:cstheme="minorBidi"/>
                <w:snapToGrid w:val="0"/>
                <w:kern w:val="0"/>
                <w:sz w:val="24"/>
                <w:szCs w:val="22"/>
              </w:rPr>
              <w:t>建设项目“三同时”验收一览表</w:t>
            </w:r>
          </w:p>
          <w:p>
            <w:pPr>
              <w:widowControl/>
              <w:adjustRightInd w:val="0"/>
              <w:snapToGrid w:val="0"/>
              <w:spacing w:line="360" w:lineRule="auto"/>
              <w:ind w:firstLine="480" w:firstLineChars="200"/>
              <w:rPr>
                <w:rFonts w:eastAsiaTheme="minorEastAsia"/>
                <w:bCs/>
                <w:sz w:val="24"/>
                <w:szCs w:val="20"/>
              </w:rPr>
            </w:pPr>
            <w:r>
              <w:rPr>
                <w:rFonts w:hint="eastAsia" w:eastAsiaTheme="minorEastAsia"/>
                <w:bCs/>
                <w:sz w:val="24"/>
                <w:szCs w:val="20"/>
              </w:rPr>
              <w:t>本项目污泥处理系统产生的废水中主要污染因子为SS，随浓盐水一起经由冷却水渠近岸排放，需保证排水SS达标排放，另外反冲洗和化学清洗废水经中和处理后也随浓盐水排海，也应保证其酸碱达标。因此，为了确保排放浓盐水中SS以及反冲洗水和化学清洗水能够达标，根据项目水污染控制措施，列出“三同时”主要污染治理设施、处理效果见表</w:t>
            </w:r>
            <w:r>
              <w:rPr>
                <w:rFonts w:eastAsiaTheme="minorEastAsia"/>
                <w:bCs/>
                <w:sz w:val="24"/>
                <w:szCs w:val="20"/>
              </w:rPr>
              <w:t>22。</w:t>
            </w:r>
          </w:p>
          <w:p>
            <w:pPr>
              <w:adjustRightInd w:val="0"/>
              <w:snapToGrid w:val="0"/>
              <w:spacing w:line="360" w:lineRule="auto"/>
              <w:jc w:val="center"/>
              <w:rPr>
                <w:b/>
                <w:bCs/>
                <w:kern w:val="0"/>
                <w:sz w:val="24"/>
                <w:szCs w:val="18"/>
              </w:rPr>
            </w:pPr>
            <w:r>
              <w:rPr>
                <w:b/>
                <w:bCs/>
                <w:kern w:val="0"/>
                <w:sz w:val="24"/>
                <w:szCs w:val="18"/>
              </w:rPr>
              <w:t>表22 项目“三同时”验收一览表</w:t>
            </w:r>
          </w:p>
          <w:tbl>
            <w:tblPr>
              <w:tblStyle w:val="88"/>
              <w:tblW w:w="883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4"/>
              <w:gridCol w:w="1601"/>
              <w:gridCol w:w="3792"/>
              <w:gridCol w:w="26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44" w:type="dxa"/>
                  <w:vAlign w:val="center"/>
                </w:tcPr>
                <w:p>
                  <w:pPr>
                    <w:adjustRightInd w:val="0"/>
                    <w:snapToGrid w:val="0"/>
                    <w:jc w:val="center"/>
                    <w:rPr>
                      <w:szCs w:val="21"/>
                    </w:rPr>
                  </w:pPr>
                  <w:r>
                    <w:rPr>
                      <w:rFonts w:hint="eastAsia"/>
                      <w:szCs w:val="21"/>
                    </w:rPr>
                    <w:t>类别</w:t>
                  </w:r>
                </w:p>
              </w:tc>
              <w:tc>
                <w:tcPr>
                  <w:tcW w:w="1601" w:type="dxa"/>
                  <w:vAlign w:val="center"/>
                </w:tcPr>
                <w:p>
                  <w:pPr>
                    <w:adjustRightInd w:val="0"/>
                    <w:snapToGrid w:val="0"/>
                    <w:jc w:val="center"/>
                    <w:rPr>
                      <w:szCs w:val="21"/>
                    </w:rPr>
                  </w:pPr>
                  <w:r>
                    <w:rPr>
                      <w:rFonts w:hint="eastAsia"/>
                      <w:szCs w:val="21"/>
                    </w:rPr>
                    <w:t>项目</w:t>
                  </w:r>
                </w:p>
              </w:tc>
              <w:tc>
                <w:tcPr>
                  <w:tcW w:w="3792" w:type="dxa"/>
                  <w:vAlign w:val="center"/>
                </w:tcPr>
                <w:p>
                  <w:pPr>
                    <w:adjustRightInd w:val="0"/>
                    <w:snapToGrid w:val="0"/>
                    <w:jc w:val="center"/>
                    <w:rPr>
                      <w:szCs w:val="21"/>
                    </w:rPr>
                  </w:pPr>
                  <w:r>
                    <w:rPr>
                      <w:szCs w:val="21"/>
                    </w:rPr>
                    <w:t>治理措施</w:t>
                  </w:r>
                </w:p>
              </w:tc>
              <w:tc>
                <w:tcPr>
                  <w:tcW w:w="2698" w:type="dxa"/>
                  <w:vAlign w:val="center"/>
                </w:tcPr>
                <w:p>
                  <w:pPr>
                    <w:adjustRightInd w:val="0"/>
                    <w:snapToGrid w:val="0"/>
                    <w:jc w:val="center"/>
                    <w:rPr>
                      <w:szCs w:val="21"/>
                    </w:rPr>
                  </w:pPr>
                  <w:r>
                    <w:rPr>
                      <w:rFonts w:hint="eastAsia"/>
                      <w:szCs w:val="21"/>
                    </w:rPr>
                    <w:t>预期</w:t>
                  </w:r>
                  <w:r>
                    <w:rPr>
                      <w:szCs w:val="21"/>
                    </w:rPr>
                    <w:t>效果</w:t>
                  </w:r>
                  <w:r>
                    <w:rPr>
                      <w:rFonts w:hint="eastAsia"/>
                      <w:szCs w:val="21"/>
                    </w:rPr>
                    <w:t>(验收标准</w:t>
                  </w:r>
                  <w:r>
                    <w:rPr>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5" w:hRule="atLeast"/>
                <w:jc w:val="center"/>
              </w:trPr>
              <w:tc>
                <w:tcPr>
                  <w:tcW w:w="744" w:type="dxa"/>
                  <w:vAlign w:val="center"/>
                </w:tcPr>
                <w:p>
                  <w:pPr>
                    <w:adjustRightInd w:val="0"/>
                    <w:snapToGrid w:val="0"/>
                    <w:jc w:val="center"/>
                    <w:rPr>
                      <w:szCs w:val="21"/>
                    </w:rPr>
                  </w:pPr>
                  <w:r>
                    <w:rPr>
                      <w:rFonts w:hint="eastAsia"/>
                      <w:szCs w:val="21"/>
                    </w:rPr>
                    <w:t>废水</w:t>
                  </w:r>
                </w:p>
              </w:tc>
              <w:tc>
                <w:tcPr>
                  <w:tcW w:w="1601" w:type="dxa"/>
                  <w:vAlign w:val="center"/>
                </w:tcPr>
                <w:p>
                  <w:pPr>
                    <w:adjustRightInd w:val="0"/>
                    <w:snapToGrid w:val="0"/>
                    <w:jc w:val="center"/>
                    <w:rPr>
                      <w:szCs w:val="21"/>
                    </w:rPr>
                  </w:pPr>
                  <w:r>
                    <w:rPr>
                      <w:rFonts w:hint="eastAsia"/>
                      <w:szCs w:val="21"/>
                    </w:rPr>
                    <w:t>浓盐水</w:t>
                  </w:r>
                </w:p>
              </w:tc>
              <w:tc>
                <w:tcPr>
                  <w:tcW w:w="3792" w:type="dxa"/>
                  <w:vAlign w:val="center"/>
                </w:tcPr>
                <w:p>
                  <w:pPr>
                    <w:adjustRightInd w:val="0"/>
                    <w:snapToGrid w:val="0"/>
                    <w:rPr>
                      <w:szCs w:val="21"/>
                    </w:rPr>
                  </w:pPr>
                  <w:r>
                    <w:rPr>
                      <w:szCs w:val="21"/>
                    </w:rPr>
                    <w:t>1.</w:t>
                  </w:r>
                  <w:r>
                    <w:rPr>
                      <w:rFonts w:hint="eastAsia"/>
                      <w:szCs w:val="21"/>
                    </w:rPr>
                    <w:t>通过微絮凝-V型滤池去除海水中SS，去除效率≥9</w:t>
                  </w:r>
                  <w:r>
                    <w:rPr>
                      <w:szCs w:val="21"/>
                    </w:rPr>
                    <w:t>0</w:t>
                  </w:r>
                  <w:r>
                    <w:rPr>
                      <w:rFonts w:hint="eastAsia"/>
                      <w:szCs w:val="21"/>
                    </w:rPr>
                    <w:t>%；</w:t>
                  </w:r>
                </w:p>
                <w:p>
                  <w:pPr>
                    <w:adjustRightInd w:val="0"/>
                    <w:snapToGrid w:val="0"/>
                    <w:rPr>
                      <w:szCs w:val="21"/>
                    </w:rPr>
                  </w:pPr>
                  <w:r>
                    <w:rPr>
                      <w:rFonts w:hint="eastAsia"/>
                      <w:szCs w:val="21"/>
                    </w:rPr>
                    <w:t>2</w:t>
                  </w:r>
                  <w:r>
                    <w:rPr>
                      <w:szCs w:val="21"/>
                    </w:rPr>
                    <w:t>.</w:t>
                  </w:r>
                  <w:r>
                    <w:rPr>
                      <w:rFonts w:hint="eastAsia"/>
                      <w:szCs w:val="21"/>
                    </w:rPr>
                    <w:t>设置中和水池，超滤、一级反渗透、二级反渗透化学清洗废水排入中和水池，处理达标后，通过管道输送至冷却水渠近岸排放。</w:t>
                  </w:r>
                </w:p>
              </w:tc>
              <w:tc>
                <w:tcPr>
                  <w:tcW w:w="2698" w:type="dxa"/>
                  <w:vAlign w:val="center"/>
                </w:tcPr>
                <w:p>
                  <w:pPr>
                    <w:adjustRightInd w:val="0"/>
                    <w:snapToGrid w:val="0"/>
                    <w:rPr>
                      <w:szCs w:val="21"/>
                    </w:rPr>
                  </w:pPr>
                  <w:r>
                    <w:rPr>
                      <w:rFonts w:hint="eastAsia"/>
                      <w:szCs w:val="21"/>
                    </w:rPr>
                    <w:t>浓盐水、反冲洗水、化学清洗水经浓盐水排放管排放，SS、pH符合《流域水污染物综合排放标准 第5部分：半岛流域》(DB37/3416.5-2018)表2中二级标准要求(pH 6-9，SS 30mg/L)。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44" w:type="dxa"/>
                  <w:vAlign w:val="center"/>
                </w:tcPr>
                <w:p>
                  <w:pPr>
                    <w:adjustRightInd w:val="0"/>
                    <w:snapToGrid w:val="0"/>
                    <w:jc w:val="center"/>
                    <w:rPr>
                      <w:szCs w:val="21"/>
                    </w:rPr>
                  </w:pPr>
                  <w:r>
                    <w:rPr>
                      <w:szCs w:val="21"/>
                    </w:rPr>
                    <w:t>噪声</w:t>
                  </w:r>
                </w:p>
              </w:tc>
              <w:tc>
                <w:tcPr>
                  <w:tcW w:w="1601" w:type="dxa"/>
                  <w:vAlign w:val="center"/>
                </w:tcPr>
                <w:p>
                  <w:pPr>
                    <w:adjustRightInd w:val="0"/>
                    <w:snapToGrid w:val="0"/>
                    <w:jc w:val="center"/>
                    <w:rPr>
                      <w:szCs w:val="21"/>
                    </w:rPr>
                  </w:pPr>
                  <w:r>
                    <w:rPr>
                      <w:szCs w:val="21"/>
                    </w:rPr>
                    <w:t>厂界噪声</w:t>
                  </w:r>
                </w:p>
              </w:tc>
              <w:tc>
                <w:tcPr>
                  <w:tcW w:w="3792" w:type="dxa"/>
                  <w:vAlign w:val="center"/>
                </w:tcPr>
                <w:p>
                  <w:pPr>
                    <w:adjustRightInd w:val="0"/>
                    <w:snapToGrid w:val="0"/>
                    <w:rPr>
                      <w:szCs w:val="21"/>
                    </w:rPr>
                  </w:pPr>
                  <w:r>
                    <w:rPr>
                      <w:szCs w:val="21"/>
                    </w:rPr>
                    <w:t>设备安装时采取隔声降噪处理措施</w:t>
                  </w:r>
                  <w:r>
                    <w:rPr>
                      <w:rFonts w:hint="eastAsia"/>
                      <w:szCs w:val="21"/>
                    </w:rPr>
                    <w:t>。</w:t>
                  </w:r>
                </w:p>
              </w:tc>
              <w:tc>
                <w:tcPr>
                  <w:tcW w:w="2698" w:type="dxa"/>
                  <w:vAlign w:val="center"/>
                </w:tcPr>
                <w:p>
                  <w:pPr>
                    <w:adjustRightInd w:val="0"/>
                    <w:snapToGrid w:val="0"/>
                    <w:rPr>
                      <w:szCs w:val="21"/>
                    </w:rPr>
                  </w:pPr>
                  <w:r>
                    <w:rPr>
                      <w:szCs w:val="21"/>
                    </w:rPr>
                    <w:t>厂界噪声满足《工业企业厂界环境噪声排放标准》(GB12348-2008)</w:t>
                  </w:r>
                  <w:r>
                    <w:rPr>
                      <w:rFonts w:hint="eastAsia"/>
                      <w:szCs w:val="21"/>
                    </w:rPr>
                    <w:t>3</w:t>
                  </w:r>
                  <w:r>
                    <w:rPr>
                      <w:szCs w:val="21"/>
                    </w:rPr>
                    <w:t>类标准要求</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44" w:type="dxa"/>
                  <w:vAlign w:val="center"/>
                </w:tcPr>
                <w:p>
                  <w:pPr>
                    <w:adjustRightInd w:val="0"/>
                    <w:snapToGrid w:val="0"/>
                    <w:jc w:val="center"/>
                    <w:rPr>
                      <w:szCs w:val="21"/>
                    </w:rPr>
                  </w:pPr>
                  <w:r>
                    <w:rPr>
                      <w:szCs w:val="21"/>
                    </w:rPr>
                    <w:t>固废</w:t>
                  </w:r>
                </w:p>
              </w:tc>
              <w:tc>
                <w:tcPr>
                  <w:tcW w:w="1601" w:type="dxa"/>
                  <w:vAlign w:val="center"/>
                </w:tcPr>
                <w:p>
                  <w:pPr>
                    <w:adjustRightInd w:val="0"/>
                    <w:snapToGrid w:val="0"/>
                    <w:jc w:val="center"/>
                    <w:rPr>
                      <w:szCs w:val="21"/>
                    </w:rPr>
                  </w:pPr>
                  <w:r>
                    <w:rPr>
                      <w:rFonts w:hint="eastAsia"/>
                      <w:szCs w:val="21"/>
                    </w:rPr>
                    <w:t>工艺过程产生的固体废物</w:t>
                  </w:r>
                </w:p>
              </w:tc>
              <w:tc>
                <w:tcPr>
                  <w:tcW w:w="3792" w:type="dxa"/>
                  <w:vAlign w:val="center"/>
                </w:tcPr>
                <w:p>
                  <w:pPr>
                    <w:adjustRightInd w:val="0"/>
                    <w:snapToGrid w:val="0"/>
                    <w:rPr>
                      <w:szCs w:val="21"/>
                    </w:rPr>
                  </w:pPr>
                  <w:r>
                    <w:rPr>
                      <w:rFonts w:hint="eastAsia"/>
                      <w:szCs w:val="21"/>
                    </w:rPr>
                    <w:t>污泥运至煤厂掺烧，不产生危废。</w:t>
                  </w:r>
                </w:p>
              </w:tc>
              <w:tc>
                <w:tcPr>
                  <w:tcW w:w="2698" w:type="dxa"/>
                  <w:vAlign w:val="center"/>
                </w:tcPr>
                <w:p>
                  <w:pPr>
                    <w:adjustRightInd w:val="0"/>
                    <w:snapToGrid w:val="0"/>
                    <w:rPr>
                      <w:szCs w:val="21"/>
                    </w:rPr>
                  </w:pPr>
                  <w:r>
                    <w:rPr>
                      <w:szCs w:val="21"/>
                    </w:rPr>
                    <w:t>处理措施得当，不会对环境造成污染影响</w:t>
                  </w:r>
                  <w:r>
                    <w:rPr>
                      <w:rFonts w:hint="eastAsia"/>
                      <w:szCs w:val="21"/>
                    </w:rPr>
                    <w:t>。</w:t>
                  </w:r>
                </w:p>
              </w:tc>
            </w:tr>
          </w:tbl>
          <w:p>
            <w:pPr>
              <w:adjustRightInd w:val="0"/>
              <w:snapToGrid w:val="0"/>
              <w:spacing w:line="480" w:lineRule="exact"/>
              <w:ind w:firstLine="480" w:firstLineChars="200"/>
              <w:rPr>
                <w:b/>
                <w:sz w:val="24"/>
                <w:szCs w:val="22"/>
              </w:rPr>
            </w:pPr>
            <w:r>
              <w:rPr>
                <w:rFonts w:hint="eastAsia"/>
                <w:sz w:val="24"/>
                <w:szCs w:val="22"/>
              </w:rPr>
              <w:t>1</w:t>
            </w:r>
            <w:r>
              <w:rPr>
                <w:sz w:val="24"/>
                <w:szCs w:val="22"/>
              </w:rPr>
              <w:t xml:space="preserve">1. </w:t>
            </w:r>
            <w:r>
              <w:rPr>
                <w:rFonts w:hint="eastAsia"/>
                <w:sz w:val="24"/>
                <w:szCs w:val="22"/>
              </w:rPr>
              <w:t>污染物排放清单及环境管理要求一览表</w:t>
            </w:r>
          </w:p>
          <w:p>
            <w:pPr>
              <w:adjustRightInd w:val="0"/>
              <w:snapToGrid w:val="0"/>
              <w:spacing w:line="480" w:lineRule="exact"/>
              <w:jc w:val="center"/>
              <w:rPr>
                <w:b/>
                <w:sz w:val="24"/>
                <w:szCs w:val="22"/>
              </w:rPr>
            </w:pPr>
            <w:r>
              <w:rPr>
                <w:rFonts w:hint="eastAsia"/>
                <w:b/>
                <w:sz w:val="24"/>
                <w:szCs w:val="22"/>
              </w:rPr>
              <w:t>表</w:t>
            </w:r>
            <w:r>
              <w:rPr>
                <w:b/>
                <w:sz w:val="24"/>
                <w:szCs w:val="22"/>
              </w:rPr>
              <w:t xml:space="preserve">23  </w:t>
            </w:r>
            <w:r>
              <w:rPr>
                <w:rFonts w:hint="eastAsia"/>
                <w:b/>
                <w:sz w:val="24"/>
                <w:szCs w:val="22"/>
              </w:rPr>
              <w:t>项目营运期污染物排放清单及环境管理要求一览表</w:t>
            </w:r>
          </w:p>
          <w:tbl>
            <w:tblPr>
              <w:tblStyle w:val="88"/>
              <w:tblW w:w="837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09"/>
              <w:gridCol w:w="437"/>
              <w:gridCol w:w="834"/>
              <w:gridCol w:w="846"/>
              <w:gridCol w:w="1293"/>
              <w:gridCol w:w="1314"/>
              <w:gridCol w:w="31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jc w:val="center"/>
              </w:trPr>
              <w:tc>
                <w:tcPr>
                  <w:tcW w:w="509" w:type="dxa"/>
                  <w:vAlign w:val="center"/>
                </w:tcPr>
                <w:p>
                  <w:pPr>
                    <w:autoSpaceDE w:val="0"/>
                    <w:autoSpaceDN w:val="0"/>
                    <w:adjustRightInd w:val="0"/>
                    <w:snapToGrid w:val="0"/>
                    <w:jc w:val="center"/>
                    <w:rPr>
                      <w:kern w:val="0"/>
                      <w:szCs w:val="21"/>
                    </w:rPr>
                  </w:pPr>
                  <w:r>
                    <w:rPr>
                      <w:kern w:val="0"/>
                      <w:szCs w:val="21"/>
                    </w:rPr>
                    <w:t>序号</w:t>
                  </w:r>
                </w:p>
              </w:tc>
              <w:tc>
                <w:tcPr>
                  <w:tcW w:w="1271" w:type="dxa"/>
                  <w:gridSpan w:val="2"/>
                  <w:vAlign w:val="center"/>
                </w:tcPr>
                <w:p>
                  <w:pPr>
                    <w:autoSpaceDE w:val="0"/>
                    <w:autoSpaceDN w:val="0"/>
                    <w:adjustRightInd w:val="0"/>
                    <w:snapToGrid w:val="0"/>
                    <w:jc w:val="center"/>
                    <w:rPr>
                      <w:kern w:val="0"/>
                      <w:szCs w:val="21"/>
                    </w:rPr>
                  </w:pPr>
                  <w:r>
                    <w:rPr>
                      <w:kern w:val="0"/>
                      <w:szCs w:val="21"/>
                    </w:rPr>
                    <w:t>类别</w:t>
                  </w:r>
                </w:p>
              </w:tc>
              <w:tc>
                <w:tcPr>
                  <w:tcW w:w="846" w:type="dxa"/>
                  <w:vAlign w:val="center"/>
                </w:tcPr>
                <w:p>
                  <w:pPr>
                    <w:autoSpaceDE w:val="0"/>
                    <w:autoSpaceDN w:val="0"/>
                    <w:adjustRightInd w:val="0"/>
                    <w:snapToGrid w:val="0"/>
                    <w:jc w:val="center"/>
                    <w:rPr>
                      <w:kern w:val="0"/>
                      <w:szCs w:val="21"/>
                    </w:rPr>
                  </w:pPr>
                  <w:r>
                    <w:rPr>
                      <w:kern w:val="0"/>
                      <w:szCs w:val="21"/>
                    </w:rPr>
                    <w:t>项目</w:t>
                  </w:r>
                </w:p>
              </w:tc>
              <w:tc>
                <w:tcPr>
                  <w:tcW w:w="1293" w:type="dxa"/>
                  <w:vAlign w:val="center"/>
                </w:tcPr>
                <w:p>
                  <w:pPr>
                    <w:autoSpaceDE w:val="0"/>
                    <w:autoSpaceDN w:val="0"/>
                    <w:adjustRightInd w:val="0"/>
                    <w:snapToGrid w:val="0"/>
                    <w:jc w:val="center"/>
                    <w:rPr>
                      <w:kern w:val="0"/>
                      <w:szCs w:val="21"/>
                    </w:rPr>
                  </w:pPr>
                  <w:r>
                    <w:rPr>
                      <w:rFonts w:hint="eastAsia"/>
                      <w:kern w:val="0"/>
                      <w:szCs w:val="21"/>
                    </w:rPr>
                    <w:t>工程产生量</w:t>
                  </w:r>
                </w:p>
              </w:tc>
              <w:tc>
                <w:tcPr>
                  <w:tcW w:w="1314" w:type="dxa"/>
                  <w:vAlign w:val="center"/>
                </w:tcPr>
                <w:p>
                  <w:pPr>
                    <w:autoSpaceDE w:val="0"/>
                    <w:autoSpaceDN w:val="0"/>
                    <w:adjustRightInd w:val="0"/>
                    <w:snapToGrid w:val="0"/>
                    <w:jc w:val="center"/>
                    <w:rPr>
                      <w:kern w:val="0"/>
                      <w:szCs w:val="21"/>
                    </w:rPr>
                  </w:pPr>
                  <w:r>
                    <w:rPr>
                      <w:rFonts w:hint="eastAsia"/>
                      <w:kern w:val="0"/>
                      <w:szCs w:val="21"/>
                    </w:rPr>
                    <w:t>工程排放量</w:t>
                  </w:r>
                </w:p>
              </w:tc>
              <w:tc>
                <w:tcPr>
                  <w:tcW w:w="3144" w:type="dxa"/>
                  <w:vAlign w:val="center"/>
                </w:tcPr>
                <w:p>
                  <w:pPr>
                    <w:autoSpaceDE w:val="0"/>
                    <w:autoSpaceDN w:val="0"/>
                    <w:adjustRightInd w:val="0"/>
                    <w:snapToGrid w:val="0"/>
                    <w:jc w:val="center"/>
                    <w:rPr>
                      <w:kern w:val="0"/>
                      <w:szCs w:val="21"/>
                    </w:rPr>
                  </w:pPr>
                  <w:r>
                    <w:rPr>
                      <w:kern w:val="0"/>
                      <w:szCs w:val="21"/>
                    </w:rPr>
                    <w:t>环境管理要求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57" w:hRule="atLeast"/>
                <w:jc w:val="center"/>
              </w:trPr>
              <w:tc>
                <w:tcPr>
                  <w:tcW w:w="509" w:type="dxa"/>
                  <w:vMerge w:val="restart"/>
                  <w:vAlign w:val="center"/>
                </w:tcPr>
                <w:p>
                  <w:pPr>
                    <w:autoSpaceDE w:val="0"/>
                    <w:autoSpaceDN w:val="0"/>
                    <w:adjustRightInd w:val="0"/>
                    <w:snapToGrid w:val="0"/>
                    <w:jc w:val="center"/>
                    <w:rPr>
                      <w:kern w:val="0"/>
                      <w:szCs w:val="21"/>
                    </w:rPr>
                  </w:pPr>
                  <w:r>
                    <w:rPr>
                      <w:kern w:val="0"/>
                      <w:szCs w:val="21"/>
                    </w:rPr>
                    <w:t>1</w:t>
                  </w:r>
                </w:p>
              </w:tc>
              <w:tc>
                <w:tcPr>
                  <w:tcW w:w="1271" w:type="dxa"/>
                  <w:gridSpan w:val="2"/>
                  <w:vMerge w:val="restart"/>
                  <w:vAlign w:val="center"/>
                </w:tcPr>
                <w:p>
                  <w:pPr>
                    <w:autoSpaceDE w:val="0"/>
                    <w:autoSpaceDN w:val="0"/>
                    <w:adjustRightInd w:val="0"/>
                    <w:snapToGrid w:val="0"/>
                    <w:jc w:val="center"/>
                    <w:rPr>
                      <w:kern w:val="0"/>
                      <w:szCs w:val="21"/>
                    </w:rPr>
                  </w:pPr>
                  <w:r>
                    <w:rPr>
                      <w:kern w:val="0"/>
                      <w:szCs w:val="21"/>
                    </w:rPr>
                    <w:t>废水</w:t>
                  </w:r>
                </w:p>
              </w:tc>
              <w:tc>
                <w:tcPr>
                  <w:tcW w:w="846" w:type="dxa"/>
                  <w:vAlign w:val="center"/>
                </w:tcPr>
                <w:p>
                  <w:pPr>
                    <w:autoSpaceDE w:val="0"/>
                    <w:autoSpaceDN w:val="0"/>
                    <w:adjustRightInd w:val="0"/>
                    <w:snapToGrid w:val="0"/>
                    <w:jc w:val="center"/>
                    <w:rPr>
                      <w:kern w:val="0"/>
                      <w:szCs w:val="21"/>
                    </w:rPr>
                  </w:pPr>
                  <w:r>
                    <w:rPr>
                      <w:kern w:val="0"/>
                      <w:szCs w:val="21"/>
                    </w:rPr>
                    <w:t>废水量</w:t>
                  </w:r>
                </w:p>
              </w:tc>
              <w:tc>
                <w:tcPr>
                  <w:tcW w:w="1293" w:type="dxa"/>
                  <w:vAlign w:val="center"/>
                </w:tcPr>
                <w:p>
                  <w:pPr>
                    <w:autoSpaceDE w:val="0"/>
                    <w:autoSpaceDN w:val="0"/>
                    <w:adjustRightInd w:val="0"/>
                    <w:snapToGrid w:val="0"/>
                    <w:jc w:val="center"/>
                    <w:rPr>
                      <w:kern w:val="0"/>
                      <w:szCs w:val="21"/>
                    </w:rPr>
                  </w:pPr>
                  <w:r>
                    <w:rPr>
                      <w:kern w:val="0"/>
                      <w:szCs w:val="21"/>
                    </w:rPr>
                    <w:t>6848.86</w:t>
                  </w:r>
                  <w:r>
                    <w:rPr>
                      <w:rFonts w:hint="eastAsia"/>
                      <w:kern w:val="0"/>
                      <w:szCs w:val="21"/>
                    </w:rPr>
                    <w:t>万m</w:t>
                  </w:r>
                  <w:r>
                    <w:rPr>
                      <w:rFonts w:hint="eastAsia"/>
                      <w:kern w:val="0"/>
                      <w:szCs w:val="21"/>
                      <w:vertAlign w:val="superscript"/>
                    </w:rPr>
                    <w:t>3</w:t>
                  </w:r>
                  <w:r>
                    <w:rPr>
                      <w:rFonts w:hint="eastAsia"/>
                      <w:kern w:val="0"/>
                      <w:szCs w:val="21"/>
                    </w:rPr>
                    <w:t>/a</w:t>
                  </w:r>
                </w:p>
              </w:tc>
              <w:tc>
                <w:tcPr>
                  <w:tcW w:w="1314" w:type="dxa"/>
                  <w:vAlign w:val="center"/>
                </w:tcPr>
                <w:p>
                  <w:pPr>
                    <w:autoSpaceDE w:val="0"/>
                    <w:autoSpaceDN w:val="0"/>
                    <w:adjustRightInd w:val="0"/>
                    <w:snapToGrid w:val="0"/>
                    <w:jc w:val="center"/>
                    <w:rPr>
                      <w:kern w:val="0"/>
                      <w:szCs w:val="21"/>
                    </w:rPr>
                  </w:pPr>
                  <w:r>
                    <w:rPr>
                      <w:kern w:val="0"/>
                      <w:szCs w:val="21"/>
                    </w:rPr>
                    <w:t>6848.86</w:t>
                  </w:r>
                  <w:r>
                    <w:rPr>
                      <w:rFonts w:hint="eastAsia"/>
                      <w:kern w:val="0"/>
                      <w:szCs w:val="21"/>
                    </w:rPr>
                    <w:t>万m</w:t>
                  </w:r>
                  <w:r>
                    <w:rPr>
                      <w:rFonts w:hint="eastAsia"/>
                      <w:kern w:val="0"/>
                      <w:szCs w:val="21"/>
                      <w:vertAlign w:val="superscript"/>
                    </w:rPr>
                    <w:t>3</w:t>
                  </w:r>
                  <w:r>
                    <w:rPr>
                      <w:rFonts w:hint="eastAsia"/>
                      <w:kern w:val="0"/>
                      <w:szCs w:val="21"/>
                    </w:rPr>
                    <w:t>/a</w:t>
                  </w:r>
                </w:p>
              </w:tc>
              <w:tc>
                <w:tcPr>
                  <w:tcW w:w="3144" w:type="dxa"/>
                  <w:vMerge w:val="restart"/>
                  <w:vAlign w:val="center"/>
                </w:tcPr>
                <w:p>
                  <w:pPr>
                    <w:autoSpaceDE w:val="0"/>
                    <w:autoSpaceDN w:val="0"/>
                    <w:adjustRightInd w:val="0"/>
                    <w:snapToGrid w:val="0"/>
                    <w:rPr>
                      <w:kern w:val="0"/>
                      <w:szCs w:val="21"/>
                    </w:rPr>
                  </w:pPr>
                  <w:r>
                    <w:rPr>
                      <w:rFonts w:hint="eastAsia"/>
                      <w:kern w:val="0"/>
                      <w:szCs w:val="21"/>
                    </w:rPr>
                    <w:t>环保措施：①与厂区冷却水混合后通过现有排放口近岸排放；②超滤、一级、二级RO进行化学清洗产生的废液，排入中和水池，经处理达标后，经耐腐蚀排水泵输送至冷却水渠。</w:t>
                  </w:r>
                </w:p>
                <w:p>
                  <w:pPr>
                    <w:autoSpaceDE w:val="0"/>
                    <w:autoSpaceDN w:val="0"/>
                    <w:adjustRightInd w:val="0"/>
                    <w:snapToGrid w:val="0"/>
                    <w:rPr>
                      <w:kern w:val="0"/>
                      <w:szCs w:val="21"/>
                    </w:rPr>
                  </w:pPr>
                  <w:r>
                    <w:rPr>
                      <w:rFonts w:hint="eastAsia"/>
                      <w:kern w:val="0"/>
                      <w:szCs w:val="21"/>
                    </w:rPr>
                    <w:t>执行标准：《流域水污染物综合排放标准 第5部分：半岛流域》(DB37/3416.5-2018)表2中二级标准要求(pH 6-9，SS 30mg/L)。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567" w:hRule="atLeast"/>
                <w:jc w:val="center"/>
              </w:trPr>
              <w:tc>
                <w:tcPr>
                  <w:tcW w:w="509" w:type="dxa"/>
                  <w:vMerge w:val="continue"/>
                  <w:vAlign w:val="center"/>
                </w:tcPr>
                <w:p>
                  <w:pPr>
                    <w:autoSpaceDE w:val="0"/>
                    <w:autoSpaceDN w:val="0"/>
                    <w:adjustRightInd w:val="0"/>
                    <w:snapToGrid w:val="0"/>
                    <w:jc w:val="center"/>
                    <w:rPr>
                      <w:kern w:val="0"/>
                      <w:szCs w:val="21"/>
                    </w:rPr>
                  </w:pPr>
                </w:p>
              </w:tc>
              <w:tc>
                <w:tcPr>
                  <w:tcW w:w="1271" w:type="dxa"/>
                  <w:gridSpan w:val="2"/>
                  <w:vMerge w:val="continue"/>
                  <w:vAlign w:val="center"/>
                </w:tcPr>
                <w:p>
                  <w:pPr>
                    <w:autoSpaceDE w:val="0"/>
                    <w:autoSpaceDN w:val="0"/>
                    <w:adjustRightInd w:val="0"/>
                    <w:snapToGrid w:val="0"/>
                    <w:jc w:val="center"/>
                    <w:rPr>
                      <w:kern w:val="0"/>
                      <w:szCs w:val="21"/>
                    </w:rPr>
                  </w:pPr>
                </w:p>
              </w:tc>
              <w:tc>
                <w:tcPr>
                  <w:tcW w:w="846" w:type="dxa"/>
                  <w:vAlign w:val="center"/>
                </w:tcPr>
                <w:p>
                  <w:pPr>
                    <w:autoSpaceDE w:val="0"/>
                    <w:autoSpaceDN w:val="0"/>
                    <w:adjustRightInd w:val="0"/>
                    <w:snapToGrid w:val="0"/>
                    <w:jc w:val="center"/>
                    <w:rPr>
                      <w:kern w:val="0"/>
                      <w:szCs w:val="21"/>
                    </w:rPr>
                  </w:pPr>
                  <w:r>
                    <w:rPr>
                      <w:rFonts w:hint="eastAsia"/>
                      <w:kern w:val="0"/>
                      <w:szCs w:val="21"/>
                    </w:rPr>
                    <w:t>SS</w:t>
                  </w:r>
                </w:p>
              </w:tc>
              <w:tc>
                <w:tcPr>
                  <w:tcW w:w="12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color w:val="000000" w:themeColor="text1"/>
                      <w:kern w:val="0"/>
                      <w:szCs w:val="21"/>
                    </w:rPr>
                    <w:t>104.448t/a</w:t>
                  </w:r>
                </w:p>
              </w:tc>
              <w:tc>
                <w:tcPr>
                  <w:tcW w:w="1314"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color w:val="000000" w:themeColor="text1"/>
                      <w:kern w:val="0"/>
                      <w:szCs w:val="21"/>
                    </w:rPr>
                    <w:t>104.448t/a</w:t>
                  </w:r>
                </w:p>
              </w:tc>
              <w:tc>
                <w:tcPr>
                  <w:tcW w:w="3144" w:type="dxa"/>
                  <w:vMerge w:val="continue"/>
                  <w:vAlign w:val="center"/>
                </w:tcPr>
                <w:p>
                  <w:pPr>
                    <w:autoSpaceDE w:val="0"/>
                    <w:autoSpaceDN w:val="0"/>
                    <w:adjustRightInd w:val="0"/>
                    <w:snapToGrid w:val="0"/>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67" w:hRule="atLeast"/>
                <w:jc w:val="center"/>
              </w:trPr>
              <w:tc>
                <w:tcPr>
                  <w:tcW w:w="509" w:type="dxa"/>
                  <w:vMerge w:val="restart"/>
                  <w:vAlign w:val="center"/>
                </w:tcPr>
                <w:p>
                  <w:pPr>
                    <w:autoSpaceDE w:val="0"/>
                    <w:autoSpaceDN w:val="0"/>
                    <w:adjustRightInd w:val="0"/>
                    <w:snapToGrid w:val="0"/>
                    <w:jc w:val="center"/>
                    <w:rPr>
                      <w:kern w:val="0"/>
                      <w:szCs w:val="21"/>
                    </w:rPr>
                  </w:pPr>
                  <w:r>
                    <w:rPr>
                      <w:kern w:val="0"/>
                      <w:szCs w:val="21"/>
                    </w:rPr>
                    <w:t>2</w:t>
                  </w:r>
                </w:p>
              </w:tc>
              <w:tc>
                <w:tcPr>
                  <w:tcW w:w="1271" w:type="dxa"/>
                  <w:gridSpan w:val="2"/>
                  <w:vMerge w:val="restart"/>
                  <w:vAlign w:val="center"/>
                </w:tcPr>
                <w:p>
                  <w:pPr>
                    <w:autoSpaceDE w:val="0"/>
                    <w:autoSpaceDN w:val="0"/>
                    <w:adjustRightInd w:val="0"/>
                    <w:snapToGrid w:val="0"/>
                    <w:jc w:val="center"/>
                    <w:rPr>
                      <w:kern w:val="0"/>
                      <w:szCs w:val="21"/>
                    </w:rPr>
                  </w:pPr>
                  <w:r>
                    <w:rPr>
                      <w:kern w:val="0"/>
                      <w:szCs w:val="21"/>
                    </w:rPr>
                    <w:t>噪声</w:t>
                  </w:r>
                </w:p>
              </w:tc>
              <w:tc>
                <w:tcPr>
                  <w:tcW w:w="846" w:type="dxa"/>
                  <w:vAlign w:val="center"/>
                </w:tcPr>
                <w:p>
                  <w:pPr>
                    <w:autoSpaceDE w:val="0"/>
                    <w:autoSpaceDN w:val="0"/>
                    <w:adjustRightInd w:val="0"/>
                    <w:snapToGrid w:val="0"/>
                    <w:jc w:val="center"/>
                    <w:rPr>
                      <w:kern w:val="0"/>
                      <w:szCs w:val="21"/>
                    </w:rPr>
                  </w:pPr>
                  <w:r>
                    <w:rPr>
                      <w:rFonts w:hint="eastAsia"/>
                      <w:kern w:val="0"/>
                      <w:szCs w:val="21"/>
                    </w:rPr>
                    <w:t>鼓</w:t>
                  </w:r>
                  <w:r>
                    <w:rPr>
                      <w:kern w:val="0"/>
                      <w:szCs w:val="21"/>
                    </w:rPr>
                    <w:t>风机</w:t>
                  </w:r>
                </w:p>
              </w:tc>
              <w:tc>
                <w:tcPr>
                  <w:tcW w:w="12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70-80 dB(A)</w:t>
                  </w:r>
                </w:p>
              </w:tc>
              <w:tc>
                <w:tcPr>
                  <w:tcW w:w="1314"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highlight w:val="yellow"/>
                    </w:rPr>
                  </w:pPr>
                  <w:r>
                    <w:rPr>
                      <w:kern w:val="0"/>
                      <w:szCs w:val="21"/>
                    </w:rPr>
                    <w:t>45-55 dB(A)</w:t>
                  </w:r>
                </w:p>
              </w:tc>
              <w:tc>
                <w:tcPr>
                  <w:tcW w:w="3144" w:type="dxa"/>
                  <w:vMerge w:val="restart"/>
                  <w:vAlign w:val="center"/>
                </w:tcPr>
                <w:p>
                  <w:pPr>
                    <w:autoSpaceDE w:val="0"/>
                    <w:autoSpaceDN w:val="0"/>
                    <w:adjustRightInd w:val="0"/>
                    <w:snapToGrid w:val="0"/>
                    <w:rPr>
                      <w:kern w:val="0"/>
                      <w:szCs w:val="21"/>
                    </w:rPr>
                  </w:pPr>
                  <w:r>
                    <w:rPr>
                      <w:rFonts w:hint="eastAsia"/>
                      <w:kern w:val="0"/>
                      <w:szCs w:val="21"/>
                    </w:rPr>
                    <w:t>环保措施：选用低噪声设备；消声减振；利用建筑物隔声屏蔽；合理布局等。</w:t>
                  </w:r>
                </w:p>
                <w:p>
                  <w:pPr>
                    <w:autoSpaceDE w:val="0"/>
                    <w:autoSpaceDN w:val="0"/>
                    <w:adjustRightInd w:val="0"/>
                    <w:snapToGrid w:val="0"/>
                    <w:rPr>
                      <w:kern w:val="0"/>
                      <w:szCs w:val="21"/>
                    </w:rPr>
                  </w:pPr>
                  <w:r>
                    <w:rPr>
                      <w:rFonts w:hint="eastAsia"/>
                      <w:kern w:val="0"/>
                      <w:szCs w:val="21"/>
                    </w:rPr>
                    <w:t>执行标准：厂界噪声满足《工业企业厂界环境噪声排放标准》(GB12348-2008)3类标准要求。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17" w:hRule="atLeast"/>
                <w:jc w:val="center"/>
              </w:trPr>
              <w:tc>
                <w:tcPr>
                  <w:tcW w:w="509" w:type="dxa"/>
                  <w:vMerge w:val="continue"/>
                  <w:vAlign w:val="center"/>
                </w:tcPr>
                <w:p>
                  <w:pPr>
                    <w:autoSpaceDE w:val="0"/>
                    <w:autoSpaceDN w:val="0"/>
                    <w:adjustRightInd w:val="0"/>
                    <w:snapToGrid w:val="0"/>
                    <w:jc w:val="center"/>
                    <w:rPr>
                      <w:kern w:val="0"/>
                      <w:szCs w:val="21"/>
                    </w:rPr>
                  </w:pPr>
                </w:p>
              </w:tc>
              <w:tc>
                <w:tcPr>
                  <w:tcW w:w="1271" w:type="dxa"/>
                  <w:gridSpan w:val="2"/>
                  <w:vMerge w:val="continue"/>
                  <w:vAlign w:val="center"/>
                </w:tcPr>
                <w:p>
                  <w:pPr>
                    <w:autoSpaceDE w:val="0"/>
                    <w:autoSpaceDN w:val="0"/>
                    <w:adjustRightInd w:val="0"/>
                    <w:snapToGrid w:val="0"/>
                    <w:jc w:val="center"/>
                    <w:rPr>
                      <w:kern w:val="0"/>
                      <w:szCs w:val="21"/>
                    </w:rPr>
                  </w:pPr>
                </w:p>
              </w:tc>
              <w:tc>
                <w:tcPr>
                  <w:tcW w:w="846" w:type="dxa"/>
                  <w:vAlign w:val="center"/>
                </w:tcPr>
                <w:p>
                  <w:pPr>
                    <w:autoSpaceDE w:val="0"/>
                    <w:autoSpaceDN w:val="0"/>
                    <w:adjustRightInd w:val="0"/>
                    <w:snapToGrid w:val="0"/>
                    <w:jc w:val="center"/>
                    <w:rPr>
                      <w:kern w:val="0"/>
                      <w:szCs w:val="21"/>
                    </w:rPr>
                  </w:pPr>
                  <w:r>
                    <w:rPr>
                      <w:rFonts w:hint="eastAsia"/>
                      <w:kern w:val="0"/>
                      <w:szCs w:val="21"/>
                    </w:rPr>
                    <w:t>空压机</w:t>
                  </w:r>
                </w:p>
              </w:tc>
              <w:tc>
                <w:tcPr>
                  <w:tcW w:w="12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75-80 dB(A)</w:t>
                  </w:r>
                </w:p>
              </w:tc>
              <w:tc>
                <w:tcPr>
                  <w:tcW w:w="1314"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highlight w:val="yellow"/>
                    </w:rPr>
                  </w:pPr>
                  <w:r>
                    <w:rPr>
                      <w:kern w:val="0"/>
                      <w:szCs w:val="21"/>
                    </w:rPr>
                    <w:t>50-55 dB(A)</w:t>
                  </w:r>
                </w:p>
              </w:tc>
              <w:tc>
                <w:tcPr>
                  <w:tcW w:w="3144" w:type="dxa"/>
                  <w:vMerge w:val="continue"/>
                  <w:vAlign w:val="center"/>
                </w:tcPr>
                <w:p>
                  <w:pPr>
                    <w:autoSpaceDE w:val="0"/>
                    <w:autoSpaceDN w:val="0"/>
                    <w:adjustRightInd w:val="0"/>
                    <w:snapToGrid w:val="0"/>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jc w:val="center"/>
              </w:trPr>
              <w:tc>
                <w:tcPr>
                  <w:tcW w:w="509" w:type="dxa"/>
                  <w:vMerge w:val="continue"/>
                  <w:vAlign w:val="center"/>
                </w:tcPr>
                <w:p>
                  <w:pPr>
                    <w:autoSpaceDE w:val="0"/>
                    <w:autoSpaceDN w:val="0"/>
                    <w:adjustRightInd w:val="0"/>
                    <w:snapToGrid w:val="0"/>
                    <w:jc w:val="center"/>
                    <w:rPr>
                      <w:kern w:val="0"/>
                      <w:szCs w:val="21"/>
                    </w:rPr>
                  </w:pPr>
                </w:p>
              </w:tc>
              <w:tc>
                <w:tcPr>
                  <w:tcW w:w="1271" w:type="dxa"/>
                  <w:gridSpan w:val="2"/>
                  <w:vMerge w:val="continue"/>
                  <w:vAlign w:val="center"/>
                </w:tcPr>
                <w:p>
                  <w:pPr>
                    <w:autoSpaceDE w:val="0"/>
                    <w:autoSpaceDN w:val="0"/>
                    <w:adjustRightInd w:val="0"/>
                    <w:snapToGrid w:val="0"/>
                    <w:jc w:val="center"/>
                    <w:rPr>
                      <w:kern w:val="0"/>
                      <w:szCs w:val="21"/>
                    </w:rPr>
                  </w:pPr>
                </w:p>
              </w:tc>
              <w:tc>
                <w:tcPr>
                  <w:tcW w:w="846" w:type="dxa"/>
                  <w:vAlign w:val="center"/>
                </w:tcPr>
                <w:p>
                  <w:pPr>
                    <w:autoSpaceDE w:val="0"/>
                    <w:autoSpaceDN w:val="0"/>
                    <w:adjustRightInd w:val="0"/>
                    <w:snapToGrid w:val="0"/>
                    <w:jc w:val="center"/>
                    <w:rPr>
                      <w:kern w:val="0"/>
                      <w:szCs w:val="21"/>
                    </w:rPr>
                  </w:pPr>
                  <w:r>
                    <w:rPr>
                      <w:kern w:val="0"/>
                      <w:szCs w:val="21"/>
                    </w:rPr>
                    <w:t>泵类</w:t>
                  </w:r>
                </w:p>
              </w:tc>
              <w:tc>
                <w:tcPr>
                  <w:tcW w:w="12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70-80 dB(A)</w:t>
                  </w:r>
                </w:p>
              </w:tc>
              <w:tc>
                <w:tcPr>
                  <w:tcW w:w="1314"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highlight w:val="yellow"/>
                    </w:rPr>
                  </w:pPr>
                  <w:r>
                    <w:rPr>
                      <w:kern w:val="0"/>
                      <w:szCs w:val="21"/>
                    </w:rPr>
                    <w:t>45-55 dB(A)</w:t>
                  </w:r>
                </w:p>
              </w:tc>
              <w:tc>
                <w:tcPr>
                  <w:tcW w:w="3144" w:type="dxa"/>
                  <w:vMerge w:val="continue"/>
                  <w:vAlign w:val="center"/>
                </w:tcPr>
                <w:p>
                  <w:pPr>
                    <w:autoSpaceDE w:val="0"/>
                    <w:autoSpaceDN w:val="0"/>
                    <w:adjustRightInd w:val="0"/>
                    <w:snapToGrid w:val="0"/>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545" w:hRule="atLeast"/>
                <w:jc w:val="center"/>
              </w:trPr>
              <w:tc>
                <w:tcPr>
                  <w:tcW w:w="509" w:type="dxa"/>
                  <w:vAlign w:val="center"/>
                </w:tcPr>
                <w:p>
                  <w:pPr>
                    <w:autoSpaceDE w:val="0"/>
                    <w:autoSpaceDN w:val="0"/>
                    <w:adjustRightInd w:val="0"/>
                    <w:snapToGrid w:val="0"/>
                    <w:jc w:val="center"/>
                    <w:rPr>
                      <w:kern w:val="0"/>
                      <w:szCs w:val="21"/>
                    </w:rPr>
                  </w:pPr>
                  <w:r>
                    <w:rPr>
                      <w:rFonts w:hint="eastAsia"/>
                      <w:kern w:val="0"/>
                      <w:szCs w:val="21"/>
                    </w:rPr>
                    <w:t>3</w:t>
                  </w:r>
                </w:p>
              </w:tc>
              <w:tc>
                <w:tcPr>
                  <w:tcW w:w="437" w:type="dxa"/>
                  <w:vAlign w:val="center"/>
                </w:tcPr>
                <w:p>
                  <w:pPr>
                    <w:autoSpaceDE w:val="0"/>
                    <w:autoSpaceDN w:val="0"/>
                    <w:adjustRightInd w:val="0"/>
                    <w:snapToGrid w:val="0"/>
                    <w:jc w:val="center"/>
                    <w:rPr>
                      <w:kern w:val="0"/>
                      <w:szCs w:val="21"/>
                    </w:rPr>
                  </w:pPr>
                  <w:r>
                    <w:rPr>
                      <w:kern w:val="0"/>
                      <w:szCs w:val="21"/>
                    </w:rPr>
                    <w:t>固废</w:t>
                  </w:r>
                </w:p>
              </w:tc>
              <w:tc>
                <w:tcPr>
                  <w:tcW w:w="834" w:type="dxa"/>
                  <w:vAlign w:val="center"/>
                </w:tcPr>
                <w:p>
                  <w:pPr>
                    <w:autoSpaceDE w:val="0"/>
                    <w:autoSpaceDN w:val="0"/>
                    <w:adjustRightInd w:val="0"/>
                    <w:snapToGrid w:val="0"/>
                    <w:jc w:val="center"/>
                    <w:rPr>
                      <w:kern w:val="0"/>
                      <w:szCs w:val="21"/>
                    </w:rPr>
                  </w:pPr>
                  <w:r>
                    <w:rPr>
                      <w:kern w:val="0"/>
                      <w:szCs w:val="21"/>
                    </w:rPr>
                    <w:t>一般工业固废</w:t>
                  </w:r>
                </w:p>
              </w:tc>
              <w:tc>
                <w:tcPr>
                  <w:tcW w:w="846"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rFonts w:hint="eastAsia"/>
                      <w:kern w:val="0"/>
                      <w:szCs w:val="21"/>
                    </w:rPr>
                    <w:t>污泥</w:t>
                  </w:r>
                </w:p>
              </w:tc>
              <w:tc>
                <w:tcPr>
                  <w:tcW w:w="12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jc w:val="center"/>
                    <w:rPr>
                      <w:kern w:val="0"/>
                      <w:szCs w:val="21"/>
                    </w:rPr>
                  </w:pPr>
                  <w:r>
                    <w:rPr>
                      <w:kern w:val="0"/>
                      <w:szCs w:val="21"/>
                    </w:rPr>
                    <w:t xml:space="preserve">375.04t/a </w:t>
                  </w:r>
                </w:p>
              </w:tc>
              <w:tc>
                <w:tcPr>
                  <w:tcW w:w="1314" w:type="dxa"/>
                  <w:vAlign w:val="center"/>
                </w:tcPr>
                <w:p>
                  <w:pPr>
                    <w:autoSpaceDE w:val="0"/>
                    <w:autoSpaceDN w:val="0"/>
                    <w:adjustRightInd w:val="0"/>
                    <w:snapToGrid w:val="0"/>
                    <w:jc w:val="center"/>
                    <w:rPr>
                      <w:kern w:val="0"/>
                      <w:szCs w:val="21"/>
                    </w:rPr>
                  </w:pPr>
                  <w:r>
                    <w:rPr>
                      <w:rFonts w:hint="eastAsia"/>
                      <w:kern w:val="0"/>
                      <w:szCs w:val="21"/>
                    </w:rPr>
                    <w:t>0</w:t>
                  </w:r>
                </w:p>
              </w:tc>
              <w:tc>
                <w:tcPr>
                  <w:tcW w:w="3144" w:type="dxa"/>
                  <w:vAlign w:val="center"/>
                </w:tcPr>
                <w:p>
                  <w:pPr>
                    <w:autoSpaceDE w:val="0"/>
                    <w:autoSpaceDN w:val="0"/>
                    <w:adjustRightInd w:val="0"/>
                    <w:snapToGrid w:val="0"/>
                    <w:rPr>
                      <w:kern w:val="0"/>
                      <w:szCs w:val="21"/>
                    </w:rPr>
                  </w:pPr>
                  <w:r>
                    <w:rPr>
                      <w:rFonts w:hint="eastAsia"/>
                      <w:kern w:val="0"/>
                      <w:szCs w:val="21"/>
                    </w:rPr>
                    <w:t>污泥运至电厂，掺烧</w:t>
                  </w:r>
                </w:p>
              </w:tc>
            </w:tr>
          </w:tbl>
          <w:p>
            <w:pPr>
              <w:adjustRightInd w:val="0"/>
              <w:snapToGrid w:val="0"/>
              <w:spacing w:line="360" w:lineRule="auto"/>
              <w:ind w:firstLine="480" w:firstLineChars="200"/>
              <w:rPr>
                <w:sz w:val="24"/>
              </w:rPr>
            </w:pPr>
          </w:p>
        </w:tc>
      </w:tr>
    </w:tbl>
    <w:p>
      <w:pPr>
        <w:spacing w:line="440" w:lineRule="exact"/>
        <w:rPr>
          <w:rFonts w:eastAsia="黑体"/>
          <w:sz w:val="30"/>
        </w:rPr>
        <w:sectPr>
          <w:pgSz w:w="11907" w:h="16840"/>
          <w:pgMar w:top="1440" w:right="1531" w:bottom="1440" w:left="1531" w:header="907" w:footer="992" w:gutter="0"/>
          <w:cols w:space="720" w:num="1"/>
          <w:titlePg/>
          <w:docGrid w:linePitch="312" w:charSpace="0"/>
        </w:sectPr>
      </w:pPr>
    </w:p>
    <w:p>
      <w:pPr>
        <w:spacing w:line="440" w:lineRule="exact"/>
        <w:outlineLvl w:val="0"/>
        <w:rPr>
          <w:rFonts w:eastAsia="黑体"/>
          <w:sz w:val="30"/>
        </w:rPr>
      </w:pPr>
      <w:r>
        <w:rPr>
          <w:rFonts w:eastAsia="黑体"/>
          <w:sz w:val="30"/>
        </w:rPr>
        <w:t>污染物排放分析</w:t>
      </w:r>
    </w:p>
    <w:tbl>
      <w:tblPr>
        <w:tblStyle w:val="88"/>
        <w:tblW w:w="8833"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52"/>
        <w:gridCol w:w="1460"/>
        <w:gridCol w:w="1997"/>
        <w:gridCol w:w="666"/>
        <w:gridCol w:w="724"/>
        <w:gridCol w:w="1003"/>
        <w:gridCol w:w="243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597" w:hRule="atLeast"/>
          <w:jc w:val="center"/>
        </w:trPr>
        <w:tc>
          <w:tcPr>
            <w:tcW w:w="552" w:type="dxa"/>
            <w:vMerge w:val="restart"/>
            <w:vAlign w:val="center"/>
          </w:tcPr>
          <w:p>
            <w:pPr>
              <w:spacing w:line="440" w:lineRule="exact"/>
              <w:jc w:val="center"/>
              <w:rPr>
                <w:sz w:val="24"/>
              </w:rPr>
            </w:pPr>
            <w:r>
              <w:rPr>
                <w:sz w:val="24"/>
              </w:rPr>
              <w:t xml:space="preserve">废        </w:t>
            </w:r>
          </w:p>
          <w:p>
            <w:pPr>
              <w:spacing w:line="440" w:lineRule="exact"/>
              <w:jc w:val="center"/>
              <w:rPr>
                <w:sz w:val="24"/>
              </w:rPr>
            </w:pPr>
          </w:p>
          <w:p>
            <w:pPr>
              <w:spacing w:line="440" w:lineRule="exact"/>
              <w:jc w:val="center"/>
              <w:rPr>
                <w:sz w:val="24"/>
              </w:rPr>
            </w:pPr>
          </w:p>
          <w:p>
            <w:pPr>
              <w:spacing w:line="440" w:lineRule="exact"/>
              <w:jc w:val="center"/>
              <w:rPr>
                <w:sz w:val="24"/>
              </w:rPr>
            </w:pPr>
          </w:p>
          <w:p>
            <w:pPr>
              <w:spacing w:line="440" w:lineRule="exact"/>
              <w:jc w:val="center"/>
              <w:rPr>
                <w:sz w:val="24"/>
              </w:rPr>
            </w:pPr>
          </w:p>
          <w:p>
            <w:pPr>
              <w:spacing w:line="440" w:lineRule="exact"/>
              <w:jc w:val="center"/>
              <w:rPr>
                <w:sz w:val="24"/>
              </w:rPr>
            </w:pPr>
            <w:r>
              <w:rPr>
                <w:sz w:val="24"/>
              </w:rPr>
              <w:t>水</w:t>
            </w:r>
          </w:p>
        </w:tc>
        <w:tc>
          <w:tcPr>
            <w:tcW w:w="1460" w:type="dxa"/>
            <w:vAlign w:val="center"/>
          </w:tcPr>
          <w:p>
            <w:pPr>
              <w:spacing w:line="360" w:lineRule="exact"/>
              <w:jc w:val="center"/>
              <w:rPr>
                <w:sz w:val="24"/>
              </w:rPr>
            </w:pPr>
            <w:r>
              <w:rPr>
                <w:sz w:val="24"/>
              </w:rPr>
              <w:t>新鲜水</w:t>
            </w:r>
          </w:p>
          <w:p>
            <w:pPr>
              <w:spacing w:line="360" w:lineRule="exact"/>
              <w:jc w:val="center"/>
              <w:rPr>
                <w:sz w:val="24"/>
              </w:rPr>
            </w:pPr>
            <w:r>
              <w:rPr>
                <w:sz w:val="24"/>
              </w:rPr>
              <w:t>总用量</w:t>
            </w:r>
          </w:p>
        </w:tc>
        <w:tc>
          <w:tcPr>
            <w:tcW w:w="1997" w:type="dxa"/>
            <w:vAlign w:val="center"/>
          </w:tcPr>
          <w:p>
            <w:pPr>
              <w:spacing w:line="360" w:lineRule="exact"/>
              <w:rPr>
                <w:spacing w:val="-24"/>
                <w:sz w:val="24"/>
              </w:rPr>
            </w:pPr>
            <w:r>
              <w:rPr>
                <w:sz w:val="24"/>
              </w:rPr>
              <w:t>10498.86</w:t>
            </w:r>
            <w:r>
              <w:rPr>
                <w:rFonts w:hint="eastAsia"/>
                <w:sz w:val="24"/>
              </w:rPr>
              <w:t>万</w:t>
            </w:r>
            <w:r>
              <w:rPr>
                <w:sz w:val="24"/>
              </w:rPr>
              <w:t>m</w:t>
            </w:r>
            <w:r>
              <w:rPr>
                <w:sz w:val="24"/>
                <w:vertAlign w:val="superscript"/>
              </w:rPr>
              <w:t>3</w:t>
            </w:r>
            <w:r>
              <w:rPr>
                <w:sz w:val="24"/>
              </w:rPr>
              <w:t>/a</w:t>
            </w:r>
          </w:p>
        </w:tc>
        <w:tc>
          <w:tcPr>
            <w:tcW w:w="666" w:type="dxa"/>
            <w:vMerge w:val="restart"/>
            <w:vAlign w:val="center"/>
          </w:tcPr>
          <w:p>
            <w:pPr>
              <w:spacing w:line="440" w:lineRule="exact"/>
              <w:jc w:val="center"/>
              <w:rPr>
                <w:sz w:val="24"/>
              </w:rPr>
            </w:pPr>
            <w:r>
              <w:rPr>
                <w:sz w:val="24"/>
              </w:rPr>
              <w:t>排放</w:t>
            </w:r>
          </w:p>
          <w:p>
            <w:pPr>
              <w:spacing w:line="440" w:lineRule="exact"/>
              <w:jc w:val="center"/>
              <w:rPr>
                <w:sz w:val="24"/>
              </w:rPr>
            </w:pPr>
            <w:r>
              <w:rPr>
                <w:sz w:val="24"/>
              </w:rPr>
              <w:t>去向</w:t>
            </w:r>
          </w:p>
        </w:tc>
        <w:tc>
          <w:tcPr>
            <w:tcW w:w="724" w:type="dxa"/>
            <w:vMerge w:val="restart"/>
            <w:vAlign w:val="center"/>
          </w:tcPr>
          <w:p>
            <w:pPr>
              <w:spacing w:line="360" w:lineRule="exact"/>
              <w:jc w:val="center"/>
              <w:rPr>
                <w:spacing w:val="-8"/>
                <w:sz w:val="24"/>
              </w:rPr>
            </w:pPr>
            <w:r>
              <w:rPr>
                <w:spacing w:val="-8"/>
                <w:sz w:val="24"/>
              </w:rPr>
              <w:t>直接</w:t>
            </w:r>
          </w:p>
        </w:tc>
        <w:tc>
          <w:tcPr>
            <w:tcW w:w="3434" w:type="dxa"/>
            <w:gridSpan w:val="2"/>
            <w:vMerge w:val="restart"/>
            <w:vAlign w:val="center"/>
          </w:tcPr>
          <w:p>
            <w:pPr>
              <w:spacing w:line="360" w:lineRule="auto"/>
              <w:jc w:val="center"/>
              <w:rPr>
                <w:spacing w:val="-8"/>
                <w:sz w:val="24"/>
              </w:rPr>
            </w:pPr>
            <w:r>
              <w:rPr>
                <w:spacing w:val="-8"/>
                <w:sz w:val="24"/>
              </w:rPr>
              <w:t>浓盐水排入</w:t>
            </w:r>
            <w:r>
              <w:rPr>
                <w:rFonts w:hint="eastAsia"/>
                <w:spacing w:val="-8"/>
                <w:sz w:val="24"/>
              </w:rPr>
              <w:t>厂区内冷却水渠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892" w:hRule="atLeast"/>
          <w:jc w:val="center"/>
        </w:trPr>
        <w:tc>
          <w:tcPr>
            <w:tcW w:w="552" w:type="dxa"/>
            <w:vMerge w:val="continue"/>
            <w:vAlign w:val="center"/>
          </w:tcPr>
          <w:p>
            <w:pPr>
              <w:spacing w:line="440" w:lineRule="exact"/>
              <w:jc w:val="center"/>
              <w:rPr>
                <w:sz w:val="24"/>
              </w:rPr>
            </w:pPr>
          </w:p>
        </w:tc>
        <w:tc>
          <w:tcPr>
            <w:tcW w:w="1460" w:type="dxa"/>
            <w:tcBorders>
              <w:bottom w:val="single" w:color="auto" w:sz="4" w:space="0"/>
            </w:tcBorders>
            <w:vAlign w:val="center"/>
          </w:tcPr>
          <w:p>
            <w:pPr>
              <w:spacing w:line="360" w:lineRule="exact"/>
              <w:jc w:val="center"/>
              <w:rPr>
                <w:sz w:val="24"/>
              </w:rPr>
            </w:pPr>
            <w:r>
              <w:rPr>
                <w:sz w:val="24"/>
              </w:rPr>
              <w:t>生产废水</w:t>
            </w:r>
          </w:p>
          <w:p>
            <w:pPr>
              <w:spacing w:line="360" w:lineRule="exact"/>
              <w:jc w:val="center"/>
              <w:rPr>
                <w:sz w:val="24"/>
              </w:rPr>
            </w:pPr>
            <w:r>
              <w:rPr>
                <w:sz w:val="24"/>
              </w:rPr>
              <w:t>排放量</w:t>
            </w:r>
          </w:p>
        </w:tc>
        <w:tc>
          <w:tcPr>
            <w:tcW w:w="1997" w:type="dxa"/>
            <w:tcBorders>
              <w:bottom w:val="single" w:color="auto" w:sz="4" w:space="0"/>
            </w:tcBorders>
            <w:vAlign w:val="center"/>
          </w:tcPr>
          <w:p>
            <w:pPr>
              <w:spacing w:line="360" w:lineRule="exact"/>
              <w:jc w:val="center"/>
              <w:rPr>
                <w:sz w:val="24"/>
              </w:rPr>
            </w:pPr>
            <w:r>
              <w:rPr>
                <w:sz w:val="24"/>
              </w:rPr>
              <w:t>6848.86万m</w:t>
            </w:r>
            <w:r>
              <w:rPr>
                <w:sz w:val="24"/>
                <w:vertAlign w:val="superscript"/>
              </w:rPr>
              <w:t>3</w:t>
            </w:r>
            <w:r>
              <w:rPr>
                <w:sz w:val="24"/>
              </w:rPr>
              <w:t>/a</w:t>
            </w:r>
          </w:p>
        </w:tc>
        <w:tc>
          <w:tcPr>
            <w:tcW w:w="666" w:type="dxa"/>
            <w:vMerge w:val="continue"/>
            <w:vAlign w:val="center"/>
          </w:tcPr>
          <w:p>
            <w:pPr>
              <w:spacing w:line="440" w:lineRule="exact"/>
              <w:jc w:val="center"/>
              <w:rPr>
                <w:sz w:val="24"/>
              </w:rPr>
            </w:pPr>
          </w:p>
        </w:tc>
        <w:tc>
          <w:tcPr>
            <w:tcW w:w="724" w:type="dxa"/>
            <w:vMerge w:val="continue"/>
            <w:vAlign w:val="center"/>
          </w:tcPr>
          <w:p>
            <w:pPr>
              <w:spacing w:line="440" w:lineRule="exact"/>
              <w:jc w:val="center"/>
              <w:rPr>
                <w:sz w:val="24"/>
              </w:rPr>
            </w:pPr>
          </w:p>
        </w:tc>
        <w:tc>
          <w:tcPr>
            <w:tcW w:w="3434" w:type="dxa"/>
            <w:gridSpan w:val="2"/>
            <w:vMerge w:val="continue"/>
            <w:vAlign w:val="center"/>
          </w:tcPr>
          <w:p>
            <w:pPr>
              <w:spacing w:line="44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238" w:hRule="atLeast"/>
          <w:jc w:val="center"/>
        </w:trPr>
        <w:tc>
          <w:tcPr>
            <w:tcW w:w="552" w:type="dxa"/>
            <w:vMerge w:val="continue"/>
            <w:vAlign w:val="center"/>
          </w:tcPr>
          <w:p>
            <w:pPr>
              <w:spacing w:line="440" w:lineRule="exact"/>
              <w:jc w:val="center"/>
              <w:rPr>
                <w:sz w:val="24"/>
              </w:rPr>
            </w:pPr>
          </w:p>
        </w:tc>
        <w:tc>
          <w:tcPr>
            <w:tcW w:w="1460" w:type="dxa"/>
            <w:tcBorders>
              <w:top w:val="single" w:color="auto" w:sz="4" w:space="0"/>
            </w:tcBorders>
            <w:vAlign w:val="center"/>
          </w:tcPr>
          <w:p>
            <w:pPr>
              <w:spacing w:line="360" w:lineRule="exact"/>
              <w:jc w:val="center"/>
              <w:rPr>
                <w:sz w:val="24"/>
              </w:rPr>
            </w:pPr>
            <w:r>
              <w:rPr>
                <w:sz w:val="24"/>
              </w:rPr>
              <w:t>生活废水</w:t>
            </w:r>
          </w:p>
          <w:p>
            <w:pPr>
              <w:spacing w:line="360" w:lineRule="exact"/>
              <w:jc w:val="center"/>
              <w:rPr>
                <w:sz w:val="24"/>
              </w:rPr>
            </w:pPr>
            <w:r>
              <w:rPr>
                <w:sz w:val="24"/>
              </w:rPr>
              <w:t>排放量</w:t>
            </w:r>
          </w:p>
        </w:tc>
        <w:tc>
          <w:tcPr>
            <w:tcW w:w="1997" w:type="dxa"/>
            <w:tcBorders>
              <w:top w:val="single" w:color="auto" w:sz="4" w:space="0"/>
            </w:tcBorders>
            <w:vAlign w:val="center"/>
          </w:tcPr>
          <w:p>
            <w:pPr>
              <w:spacing w:line="360" w:lineRule="exact"/>
              <w:ind w:firstLine="1"/>
              <w:jc w:val="center"/>
              <w:rPr>
                <w:sz w:val="24"/>
              </w:rPr>
            </w:pPr>
            <w:r>
              <w:rPr>
                <w:sz w:val="24"/>
              </w:rPr>
              <w:t>/</w:t>
            </w:r>
          </w:p>
        </w:tc>
        <w:tc>
          <w:tcPr>
            <w:tcW w:w="666" w:type="dxa"/>
            <w:vMerge w:val="continue"/>
            <w:vAlign w:val="center"/>
          </w:tcPr>
          <w:p>
            <w:pPr>
              <w:spacing w:line="440" w:lineRule="exact"/>
              <w:jc w:val="center"/>
              <w:rPr>
                <w:sz w:val="24"/>
              </w:rPr>
            </w:pPr>
          </w:p>
        </w:tc>
        <w:tc>
          <w:tcPr>
            <w:tcW w:w="724" w:type="dxa"/>
            <w:vAlign w:val="center"/>
          </w:tcPr>
          <w:p>
            <w:pPr>
              <w:spacing w:line="440" w:lineRule="exact"/>
              <w:jc w:val="center"/>
              <w:rPr>
                <w:sz w:val="24"/>
              </w:rPr>
            </w:pPr>
            <w:r>
              <w:rPr>
                <w:sz w:val="24"/>
              </w:rPr>
              <w:t>最终</w:t>
            </w:r>
          </w:p>
        </w:tc>
        <w:tc>
          <w:tcPr>
            <w:tcW w:w="3434" w:type="dxa"/>
            <w:gridSpan w:val="2"/>
            <w:vAlign w:val="center"/>
          </w:tcPr>
          <w:p>
            <w:pPr>
              <w:spacing w:line="440" w:lineRule="exact"/>
              <w:jc w:val="center"/>
              <w:rPr>
                <w:sz w:val="24"/>
              </w:rPr>
            </w:pPr>
            <w:r>
              <w:rPr>
                <w:rFonts w:hint="eastAsia"/>
                <w:sz w:val="24"/>
              </w:rPr>
              <w:t>威海湾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811" w:hRule="atLeast"/>
          <w:jc w:val="center"/>
        </w:trPr>
        <w:tc>
          <w:tcPr>
            <w:tcW w:w="552" w:type="dxa"/>
            <w:vMerge w:val="continue"/>
            <w:vAlign w:val="center"/>
          </w:tcPr>
          <w:p>
            <w:pPr>
              <w:spacing w:line="440" w:lineRule="exact"/>
              <w:jc w:val="center"/>
              <w:rPr>
                <w:sz w:val="24"/>
              </w:rPr>
            </w:pPr>
          </w:p>
        </w:tc>
        <w:tc>
          <w:tcPr>
            <w:tcW w:w="1460" w:type="dxa"/>
            <w:vMerge w:val="restart"/>
            <w:vAlign w:val="center"/>
          </w:tcPr>
          <w:p>
            <w:pPr>
              <w:spacing w:line="360" w:lineRule="exact"/>
              <w:jc w:val="center"/>
              <w:rPr>
                <w:sz w:val="24"/>
              </w:rPr>
            </w:pPr>
            <w:r>
              <w:rPr>
                <w:sz w:val="24"/>
              </w:rPr>
              <w:t>产生污染的工艺装置或设备名称</w:t>
            </w:r>
          </w:p>
        </w:tc>
        <w:tc>
          <w:tcPr>
            <w:tcW w:w="6821" w:type="dxa"/>
            <w:gridSpan w:val="5"/>
            <w:vAlign w:val="center"/>
          </w:tcPr>
          <w:p>
            <w:pPr>
              <w:spacing w:line="440" w:lineRule="exact"/>
              <w:jc w:val="center"/>
              <w:rPr>
                <w:sz w:val="24"/>
              </w:rPr>
            </w:pPr>
            <w:r>
              <w:rPr>
                <w:sz w:val="24"/>
              </w:rPr>
              <w:t>主要的污染物</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014" w:hRule="atLeast"/>
          <w:jc w:val="center"/>
        </w:trPr>
        <w:tc>
          <w:tcPr>
            <w:tcW w:w="552" w:type="dxa"/>
            <w:vMerge w:val="continue"/>
            <w:vAlign w:val="center"/>
          </w:tcPr>
          <w:p>
            <w:pPr>
              <w:spacing w:line="440" w:lineRule="exact"/>
              <w:jc w:val="center"/>
              <w:rPr>
                <w:sz w:val="24"/>
              </w:rPr>
            </w:pPr>
          </w:p>
        </w:tc>
        <w:tc>
          <w:tcPr>
            <w:tcW w:w="1460" w:type="dxa"/>
            <w:vMerge w:val="continue"/>
            <w:vAlign w:val="center"/>
          </w:tcPr>
          <w:p>
            <w:pPr>
              <w:spacing w:line="440" w:lineRule="exact"/>
              <w:jc w:val="center"/>
              <w:rPr>
                <w:sz w:val="24"/>
              </w:rPr>
            </w:pPr>
          </w:p>
        </w:tc>
        <w:tc>
          <w:tcPr>
            <w:tcW w:w="1997" w:type="dxa"/>
            <w:vAlign w:val="center"/>
          </w:tcPr>
          <w:p>
            <w:pPr>
              <w:spacing w:line="360" w:lineRule="exact"/>
              <w:jc w:val="center"/>
              <w:rPr>
                <w:sz w:val="24"/>
              </w:rPr>
            </w:pPr>
            <w:r>
              <w:rPr>
                <w:sz w:val="24"/>
              </w:rPr>
              <w:t>名  称</w:t>
            </w:r>
          </w:p>
        </w:tc>
        <w:tc>
          <w:tcPr>
            <w:tcW w:w="2393" w:type="dxa"/>
            <w:gridSpan w:val="3"/>
            <w:vAlign w:val="center"/>
          </w:tcPr>
          <w:p>
            <w:pPr>
              <w:spacing w:line="360" w:lineRule="exact"/>
              <w:jc w:val="center"/>
              <w:rPr>
                <w:sz w:val="24"/>
              </w:rPr>
            </w:pPr>
            <w:r>
              <w:rPr>
                <w:sz w:val="24"/>
              </w:rPr>
              <w:t>产生量</w:t>
            </w:r>
          </w:p>
          <w:p>
            <w:pPr>
              <w:spacing w:line="360" w:lineRule="exact"/>
              <w:jc w:val="center"/>
              <w:rPr>
                <w:sz w:val="24"/>
              </w:rPr>
            </w:pPr>
            <w:r>
              <w:rPr>
                <w:sz w:val="24"/>
              </w:rPr>
              <w:t>(吨/年)</w:t>
            </w:r>
          </w:p>
        </w:tc>
        <w:tc>
          <w:tcPr>
            <w:tcW w:w="2431" w:type="dxa"/>
            <w:vAlign w:val="center"/>
          </w:tcPr>
          <w:p>
            <w:pPr>
              <w:spacing w:line="360" w:lineRule="exact"/>
              <w:jc w:val="center"/>
              <w:rPr>
                <w:sz w:val="24"/>
              </w:rPr>
            </w:pPr>
            <w:r>
              <w:rPr>
                <w:sz w:val="24"/>
              </w:rPr>
              <w:t>排放量</w:t>
            </w:r>
          </w:p>
          <w:p>
            <w:pPr>
              <w:spacing w:line="360" w:lineRule="exact"/>
              <w:jc w:val="center"/>
              <w:rPr>
                <w:sz w:val="24"/>
              </w:rPr>
            </w:pPr>
            <w:r>
              <w:rPr>
                <w:sz w:val="24"/>
              </w:rPr>
              <w:t>(吨/年)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837" w:hRule="atLeast"/>
          <w:jc w:val="center"/>
        </w:trPr>
        <w:tc>
          <w:tcPr>
            <w:tcW w:w="552" w:type="dxa"/>
            <w:vMerge w:val="continue"/>
            <w:vAlign w:val="center"/>
          </w:tcPr>
          <w:p>
            <w:pPr>
              <w:spacing w:line="440" w:lineRule="exact"/>
              <w:jc w:val="center"/>
              <w:rPr>
                <w:sz w:val="24"/>
              </w:rPr>
            </w:pPr>
          </w:p>
        </w:tc>
        <w:tc>
          <w:tcPr>
            <w:tcW w:w="1460" w:type="dxa"/>
            <w:tcBorders>
              <w:bottom w:val="single" w:color="auto" w:sz="4" w:space="0"/>
            </w:tcBorders>
            <w:vAlign w:val="center"/>
          </w:tcPr>
          <w:p>
            <w:pPr>
              <w:adjustRightInd w:val="0"/>
              <w:snapToGrid w:val="0"/>
              <w:spacing w:line="360" w:lineRule="exact"/>
              <w:jc w:val="center"/>
              <w:rPr>
                <w:sz w:val="24"/>
              </w:rPr>
            </w:pPr>
            <w:r>
              <w:rPr>
                <w:sz w:val="24"/>
              </w:rPr>
              <w:t>生产</w:t>
            </w:r>
          </w:p>
        </w:tc>
        <w:tc>
          <w:tcPr>
            <w:tcW w:w="1997" w:type="dxa"/>
            <w:tcBorders>
              <w:bottom w:val="single" w:color="auto" w:sz="4" w:space="0"/>
            </w:tcBorders>
            <w:vAlign w:val="center"/>
          </w:tcPr>
          <w:p>
            <w:pPr>
              <w:spacing w:line="440" w:lineRule="exact"/>
              <w:jc w:val="center"/>
              <w:rPr>
                <w:sz w:val="24"/>
              </w:rPr>
            </w:pPr>
            <w:r>
              <w:rPr>
                <w:sz w:val="24"/>
              </w:rPr>
              <w:t>SS</w:t>
            </w:r>
          </w:p>
        </w:tc>
        <w:tc>
          <w:tcPr>
            <w:tcW w:w="2393" w:type="dxa"/>
            <w:gridSpan w:val="3"/>
            <w:tcBorders>
              <w:top w:val="single" w:color="auto" w:sz="4" w:space="0"/>
              <w:left w:val="single" w:color="auto" w:sz="4" w:space="0"/>
              <w:bottom w:val="single" w:color="auto" w:sz="4" w:space="0"/>
              <w:right w:val="single" w:color="auto" w:sz="4" w:space="0"/>
            </w:tcBorders>
            <w:vAlign w:val="center"/>
          </w:tcPr>
          <w:p>
            <w:pPr>
              <w:spacing w:line="440" w:lineRule="exact"/>
              <w:jc w:val="center"/>
              <w:rPr>
                <w:color w:val="000000" w:themeColor="text1"/>
                <w:sz w:val="24"/>
                <w:lang w:val="de-DE"/>
              </w:rPr>
            </w:pPr>
            <w:r>
              <w:rPr>
                <w:color w:val="000000" w:themeColor="text1"/>
                <w:kern w:val="0"/>
                <w:szCs w:val="21"/>
              </w:rPr>
              <w:t>104.448t/a</w:t>
            </w:r>
          </w:p>
        </w:tc>
        <w:tc>
          <w:tcPr>
            <w:tcW w:w="243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color w:val="000000" w:themeColor="text1"/>
                <w:sz w:val="24"/>
                <w:lang w:val="de-DE"/>
              </w:rPr>
            </w:pPr>
            <w:r>
              <w:rPr>
                <w:color w:val="000000" w:themeColor="text1"/>
                <w:kern w:val="0"/>
                <w:szCs w:val="21"/>
              </w:rPr>
              <w:t>104.448t/a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32" w:hRule="atLeast"/>
          <w:jc w:val="center"/>
        </w:trPr>
        <w:tc>
          <w:tcPr>
            <w:tcW w:w="552" w:type="dxa"/>
            <w:vMerge w:val="restart"/>
            <w:vAlign w:val="center"/>
          </w:tcPr>
          <w:p>
            <w:pPr>
              <w:spacing w:line="440" w:lineRule="exact"/>
              <w:jc w:val="center"/>
              <w:rPr>
                <w:sz w:val="24"/>
              </w:rPr>
            </w:pPr>
            <w:r>
              <w:rPr>
                <w:sz w:val="24"/>
              </w:rPr>
              <w:t>废气</w:t>
            </w:r>
          </w:p>
        </w:tc>
        <w:tc>
          <w:tcPr>
            <w:tcW w:w="1460" w:type="dxa"/>
            <w:vAlign w:val="center"/>
          </w:tcPr>
          <w:p>
            <w:pPr>
              <w:jc w:val="left"/>
              <w:rPr>
                <w:sz w:val="24"/>
              </w:rPr>
            </w:pPr>
            <w:r>
              <w:rPr>
                <w:sz w:val="24"/>
              </w:rPr>
              <w:t>工艺过程废气排放量</w:t>
            </w:r>
          </w:p>
          <w:p>
            <w:pPr>
              <w:jc w:val="center"/>
              <w:rPr>
                <w:sz w:val="24"/>
              </w:rPr>
            </w:pPr>
            <w:r>
              <w:rPr>
                <w:sz w:val="24"/>
              </w:rPr>
              <w:t>(标立方米/年)</w:t>
            </w:r>
          </w:p>
        </w:tc>
        <w:tc>
          <w:tcPr>
            <w:tcW w:w="1997" w:type="dxa"/>
            <w:vAlign w:val="center"/>
          </w:tcPr>
          <w:p>
            <w:pPr>
              <w:spacing w:line="440" w:lineRule="exact"/>
              <w:jc w:val="center"/>
              <w:rPr>
                <w:sz w:val="24"/>
              </w:rPr>
            </w:pPr>
            <w:r>
              <w:rPr>
                <w:sz w:val="24"/>
              </w:rPr>
              <w:t>/</w:t>
            </w:r>
          </w:p>
        </w:tc>
        <w:tc>
          <w:tcPr>
            <w:tcW w:w="2393" w:type="dxa"/>
            <w:gridSpan w:val="3"/>
            <w:vAlign w:val="center"/>
          </w:tcPr>
          <w:p>
            <w:pPr>
              <w:spacing w:line="440" w:lineRule="exact"/>
              <w:jc w:val="center"/>
              <w:rPr>
                <w:sz w:val="24"/>
              </w:rPr>
            </w:pPr>
            <w:r>
              <w:rPr>
                <w:sz w:val="24"/>
              </w:rPr>
              <w:t>排气筒高度(米)</w:t>
            </w:r>
          </w:p>
        </w:tc>
        <w:tc>
          <w:tcPr>
            <w:tcW w:w="2431" w:type="dxa"/>
            <w:vAlign w:val="center"/>
          </w:tcPr>
          <w:p>
            <w:pPr>
              <w:spacing w:line="440" w:lineRule="exact"/>
              <w:jc w:val="center"/>
              <w:rPr>
                <w:sz w:val="24"/>
              </w:rPr>
            </w:pPr>
            <w:r>
              <w:rPr>
                <w:sz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32" w:hRule="atLeast"/>
          <w:jc w:val="center"/>
        </w:trPr>
        <w:tc>
          <w:tcPr>
            <w:tcW w:w="552" w:type="dxa"/>
            <w:vMerge w:val="continue"/>
            <w:vAlign w:val="center"/>
          </w:tcPr>
          <w:p>
            <w:pPr>
              <w:spacing w:line="440" w:lineRule="exact"/>
              <w:jc w:val="center"/>
              <w:rPr>
                <w:sz w:val="24"/>
              </w:rPr>
            </w:pPr>
          </w:p>
        </w:tc>
        <w:tc>
          <w:tcPr>
            <w:tcW w:w="1460" w:type="dxa"/>
            <w:vMerge w:val="restart"/>
            <w:vAlign w:val="center"/>
          </w:tcPr>
          <w:p>
            <w:pPr>
              <w:jc w:val="center"/>
              <w:rPr>
                <w:sz w:val="24"/>
              </w:rPr>
            </w:pPr>
            <w:r>
              <w:rPr>
                <w:sz w:val="24"/>
              </w:rPr>
              <w:t>产生污染的工艺装置或设备名称</w:t>
            </w:r>
          </w:p>
        </w:tc>
        <w:tc>
          <w:tcPr>
            <w:tcW w:w="6821" w:type="dxa"/>
            <w:gridSpan w:val="5"/>
            <w:vAlign w:val="center"/>
          </w:tcPr>
          <w:p>
            <w:pPr>
              <w:spacing w:line="440" w:lineRule="exact"/>
              <w:jc w:val="center"/>
              <w:rPr>
                <w:sz w:val="24"/>
              </w:rPr>
            </w:pPr>
            <w:r>
              <w:rPr>
                <w:sz w:val="24"/>
              </w:rPr>
              <w:t>主要污染物</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32" w:hRule="atLeast"/>
          <w:jc w:val="center"/>
        </w:trPr>
        <w:tc>
          <w:tcPr>
            <w:tcW w:w="552" w:type="dxa"/>
            <w:vMerge w:val="continue"/>
            <w:vAlign w:val="center"/>
          </w:tcPr>
          <w:p>
            <w:pPr>
              <w:spacing w:line="440" w:lineRule="exact"/>
              <w:jc w:val="center"/>
              <w:rPr>
                <w:sz w:val="24"/>
              </w:rPr>
            </w:pPr>
          </w:p>
        </w:tc>
        <w:tc>
          <w:tcPr>
            <w:tcW w:w="1460" w:type="dxa"/>
            <w:vMerge w:val="continue"/>
            <w:vAlign w:val="center"/>
          </w:tcPr>
          <w:p>
            <w:pPr>
              <w:adjustRightInd w:val="0"/>
              <w:snapToGrid w:val="0"/>
              <w:spacing w:line="360" w:lineRule="exact"/>
              <w:jc w:val="center"/>
              <w:rPr>
                <w:sz w:val="24"/>
              </w:rPr>
            </w:pPr>
          </w:p>
        </w:tc>
        <w:tc>
          <w:tcPr>
            <w:tcW w:w="1997" w:type="dxa"/>
            <w:vAlign w:val="center"/>
          </w:tcPr>
          <w:p>
            <w:pPr>
              <w:jc w:val="center"/>
              <w:rPr>
                <w:sz w:val="24"/>
              </w:rPr>
            </w:pPr>
            <w:r>
              <w:rPr>
                <w:sz w:val="24"/>
              </w:rPr>
              <w:t>名称</w:t>
            </w:r>
          </w:p>
        </w:tc>
        <w:tc>
          <w:tcPr>
            <w:tcW w:w="2393" w:type="dxa"/>
            <w:gridSpan w:val="3"/>
            <w:vAlign w:val="center"/>
          </w:tcPr>
          <w:p>
            <w:pPr>
              <w:jc w:val="center"/>
              <w:rPr>
                <w:sz w:val="24"/>
              </w:rPr>
            </w:pPr>
            <w:r>
              <w:rPr>
                <w:sz w:val="24"/>
              </w:rPr>
              <w:t>产生量</w:t>
            </w:r>
          </w:p>
          <w:p>
            <w:pPr>
              <w:jc w:val="center"/>
              <w:rPr>
                <w:sz w:val="24"/>
              </w:rPr>
            </w:pPr>
            <w:r>
              <w:rPr>
                <w:sz w:val="24"/>
              </w:rPr>
              <w:t>(吨/年)</w:t>
            </w:r>
          </w:p>
        </w:tc>
        <w:tc>
          <w:tcPr>
            <w:tcW w:w="2431" w:type="dxa"/>
            <w:vAlign w:val="center"/>
          </w:tcPr>
          <w:p>
            <w:pPr>
              <w:jc w:val="center"/>
              <w:rPr>
                <w:sz w:val="24"/>
              </w:rPr>
            </w:pPr>
            <w:r>
              <w:rPr>
                <w:sz w:val="24"/>
              </w:rPr>
              <w:t>排放量</w:t>
            </w:r>
          </w:p>
          <w:p>
            <w:pPr>
              <w:jc w:val="center"/>
              <w:rPr>
                <w:sz w:val="24"/>
              </w:rPr>
            </w:pPr>
            <w:r>
              <w:rPr>
                <w:sz w:val="24"/>
              </w:rPr>
              <w:t>(吨/年)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580" w:hRule="atLeast"/>
          <w:jc w:val="center"/>
        </w:trPr>
        <w:tc>
          <w:tcPr>
            <w:tcW w:w="552" w:type="dxa"/>
            <w:vMerge w:val="continue"/>
            <w:vAlign w:val="center"/>
          </w:tcPr>
          <w:p>
            <w:pPr>
              <w:spacing w:line="440" w:lineRule="exact"/>
              <w:jc w:val="center"/>
              <w:rPr>
                <w:sz w:val="24"/>
              </w:rPr>
            </w:pPr>
          </w:p>
        </w:tc>
        <w:tc>
          <w:tcPr>
            <w:tcW w:w="1460" w:type="dxa"/>
            <w:vAlign w:val="center"/>
          </w:tcPr>
          <w:p>
            <w:pPr>
              <w:adjustRightInd w:val="0"/>
              <w:snapToGrid w:val="0"/>
              <w:spacing w:line="360" w:lineRule="exact"/>
              <w:jc w:val="center"/>
              <w:rPr>
                <w:sz w:val="24"/>
              </w:rPr>
            </w:pPr>
            <w:r>
              <w:rPr>
                <w:sz w:val="24"/>
              </w:rPr>
              <w:t>/</w:t>
            </w:r>
          </w:p>
        </w:tc>
        <w:tc>
          <w:tcPr>
            <w:tcW w:w="1997" w:type="dxa"/>
            <w:vAlign w:val="center"/>
          </w:tcPr>
          <w:p>
            <w:pPr>
              <w:spacing w:line="440" w:lineRule="exact"/>
              <w:jc w:val="center"/>
              <w:rPr>
                <w:sz w:val="24"/>
              </w:rPr>
            </w:pPr>
            <w:r>
              <w:rPr>
                <w:sz w:val="24"/>
              </w:rPr>
              <w:t>/</w:t>
            </w:r>
          </w:p>
        </w:tc>
        <w:tc>
          <w:tcPr>
            <w:tcW w:w="2393" w:type="dxa"/>
            <w:gridSpan w:val="3"/>
            <w:vAlign w:val="center"/>
          </w:tcPr>
          <w:p>
            <w:pPr>
              <w:spacing w:line="440" w:lineRule="exact"/>
              <w:jc w:val="center"/>
              <w:rPr>
                <w:sz w:val="24"/>
              </w:rPr>
            </w:pPr>
            <w:r>
              <w:rPr>
                <w:sz w:val="24"/>
              </w:rPr>
              <w:t>/</w:t>
            </w:r>
          </w:p>
        </w:tc>
        <w:tc>
          <w:tcPr>
            <w:tcW w:w="2431" w:type="dxa"/>
            <w:vAlign w:val="center"/>
          </w:tcPr>
          <w:p>
            <w:pPr>
              <w:spacing w:line="440" w:lineRule="exact"/>
              <w:jc w:val="center"/>
              <w:rPr>
                <w:sz w:val="24"/>
              </w:rPr>
            </w:pPr>
            <w:r>
              <w:rPr>
                <w:sz w:val="24"/>
              </w:rPr>
              <w:t>/</w:t>
            </w:r>
          </w:p>
        </w:tc>
      </w:tr>
    </w:tbl>
    <w:p>
      <w:pPr>
        <w:spacing w:line="440" w:lineRule="exact"/>
        <w:rPr>
          <w:rFonts w:eastAsia="黑体"/>
          <w:sz w:val="30"/>
        </w:rPr>
        <w:sectPr>
          <w:pgSz w:w="11907" w:h="16840"/>
          <w:pgMar w:top="1440" w:right="1531" w:bottom="1440" w:left="1531" w:header="851" w:footer="992" w:gutter="0"/>
          <w:cols w:space="720" w:num="1"/>
          <w:titlePg/>
          <w:docGrid w:linePitch="312" w:charSpace="0"/>
        </w:sectPr>
      </w:pPr>
    </w:p>
    <w:p>
      <w:pPr>
        <w:spacing w:line="440" w:lineRule="exact"/>
        <w:outlineLvl w:val="0"/>
        <w:rPr>
          <w:rFonts w:eastAsia="黑体"/>
          <w:sz w:val="30"/>
        </w:rPr>
      </w:pPr>
      <w:r>
        <w:rPr>
          <w:rFonts w:eastAsia="黑体"/>
          <w:sz w:val="30"/>
        </w:rPr>
        <w:t>污染物排放分析</w:t>
      </w:r>
    </w:p>
    <w:tbl>
      <w:tblPr>
        <w:tblStyle w:val="88"/>
        <w:tblW w:w="8728"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46"/>
        <w:gridCol w:w="2109"/>
        <w:gridCol w:w="1386"/>
        <w:gridCol w:w="1202"/>
        <w:gridCol w:w="348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852" w:hRule="atLeast"/>
          <w:jc w:val="center"/>
        </w:trPr>
        <w:tc>
          <w:tcPr>
            <w:tcW w:w="546" w:type="dxa"/>
            <w:vMerge w:val="restart"/>
            <w:vAlign w:val="center"/>
          </w:tcPr>
          <w:p>
            <w:pPr>
              <w:spacing w:line="440" w:lineRule="exact"/>
              <w:jc w:val="center"/>
              <w:rPr>
                <w:rFonts w:ascii="楷体_GB2312" w:eastAsia="楷体_GB2312"/>
                <w:sz w:val="24"/>
              </w:rPr>
            </w:pPr>
            <w:r>
              <w:rPr>
                <w:rFonts w:hint="eastAsia" w:ascii="楷体_GB2312" w:eastAsia="楷体_GB2312"/>
                <w:sz w:val="24"/>
              </w:rPr>
              <w:t>废</w:t>
            </w:r>
          </w:p>
          <w:p>
            <w:pPr>
              <w:spacing w:line="440" w:lineRule="exact"/>
              <w:jc w:val="center"/>
              <w:rPr>
                <w:rFonts w:ascii="楷体_GB2312" w:eastAsia="楷体_GB2312"/>
                <w:sz w:val="24"/>
              </w:rPr>
            </w:pPr>
          </w:p>
          <w:p>
            <w:pPr>
              <w:spacing w:line="440" w:lineRule="exact"/>
              <w:jc w:val="center"/>
              <w:rPr>
                <w:rFonts w:ascii="楷体_GB2312" w:eastAsia="楷体_GB2312"/>
                <w:sz w:val="24"/>
              </w:rPr>
            </w:pPr>
          </w:p>
          <w:p>
            <w:pPr>
              <w:spacing w:line="440" w:lineRule="exact"/>
              <w:jc w:val="center"/>
              <w:rPr>
                <w:rFonts w:ascii="楷体_GB2312" w:eastAsia="楷体_GB2312"/>
                <w:sz w:val="24"/>
              </w:rPr>
            </w:pPr>
          </w:p>
          <w:p>
            <w:pPr>
              <w:spacing w:line="440" w:lineRule="exact"/>
              <w:jc w:val="center"/>
              <w:rPr>
                <w:rFonts w:ascii="楷体_GB2312" w:eastAsia="楷体_GB2312"/>
                <w:sz w:val="24"/>
              </w:rPr>
            </w:pPr>
            <w:r>
              <w:rPr>
                <w:rFonts w:hint="eastAsia" w:ascii="楷体_GB2312" w:eastAsia="楷体_GB2312"/>
                <w:sz w:val="24"/>
              </w:rPr>
              <w:t>渣</w:t>
            </w:r>
          </w:p>
        </w:tc>
        <w:tc>
          <w:tcPr>
            <w:tcW w:w="4697" w:type="dxa"/>
            <w:gridSpan w:val="3"/>
            <w:vAlign w:val="center"/>
          </w:tcPr>
          <w:p>
            <w:pPr>
              <w:spacing w:line="440" w:lineRule="exact"/>
              <w:jc w:val="center"/>
              <w:rPr>
                <w:sz w:val="24"/>
              </w:rPr>
            </w:pPr>
            <w:r>
              <w:rPr>
                <w:sz w:val="24"/>
              </w:rPr>
              <w:t>主要的污染物</w:t>
            </w:r>
          </w:p>
        </w:tc>
        <w:tc>
          <w:tcPr>
            <w:tcW w:w="3485" w:type="dxa"/>
            <w:vMerge w:val="restart"/>
            <w:vAlign w:val="center"/>
          </w:tcPr>
          <w:p>
            <w:pPr>
              <w:spacing w:line="440" w:lineRule="exact"/>
              <w:jc w:val="center"/>
              <w:rPr>
                <w:sz w:val="24"/>
              </w:rPr>
            </w:pPr>
            <w:r>
              <w:rPr>
                <w:sz w:val="24"/>
              </w:rPr>
              <w:t>排放去向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578" w:hRule="atLeast"/>
          <w:jc w:val="center"/>
        </w:trPr>
        <w:tc>
          <w:tcPr>
            <w:tcW w:w="546" w:type="dxa"/>
            <w:vMerge w:val="continue"/>
            <w:vAlign w:val="center"/>
          </w:tcPr>
          <w:p>
            <w:pPr>
              <w:spacing w:line="440" w:lineRule="exact"/>
              <w:jc w:val="center"/>
              <w:rPr>
                <w:rFonts w:ascii="楷体_GB2312" w:eastAsia="楷体_GB2312"/>
                <w:sz w:val="24"/>
              </w:rPr>
            </w:pPr>
          </w:p>
        </w:tc>
        <w:tc>
          <w:tcPr>
            <w:tcW w:w="2109" w:type="dxa"/>
            <w:vAlign w:val="center"/>
          </w:tcPr>
          <w:p>
            <w:pPr>
              <w:spacing w:line="440" w:lineRule="exact"/>
              <w:jc w:val="center"/>
              <w:rPr>
                <w:sz w:val="24"/>
              </w:rPr>
            </w:pPr>
            <w:r>
              <w:rPr>
                <w:sz w:val="24"/>
              </w:rPr>
              <w:t>名  称</w:t>
            </w:r>
          </w:p>
        </w:tc>
        <w:tc>
          <w:tcPr>
            <w:tcW w:w="1386" w:type="dxa"/>
            <w:vAlign w:val="center"/>
          </w:tcPr>
          <w:p>
            <w:pPr>
              <w:spacing w:line="440" w:lineRule="exact"/>
              <w:jc w:val="center"/>
              <w:rPr>
                <w:sz w:val="24"/>
              </w:rPr>
            </w:pPr>
            <w:r>
              <w:rPr>
                <w:sz w:val="24"/>
              </w:rPr>
              <w:t>产生量</w:t>
            </w:r>
          </w:p>
          <w:p>
            <w:pPr>
              <w:spacing w:line="440" w:lineRule="exact"/>
              <w:jc w:val="center"/>
              <w:rPr>
                <w:sz w:val="24"/>
              </w:rPr>
            </w:pPr>
            <w:r>
              <w:rPr>
                <w:sz w:val="24"/>
              </w:rPr>
              <w:t>(吨/年)</w:t>
            </w:r>
          </w:p>
        </w:tc>
        <w:tc>
          <w:tcPr>
            <w:tcW w:w="1202" w:type="dxa"/>
            <w:vAlign w:val="center"/>
          </w:tcPr>
          <w:p>
            <w:pPr>
              <w:spacing w:line="440" w:lineRule="exact"/>
              <w:jc w:val="center"/>
              <w:rPr>
                <w:sz w:val="24"/>
              </w:rPr>
            </w:pPr>
            <w:r>
              <w:rPr>
                <w:sz w:val="24"/>
              </w:rPr>
              <w:t>排放量</w:t>
            </w:r>
          </w:p>
          <w:p>
            <w:pPr>
              <w:spacing w:line="440" w:lineRule="exact"/>
              <w:jc w:val="center"/>
              <w:rPr>
                <w:sz w:val="24"/>
              </w:rPr>
            </w:pPr>
            <w:r>
              <w:rPr>
                <w:sz w:val="24"/>
              </w:rPr>
              <w:t>(吨/年)</w:t>
            </w:r>
          </w:p>
        </w:tc>
        <w:tc>
          <w:tcPr>
            <w:tcW w:w="3485" w:type="dxa"/>
            <w:vMerge w:val="continue"/>
            <w:vAlign w:val="center"/>
          </w:tcPr>
          <w:p>
            <w:pPr>
              <w:spacing w:line="44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275" w:hRule="atLeast"/>
          <w:jc w:val="center"/>
        </w:trPr>
        <w:tc>
          <w:tcPr>
            <w:tcW w:w="546" w:type="dxa"/>
            <w:vMerge w:val="continue"/>
            <w:vAlign w:val="center"/>
          </w:tcPr>
          <w:p>
            <w:pPr>
              <w:spacing w:line="440" w:lineRule="exact"/>
              <w:jc w:val="center"/>
              <w:rPr>
                <w:rFonts w:ascii="楷体_GB2312" w:eastAsia="楷体_GB2312"/>
                <w:sz w:val="24"/>
              </w:rPr>
            </w:pPr>
          </w:p>
        </w:tc>
        <w:tc>
          <w:tcPr>
            <w:tcW w:w="2109" w:type="dxa"/>
            <w:vAlign w:val="center"/>
          </w:tcPr>
          <w:p>
            <w:pPr>
              <w:adjustRightInd w:val="0"/>
              <w:snapToGrid w:val="0"/>
              <w:spacing w:line="360" w:lineRule="auto"/>
              <w:jc w:val="center"/>
              <w:rPr>
                <w:sz w:val="24"/>
              </w:rPr>
            </w:pPr>
            <w:r>
              <w:rPr>
                <w:sz w:val="24"/>
              </w:rPr>
              <w:t>工艺过程产生的固体废物</w:t>
            </w:r>
          </w:p>
        </w:tc>
        <w:tc>
          <w:tcPr>
            <w:tcW w:w="1386" w:type="dxa"/>
            <w:vAlign w:val="center"/>
          </w:tcPr>
          <w:p>
            <w:pPr>
              <w:spacing w:line="400" w:lineRule="exact"/>
              <w:jc w:val="center"/>
              <w:rPr>
                <w:sz w:val="24"/>
              </w:rPr>
            </w:pPr>
            <w:r>
              <w:rPr>
                <w:color w:val="000000" w:themeColor="text1"/>
                <w:sz w:val="24"/>
              </w:rPr>
              <w:t>375.04</w:t>
            </w:r>
          </w:p>
        </w:tc>
        <w:tc>
          <w:tcPr>
            <w:tcW w:w="1202" w:type="dxa"/>
            <w:vAlign w:val="center"/>
          </w:tcPr>
          <w:p>
            <w:pPr>
              <w:spacing w:line="400" w:lineRule="exact"/>
              <w:jc w:val="center"/>
              <w:rPr>
                <w:sz w:val="24"/>
              </w:rPr>
            </w:pPr>
            <w:r>
              <w:rPr>
                <w:sz w:val="24"/>
              </w:rPr>
              <w:t>0</w:t>
            </w:r>
          </w:p>
        </w:tc>
        <w:tc>
          <w:tcPr>
            <w:tcW w:w="3485" w:type="dxa"/>
            <w:vAlign w:val="center"/>
          </w:tcPr>
          <w:p>
            <w:pPr>
              <w:spacing w:line="400" w:lineRule="exact"/>
              <w:jc w:val="center"/>
              <w:rPr>
                <w:sz w:val="24"/>
              </w:rPr>
            </w:pPr>
            <w:r>
              <w:rPr>
                <w:rFonts w:hint="eastAsia"/>
                <w:sz w:val="24"/>
              </w:rPr>
              <w:t>污泥运至电厂，掺烧</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699" w:hRule="atLeast"/>
          <w:jc w:val="center"/>
        </w:trPr>
        <w:tc>
          <w:tcPr>
            <w:tcW w:w="546" w:type="dxa"/>
            <w:vMerge w:val="continue"/>
            <w:vAlign w:val="center"/>
          </w:tcPr>
          <w:p>
            <w:pPr>
              <w:spacing w:line="440" w:lineRule="exact"/>
              <w:jc w:val="center"/>
              <w:rPr>
                <w:rFonts w:ascii="楷体_GB2312" w:eastAsia="楷体_GB2312"/>
                <w:sz w:val="24"/>
              </w:rPr>
            </w:pPr>
          </w:p>
        </w:tc>
        <w:tc>
          <w:tcPr>
            <w:tcW w:w="2109" w:type="dxa"/>
            <w:vAlign w:val="center"/>
          </w:tcPr>
          <w:p>
            <w:pPr>
              <w:spacing w:line="400" w:lineRule="exact"/>
              <w:jc w:val="center"/>
              <w:rPr>
                <w:spacing w:val="-20"/>
                <w:sz w:val="24"/>
              </w:rPr>
            </w:pPr>
            <w:r>
              <w:rPr>
                <w:sz w:val="24"/>
              </w:rPr>
              <w:t>/</w:t>
            </w:r>
          </w:p>
        </w:tc>
        <w:tc>
          <w:tcPr>
            <w:tcW w:w="1386" w:type="dxa"/>
            <w:vAlign w:val="center"/>
          </w:tcPr>
          <w:p>
            <w:pPr>
              <w:spacing w:line="400" w:lineRule="exact"/>
              <w:jc w:val="center"/>
              <w:rPr>
                <w:sz w:val="24"/>
              </w:rPr>
            </w:pPr>
            <w:r>
              <w:rPr>
                <w:sz w:val="24"/>
              </w:rPr>
              <w:t>/</w:t>
            </w:r>
          </w:p>
        </w:tc>
        <w:tc>
          <w:tcPr>
            <w:tcW w:w="1202" w:type="dxa"/>
            <w:vAlign w:val="center"/>
          </w:tcPr>
          <w:p>
            <w:pPr>
              <w:spacing w:line="400" w:lineRule="exact"/>
              <w:jc w:val="center"/>
              <w:rPr>
                <w:sz w:val="24"/>
              </w:rPr>
            </w:pPr>
            <w:r>
              <w:rPr>
                <w:sz w:val="24"/>
              </w:rPr>
              <w:t>/</w:t>
            </w:r>
          </w:p>
        </w:tc>
        <w:tc>
          <w:tcPr>
            <w:tcW w:w="3485" w:type="dxa"/>
            <w:vAlign w:val="center"/>
          </w:tcPr>
          <w:p>
            <w:pPr>
              <w:spacing w:line="400" w:lineRule="exact"/>
              <w:jc w:val="center"/>
              <w:rPr>
                <w:sz w:val="24"/>
              </w:rPr>
            </w:pPr>
            <w:r>
              <w:rPr>
                <w:sz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602" w:hRule="atLeast"/>
          <w:jc w:val="center"/>
        </w:trPr>
        <w:tc>
          <w:tcPr>
            <w:tcW w:w="546" w:type="dxa"/>
            <w:vMerge w:val="restart"/>
            <w:vAlign w:val="center"/>
          </w:tcPr>
          <w:p>
            <w:pPr>
              <w:spacing w:line="440" w:lineRule="exact"/>
              <w:jc w:val="center"/>
              <w:rPr>
                <w:rFonts w:ascii="楷体_GB2312" w:eastAsia="楷体_GB2312"/>
                <w:sz w:val="24"/>
              </w:rPr>
            </w:pPr>
            <w:r>
              <w:rPr>
                <w:rFonts w:hint="eastAsia" w:ascii="楷体_GB2312" w:eastAsia="楷体_GB2312"/>
                <w:sz w:val="24"/>
              </w:rPr>
              <w:t>噪</w:t>
            </w:r>
          </w:p>
          <w:p>
            <w:pPr>
              <w:spacing w:line="440" w:lineRule="exact"/>
              <w:jc w:val="center"/>
              <w:rPr>
                <w:rFonts w:ascii="楷体_GB2312" w:eastAsia="楷体_GB2312"/>
                <w:sz w:val="24"/>
              </w:rPr>
            </w:pPr>
            <w:r>
              <w:rPr>
                <w:rFonts w:hint="eastAsia" w:ascii="楷体_GB2312" w:eastAsia="楷体_GB2312"/>
                <w:sz w:val="24"/>
              </w:rPr>
              <w:t>声</w:t>
            </w:r>
          </w:p>
        </w:tc>
        <w:tc>
          <w:tcPr>
            <w:tcW w:w="4697" w:type="dxa"/>
            <w:gridSpan w:val="3"/>
            <w:vAlign w:val="center"/>
          </w:tcPr>
          <w:p>
            <w:pPr>
              <w:spacing w:line="440" w:lineRule="exact"/>
              <w:jc w:val="center"/>
              <w:rPr>
                <w:sz w:val="24"/>
              </w:rPr>
            </w:pPr>
            <w:r>
              <w:rPr>
                <w:sz w:val="24"/>
              </w:rPr>
              <w:t>产生噪声的设备名称</w:t>
            </w:r>
          </w:p>
        </w:tc>
        <w:tc>
          <w:tcPr>
            <w:tcW w:w="3485" w:type="dxa"/>
            <w:vAlign w:val="center"/>
          </w:tcPr>
          <w:p>
            <w:pPr>
              <w:spacing w:line="440" w:lineRule="exact"/>
              <w:jc w:val="center"/>
              <w:rPr>
                <w:sz w:val="24"/>
              </w:rPr>
            </w:pPr>
            <w:r>
              <w:rPr>
                <w:sz w:val="24"/>
              </w:rPr>
              <w:t>等效声级dB(A)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489" w:hRule="atLeast"/>
          <w:jc w:val="center"/>
        </w:trPr>
        <w:tc>
          <w:tcPr>
            <w:tcW w:w="546" w:type="dxa"/>
            <w:vMerge w:val="continue"/>
          </w:tcPr>
          <w:p>
            <w:pPr>
              <w:spacing w:line="440" w:lineRule="exact"/>
              <w:jc w:val="center"/>
              <w:rPr>
                <w:rFonts w:ascii="楷体_GB2312" w:eastAsia="楷体_GB2312"/>
                <w:sz w:val="24"/>
              </w:rPr>
            </w:pPr>
          </w:p>
        </w:tc>
        <w:tc>
          <w:tcPr>
            <w:tcW w:w="4697" w:type="dxa"/>
            <w:gridSpan w:val="3"/>
            <w:vAlign w:val="center"/>
          </w:tcPr>
          <w:p>
            <w:pPr>
              <w:pStyle w:val="171"/>
            </w:pPr>
            <w:r>
              <w:t>各类水泵、空压机等</w:t>
            </w:r>
          </w:p>
        </w:tc>
        <w:tc>
          <w:tcPr>
            <w:tcW w:w="3485" w:type="dxa"/>
            <w:vAlign w:val="center"/>
          </w:tcPr>
          <w:p>
            <w:pPr>
              <w:pStyle w:val="171"/>
              <w:rPr>
                <w:b/>
                <w:bCs/>
                <w:spacing w:val="10"/>
                <w:szCs w:val="21"/>
              </w:rPr>
            </w:pPr>
            <w:r>
              <w:t>65~85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127" w:hRule="atLeast"/>
          <w:jc w:val="center"/>
        </w:trPr>
        <w:tc>
          <w:tcPr>
            <w:tcW w:w="546" w:type="dxa"/>
            <w:vAlign w:val="center"/>
          </w:tcPr>
          <w:p>
            <w:pPr>
              <w:spacing w:line="440" w:lineRule="exact"/>
              <w:jc w:val="center"/>
              <w:rPr>
                <w:rFonts w:ascii="楷体_GB2312" w:eastAsia="楷体_GB2312"/>
                <w:sz w:val="24"/>
              </w:rPr>
            </w:pPr>
            <w:r>
              <w:rPr>
                <w:rFonts w:hint="eastAsia" w:ascii="楷体_GB2312" w:eastAsia="楷体_GB2312"/>
                <w:sz w:val="24"/>
              </w:rPr>
              <w:t>其</w:t>
            </w:r>
          </w:p>
          <w:p>
            <w:pPr>
              <w:spacing w:line="440" w:lineRule="exact"/>
              <w:jc w:val="center"/>
              <w:rPr>
                <w:rFonts w:ascii="楷体_GB2312" w:eastAsia="楷体_GB2312"/>
                <w:sz w:val="24"/>
              </w:rPr>
            </w:pPr>
            <w:r>
              <w:rPr>
                <w:rFonts w:hint="eastAsia" w:ascii="楷体_GB2312" w:eastAsia="楷体_GB2312"/>
                <w:sz w:val="24"/>
              </w:rPr>
              <w:t>他</w:t>
            </w:r>
          </w:p>
        </w:tc>
        <w:tc>
          <w:tcPr>
            <w:tcW w:w="8182" w:type="dxa"/>
            <w:gridSpan w:val="4"/>
            <w:vAlign w:val="center"/>
          </w:tcPr>
          <w:p>
            <w:pPr>
              <w:spacing w:line="440" w:lineRule="exact"/>
              <w:ind w:firstLine="3600" w:firstLineChars="1500"/>
              <w:rPr>
                <w:sz w:val="24"/>
              </w:rPr>
            </w:pPr>
            <w:r>
              <w:rPr>
                <w:sz w:val="24"/>
              </w:rPr>
              <w:t>无</w:t>
            </w:r>
          </w:p>
        </w:tc>
      </w:tr>
    </w:tbl>
    <w:p>
      <w:pPr>
        <w:spacing w:line="440" w:lineRule="exact"/>
        <w:ind w:right="-454"/>
        <w:rPr>
          <w:rFonts w:eastAsia="黑体"/>
          <w:sz w:val="30"/>
        </w:rPr>
        <w:sectPr>
          <w:pgSz w:w="11907" w:h="16840"/>
          <w:pgMar w:top="1440" w:right="1531" w:bottom="1440" w:left="1531" w:header="851" w:footer="992" w:gutter="0"/>
          <w:cols w:space="720" w:num="1"/>
          <w:titlePg/>
          <w:docGrid w:linePitch="312" w:charSpace="0"/>
        </w:sectPr>
      </w:pPr>
    </w:p>
    <w:p>
      <w:pPr>
        <w:spacing w:line="440" w:lineRule="exact"/>
        <w:outlineLvl w:val="0"/>
        <w:rPr>
          <w:rFonts w:eastAsia="黑体"/>
          <w:sz w:val="30"/>
        </w:rPr>
      </w:pPr>
      <w:r>
        <w:rPr>
          <w:rFonts w:eastAsia="黑体"/>
          <w:sz w:val="30"/>
        </w:rPr>
        <w:t>建设项目拟采取的防治措施及预期治理效果</w:t>
      </w:r>
    </w:p>
    <w:tbl>
      <w:tblPr>
        <w:tblStyle w:val="88"/>
        <w:tblW w:w="906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32"/>
        <w:gridCol w:w="1392"/>
        <w:gridCol w:w="1098"/>
        <w:gridCol w:w="3295"/>
        <w:gridCol w:w="214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79" w:hRule="atLeast"/>
          <w:jc w:val="center"/>
        </w:trPr>
        <w:tc>
          <w:tcPr>
            <w:tcW w:w="1132" w:type="dxa"/>
          </w:tcPr>
          <w:p>
            <w:pPr>
              <w:spacing w:line="440" w:lineRule="exact"/>
              <w:rPr>
                <w:rFonts w:eastAsia="楷体_GB2312"/>
                <w:sz w:val="24"/>
              </w:rPr>
            </w:pPr>
            <w:r>
              <w:rPr>
                <w:rFonts w:eastAsia="楷体_GB2312"/>
                <w:sz w:val="20"/>
              </w:rPr>
              <w:pict>
                <v:line id="直线 91" o:spid="_x0000_s1026" o:spt="20" style="position:absolute;left:0pt;margin-left:-5.4pt;margin-top:2.45pt;height:62.4pt;width:54pt;z-index:25175756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">
                  <v:path arrowok="t"/>
                  <v:fill focussize="0,0"/>
                  <v:stroke/>
                  <v:imagedata o:title=""/>
                  <o:lock v:ext="edit"/>
                </v:line>
              </w:pict>
            </w:r>
            <w:r>
              <w:rPr>
                <w:rFonts w:eastAsia="楷体_GB2312"/>
                <w:sz w:val="24"/>
              </w:rPr>
              <w:t xml:space="preserve">   内容</w:t>
            </w:r>
          </w:p>
          <w:p>
            <w:pPr>
              <w:spacing w:line="440" w:lineRule="exact"/>
              <w:rPr>
                <w:rFonts w:eastAsia="楷体_GB2312"/>
                <w:sz w:val="24"/>
              </w:rPr>
            </w:pPr>
          </w:p>
          <w:p>
            <w:pPr>
              <w:spacing w:line="440" w:lineRule="exact"/>
              <w:rPr>
                <w:rFonts w:eastAsia="楷体_GB2312"/>
                <w:sz w:val="24"/>
              </w:rPr>
            </w:pPr>
            <w:r>
              <w:rPr>
                <w:rFonts w:eastAsia="楷体_GB2312"/>
                <w:sz w:val="24"/>
              </w:rPr>
              <w:t>类型</w:t>
            </w:r>
          </w:p>
        </w:tc>
        <w:tc>
          <w:tcPr>
            <w:tcW w:w="1392" w:type="dxa"/>
            <w:vAlign w:val="center"/>
          </w:tcPr>
          <w:p>
            <w:pPr>
              <w:spacing w:line="440" w:lineRule="exact"/>
              <w:jc w:val="center"/>
              <w:rPr>
                <w:rFonts w:eastAsia="楷体_GB2312"/>
                <w:sz w:val="24"/>
              </w:rPr>
            </w:pPr>
            <w:r>
              <w:rPr>
                <w:rFonts w:eastAsia="楷体_GB2312"/>
                <w:sz w:val="24"/>
              </w:rPr>
              <w:t>排 放 源</w:t>
            </w:r>
          </w:p>
          <w:p>
            <w:pPr>
              <w:spacing w:line="440" w:lineRule="exact"/>
              <w:jc w:val="center"/>
              <w:rPr>
                <w:rFonts w:eastAsia="楷体_GB2312"/>
              </w:rPr>
            </w:pPr>
            <w:r>
              <w:rPr>
                <w:rFonts w:eastAsia="楷体_GB2312"/>
              </w:rPr>
              <w:t>(编  号)</w:t>
            </w:r>
          </w:p>
        </w:tc>
        <w:tc>
          <w:tcPr>
            <w:tcW w:w="1098" w:type="dxa"/>
            <w:vAlign w:val="center"/>
          </w:tcPr>
          <w:p>
            <w:pPr>
              <w:spacing w:line="440" w:lineRule="exact"/>
              <w:jc w:val="center"/>
              <w:rPr>
                <w:rFonts w:eastAsia="楷体_GB2312"/>
                <w:sz w:val="24"/>
              </w:rPr>
            </w:pPr>
            <w:r>
              <w:rPr>
                <w:rFonts w:eastAsia="楷体_GB2312"/>
                <w:sz w:val="24"/>
              </w:rPr>
              <w:t>污染物</w:t>
            </w:r>
          </w:p>
          <w:p>
            <w:pPr>
              <w:spacing w:line="440" w:lineRule="exact"/>
              <w:jc w:val="center"/>
              <w:rPr>
                <w:rFonts w:eastAsia="楷体_GB2312"/>
                <w:sz w:val="24"/>
              </w:rPr>
            </w:pPr>
            <w:r>
              <w:rPr>
                <w:rFonts w:eastAsia="楷体_GB2312"/>
                <w:sz w:val="24"/>
              </w:rPr>
              <w:t>名称</w:t>
            </w:r>
          </w:p>
        </w:tc>
        <w:tc>
          <w:tcPr>
            <w:tcW w:w="3295" w:type="dxa"/>
            <w:vAlign w:val="center"/>
          </w:tcPr>
          <w:p>
            <w:pPr>
              <w:spacing w:line="440" w:lineRule="exact"/>
              <w:jc w:val="center"/>
              <w:rPr>
                <w:rFonts w:eastAsia="楷体_GB2312"/>
                <w:sz w:val="24"/>
              </w:rPr>
            </w:pPr>
            <w:r>
              <w:rPr>
                <w:rFonts w:eastAsia="楷体_GB2312"/>
                <w:sz w:val="24"/>
              </w:rPr>
              <w:t>防  治  措  施</w:t>
            </w:r>
          </w:p>
        </w:tc>
        <w:tc>
          <w:tcPr>
            <w:tcW w:w="2144" w:type="dxa"/>
            <w:vAlign w:val="center"/>
          </w:tcPr>
          <w:p>
            <w:pPr>
              <w:spacing w:line="440" w:lineRule="exact"/>
              <w:jc w:val="center"/>
              <w:rPr>
                <w:rFonts w:eastAsia="楷体_GB2312"/>
                <w:sz w:val="24"/>
              </w:rPr>
            </w:pPr>
            <w:r>
              <w:rPr>
                <w:rFonts w:eastAsia="楷体_GB2312"/>
                <w:sz w:val="24"/>
              </w:rPr>
              <w:t>预期治理</w:t>
            </w:r>
          </w:p>
          <w:p>
            <w:pPr>
              <w:spacing w:line="440" w:lineRule="exact"/>
              <w:jc w:val="center"/>
              <w:rPr>
                <w:rFonts w:eastAsia="楷体_GB2312"/>
                <w:sz w:val="24"/>
              </w:rPr>
            </w:pPr>
            <w:r>
              <w:rPr>
                <w:rFonts w:eastAsia="楷体_GB2312"/>
                <w:sz w:val="24"/>
              </w:rPr>
              <w:t>效果</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01" w:hRule="atLeast"/>
          <w:jc w:val="center"/>
        </w:trPr>
        <w:tc>
          <w:tcPr>
            <w:tcW w:w="1132" w:type="dxa"/>
          </w:tcPr>
          <w:p>
            <w:pPr>
              <w:spacing w:line="440" w:lineRule="exact"/>
              <w:rPr>
                <w:rFonts w:eastAsia="楷体_GB2312"/>
                <w:sz w:val="24"/>
              </w:rPr>
            </w:pPr>
            <w:r>
              <w:rPr>
                <w:rFonts w:hint="eastAsia" w:eastAsia="楷体_GB2312"/>
                <w:sz w:val="24"/>
              </w:rPr>
              <w:t>大气污染物</w:t>
            </w:r>
          </w:p>
        </w:tc>
        <w:tc>
          <w:tcPr>
            <w:tcW w:w="1392" w:type="dxa"/>
            <w:vAlign w:val="center"/>
          </w:tcPr>
          <w:p>
            <w:pPr>
              <w:spacing w:line="440" w:lineRule="exact"/>
              <w:jc w:val="center"/>
              <w:rPr>
                <w:sz w:val="24"/>
              </w:rPr>
            </w:pPr>
            <w:r>
              <w:rPr>
                <w:rFonts w:hint="eastAsia"/>
                <w:sz w:val="24"/>
              </w:rPr>
              <w:t>/</w:t>
            </w:r>
          </w:p>
        </w:tc>
        <w:tc>
          <w:tcPr>
            <w:tcW w:w="1098" w:type="dxa"/>
            <w:vAlign w:val="center"/>
          </w:tcPr>
          <w:p>
            <w:pPr>
              <w:spacing w:line="440" w:lineRule="exact"/>
              <w:jc w:val="center"/>
              <w:rPr>
                <w:sz w:val="24"/>
              </w:rPr>
            </w:pPr>
            <w:r>
              <w:rPr>
                <w:rFonts w:hint="eastAsia"/>
                <w:sz w:val="24"/>
              </w:rPr>
              <w:t>/</w:t>
            </w:r>
          </w:p>
        </w:tc>
        <w:tc>
          <w:tcPr>
            <w:tcW w:w="3295" w:type="dxa"/>
            <w:vAlign w:val="center"/>
          </w:tcPr>
          <w:p>
            <w:pPr>
              <w:spacing w:line="440" w:lineRule="exact"/>
              <w:jc w:val="center"/>
              <w:rPr>
                <w:sz w:val="24"/>
              </w:rPr>
            </w:pPr>
            <w:r>
              <w:rPr>
                <w:rFonts w:hint="eastAsia"/>
                <w:sz w:val="24"/>
              </w:rPr>
              <w:t>/</w:t>
            </w:r>
          </w:p>
        </w:tc>
        <w:tc>
          <w:tcPr>
            <w:tcW w:w="2144" w:type="dxa"/>
            <w:vAlign w:val="center"/>
          </w:tcPr>
          <w:p>
            <w:pPr>
              <w:spacing w:line="440" w:lineRule="exact"/>
              <w:jc w:val="center"/>
              <w:rPr>
                <w:sz w:val="24"/>
              </w:rPr>
            </w:pPr>
            <w:r>
              <w:rPr>
                <w:rFonts w:hint="eastAsia"/>
                <w:sz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943" w:hRule="atLeast"/>
          <w:jc w:val="center"/>
        </w:trPr>
        <w:tc>
          <w:tcPr>
            <w:tcW w:w="1132" w:type="dxa"/>
            <w:vAlign w:val="center"/>
          </w:tcPr>
          <w:p>
            <w:pPr>
              <w:spacing w:line="440" w:lineRule="exact"/>
              <w:jc w:val="center"/>
              <w:rPr>
                <w:rFonts w:eastAsia="楷体_GB2312"/>
                <w:sz w:val="24"/>
              </w:rPr>
            </w:pPr>
            <w:r>
              <w:rPr>
                <w:rFonts w:hint="eastAsia" w:eastAsia="楷体_GB2312"/>
                <w:sz w:val="24"/>
              </w:rPr>
              <w:t>水</w:t>
            </w:r>
          </w:p>
          <w:p>
            <w:pPr>
              <w:spacing w:line="440" w:lineRule="exact"/>
              <w:jc w:val="center"/>
              <w:rPr>
                <w:rFonts w:eastAsia="楷体_GB2312"/>
                <w:sz w:val="24"/>
              </w:rPr>
            </w:pPr>
            <w:r>
              <w:rPr>
                <w:rFonts w:hint="eastAsia" w:eastAsia="楷体_GB2312"/>
                <w:sz w:val="24"/>
              </w:rPr>
              <w:t>污</w:t>
            </w:r>
          </w:p>
          <w:p>
            <w:pPr>
              <w:spacing w:line="440" w:lineRule="exact"/>
              <w:jc w:val="center"/>
              <w:rPr>
                <w:rFonts w:eastAsia="楷体_GB2312"/>
                <w:sz w:val="24"/>
              </w:rPr>
            </w:pPr>
            <w:r>
              <w:rPr>
                <w:rFonts w:hint="eastAsia" w:eastAsia="楷体_GB2312"/>
                <w:sz w:val="24"/>
              </w:rPr>
              <w:t>染</w:t>
            </w:r>
          </w:p>
          <w:p>
            <w:pPr>
              <w:spacing w:line="440" w:lineRule="exact"/>
              <w:jc w:val="center"/>
              <w:rPr>
                <w:rFonts w:eastAsia="楷体_GB2312"/>
                <w:sz w:val="24"/>
              </w:rPr>
            </w:pPr>
            <w:r>
              <w:rPr>
                <w:rFonts w:hint="eastAsia" w:eastAsia="楷体_GB2312"/>
                <w:sz w:val="24"/>
              </w:rPr>
              <w:t>物</w:t>
            </w:r>
          </w:p>
        </w:tc>
        <w:tc>
          <w:tcPr>
            <w:tcW w:w="1392" w:type="dxa"/>
            <w:vAlign w:val="center"/>
          </w:tcPr>
          <w:p>
            <w:pPr>
              <w:adjustRightInd w:val="0"/>
              <w:snapToGrid w:val="0"/>
              <w:spacing w:line="400" w:lineRule="exact"/>
              <w:rPr>
                <w:rFonts w:ascii="宋体" w:hAnsi="宋体"/>
                <w:sz w:val="24"/>
              </w:rPr>
            </w:pPr>
            <w:r>
              <w:rPr>
                <w:rFonts w:hint="eastAsia" w:ascii="宋体" w:hAnsi="宋体"/>
                <w:sz w:val="24"/>
              </w:rPr>
              <w:t>华能威海发电有限责任公司</w:t>
            </w:r>
          </w:p>
        </w:tc>
        <w:tc>
          <w:tcPr>
            <w:tcW w:w="1098" w:type="dxa"/>
            <w:vAlign w:val="center"/>
          </w:tcPr>
          <w:p>
            <w:pPr>
              <w:adjustRightInd w:val="0"/>
              <w:snapToGrid w:val="0"/>
              <w:spacing w:line="340" w:lineRule="exact"/>
              <w:jc w:val="center"/>
              <w:rPr>
                <w:sz w:val="24"/>
              </w:rPr>
            </w:pPr>
            <w:r>
              <w:rPr>
                <w:rFonts w:hint="eastAsia"/>
                <w:sz w:val="24"/>
              </w:rPr>
              <w:t>SS</w:t>
            </w:r>
          </w:p>
        </w:tc>
        <w:tc>
          <w:tcPr>
            <w:tcW w:w="3295" w:type="dxa"/>
            <w:vAlign w:val="center"/>
          </w:tcPr>
          <w:p>
            <w:pPr>
              <w:adjustRightInd w:val="0"/>
              <w:snapToGrid w:val="0"/>
              <w:spacing w:line="400" w:lineRule="exact"/>
              <w:rPr>
                <w:sz w:val="24"/>
              </w:rPr>
            </w:pPr>
            <w:r>
              <w:rPr>
                <w:rFonts w:hint="eastAsia"/>
                <w:sz w:val="24"/>
              </w:rPr>
              <w:t>1.通过微絮凝-V型滤池去除海水中大部分SS，去除效率≥9</w:t>
            </w:r>
            <w:r>
              <w:rPr>
                <w:sz w:val="24"/>
              </w:rPr>
              <w:t>0</w:t>
            </w:r>
            <w:r>
              <w:rPr>
                <w:rFonts w:hint="eastAsia"/>
                <w:sz w:val="24"/>
              </w:rPr>
              <w:t>%；</w:t>
            </w:r>
          </w:p>
          <w:p>
            <w:pPr>
              <w:adjustRightInd w:val="0"/>
              <w:snapToGrid w:val="0"/>
              <w:spacing w:line="400" w:lineRule="exact"/>
              <w:rPr>
                <w:sz w:val="24"/>
              </w:rPr>
            </w:pPr>
            <w:r>
              <w:rPr>
                <w:rFonts w:hint="eastAsia"/>
                <w:sz w:val="24"/>
              </w:rPr>
              <w:t>2.设置中和水池，超滤、一级反渗透、二级反渗透化学清洗废水排入中和水池，处理达标后，通过管道输送至浓盐水排放管。</w:t>
            </w:r>
          </w:p>
        </w:tc>
        <w:tc>
          <w:tcPr>
            <w:tcW w:w="2144" w:type="dxa"/>
            <w:vAlign w:val="center"/>
          </w:tcPr>
          <w:p>
            <w:pPr>
              <w:adjustRightInd w:val="0"/>
              <w:snapToGrid w:val="0"/>
              <w:spacing w:line="400" w:lineRule="exact"/>
              <w:rPr>
                <w:sz w:val="24"/>
              </w:rPr>
            </w:pPr>
            <w:r>
              <w:rPr>
                <w:rFonts w:hint="eastAsia"/>
                <w:sz w:val="24"/>
              </w:rPr>
              <w:t>近岸排放</w:t>
            </w:r>
            <w:r>
              <w:rPr>
                <w:sz w:val="24"/>
              </w:rPr>
              <w:t>，不会对周围环境产生明显影响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06" w:hRule="atLeast"/>
          <w:jc w:val="center"/>
        </w:trPr>
        <w:tc>
          <w:tcPr>
            <w:tcW w:w="1132" w:type="dxa"/>
            <w:vMerge w:val="restart"/>
            <w:vAlign w:val="center"/>
          </w:tcPr>
          <w:p>
            <w:pPr>
              <w:spacing w:line="440" w:lineRule="exact"/>
              <w:jc w:val="center"/>
              <w:rPr>
                <w:rFonts w:eastAsia="楷体_GB2312"/>
                <w:sz w:val="24"/>
              </w:rPr>
            </w:pPr>
            <w:r>
              <w:rPr>
                <w:rFonts w:eastAsia="楷体_GB2312"/>
                <w:sz w:val="24"/>
              </w:rPr>
              <w:t>固</w:t>
            </w:r>
          </w:p>
          <w:p>
            <w:pPr>
              <w:spacing w:line="440" w:lineRule="exact"/>
              <w:jc w:val="center"/>
              <w:rPr>
                <w:rFonts w:eastAsia="楷体_GB2312"/>
                <w:sz w:val="24"/>
              </w:rPr>
            </w:pPr>
            <w:r>
              <w:rPr>
                <w:rFonts w:eastAsia="楷体_GB2312"/>
                <w:sz w:val="24"/>
              </w:rPr>
              <w:t>体</w:t>
            </w:r>
          </w:p>
          <w:p>
            <w:pPr>
              <w:spacing w:line="440" w:lineRule="exact"/>
              <w:jc w:val="center"/>
              <w:rPr>
                <w:rFonts w:eastAsia="楷体_GB2312"/>
                <w:sz w:val="24"/>
              </w:rPr>
            </w:pPr>
            <w:r>
              <w:rPr>
                <w:rFonts w:eastAsia="楷体_GB2312"/>
                <w:sz w:val="24"/>
              </w:rPr>
              <w:t>废</w:t>
            </w:r>
          </w:p>
          <w:p>
            <w:pPr>
              <w:spacing w:line="440" w:lineRule="exact"/>
              <w:jc w:val="center"/>
              <w:rPr>
                <w:rFonts w:eastAsia="楷体_GB2312"/>
                <w:sz w:val="24"/>
              </w:rPr>
            </w:pPr>
            <w:r>
              <w:rPr>
                <w:rFonts w:eastAsia="楷体_GB2312"/>
                <w:sz w:val="24"/>
              </w:rPr>
              <w:t>物</w:t>
            </w:r>
          </w:p>
        </w:tc>
        <w:tc>
          <w:tcPr>
            <w:tcW w:w="1392" w:type="dxa"/>
            <w:vAlign w:val="center"/>
          </w:tcPr>
          <w:p>
            <w:pPr>
              <w:spacing w:line="400" w:lineRule="exact"/>
              <w:jc w:val="center"/>
              <w:rPr>
                <w:sz w:val="24"/>
              </w:rPr>
            </w:pPr>
            <w:r>
              <w:rPr>
                <w:rFonts w:hint="eastAsia" w:ascii="Cambria" w:hAnsi="Cambria" w:eastAsia="方正宋三简体" w:cs="Cambria"/>
                <w:sz w:val="24"/>
              </w:rPr>
              <w:t>V</w:t>
            </w:r>
            <w:r>
              <w:rPr>
                <w:rFonts w:hint="eastAsia" w:ascii="宋体" w:hAnsi="宋体" w:cs="宋体"/>
                <w:sz w:val="24"/>
              </w:rPr>
              <w:t>型滤池</w:t>
            </w:r>
            <w:r>
              <w:rPr>
                <w:rFonts w:hint="eastAsia" w:eastAsia="方正宋三简体"/>
                <w:sz w:val="24"/>
              </w:rPr>
              <w:t>池</w:t>
            </w:r>
          </w:p>
        </w:tc>
        <w:tc>
          <w:tcPr>
            <w:tcW w:w="1098" w:type="dxa"/>
            <w:vAlign w:val="center"/>
          </w:tcPr>
          <w:p>
            <w:pPr>
              <w:spacing w:line="400" w:lineRule="exact"/>
              <w:jc w:val="center"/>
              <w:rPr>
                <w:sz w:val="24"/>
              </w:rPr>
            </w:pPr>
            <w:r>
              <w:rPr>
                <w:rFonts w:hint="eastAsia" w:eastAsia="方正宋三简体"/>
                <w:sz w:val="24"/>
              </w:rPr>
              <w:t>工艺过程产生的固体废物</w:t>
            </w:r>
          </w:p>
        </w:tc>
        <w:tc>
          <w:tcPr>
            <w:tcW w:w="3295" w:type="dxa"/>
            <w:vAlign w:val="center"/>
          </w:tcPr>
          <w:p>
            <w:pPr>
              <w:spacing w:line="400" w:lineRule="exact"/>
              <w:jc w:val="center"/>
              <w:rPr>
                <w:sz w:val="24"/>
              </w:rPr>
            </w:pPr>
            <w:r>
              <w:rPr>
                <w:rFonts w:hint="eastAsia"/>
                <w:sz w:val="24"/>
              </w:rPr>
              <w:t>污泥运至电厂，掺烧</w:t>
            </w:r>
          </w:p>
        </w:tc>
        <w:tc>
          <w:tcPr>
            <w:tcW w:w="2144" w:type="dxa"/>
            <w:vAlign w:val="center"/>
          </w:tcPr>
          <w:p>
            <w:pPr>
              <w:spacing w:line="440" w:lineRule="exact"/>
              <w:jc w:val="center"/>
              <w:rPr>
                <w:sz w:val="24"/>
              </w:rPr>
            </w:pPr>
            <w:r>
              <w:rPr>
                <w:rFonts w:hint="eastAsia" w:eastAsia="方正宋三简体"/>
                <w:sz w:val="24"/>
              </w:rPr>
              <w:t>不会对周围环境产生影响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82" w:hRule="atLeast"/>
          <w:jc w:val="center"/>
        </w:trPr>
        <w:tc>
          <w:tcPr>
            <w:tcW w:w="1132" w:type="dxa"/>
            <w:vMerge w:val="continue"/>
            <w:vAlign w:val="center"/>
          </w:tcPr>
          <w:p>
            <w:pPr>
              <w:spacing w:line="440" w:lineRule="exact"/>
              <w:jc w:val="center"/>
              <w:rPr>
                <w:rFonts w:eastAsia="楷体_GB2312"/>
                <w:sz w:val="24"/>
              </w:rPr>
            </w:pPr>
          </w:p>
        </w:tc>
        <w:tc>
          <w:tcPr>
            <w:tcW w:w="1392" w:type="dxa"/>
            <w:vAlign w:val="center"/>
          </w:tcPr>
          <w:p>
            <w:pPr>
              <w:spacing w:line="400" w:lineRule="exact"/>
              <w:jc w:val="center"/>
              <w:rPr>
                <w:rFonts w:eastAsia="方正宋三简体"/>
                <w:sz w:val="24"/>
              </w:rPr>
            </w:pPr>
          </w:p>
        </w:tc>
        <w:tc>
          <w:tcPr>
            <w:tcW w:w="1098" w:type="dxa"/>
            <w:vAlign w:val="center"/>
          </w:tcPr>
          <w:p>
            <w:pPr>
              <w:spacing w:line="400" w:lineRule="exact"/>
              <w:jc w:val="center"/>
              <w:rPr>
                <w:rFonts w:eastAsia="方正宋三简体"/>
                <w:sz w:val="24"/>
              </w:rPr>
            </w:pPr>
          </w:p>
        </w:tc>
        <w:tc>
          <w:tcPr>
            <w:tcW w:w="3295" w:type="dxa"/>
            <w:vAlign w:val="center"/>
          </w:tcPr>
          <w:p>
            <w:pPr>
              <w:spacing w:line="400" w:lineRule="exact"/>
              <w:jc w:val="center"/>
              <w:rPr>
                <w:sz w:val="24"/>
              </w:rPr>
            </w:pPr>
          </w:p>
        </w:tc>
        <w:tc>
          <w:tcPr>
            <w:tcW w:w="2144" w:type="dxa"/>
            <w:vAlign w:val="center"/>
          </w:tcPr>
          <w:p>
            <w:pPr>
              <w:spacing w:line="440" w:lineRule="exact"/>
              <w:jc w:val="center"/>
              <w:rPr>
                <w:rFonts w:eastAsia="方正宋三简体"/>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03" w:hRule="atLeast"/>
          <w:jc w:val="center"/>
        </w:trPr>
        <w:tc>
          <w:tcPr>
            <w:tcW w:w="1132" w:type="dxa"/>
            <w:vMerge w:val="continue"/>
            <w:vAlign w:val="center"/>
          </w:tcPr>
          <w:p>
            <w:pPr>
              <w:spacing w:line="440" w:lineRule="exact"/>
              <w:jc w:val="center"/>
              <w:rPr>
                <w:rFonts w:eastAsia="楷体_GB2312"/>
                <w:sz w:val="24"/>
              </w:rPr>
            </w:pPr>
          </w:p>
        </w:tc>
        <w:tc>
          <w:tcPr>
            <w:tcW w:w="1392" w:type="dxa"/>
            <w:vAlign w:val="center"/>
          </w:tcPr>
          <w:p>
            <w:pPr>
              <w:spacing w:line="400" w:lineRule="exact"/>
              <w:jc w:val="center"/>
              <w:rPr>
                <w:sz w:val="24"/>
              </w:rPr>
            </w:pPr>
          </w:p>
        </w:tc>
        <w:tc>
          <w:tcPr>
            <w:tcW w:w="1098" w:type="dxa"/>
            <w:vAlign w:val="center"/>
          </w:tcPr>
          <w:p>
            <w:pPr>
              <w:spacing w:line="400" w:lineRule="exact"/>
              <w:jc w:val="center"/>
              <w:rPr>
                <w:spacing w:val="-20"/>
                <w:sz w:val="24"/>
              </w:rPr>
            </w:pPr>
          </w:p>
        </w:tc>
        <w:tc>
          <w:tcPr>
            <w:tcW w:w="3295" w:type="dxa"/>
            <w:vAlign w:val="center"/>
          </w:tcPr>
          <w:p>
            <w:pPr>
              <w:spacing w:line="400" w:lineRule="exact"/>
              <w:jc w:val="center"/>
              <w:rPr>
                <w:sz w:val="24"/>
              </w:rPr>
            </w:pPr>
          </w:p>
        </w:tc>
        <w:tc>
          <w:tcPr>
            <w:tcW w:w="2144" w:type="dxa"/>
            <w:vAlign w:val="center"/>
          </w:tcPr>
          <w:p>
            <w:pPr>
              <w:spacing w:line="44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08" w:hRule="atLeast"/>
          <w:jc w:val="center"/>
        </w:trPr>
        <w:tc>
          <w:tcPr>
            <w:tcW w:w="1132" w:type="dxa"/>
            <w:vAlign w:val="center"/>
          </w:tcPr>
          <w:p>
            <w:pPr>
              <w:spacing w:line="440" w:lineRule="exact"/>
              <w:jc w:val="center"/>
              <w:rPr>
                <w:rFonts w:eastAsia="楷体_GB2312"/>
                <w:sz w:val="24"/>
              </w:rPr>
            </w:pPr>
            <w:r>
              <w:rPr>
                <w:rFonts w:eastAsia="楷体_GB2312"/>
                <w:sz w:val="24"/>
              </w:rPr>
              <w:t>噪</w:t>
            </w:r>
          </w:p>
          <w:p>
            <w:pPr>
              <w:spacing w:line="440" w:lineRule="exact"/>
              <w:jc w:val="center"/>
              <w:rPr>
                <w:rFonts w:eastAsia="楷体_GB2312"/>
                <w:sz w:val="24"/>
              </w:rPr>
            </w:pPr>
            <w:r>
              <w:rPr>
                <w:rFonts w:eastAsia="楷体_GB2312"/>
                <w:sz w:val="24"/>
              </w:rPr>
              <w:t>声</w:t>
            </w:r>
          </w:p>
        </w:tc>
        <w:tc>
          <w:tcPr>
            <w:tcW w:w="7929" w:type="dxa"/>
            <w:gridSpan w:val="4"/>
            <w:vAlign w:val="center"/>
          </w:tcPr>
          <w:p>
            <w:pPr>
              <w:spacing w:line="400" w:lineRule="exact"/>
              <w:jc w:val="center"/>
              <w:rPr>
                <w:rFonts w:eastAsia="方正宋三简体"/>
                <w:sz w:val="24"/>
              </w:rPr>
            </w:pPr>
            <w:r>
              <w:rPr>
                <w:rFonts w:hint="eastAsia" w:eastAsia="方正宋三简体"/>
                <w:sz w:val="24"/>
              </w:rPr>
              <w:t>营运期主要噪声源为水泵等设备噪声，在选用低噪声设备和必要的消声、隔声、减振降噪等措施后，设备噪声对周围环境无影响。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20" w:hRule="atLeast"/>
          <w:jc w:val="center"/>
        </w:trPr>
        <w:tc>
          <w:tcPr>
            <w:tcW w:w="1132" w:type="dxa"/>
            <w:vAlign w:val="center"/>
          </w:tcPr>
          <w:p>
            <w:pPr>
              <w:spacing w:line="440" w:lineRule="exact"/>
              <w:jc w:val="center"/>
              <w:rPr>
                <w:rFonts w:eastAsia="楷体_GB2312"/>
                <w:sz w:val="24"/>
              </w:rPr>
            </w:pPr>
            <w:r>
              <w:rPr>
                <w:rFonts w:eastAsia="楷体_GB2312"/>
                <w:sz w:val="24"/>
              </w:rPr>
              <w:t>其</w:t>
            </w:r>
          </w:p>
          <w:p>
            <w:pPr>
              <w:spacing w:line="440" w:lineRule="exact"/>
              <w:jc w:val="center"/>
              <w:rPr>
                <w:rFonts w:eastAsia="楷体_GB2312"/>
                <w:sz w:val="24"/>
              </w:rPr>
            </w:pPr>
            <w:r>
              <w:rPr>
                <w:rFonts w:eastAsia="楷体_GB2312"/>
                <w:sz w:val="24"/>
              </w:rPr>
              <w:t>他</w:t>
            </w:r>
          </w:p>
        </w:tc>
        <w:tc>
          <w:tcPr>
            <w:tcW w:w="7929" w:type="dxa"/>
            <w:gridSpan w:val="4"/>
            <w:vAlign w:val="center"/>
          </w:tcPr>
          <w:p>
            <w:pPr>
              <w:spacing w:line="440" w:lineRule="exact"/>
              <w:jc w:val="center"/>
              <w:rPr>
                <w:rFonts w:eastAsia="方正宋三简体"/>
                <w:sz w:val="24"/>
              </w:rPr>
            </w:pPr>
            <w:r>
              <w:rPr>
                <w:rFonts w:eastAsia="方正宋三简体"/>
                <w:sz w:val="24"/>
              </w:rPr>
              <w:t>无</w:t>
            </w:r>
          </w:p>
        </w:tc>
      </w:tr>
    </w:tbl>
    <w:p>
      <w:pPr>
        <w:spacing w:line="440" w:lineRule="exact"/>
        <w:ind w:right="-454"/>
        <w:rPr>
          <w:rFonts w:eastAsia="黑体"/>
          <w:sz w:val="30"/>
        </w:rPr>
      </w:pPr>
    </w:p>
    <w:p>
      <w:pPr>
        <w:spacing w:line="440" w:lineRule="exact"/>
        <w:ind w:right="-454"/>
        <w:rPr>
          <w:rFonts w:eastAsia="黑体"/>
          <w:sz w:val="30"/>
        </w:rPr>
      </w:pPr>
    </w:p>
    <w:p>
      <w:pPr>
        <w:spacing w:line="360" w:lineRule="exact"/>
        <w:rPr>
          <w:rFonts w:eastAsia="黑体"/>
          <w:sz w:val="30"/>
        </w:rPr>
        <w:sectPr>
          <w:pgSz w:w="11907" w:h="16840"/>
          <w:pgMar w:top="1440" w:right="1531" w:bottom="1440" w:left="1531" w:header="851" w:footer="992" w:gutter="0"/>
          <w:cols w:space="720" w:num="1"/>
          <w:titlePg/>
          <w:docGrid w:linePitch="312" w:charSpace="0"/>
        </w:sectPr>
      </w:pPr>
    </w:p>
    <w:p>
      <w:pPr>
        <w:spacing w:line="440" w:lineRule="exact"/>
        <w:outlineLvl w:val="0"/>
        <w:rPr>
          <w:rFonts w:eastAsia="黑体"/>
          <w:sz w:val="30"/>
        </w:rPr>
      </w:pPr>
      <w:r>
        <w:rPr>
          <w:rFonts w:eastAsia="黑体"/>
          <w:sz w:val="30"/>
        </w:rPr>
        <w:t>污染物增减情况表</w:t>
      </w:r>
    </w:p>
    <w:tbl>
      <w:tblPr>
        <w:tblStyle w:val="88"/>
        <w:tblW w:w="906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347"/>
        <w:gridCol w:w="1057"/>
        <w:gridCol w:w="1187"/>
        <w:gridCol w:w="1120"/>
        <w:gridCol w:w="1269"/>
        <w:gridCol w:w="1571"/>
        <w:gridCol w:w="151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881" w:hRule="atLeast"/>
          <w:jc w:val="center"/>
        </w:trPr>
        <w:tc>
          <w:tcPr>
            <w:tcW w:w="1347" w:type="dxa"/>
            <w:vAlign w:val="center"/>
          </w:tcPr>
          <w:p>
            <w:pPr>
              <w:spacing w:line="360" w:lineRule="exact"/>
              <w:jc w:val="center"/>
              <w:rPr>
                <w:rFonts w:eastAsia="楷体_GB2312"/>
                <w:sz w:val="24"/>
              </w:rPr>
            </w:pPr>
            <w:r>
              <w:rPr>
                <w:rFonts w:eastAsia="楷体_GB2312"/>
                <w:sz w:val="24"/>
              </w:rPr>
              <w:t>污染物</w:t>
            </w:r>
          </w:p>
          <w:p>
            <w:pPr>
              <w:spacing w:line="360" w:lineRule="exact"/>
              <w:jc w:val="center"/>
              <w:rPr>
                <w:rFonts w:eastAsia="楷体_GB2312"/>
                <w:sz w:val="24"/>
              </w:rPr>
            </w:pPr>
            <w:r>
              <w:rPr>
                <w:rFonts w:eastAsia="楷体_GB2312"/>
                <w:sz w:val="24"/>
              </w:rPr>
              <w:t>名称</w:t>
            </w:r>
          </w:p>
        </w:tc>
        <w:tc>
          <w:tcPr>
            <w:tcW w:w="1057" w:type="dxa"/>
            <w:vAlign w:val="center"/>
          </w:tcPr>
          <w:p>
            <w:pPr>
              <w:spacing w:line="360" w:lineRule="exact"/>
              <w:jc w:val="center"/>
              <w:rPr>
                <w:rFonts w:eastAsia="楷体_GB2312"/>
                <w:sz w:val="24"/>
              </w:rPr>
            </w:pPr>
            <w:r>
              <w:rPr>
                <w:rFonts w:eastAsia="楷体_GB2312"/>
                <w:sz w:val="24"/>
              </w:rPr>
              <w:t>原有</w:t>
            </w:r>
          </w:p>
          <w:p>
            <w:pPr>
              <w:spacing w:line="360" w:lineRule="exact"/>
              <w:jc w:val="center"/>
              <w:rPr>
                <w:rFonts w:eastAsia="楷体_GB2312"/>
                <w:sz w:val="24"/>
              </w:rPr>
            </w:pPr>
            <w:r>
              <w:rPr>
                <w:rFonts w:eastAsia="楷体_GB2312"/>
                <w:sz w:val="24"/>
              </w:rPr>
              <w:t>排放量(1)</w:t>
            </w:r>
          </w:p>
        </w:tc>
        <w:tc>
          <w:tcPr>
            <w:tcW w:w="1187" w:type="dxa"/>
            <w:vAlign w:val="center"/>
          </w:tcPr>
          <w:p>
            <w:pPr>
              <w:spacing w:line="360" w:lineRule="exact"/>
              <w:jc w:val="center"/>
              <w:rPr>
                <w:rFonts w:eastAsia="楷体_GB2312"/>
                <w:sz w:val="24"/>
              </w:rPr>
            </w:pPr>
            <w:r>
              <w:rPr>
                <w:rFonts w:eastAsia="楷体_GB2312"/>
                <w:sz w:val="24"/>
              </w:rPr>
              <w:t>新建</w:t>
            </w:r>
          </w:p>
          <w:p>
            <w:pPr>
              <w:spacing w:line="360" w:lineRule="exact"/>
              <w:jc w:val="center"/>
              <w:rPr>
                <w:rFonts w:eastAsia="楷体_GB2312"/>
                <w:sz w:val="24"/>
              </w:rPr>
            </w:pPr>
            <w:r>
              <w:rPr>
                <w:rFonts w:eastAsia="楷体_GB2312"/>
                <w:sz w:val="24"/>
              </w:rPr>
              <w:t>部分</w:t>
            </w:r>
          </w:p>
          <w:p>
            <w:pPr>
              <w:spacing w:line="360" w:lineRule="exact"/>
              <w:jc w:val="center"/>
              <w:rPr>
                <w:rFonts w:eastAsia="楷体_GB2312"/>
                <w:sz w:val="24"/>
              </w:rPr>
            </w:pPr>
            <w:r>
              <w:rPr>
                <w:rFonts w:eastAsia="楷体_GB2312"/>
                <w:sz w:val="24"/>
              </w:rPr>
              <w:t>产生量</w:t>
            </w:r>
          </w:p>
          <w:p>
            <w:pPr>
              <w:spacing w:line="360" w:lineRule="exact"/>
              <w:jc w:val="center"/>
              <w:rPr>
                <w:rFonts w:eastAsia="楷体_GB2312"/>
                <w:sz w:val="24"/>
              </w:rPr>
            </w:pPr>
            <w:r>
              <w:rPr>
                <w:rFonts w:eastAsia="楷体_GB2312"/>
                <w:sz w:val="24"/>
              </w:rPr>
              <w:t>(2)</w:t>
            </w:r>
          </w:p>
        </w:tc>
        <w:tc>
          <w:tcPr>
            <w:tcW w:w="1120" w:type="dxa"/>
            <w:vAlign w:val="center"/>
          </w:tcPr>
          <w:p>
            <w:pPr>
              <w:spacing w:line="360" w:lineRule="exact"/>
              <w:jc w:val="center"/>
              <w:rPr>
                <w:rFonts w:eastAsia="楷体_GB2312"/>
                <w:sz w:val="24"/>
              </w:rPr>
            </w:pPr>
            <w:r>
              <w:rPr>
                <w:rFonts w:eastAsia="楷体_GB2312"/>
                <w:sz w:val="24"/>
              </w:rPr>
              <w:t>新建</w:t>
            </w:r>
          </w:p>
          <w:p>
            <w:pPr>
              <w:spacing w:line="360" w:lineRule="exact"/>
              <w:jc w:val="center"/>
              <w:rPr>
                <w:rFonts w:eastAsia="楷体_GB2312"/>
                <w:sz w:val="24"/>
              </w:rPr>
            </w:pPr>
            <w:r>
              <w:rPr>
                <w:rFonts w:eastAsia="楷体_GB2312"/>
                <w:sz w:val="24"/>
              </w:rPr>
              <w:t>部分</w:t>
            </w:r>
          </w:p>
          <w:p>
            <w:pPr>
              <w:spacing w:line="360" w:lineRule="exact"/>
              <w:jc w:val="center"/>
              <w:rPr>
                <w:rFonts w:eastAsia="楷体_GB2312"/>
                <w:sz w:val="24"/>
              </w:rPr>
            </w:pPr>
            <w:r>
              <w:rPr>
                <w:rFonts w:eastAsia="楷体_GB2312"/>
                <w:sz w:val="24"/>
              </w:rPr>
              <w:t>削减量</w:t>
            </w:r>
          </w:p>
          <w:p>
            <w:pPr>
              <w:spacing w:line="360" w:lineRule="exact"/>
              <w:jc w:val="center"/>
              <w:rPr>
                <w:rFonts w:eastAsia="楷体_GB2312"/>
                <w:sz w:val="24"/>
              </w:rPr>
            </w:pPr>
            <w:r>
              <w:rPr>
                <w:rFonts w:eastAsia="楷体_GB2312"/>
                <w:sz w:val="24"/>
              </w:rPr>
              <w:t>(3)</w:t>
            </w:r>
          </w:p>
        </w:tc>
        <w:tc>
          <w:tcPr>
            <w:tcW w:w="1269" w:type="dxa"/>
            <w:vAlign w:val="center"/>
          </w:tcPr>
          <w:p>
            <w:pPr>
              <w:spacing w:line="360" w:lineRule="exact"/>
              <w:jc w:val="center"/>
              <w:rPr>
                <w:rFonts w:eastAsia="楷体_GB2312"/>
                <w:sz w:val="24"/>
              </w:rPr>
            </w:pPr>
            <w:r>
              <w:rPr>
                <w:rFonts w:eastAsia="楷体_GB2312"/>
                <w:sz w:val="24"/>
              </w:rPr>
              <w:t>以新</w:t>
            </w:r>
          </w:p>
          <w:p>
            <w:pPr>
              <w:spacing w:line="360" w:lineRule="exact"/>
              <w:jc w:val="center"/>
              <w:rPr>
                <w:rFonts w:eastAsia="楷体_GB2312"/>
                <w:sz w:val="24"/>
              </w:rPr>
            </w:pPr>
            <w:r>
              <w:rPr>
                <w:rFonts w:eastAsia="楷体_GB2312"/>
                <w:sz w:val="24"/>
              </w:rPr>
              <w:t>带老</w:t>
            </w:r>
          </w:p>
          <w:p>
            <w:pPr>
              <w:spacing w:line="360" w:lineRule="exact"/>
              <w:jc w:val="center"/>
              <w:rPr>
                <w:rFonts w:eastAsia="楷体_GB2312"/>
                <w:sz w:val="24"/>
              </w:rPr>
            </w:pPr>
            <w:r>
              <w:rPr>
                <w:rFonts w:eastAsia="楷体_GB2312"/>
                <w:sz w:val="24"/>
              </w:rPr>
              <w:t>削减量</w:t>
            </w:r>
          </w:p>
          <w:p>
            <w:pPr>
              <w:spacing w:line="360" w:lineRule="exact"/>
              <w:jc w:val="center"/>
              <w:rPr>
                <w:rFonts w:eastAsia="楷体_GB2312"/>
                <w:sz w:val="24"/>
              </w:rPr>
            </w:pPr>
            <w:r>
              <w:rPr>
                <w:rFonts w:eastAsia="楷体_GB2312"/>
                <w:sz w:val="24"/>
              </w:rPr>
              <w:t>(4)</w:t>
            </w:r>
          </w:p>
        </w:tc>
        <w:tc>
          <w:tcPr>
            <w:tcW w:w="1571" w:type="dxa"/>
            <w:vAlign w:val="center"/>
          </w:tcPr>
          <w:p>
            <w:pPr>
              <w:spacing w:line="360" w:lineRule="exact"/>
              <w:jc w:val="center"/>
              <w:rPr>
                <w:rFonts w:eastAsia="楷体_GB2312"/>
                <w:sz w:val="24"/>
              </w:rPr>
            </w:pPr>
            <w:r>
              <w:rPr>
                <w:rFonts w:eastAsia="楷体_GB2312"/>
                <w:sz w:val="24"/>
              </w:rPr>
              <w:t>排放</w:t>
            </w:r>
          </w:p>
          <w:p>
            <w:pPr>
              <w:spacing w:line="360" w:lineRule="exact"/>
              <w:jc w:val="center"/>
              <w:rPr>
                <w:rFonts w:eastAsia="楷体_GB2312"/>
                <w:sz w:val="24"/>
              </w:rPr>
            </w:pPr>
            <w:r>
              <w:rPr>
                <w:rFonts w:eastAsia="楷体_GB2312"/>
                <w:sz w:val="24"/>
              </w:rPr>
              <w:t>增减量</w:t>
            </w:r>
          </w:p>
          <w:p>
            <w:pPr>
              <w:spacing w:line="360" w:lineRule="exact"/>
              <w:jc w:val="center"/>
              <w:rPr>
                <w:rFonts w:eastAsia="楷体_GB2312"/>
                <w:sz w:val="24"/>
              </w:rPr>
            </w:pPr>
            <w:r>
              <w:rPr>
                <w:rFonts w:eastAsia="楷体_GB2312"/>
                <w:sz w:val="24"/>
              </w:rPr>
              <w:t>(5)</w:t>
            </w:r>
          </w:p>
        </w:tc>
        <w:tc>
          <w:tcPr>
            <w:tcW w:w="1510" w:type="dxa"/>
            <w:vAlign w:val="center"/>
          </w:tcPr>
          <w:p>
            <w:pPr>
              <w:spacing w:line="360" w:lineRule="exact"/>
              <w:jc w:val="center"/>
              <w:rPr>
                <w:rFonts w:eastAsia="楷体_GB2312"/>
                <w:sz w:val="24"/>
              </w:rPr>
            </w:pPr>
            <w:r>
              <w:rPr>
                <w:rFonts w:eastAsia="楷体_GB2312"/>
                <w:sz w:val="24"/>
              </w:rPr>
              <w:t>排放</w:t>
            </w:r>
          </w:p>
          <w:p>
            <w:pPr>
              <w:spacing w:line="360" w:lineRule="exact"/>
              <w:jc w:val="center"/>
              <w:rPr>
                <w:rFonts w:eastAsia="楷体_GB2312"/>
                <w:sz w:val="24"/>
              </w:rPr>
            </w:pPr>
            <w:r>
              <w:rPr>
                <w:rFonts w:eastAsia="楷体_GB2312"/>
                <w:sz w:val="24"/>
              </w:rPr>
              <w:t>总量</w:t>
            </w:r>
          </w:p>
          <w:p>
            <w:pPr>
              <w:spacing w:line="360" w:lineRule="exact"/>
              <w:jc w:val="center"/>
              <w:rPr>
                <w:rFonts w:eastAsia="楷体_GB2312"/>
                <w:sz w:val="24"/>
              </w:rPr>
            </w:pPr>
            <w:r>
              <w:rPr>
                <w:rFonts w:eastAsia="楷体_GB2312"/>
                <w:sz w:val="24"/>
              </w:rPr>
              <w:t>(6)</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b/>
                <w:sz w:val="24"/>
              </w:rPr>
            </w:pPr>
            <w:r>
              <w:rPr>
                <w:b/>
                <w:sz w:val="24"/>
              </w:rPr>
              <w:t>废水</w:t>
            </w:r>
          </w:p>
        </w:tc>
        <w:tc>
          <w:tcPr>
            <w:tcW w:w="1057" w:type="dxa"/>
            <w:vAlign w:val="center"/>
          </w:tcPr>
          <w:p>
            <w:pPr>
              <w:spacing w:line="360" w:lineRule="exact"/>
              <w:jc w:val="center"/>
              <w:rPr>
                <w:rFonts w:ascii="Cambria" w:hAnsi="Cambria" w:eastAsia="方正宋三简体"/>
                <w:sz w:val="24"/>
              </w:rPr>
            </w:pPr>
            <w:r>
              <w:rPr>
                <w:rFonts w:hint="eastAsia" w:ascii="Cambria" w:hAnsi="Cambria" w:eastAsia="方正宋三简体"/>
                <w:sz w:val="24"/>
              </w:rPr>
              <w:t>/</w:t>
            </w:r>
          </w:p>
        </w:tc>
        <w:tc>
          <w:tcPr>
            <w:tcW w:w="1187" w:type="dxa"/>
            <w:vAlign w:val="center"/>
          </w:tcPr>
          <w:p>
            <w:pPr>
              <w:spacing w:line="360" w:lineRule="exact"/>
              <w:jc w:val="center"/>
              <w:rPr>
                <w:rFonts w:eastAsia="方正宋三简体"/>
                <w:sz w:val="24"/>
              </w:rPr>
            </w:pPr>
            <w:r>
              <w:rPr>
                <w:rFonts w:eastAsia="方正宋三简体"/>
                <w:sz w:val="24"/>
              </w:rPr>
              <w:t>6848.86</w:t>
            </w:r>
          </w:p>
        </w:tc>
        <w:tc>
          <w:tcPr>
            <w:tcW w:w="1120" w:type="dxa"/>
            <w:vAlign w:val="center"/>
          </w:tcPr>
          <w:p>
            <w:pPr>
              <w:spacing w:line="360" w:lineRule="exact"/>
              <w:jc w:val="center"/>
              <w:rPr>
                <w:rFonts w:eastAsia="方正宋三简体"/>
                <w:sz w:val="24"/>
              </w:rPr>
            </w:pPr>
            <w:r>
              <w:rPr>
                <w:rFonts w:hint="eastAsia" w:eastAsia="方正宋三简体"/>
                <w:sz w:val="24"/>
              </w:rPr>
              <w:t>0</w:t>
            </w:r>
          </w:p>
        </w:tc>
        <w:tc>
          <w:tcPr>
            <w:tcW w:w="1269" w:type="dxa"/>
            <w:vAlign w:val="center"/>
          </w:tcPr>
          <w:p>
            <w:pPr>
              <w:spacing w:line="360" w:lineRule="exact"/>
              <w:jc w:val="center"/>
              <w:rPr>
                <w:rFonts w:eastAsia="方正宋三简体"/>
                <w:sz w:val="24"/>
              </w:rPr>
            </w:pPr>
            <w:r>
              <w:rPr>
                <w:rFonts w:hint="eastAsia" w:eastAsia="方正宋三简体"/>
                <w:sz w:val="24"/>
              </w:rPr>
              <w:t>0</w:t>
            </w:r>
          </w:p>
        </w:tc>
        <w:tc>
          <w:tcPr>
            <w:tcW w:w="1571" w:type="dxa"/>
            <w:vAlign w:val="center"/>
          </w:tcPr>
          <w:p>
            <w:pPr>
              <w:spacing w:line="360" w:lineRule="exact"/>
              <w:jc w:val="center"/>
              <w:rPr>
                <w:rFonts w:eastAsia="方正宋三简体"/>
                <w:sz w:val="24"/>
              </w:rPr>
            </w:pPr>
            <w:r>
              <w:rPr>
                <w:rFonts w:hint="eastAsia" w:eastAsia="方正宋三简体"/>
                <w:sz w:val="24"/>
              </w:rPr>
              <w:t>+</w:t>
            </w:r>
            <w:r>
              <w:rPr>
                <w:rFonts w:eastAsia="方正宋三简体"/>
                <w:sz w:val="24"/>
              </w:rPr>
              <w:t>6848.86</w:t>
            </w:r>
          </w:p>
        </w:tc>
        <w:tc>
          <w:tcPr>
            <w:tcW w:w="1510" w:type="dxa"/>
            <w:vAlign w:val="center"/>
          </w:tcPr>
          <w:p>
            <w:pPr>
              <w:spacing w:line="360" w:lineRule="exact"/>
              <w:jc w:val="center"/>
              <w:rPr>
                <w:rFonts w:eastAsia="方正宋三简体"/>
                <w:sz w:val="24"/>
              </w:rPr>
            </w:pPr>
            <w:r>
              <w:rPr>
                <w:rFonts w:eastAsia="方正宋三简体"/>
                <w:sz w:val="24"/>
              </w:rPr>
              <w:t>6848.86</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sz w:val="24"/>
              </w:rPr>
            </w:pPr>
            <w:r>
              <w:rPr>
                <w:sz w:val="24"/>
              </w:rPr>
              <w:t>SS</w:t>
            </w:r>
          </w:p>
        </w:tc>
        <w:tc>
          <w:tcPr>
            <w:tcW w:w="1057" w:type="dxa"/>
            <w:vAlign w:val="center"/>
          </w:tcPr>
          <w:p>
            <w:pPr>
              <w:spacing w:line="360" w:lineRule="exact"/>
              <w:jc w:val="center"/>
              <w:rPr>
                <w:rFonts w:ascii="Cambria" w:hAnsi="Cambria" w:eastAsia="方正宋三简体"/>
                <w:color w:val="000000" w:themeColor="text1"/>
                <w:sz w:val="24"/>
              </w:rPr>
            </w:pPr>
            <w:r>
              <w:rPr>
                <w:rFonts w:hint="eastAsia" w:ascii="Cambria" w:hAnsi="Cambria" w:eastAsia="方正宋三简体"/>
                <w:color w:val="000000" w:themeColor="text1"/>
                <w:sz w:val="24"/>
              </w:rPr>
              <w:t>/</w:t>
            </w:r>
          </w:p>
        </w:tc>
        <w:tc>
          <w:tcPr>
            <w:tcW w:w="1187" w:type="dxa"/>
            <w:vAlign w:val="center"/>
          </w:tcPr>
          <w:p>
            <w:pPr>
              <w:spacing w:line="360" w:lineRule="exact"/>
              <w:jc w:val="center"/>
              <w:rPr>
                <w:rFonts w:eastAsia="方正宋三简体"/>
                <w:color w:val="000000" w:themeColor="text1"/>
                <w:sz w:val="24"/>
              </w:rPr>
            </w:pPr>
            <w:r>
              <w:rPr>
                <w:rFonts w:eastAsia="方正宋三简体"/>
                <w:color w:val="000000" w:themeColor="text1"/>
                <w:sz w:val="24"/>
              </w:rPr>
              <w:t>104.448</w:t>
            </w:r>
          </w:p>
        </w:tc>
        <w:tc>
          <w:tcPr>
            <w:tcW w:w="1120" w:type="dxa"/>
            <w:vAlign w:val="center"/>
          </w:tcPr>
          <w:p>
            <w:pPr>
              <w:spacing w:line="360" w:lineRule="exact"/>
              <w:jc w:val="center"/>
              <w:rPr>
                <w:rFonts w:eastAsia="方正宋三简体"/>
                <w:color w:val="000000" w:themeColor="text1"/>
                <w:sz w:val="24"/>
              </w:rPr>
            </w:pPr>
            <w:r>
              <w:rPr>
                <w:rFonts w:hint="eastAsia" w:eastAsia="方正宋三简体"/>
                <w:color w:val="000000" w:themeColor="text1"/>
                <w:sz w:val="24"/>
              </w:rPr>
              <w:t>0</w:t>
            </w:r>
          </w:p>
        </w:tc>
        <w:tc>
          <w:tcPr>
            <w:tcW w:w="1269" w:type="dxa"/>
            <w:vAlign w:val="center"/>
          </w:tcPr>
          <w:p>
            <w:pPr>
              <w:spacing w:line="360" w:lineRule="exact"/>
              <w:jc w:val="center"/>
              <w:rPr>
                <w:rFonts w:eastAsia="方正宋三简体"/>
                <w:color w:val="000000" w:themeColor="text1"/>
                <w:sz w:val="24"/>
              </w:rPr>
            </w:pPr>
            <w:r>
              <w:rPr>
                <w:rFonts w:hint="eastAsia" w:eastAsia="方正宋三简体"/>
                <w:color w:val="000000" w:themeColor="text1"/>
                <w:sz w:val="24"/>
              </w:rPr>
              <w:t>0</w:t>
            </w:r>
          </w:p>
        </w:tc>
        <w:tc>
          <w:tcPr>
            <w:tcW w:w="1571" w:type="dxa"/>
            <w:vAlign w:val="center"/>
          </w:tcPr>
          <w:p>
            <w:pPr>
              <w:spacing w:line="360" w:lineRule="exact"/>
              <w:jc w:val="center"/>
              <w:rPr>
                <w:rFonts w:eastAsia="方正宋三简体"/>
                <w:color w:val="000000" w:themeColor="text1"/>
                <w:sz w:val="24"/>
              </w:rPr>
            </w:pPr>
            <w:r>
              <w:rPr>
                <w:rFonts w:hint="eastAsia" w:eastAsia="方正宋三简体"/>
                <w:color w:val="000000" w:themeColor="text1"/>
                <w:sz w:val="24"/>
              </w:rPr>
              <w:t>+</w:t>
            </w:r>
            <w:r>
              <w:rPr>
                <w:rFonts w:eastAsia="方正宋三简体"/>
                <w:color w:val="000000" w:themeColor="text1"/>
                <w:sz w:val="24"/>
              </w:rPr>
              <w:t>104.448</w:t>
            </w:r>
          </w:p>
        </w:tc>
        <w:tc>
          <w:tcPr>
            <w:tcW w:w="1510" w:type="dxa"/>
            <w:vAlign w:val="center"/>
          </w:tcPr>
          <w:p>
            <w:pPr>
              <w:spacing w:line="360" w:lineRule="exact"/>
              <w:jc w:val="center"/>
              <w:rPr>
                <w:rFonts w:eastAsia="方正宋三简体"/>
                <w:color w:val="000000" w:themeColor="text1"/>
                <w:sz w:val="24"/>
              </w:rPr>
            </w:pPr>
            <w:r>
              <w:rPr>
                <w:rFonts w:eastAsia="方正宋三简体"/>
                <w:color w:val="000000" w:themeColor="text1"/>
                <w:sz w:val="24"/>
              </w:rPr>
              <w:t>104.448</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sz w:val="24"/>
              </w:rPr>
            </w:pPr>
          </w:p>
        </w:tc>
        <w:tc>
          <w:tcPr>
            <w:tcW w:w="1057" w:type="dxa"/>
            <w:vAlign w:val="center"/>
          </w:tcPr>
          <w:p>
            <w:pPr>
              <w:spacing w:line="360" w:lineRule="exact"/>
              <w:jc w:val="center"/>
              <w:rPr>
                <w:rFonts w:eastAsia="方正宋三简体"/>
                <w:sz w:val="24"/>
              </w:rPr>
            </w:pPr>
          </w:p>
        </w:tc>
        <w:tc>
          <w:tcPr>
            <w:tcW w:w="1187" w:type="dxa"/>
            <w:vAlign w:val="center"/>
          </w:tcPr>
          <w:p>
            <w:pPr>
              <w:spacing w:line="440" w:lineRule="exact"/>
              <w:jc w:val="center"/>
              <w:rPr>
                <w:rFonts w:eastAsia="方正宋三简体"/>
                <w:sz w:val="24"/>
                <w:highlight w:val="yellow"/>
              </w:rPr>
            </w:pPr>
          </w:p>
        </w:tc>
        <w:tc>
          <w:tcPr>
            <w:tcW w:w="1120" w:type="dxa"/>
            <w:vAlign w:val="center"/>
          </w:tcPr>
          <w:p>
            <w:pPr>
              <w:spacing w:line="360" w:lineRule="exact"/>
              <w:jc w:val="center"/>
              <w:rPr>
                <w:rFonts w:eastAsia="方正宋三简体"/>
                <w:sz w:val="24"/>
                <w:highlight w:val="yellow"/>
              </w:rPr>
            </w:pPr>
          </w:p>
        </w:tc>
        <w:tc>
          <w:tcPr>
            <w:tcW w:w="1269" w:type="dxa"/>
            <w:vAlign w:val="center"/>
          </w:tcPr>
          <w:p>
            <w:pPr>
              <w:spacing w:line="360" w:lineRule="exact"/>
              <w:jc w:val="center"/>
              <w:rPr>
                <w:rFonts w:eastAsia="方正宋三简体"/>
                <w:sz w:val="24"/>
                <w:highlight w:val="yellow"/>
              </w:rPr>
            </w:pPr>
          </w:p>
        </w:tc>
        <w:tc>
          <w:tcPr>
            <w:tcW w:w="1571" w:type="dxa"/>
            <w:vAlign w:val="center"/>
          </w:tcPr>
          <w:p>
            <w:pPr>
              <w:spacing w:line="360" w:lineRule="exact"/>
              <w:jc w:val="center"/>
              <w:rPr>
                <w:rFonts w:eastAsia="方正宋三简体"/>
                <w:sz w:val="24"/>
              </w:rPr>
            </w:pPr>
          </w:p>
        </w:tc>
        <w:tc>
          <w:tcPr>
            <w:tcW w:w="1510" w:type="dxa"/>
            <w:vAlign w:val="center"/>
          </w:tcPr>
          <w:p>
            <w:pPr>
              <w:spacing w:line="360" w:lineRule="exact"/>
              <w:jc w:val="center"/>
              <w:rPr>
                <w:rFonts w:eastAsia="方正宋三简体"/>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sz w:val="24"/>
              </w:rPr>
            </w:pPr>
            <w:r>
              <w:rPr>
                <w:b/>
                <w:sz w:val="24"/>
              </w:rPr>
              <w:t>废气</w:t>
            </w:r>
          </w:p>
        </w:tc>
        <w:tc>
          <w:tcPr>
            <w:tcW w:w="1057" w:type="dxa"/>
            <w:vAlign w:val="center"/>
          </w:tcPr>
          <w:p>
            <w:pPr>
              <w:spacing w:line="360" w:lineRule="exact"/>
              <w:jc w:val="center"/>
              <w:rPr>
                <w:rFonts w:eastAsia="方正宋三简体"/>
                <w:sz w:val="24"/>
              </w:rPr>
            </w:pPr>
            <w:r>
              <w:rPr>
                <w:rFonts w:hint="eastAsia" w:eastAsia="方正宋三简体"/>
                <w:sz w:val="24"/>
              </w:rPr>
              <w:t>/</w:t>
            </w:r>
          </w:p>
        </w:tc>
        <w:tc>
          <w:tcPr>
            <w:tcW w:w="1187" w:type="dxa"/>
            <w:vAlign w:val="center"/>
          </w:tcPr>
          <w:p>
            <w:pPr>
              <w:spacing w:line="360" w:lineRule="exact"/>
              <w:jc w:val="center"/>
              <w:rPr>
                <w:rFonts w:eastAsia="方正宋三简体"/>
                <w:sz w:val="24"/>
              </w:rPr>
            </w:pPr>
            <w:r>
              <w:rPr>
                <w:rFonts w:hint="eastAsia" w:eastAsia="方正宋三简体"/>
                <w:sz w:val="24"/>
              </w:rPr>
              <w:t>/</w:t>
            </w:r>
          </w:p>
        </w:tc>
        <w:tc>
          <w:tcPr>
            <w:tcW w:w="1120" w:type="dxa"/>
            <w:vAlign w:val="center"/>
          </w:tcPr>
          <w:p>
            <w:pPr>
              <w:spacing w:line="360" w:lineRule="exact"/>
              <w:jc w:val="center"/>
              <w:rPr>
                <w:rFonts w:eastAsia="方正宋三简体"/>
                <w:sz w:val="24"/>
              </w:rPr>
            </w:pPr>
            <w:r>
              <w:rPr>
                <w:rFonts w:hint="eastAsia" w:eastAsia="方正宋三简体"/>
                <w:sz w:val="24"/>
              </w:rPr>
              <w:t>/</w:t>
            </w:r>
          </w:p>
        </w:tc>
        <w:tc>
          <w:tcPr>
            <w:tcW w:w="1269" w:type="dxa"/>
            <w:vAlign w:val="center"/>
          </w:tcPr>
          <w:p>
            <w:pPr>
              <w:spacing w:line="360" w:lineRule="exact"/>
              <w:jc w:val="center"/>
              <w:rPr>
                <w:rFonts w:eastAsia="方正宋三简体"/>
                <w:sz w:val="24"/>
              </w:rPr>
            </w:pPr>
            <w:r>
              <w:rPr>
                <w:rFonts w:hint="eastAsia" w:eastAsia="方正宋三简体"/>
                <w:sz w:val="24"/>
              </w:rPr>
              <w:t>/</w:t>
            </w:r>
          </w:p>
        </w:tc>
        <w:tc>
          <w:tcPr>
            <w:tcW w:w="1571" w:type="dxa"/>
            <w:vAlign w:val="center"/>
          </w:tcPr>
          <w:p>
            <w:pPr>
              <w:spacing w:line="360" w:lineRule="exact"/>
              <w:jc w:val="center"/>
              <w:rPr>
                <w:rFonts w:eastAsia="方正宋三简体"/>
                <w:sz w:val="24"/>
              </w:rPr>
            </w:pPr>
            <w:r>
              <w:rPr>
                <w:rFonts w:hint="eastAsia" w:eastAsia="方正宋三简体"/>
                <w:sz w:val="24"/>
              </w:rPr>
              <w:t>/</w:t>
            </w:r>
          </w:p>
        </w:tc>
        <w:tc>
          <w:tcPr>
            <w:tcW w:w="1510" w:type="dxa"/>
            <w:vAlign w:val="center"/>
          </w:tcPr>
          <w:p>
            <w:pPr>
              <w:spacing w:line="360" w:lineRule="exact"/>
              <w:jc w:val="center"/>
              <w:rPr>
                <w:rFonts w:eastAsia="方正宋三简体"/>
                <w:sz w:val="24"/>
              </w:rPr>
            </w:pPr>
            <w:r>
              <w:rPr>
                <w:rFonts w:hint="eastAsia" w:eastAsia="方正宋三简体"/>
                <w:sz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sz w:val="24"/>
              </w:rPr>
            </w:pPr>
          </w:p>
        </w:tc>
        <w:tc>
          <w:tcPr>
            <w:tcW w:w="1057" w:type="dxa"/>
            <w:vAlign w:val="center"/>
          </w:tcPr>
          <w:p>
            <w:pPr>
              <w:spacing w:line="360" w:lineRule="exact"/>
              <w:jc w:val="center"/>
              <w:rPr>
                <w:rFonts w:eastAsia="方正宋三简体"/>
                <w:sz w:val="24"/>
              </w:rPr>
            </w:pPr>
          </w:p>
        </w:tc>
        <w:tc>
          <w:tcPr>
            <w:tcW w:w="1187" w:type="dxa"/>
            <w:vAlign w:val="center"/>
          </w:tcPr>
          <w:p>
            <w:pPr>
              <w:spacing w:line="360" w:lineRule="exact"/>
              <w:jc w:val="center"/>
              <w:rPr>
                <w:rFonts w:eastAsia="方正宋三简体"/>
                <w:sz w:val="24"/>
              </w:rPr>
            </w:pPr>
          </w:p>
        </w:tc>
        <w:tc>
          <w:tcPr>
            <w:tcW w:w="1120" w:type="dxa"/>
            <w:vAlign w:val="center"/>
          </w:tcPr>
          <w:p>
            <w:pPr>
              <w:spacing w:line="360" w:lineRule="exact"/>
              <w:jc w:val="center"/>
              <w:rPr>
                <w:rFonts w:eastAsia="方正宋三简体"/>
                <w:sz w:val="24"/>
              </w:rPr>
            </w:pPr>
          </w:p>
        </w:tc>
        <w:tc>
          <w:tcPr>
            <w:tcW w:w="1269" w:type="dxa"/>
            <w:vAlign w:val="center"/>
          </w:tcPr>
          <w:p>
            <w:pPr>
              <w:spacing w:line="360" w:lineRule="exact"/>
              <w:jc w:val="center"/>
              <w:rPr>
                <w:rFonts w:eastAsia="方正宋三简体"/>
                <w:sz w:val="24"/>
              </w:rPr>
            </w:pPr>
          </w:p>
        </w:tc>
        <w:tc>
          <w:tcPr>
            <w:tcW w:w="1571" w:type="dxa"/>
            <w:vAlign w:val="center"/>
          </w:tcPr>
          <w:p>
            <w:pPr>
              <w:spacing w:line="360" w:lineRule="exact"/>
              <w:jc w:val="center"/>
              <w:rPr>
                <w:rFonts w:eastAsia="方正宋三简体"/>
                <w:sz w:val="24"/>
              </w:rPr>
            </w:pPr>
          </w:p>
        </w:tc>
        <w:tc>
          <w:tcPr>
            <w:tcW w:w="1510" w:type="dxa"/>
            <w:vAlign w:val="center"/>
          </w:tcPr>
          <w:p>
            <w:pPr>
              <w:spacing w:line="360" w:lineRule="exact"/>
              <w:jc w:val="center"/>
              <w:rPr>
                <w:rFonts w:eastAsia="方正宋三简体"/>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sz w:val="24"/>
              </w:rPr>
            </w:pPr>
          </w:p>
        </w:tc>
        <w:tc>
          <w:tcPr>
            <w:tcW w:w="1057" w:type="dxa"/>
            <w:vAlign w:val="center"/>
          </w:tcPr>
          <w:p>
            <w:pPr>
              <w:spacing w:line="360" w:lineRule="exact"/>
              <w:jc w:val="center"/>
              <w:rPr>
                <w:rFonts w:eastAsia="方正宋三简体"/>
                <w:sz w:val="24"/>
              </w:rPr>
            </w:pPr>
          </w:p>
        </w:tc>
        <w:tc>
          <w:tcPr>
            <w:tcW w:w="1187" w:type="dxa"/>
            <w:vAlign w:val="center"/>
          </w:tcPr>
          <w:p>
            <w:pPr>
              <w:spacing w:line="360" w:lineRule="exact"/>
              <w:jc w:val="center"/>
              <w:rPr>
                <w:rFonts w:eastAsia="方正宋三简体"/>
                <w:sz w:val="24"/>
              </w:rPr>
            </w:pPr>
          </w:p>
        </w:tc>
        <w:tc>
          <w:tcPr>
            <w:tcW w:w="1120" w:type="dxa"/>
            <w:vAlign w:val="center"/>
          </w:tcPr>
          <w:p>
            <w:pPr>
              <w:spacing w:line="360" w:lineRule="exact"/>
              <w:jc w:val="center"/>
              <w:rPr>
                <w:rFonts w:eastAsia="方正宋三简体"/>
                <w:sz w:val="24"/>
              </w:rPr>
            </w:pPr>
          </w:p>
        </w:tc>
        <w:tc>
          <w:tcPr>
            <w:tcW w:w="1269" w:type="dxa"/>
            <w:vAlign w:val="center"/>
          </w:tcPr>
          <w:p>
            <w:pPr>
              <w:spacing w:line="360" w:lineRule="exact"/>
              <w:jc w:val="center"/>
              <w:rPr>
                <w:rFonts w:eastAsia="方正宋三简体"/>
                <w:sz w:val="24"/>
              </w:rPr>
            </w:pPr>
          </w:p>
        </w:tc>
        <w:tc>
          <w:tcPr>
            <w:tcW w:w="1571" w:type="dxa"/>
            <w:vAlign w:val="center"/>
          </w:tcPr>
          <w:p>
            <w:pPr>
              <w:spacing w:line="360" w:lineRule="exact"/>
              <w:jc w:val="center"/>
              <w:rPr>
                <w:rFonts w:eastAsia="方正宋三简体"/>
                <w:sz w:val="24"/>
              </w:rPr>
            </w:pPr>
          </w:p>
        </w:tc>
        <w:tc>
          <w:tcPr>
            <w:tcW w:w="1510" w:type="dxa"/>
            <w:vAlign w:val="center"/>
          </w:tcPr>
          <w:p>
            <w:pPr>
              <w:spacing w:line="360" w:lineRule="exact"/>
              <w:jc w:val="center"/>
              <w:rPr>
                <w:rFonts w:eastAsia="方正宋三简体"/>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b/>
                <w:sz w:val="24"/>
              </w:rPr>
            </w:pPr>
          </w:p>
        </w:tc>
        <w:tc>
          <w:tcPr>
            <w:tcW w:w="1057" w:type="dxa"/>
            <w:vAlign w:val="center"/>
          </w:tcPr>
          <w:p>
            <w:pPr>
              <w:spacing w:line="360" w:lineRule="exact"/>
              <w:jc w:val="center"/>
              <w:rPr>
                <w:rFonts w:eastAsia="方正宋三简体"/>
                <w:sz w:val="24"/>
              </w:rPr>
            </w:pPr>
          </w:p>
        </w:tc>
        <w:tc>
          <w:tcPr>
            <w:tcW w:w="1187" w:type="dxa"/>
            <w:vAlign w:val="center"/>
          </w:tcPr>
          <w:p>
            <w:pPr>
              <w:spacing w:line="360" w:lineRule="exact"/>
              <w:jc w:val="center"/>
              <w:rPr>
                <w:rFonts w:eastAsia="方正宋三简体"/>
                <w:sz w:val="24"/>
              </w:rPr>
            </w:pPr>
          </w:p>
        </w:tc>
        <w:tc>
          <w:tcPr>
            <w:tcW w:w="1120" w:type="dxa"/>
            <w:vAlign w:val="center"/>
          </w:tcPr>
          <w:p>
            <w:pPr>
              <w:spacing w:line="360" w:lineRule="exact"/>
              <w:jc w:val="center"/>
              <w:rPr>
                <w:rFonts w:eastAsia="方正宋三简体"/>
                <w:sz w:val="24"/>
              </w:rPr>
            </w:pPr>
          </w:p>
        </w:tc>
        <w:tc>
          <w:tcPr>
            <w:tcW w:w="1269" w:type="dxa"/>
            <w:vAlign w:val="center"/>
          </w:tcPr>
          <w:p>
            <w:pPr>
              <w:spacing w:line="360" w:lineRule="exact"/>
              <w:jc w:val="center"/>
              <w:rPr>
                <w:rFonts w:eastAsia="方正宋三简体"/>
                <w:sz w:val="24"/>
              </w:rPr>
            </w:pPr>
          </w:p>
        </w:tc>
        <w:tc>
          <w:tcPr>
            <w:tcW w:w="1571" w:type="dxa"/>
            <w:vAlign w:val="center"/>
          </w:tcPr>
          <w:p>
            <w:pPr>
              <w:spacing w:line="360" w:lineRule="exact"/>
              <w:jc w:val="center"/>
              <w:rPr>
                <w:rFonts w:eastAsia="方正宋三简体"/>
                <w:sz w:val="24"/>
              </w:rPr>
            </w:pPr>
          </w:p>
        </w:tc>
        <w:tc>
          <w:tcPr>
            <w:tcW w:w="1510" w:type="dxa"/>
            <w:vAlign w:val="center"/>
          </w:tcPr>
          <w:p>
            <w:pPr>
              <w:spacing w:line="360" w:lineRule="exact"/>
              <w:jc w:val="center"/>
              <w:rPr>
                <w:rFonts w:eastAsia="方正宋三简体"/>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b/>
                <w:sz w:val="24"/>
              </w:rPr>
            </w:pPr>
          </w:p>
        </w:tc>
        <w:tc>
          <w:tcPr>
            <w:tcW w:w="1057" w:type="dxa"/>
            <w:vAlign w:val="center"/>
          </w:tcPr>
          <w:p>
            <w:pPr>
              <w:spacing w:line="360" w:lineRule="exact"/>
              <w:jc w:val="center"/>
              <w:rPr>
                <w:rFonts w:eastAsia="方正宋三简体"/>
                <w:sz w:val="24"/>
              </w:rPr>
            </w:pPr>
          </w:p>
        </w:tc>
        <w:tc>
          <w:tcPr>
            <w:tcW w:w="1187" w:type="dxa"/>
            <w:vAlign w:val="center"/>
          </w:tcPr>
          <w:p>
            <w:pPr>
              <w:spacing w:line="360" w:lineRule="exact"/>
              <w:jc w:val="center"/>
              <w:rPr>
                <w:rFonts w:eastAsia="方正宋三简体"/>
                <w:sz w:val="24"/>
              </w:rPr>
            </w:pPr>
          </w:p>
        </w:tc>
        <w:tc>
          <w:tcPr>
            <w:tcW w:w="1120" w:type="dxa"/>
            <w:vAlign w:val="center"/>
          </w:tcPr>
          <w:p>
            <w:pPr>
              <w:spacing w:line="360" w:lineRule="exact"/>
              <w:jc w:val="center"/>
              <w:rPr>
                <w:rFonts w:eastAsia="方正宋三简体"/>
                <w:sz w:val="24"/>
              </w:rPr>
            </w:pPr>
          </w:p>
        </w:tc>
        <w:tc>
          <w:tcPr>
            <w:tcW w:w="1269" w:type="dxa"/>
            <w:vAlign w:val="center"/>
          </w:tcPr>
          <w:p>
            <w:pPr>
              <w:spacing w:line="360" w:lineRule="exact"/>
              <w:jc w:val="center"/>
              <w:rPr>
                <w:rFonts w:eastAsia="方正宋三简体"/>
                <w:sz w:val="24"/>
              </w:rPr>
            </w:pPr>
          </w:p>
        </w:tc>
        <w:tc>
          <w:tcPr>
            <w:tcW w:w="1571" w:type="dxa"/>
            <w:vAlign w:val="center"/>
          </w:tcPr>
          <w:p>
            <w:pPr>
              <w:spacing w:line="360" w:lineRule="exact"/>
              <w:jc w:val="center"/>
              <w:rPr>
                <w:rFonts w:eastAsia="方正宋三简体"/>
                <w:sz w:val="24"/>
              </w:rPr>
            </w:pPr>
          </w:p>
        </w:tc>
        <w:tc>
          <w:tcPr>
            <w:tcW w:w="1510" w:type="dxa"/>
            <w:vAlign w:val="center"/>
          </w:tcPr>
          <w:p>
            <w:pPr>
              <w:spacing w:line="360" w:lineRule="exact"/>
              <w:jc w:val="center"/>
              <w:rPr>
                <w:rFonts w:eastAsia="方正宋三简体"/>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sz w:val="24"/>
              </w:rPr>
            </w:pPr>
          </w:p>
        </w:tc>
        <w:tc>
          <w:tcPr>
            <w:tcW w:w="1057" w:type="dxa"/>
            <w:vAlign w:val="center"/>
          </w:tcPr>
          <w:p>
            <w:pPr>
              <w:spacing w:line="360" w:lineRule="exact"/>
              <w:jc w:val="center"/>
              <w:rPr>
                <w:rFonts w:eastAsia="方正宋三简体"/>
                <w:sz w:val="24"/>
              </w:rPr>
            </w:pPr>
          </w:p>
        </w:tc>
        <w:tc>
          <w:tcPr>
            <w:tcW w:w="1187" w:type="dxa"/>
            <w:vAlign w:val="center"/>
          </w:tcPr>
          <w:p>
            <w:pPr>
              <w:spacing w:line="320" w:lineRule="exact"/>
              <w:jc w:val="center"/>
              <w:rPr>
                <w:rFonts w:eastAsia="方正宋三简体"/>
                <w:sz w:val="24"/>
                <w:vertAlign w:val="superscript"/>
              </w:rPr>
            </w:pPr>
          </w:p>
        </w:tc>
        <w:tc>
          <w:tcPr>
            <w:tcW w:w="1120" w:type="dxa"/>
            <w:vAlign w:val="center"/>
          </w:tcPr>
          <w:p>
            <w:pPr>
              <w:spacing w:line="360" w:lineRule="exact"/>
              <w:jc w:val="center"/>
              <w:rPr>
                <w:rFonts w:eastAsia="方正宋三简体"/>
                <w:sz w:val="24"/>
              </w:rPr>
            </w:pPr>
          </w:p>
        </w:tc>
        <w:tc>
          <w:tcPr>
            <w:tcW w:w="1269" w:type="dxa"/>
            <w:vAlign w:val="center"/>
          </w:tcPr>
          <w:p>
            <w:pPr>
              <w:spacing w:line="360" w:lineRule="exact"/>
              <w:jc w:val="center"/>
              <w:rPr>
                <w:rFonts w:eastAsia="方正宋三简体"/>
                <w:sz w:val="24"/>
              </w:rPr>
            </w:pPr>
          </w:p>
        </w:tc>
        <w:tc>
          <w:tcPr>
            <w:tcW w:w="1571" w:type="dxa"/>
            <w:vAlign w:val="center"/>
          </w:tcPr>
          <w:p>
            <w:pPr>
              <w:spacing w:line="320" w:lineRule="exact"/>
              <w:jc w:val="center"/>
              <w:rPr>
                <w:rFonts w:eastAsia="方正宋三简体"/>
                <w:sz w:val="24"/>
                <w:vertAlign w:val="superscript"/>
              </w:rPr>
            </w:pPr>
          </w:p>
        </w:tc>
        <w:tc>
          <w:tcPr>
            <w:tcW w:w="1510" w:type="dxa"/>
            <w:vAlign w:val="center"/>
          </w:tcPr>
          <w:p>
            <w:pPr>
              <w:spacing w:line="360" w:lineRule="exact"/>
              <w:jc w:val="center"/>
              <w:rPr>
                <w:rFonts w:eastAsia="方正宋三简体"/>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22" w:hRule="atLeast"/>
          <w:jc w:val="center"/>
        </w:trPr>
        <w:tc>
          <w:tcPr>
            <w:tcW w:w="1347" w:type="dxa"/>
            <w:vAlign w:val="center"/>
          </w:tcPr>
          <w:p>
            <w:pPr>
              <w:spacing w:line="360" w:lineRule="exact"/>
              <w:jc w:val="center"/>
              <w:rPr>
                <w:b/>
                <w:sz w:val="24"/>
              </w:rPr>
            </w:pPr>
            <w:r>
              <w:rPr>
                <w:b/>
                <w:sz w:val="24"/>
              </w:rPr>
              <w:t>固体</w:t>
            </w:r>
          </w:p>
          <w:p>
            <w:pPr>
              <w:spacing w:line="360" w:lineRule="exact"/>
              <w:jc w:val="center"/>
              <w:rPr>
                <w:sz w:val="24"/>
              </w:rPr>
            </w:pPr>
            <w:r>
              <w:rPr>
                <w:b/>
                <w:sz w:val="24"/>
              </w:rPr>
              <w:t>废物</w:t>
            </w:r>
          </w:p>
        </w:tc>
        <w:tc>
          <w:tcPr>
            <w:tcW w:w="1057" w:type="dxa"/>
            <w:vAlign w:val="center"/>
          </w:tcPr>
          <w:p>
            <w:pPr>
              <w:spacing w:line="360" w:lineRule="exact"/>
              <w:jc w:val="center"/>
              <w:rPr>
                <w:rFonts w:eastAsia="方正宋三简体"/>
                <w:sz w:val="24"/>
              </w:rPr>
            </w:pPr>
            <w:r>
              <w:rPr>
                <w:rFonts w:eastAsia="方正宋三简体"/>
                <w:sz w:val="24"/>
              </w:rPr>
              <w:t>0</w:t>
            </w:r>
          </w:p>
        </w:tc>
        <w:tc>
          <w:tcPr>
            <w:tcW w:w="1187" w:type="dxa"/>
            <w:vAlign w:val="center"/>
          </w:tcPr>
          <w:p>
            <w:pPr>
              <w:spacing w:line="360" w:lineRule="exact"/>
              <w:jc w:val="center"/>
              <w:rPr>
                <w:rFonts w:eastAsia="方正宋三简体"/>
                <w:sz w:val="24"/>
              </w:rPr>
            </w:pPr>
            <w:r>
              <w:rPr>
                <w:rFonts w:eastAsia="方正宋三简体"/>
                <w:sz w:val="24"/>
              </w:rPr>
              <w:t>0.0375</w:t>
            </w:r>
          </w:p>
        </w:tc>
        <w:tc>
          <w:tcPr>
            <w:tcW w:w="1120" w:type="dxa"/>
            <w:vAlign w:val="center"/>
          </w:tcPr>
          <w:p>
            <w:pPr>
              <w:spacing w:line="360" w:lineRule="exact"/>
              <w:jc w:val="center"/>
              <w:rPr>
                <w:rFonts w:eastAsia="方正宋三简体"/>
                <w:sz w:val="24"/>
              </w:rPr>
            </w:pPr>
            <w:r>
              <w:rPr>
                <w:rFonts w:eastAsia="方正宋三简体"/>
                <w:sz w:val="24"/>
              </w:rPr>
              <w:t>0.0375</w:t>
            </w:r>
          </w:p>
        </w:tc>
        <w:tc>
          <w:tcPr>
            <w:tcW w:w="1269" w:type="dxa"/>
            <w:vAlign w:val="center"/>
          </w:tcPr>
          <w:p>
            <w:pPr>
              <w:spacing w:line="360" w:lineRule="exact"/>
              <w:jc w:val="center"/>
              <w:rPr>
                <w:rFonts w:eastAsia="方正宋三简体"/>
                <w:sz w:val="24"/>
              </w:rPr>
            </w:pPr>
            <w:r>
              <w:rPr>
                <w:rFonts w:hint="eastAsia" w:eastAsia="方正宋三简体"/>
                <w:sz w:val="24"/>
              </w:rPr>
              <w:t>0</w:t>
            </w:r>
          </w:p>
        </w:tc>
        <w:tc>
          <w:tcPr>
            <w:tcW w:w="1571" w:type="dxa"/>
            <w:vAlign w:val="center"/>
          </w:tcPr>
          <w:p>
            <w:pPr>
              <w:spacing w:line="360" w:lineRule="exact"/>
              <w:jc w:val="center"/>
              <w:rPr>
                <w:rFonts w:eastAsia="方正宋三简体"/>
                <w:sz w:val="24"/>
              </w:rPr>
            </w:pPr>
            <w:r>
              <w:rPr>
                <w:rFonts w:eastAsia="方正宋三简体"/>
                <w:sz w:val="24"/>
              </w:rPr>
              <w:t>0</w:t>
            </w:r>
          </w:p>
        </w:tc>
        <w:tc>
          <w:tcPr>
            <w:tcW w:w="1510" w:type="dxa"/>
            <w:vAlign w:val="center"/>
          </w:tcPr>
          <w:p>
            <w:pPr>
              <w:spacing w:line="360" w:lineRule="exact"/>
              <w:jc w:val="center"/>
              <w:rPr>
                <w:rFonts w:eastAsia="方正宋三简体"/>
                <w:sz w:val="24"/>
              </w:rPr>
            </w:pPr>
            <w:r>
              <w:rPr>
                <w:rFonts w:eastAsia="方正宋三简体"/>
                <w:sz w:val="24"/>
              </w:rPr>
              <w:t>0</w:t>
            </w:r>
          </w:p>
        </w:tc>
      </w:tr>
    </w:tbl>
    <w:p>
      <w:pPr>
        <w:spacing w:line="240" w:lineRule="exact"/>
        <w:rPr>
          <w:sz w:val="18"/>
        </w:rPr>
      </w:pPr>
      <w:r>
        <w:rPr>
          <w:sz w:val="18"/>
        </w:rPr>
        <w:t>注：</w:t>
      </w:r>
    </w:p>
    <w:p>
      <w:pPr>
        <w:numPr>
          <w:ilvl w:val="0"/>
          <w:numId w:val="26"/>
        </w:numPr>
        <w:spacing w:line="240" w:lineRule="exact"/>
        <w:rPr>
          <w:sz w:val="18"/>
        </w:rPr>
      </w:pPr>
      <w:r>
        <w:rPr>
          <w:sz w:val="18"/>
        </w:rPr>
        <w:t>单位：废气量  标米</w:t>
      </w:r>
      <w:r>
        <w:rPr>
          <w:sz w:val="18"/>
          <w:vertAlign w:val="superscript"/>
        </w:rPr>
        <w:t>3</w:t>
      </w:r>
      <w:r>
        <w:rPr>
          <w:sz w:val="18"/>
        </w:rPr>
        <w:t>/年；废水、固体废物  万吨/年；一类污染物  千克/年；其他 吨/年。</w:t>
      </w:r>
    </w:p>
    <w:p>
      <w:pPr>
        <w:numPr>
          <w:ilvl w:val="0"/>
          <w:numId w:val="26"/>
        </w:numPr>
        <w:spacing w:line="240" w:lineRule="exact"/>
        <w:rPr>
          <w:sz w:val="18"/>
        </w:rPr>
      </w:pPr>
      <w:r>
        <w:rPr>
          <w:sz w:val="18"/>
        </w:rPr>
        <w:t>“污染物名称”一栏的空格处填写该项目的特征污染物。</w:t>
      </w:r>
    </w:p>
    <w:p>
      <w:pPr>
        <w:numPr>
          <w:ilvl w:val="0"/>
          <w:numId w:val="26"/>
        </w:numPr>
        <w:spacing w:line="240" w:lineRule="exact"/>
        <w:rPr>
          <w:sz w:val="18"/>
        </w:rPr>
      </w:pPr>
      <w:r>
        <w:rPr>
          <w:sz w:val="18"/>
        </w:rPr>
        <w:t>逻辑关系：(5)=(2)-(3)-(4)；(6)=(2)-(3)+(1)-(4)。</w:t>
      </w:r>
    </w:p>
    <w:p>
      <w:pPr>
        <w:numPr>
          <w:ilvl w:val="0"/>
          <w:numId w:val="26"/>
        </w:numPr>
        <w:spacing w:line="240" w:lineRule="exact"/>
        <w:rPr>
          <w:sz w:val="18"/>
        </w:rPr>
      </w:pPr>
      <w:r>
        <w:rPr>
          <w:sz w:val="18"/>
        </w:rPr>
        <w:t>(5)≥0时，取正值；(5)≤0时，取负值。</w:t>
      </w:r>
    </w:p>
    <w:p>
      <w:pPr>
        <w:spacing w:line="440" w:lineRule="exact"/>
        <w:rPr>
          <w:rFonts w:eastAsia="黑体"/>
          <w:sz w:val="28"/>
        </w:rPr>
      </w:pPr>
    </w:p>
    <w:p>
      <w:pPr>
        <w:spacing w:line="440" w:lineRule="exact"/>
        <w:rPr>
          <w:rFonts w:eastAsia="黑体"/>
          <w:sz w:val="28"/>
        </w:rPr>
      </w:pPr>
    </w:p>
    <w:p>
      <w:pPr>
        <w:spacing w:line="440" w:lineRule="exact"/>
        <w:rPr>
          <w:rFonts w:eastAsia="黑体"/>
          <w:sz w:val="28"/>
        </w:rPr>
      </w:pPr>
    </w:p>
    <w:p>
      <w:pPr>
        <w:spacing w:line="440" w:lineRule="exact"/>
        <w:outlineLvl w:val="0"/>
        <w:rPr>
          <w:rFonts w:eastAsia="黑体"/>
          <w:sz w:val="28"/>
        </w:rPr>
      </w:pPr>
      <w:r>
        <w:rPr>
          <w:rFonts w:eastAsia="黑体"/>
          <w:sz w:val="30"/>
        </w:rPr>
        <w:t>生态影响</w:t>
      </w:r>
      <w:r>
        <w:rPr>
          <w:rFonts w:eastAsia="黑体"/>
          <w:sz w:val="28"/>
        </w:rPr>
        <w:t>分析</w:t>
      </w:r>
    </w:p>
    <w:tbl>
      <w:tblPr>
        <w:tblStyle w:val="88"/>
        <w:tblW w:w="8609"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60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PrEx>
        <w:trPr>
          <w:trHeight w:val="6372" w:hRule="atLeast"/>
          <w:jc w:val="center"/>
        </w:trPr>
        <w:tc>
          <w:tcPr>
            <w:tcW w:w="8609" w:type="dxa"/>
          </w:tcPr>
          <w:p>
            <w:pPr>
              <w:spacing w:line="360" w:lineRule="auto"/>
              <w:rPr>
                <w:rFonts w:eastAsia="楷体_GB2312"/>
                <w:sz w:val="24"/>
              </w:rPr>
            </w:pPr>
            <w:r>
              <w:rPr>
                <w:rFonts w:eastAsia="楷体_GB2312"/>
                <w:sz w:val="24"/>
              </w:rPr>
              <w:t>主要生态影响(不够可另附页)</w:t>
            </w:r>
          </w:p>
          <w:p>
            <w:pPr>
              <w:pStyle w:val="51"/>
              <w:adjustRightInd w:val="0"/>
              <w:snapToGrid w:val="0"/>
              <w:spacing w:line="360" w:lineRule="auto"/>
              <w:ind w:firstLine="480" w:firstLineChars="200"/>
              <w:rPr>
                <w:rFonts w:ascii="Times New Roman" w:hAnsi="Times New Roman"/>
                <w:sz w:val="24"/>
              </w:rPr>
            </w:pPr>
            <w:r>
              <w:rPr>
                <w:rFonts w:hint="eastAsia" w:ascii="Times New Roman" w:hAnsi="Times New Roman"/>
                <w:sz w:val="24"/>
              </w:rPr>
              <w:t>（1）陆域生态影响</w:t>
            </w:r>
          </w:p>
          <w:p>
            <w:pPr>
              <w:pStyle w:val="51"/>
              <w:adjustRightInd w:val="0"/>
              <w:snapToGrid w:val="0"/>
              <w:spacing w:line="360" w:lineRule="auto"/>
              <w:ind w:firstLine="480" w:firstLineChars="200"/>
              <w:rPr>
                <w:rFonts w:ascii="Times New Roman" w:hAnsi="Times New Roman"/>
                <w:sz w:val="24"/>
              </w:rPr>
            </w:pPr>
            <w:r>
              <w:rPr>
                <w:rFonts w:hint="eastAsia" w:ascii="Times New Roman" w:hAnsi="Times New Roman"/>
                <w:sz w:val="24"/>
              </w:rPr>
              <w:t>本工程利用华能威海电厂内一期老厂房区域，用地性质为工业用地，目前为空地，地表无植被覆盖，老厂房已拆除，项目建设对所在区域生态环境无明显不利影响。</w:t>
            </w:r>
          </w:p>
          <w:p>
            <w:pPr>
              <w:topLinePunct/>
              <w:adjustRightInd w:val="0"/>
              <w:snapToGrid w:val="0"/>
              <w:spacing w:line="360" w:lineRule="auto"/>
              <w:ind w:firstLine="480" w:firstLineChars="200"/>
              <w:rPr>
                <w:sz w:val="24"/>
              </w:rPr>
            </w:pPr>
            <w:r>
              <w:rPr>
                <w:rFonts w:hint="eastAsia"/>
                <w:sz w:val="24"/>
              </w:rPr>
              <w:t>（2）海域生态环境的影响</w:t>
            </w:r>
          </w:p>
          <w:p>
            <w:pPr>
              <w:spacing w:line="360" w:lineRule="auto"/>
              <w:ind w:firstLine="480" w:firstLineChars="200"/>
              <w:rPr>
                <w:sz w:val="24"/>
              </w:rPr>
            </w:pPr>
            <w:r>
              <w:rPr>
                <w:rFonts w:hint="eastAsia"/>
                <w:sz w:val="24"/>
              </w:rPr>
              <w:t>本项目建成运行后，浓盐水排放会导致排水口局部小范围海域的盐度增量超过0.9，对浮游生物、底栖生物、游泳生物等产生的影响较小。排水口位于港口航运区，生物量较小，且生物多为广盐性生物，因此，扩建工程浓盐水排放对生物影响较小，同时海水淡化后浓盐水与电厂温排水一起排放，因此稀释后的浓盐水排放不会对大区域范围带来明显的生态环境问题。</w:t>
            </w:r>
          </w:p>
          <w:p>
            <w:pPr>
              <w:spacing w:line="360" w:lineRule="auto"/>
              <w:ind w:firstLine="480" w:firstLineChars="200"/>
              <w:rPr>
                <w:rFonts w:eastAsia="仿宋_GB2312"/>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276" w:hRule="atLeast"/>
          <w:jc w:val="center"/>
        </w:trPr>
        <w:tc>
          <w:tcPr>
            <w:tcW w:w="8609" w:type="dxa"/>
          </w:tcPr>
          <w:p>
            <w:pPr>
              <w:spacing w:line="440" w:lineRule="exact"/>
              <w:rPr>
                <w:rFonts w:eastAsia="楷体_GB2312"/>
                <w:sz w:val="24"/>
              </w:rPr>
            </w:pPr>
            <w:r>
              <w:rPr>
                <w:rFonts w:eastAsia="楷体_GB2312"/>
                <w:sz w:val="24"/>
              </w:rPr>
              <w:t>生态保护措施及预期效果：</w:t>
            </w:r>
          </w:p>
          <w:p>
            <w:pPr>
              <w:spacing w:line="440" w:lineRule="exact"/>
              <w:ind w:firstLine="480" w:firstLineChars="200"/>
              <w:rPr>
                <w:rFonts w:ascii="宋体" w:hAnsi="宋体"/>
              </w:rPr>
            </w:pPr>
            <w:r>
              <w:rPr>
                <w:rFonts w:hint="eastAsia" w:ascii="宋体" w:hAnsi="宋体"/>
                <w:sz w:val="24"/>
              </w:rPr>
              <w:t>工程运行以后，应通过加强厂界处绿化，来改善项目周围的生态环境。</w:t>
            </w:r>
          </w:p>
          <w:p>
            <w:pPr>
              <w:spacing w:line="440" w:lineRule="exact"/>
              <w:rPr>
                <w:rFonts w:eastAsia="仿宋_GB2312"/>
              </w:rPr>
            </w:pPr>
          </w:p>
          <w:p>
            <w:pPr>
              <w:spacing w:line="440" w:lineRule="exact"/>
              <w:rPr>
                <w:rFonts w:eastAsia="仿宋_GB2312"/>
              </w:rPr>
            </w:pPr>
          </w:p>
          <w:p>
            <w:pPr>
              <w:spacing w:line="440" w:lineRule="exact"/>
              <w:rPr>
                <w:rFonts w:eastAsia="仿宋_GB2312"/>
              </w:rPr>
            </w:pPr>
          </w:p>
        </w:tc>
      </w:tr>
    </w:tbl>
    <w:p>
      <w:pPr>
        <w:spacing w:line="440" w:lineRule="exact"/>
        <w:rPr>
          <w:rFonts w:eastAsia="黑体"/>
          <w:sz w:val="28"/>
        </w:rPr>
        <w:sectPr>
          <w:pgSz w:w="11907" w:h="16840"/>
          <w:pgMar w:top="1440" w:right="1531" w:bottom="1440" w:left="1531" w:header="851" w:footer="992" w:gutter="0"/>
          <w:cols w:space="720" w:num="1"/>
          <w:titlePg/>
          <w:docGrid w:linePitch="312" w:charSpace="0"/>
        </w:sectPr>
      </w:pPr>
    </w:p>
    <w:p>
      <w:pPr>
        <w:spacing w:line="440" w:lineRule="exact"/>
        <w:outlineLvl w:val="0"/>
        <w:rPr>
          <w:rFonts w:eastAsia="黑体"/>
          <w:sz w:val="28"/>
        </w:rPr>
      </w:pPr>
      <w:r>
        <w:rPr>
          <w:rFonts w:eastAsia="黑体"/>
          <w:sz w:val="28"/>
        </w:rPr>
        <w:t>结论与建议</w:t>
      </w:r>
    </w:p>
    <w:tbl>
      <w:tblPr>
        <w:tblStyle w:val="88"/>
        <w:tblW w:w="8672"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67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457" w:hRule="atLeast"/>
          <w:jc w:val="center"/>
        </w:trPr>
        <w:tc>
          <w:tcPr>
            <w:tcW w:w="8672" w:type="dxa"/>
          </w:tcPr>
          <w:p>
            <w:pPr>
              <w:adjustRightInd w:val="0"/>
              <w:snapToGrid w:val="0"/>
              <w:spacing w:line="480" w:lineRule="exact"/>
              <w:rPr>
                <w:sz w:val="24"/>
                <w:szCs w:val="22"/>
              </w:rPr>
            </w:pPr>
            <w:r>
              <w:rPr>
                <w:rFonts w:hint="eastAsia"/>
                <w:sz w:val="24"/>
                <w:szCs w:val="22"/>
              </w:rPr>
              <w:t>一、结论</w:t>
            </w:r>
          </w:p>
          <w:p>
            <w:pPr>
              <w:adjustRightInd w:val="0"/>
              <w:snapToGrid w:val="0"/>
              <w:spacing w:line="360" w:lineRule="auto"/>
              <w:ind w:firstLine="480" w:firstLineChars="200"/>
              <w:rPr>
                <w:sz w:val="24"/>
                <w:szCs w:val="22"/>
              </w:rPr>
            </w:pPr>
            <w:r>
              <w:rPr>
                <w:sz w:val="24"/>
                <w:szCs w:val="22"/>
              </w:rPr>
              <w:t xml:space="preserve">1. </w:t>
            </w:r>
            <w:r>
              <w:rPr>
                <w:rFonts w:hint="eastAsia"/>
                <w:sz w:val="24"/>
                <w:szCs w:val="22"/>
              </w:rPr>
              <w:t>项目基本概况</w:t>
            </w:r>
          </w:p>
          <w:p>
            <w:pPr>
              <w:widowControl/>
              <w:shd w:val="clear" w:color="auto" w:fill="FFFFFF"/>
              <w:adjustRightInd w:val="0"/>
              <w:snapToGrid w:val="0"/>
              <w:spacing w:line="360" w:lineRule="auto"/>
              <w:ind w:firstLine="480" w:firstLineChars="200"/>
              <w:textAlignment w:val="baseline"/>
              <w:rPr>
                <w:sz w:val="24"/>
                <w:szCs w:val="22"/>
              </w:rPr>
            </w:pPr>
            <w:r>
              <w:rPr>
                <w:rFonts w:hint="eastAsia"/>
                <w:sz w:val="24"/>
                <w:szCs w:val="22"/>
              </w:rPr>
              <w:t>华能威海发电有限责任公司海水淡化项目位于华能威海电厂内一期老厂房区域，华能威海发电有限责任公司拟利用电厂内原建筑拆除位置，并利用留存的循环水泵房和汽机房，新建本项目。项目海水淡化总产水10万m</w:t>
            </w:r>
            <w:r>
              <w:rPr>
                <w:rFonts w:hint="eastAsia"/>
                <w:sz w:val="24"/>
                <w:szCs w:val="22"/>
                <w:vertAlign w:val="superscript"/>
              </w:rPr>
              <w:t>3</w:t>
            </w:r>
            <w:r>
              <w:rPr>
                <w:rFonts w:hint="eastAsia"/>
                <w:sz w:val="24"/>
                <w:szCs w:val="22"/>
              </w:rPr>
              <w:t>/d，分两期建设，一期产水3万m</w:t>
            </w:r>
            <w:r>
              <w:rPr>
                <w:rFonts w:hint="eastAsia"/>
                <w:sz w:val="24"/>
                <w:szCs w:val="22"/>
                <w:vertAlign w:val="superscript"/>
              </w:rPr>
              <w:t>3</w:t>
            </w:r>
            <w:r>
              <w:rPr>
                <w:rFonts w:hint="eastAsia"/>
                <w:sz w:val="24"/>
                <w:szCs w:val="22"/>
              </w:rPr>
              <w:t>/d，二期产水7万m</w:t>
            </w:r>
            <w:r>
              <w:rPr>
                <w:rFonts w:hint="eastAsia"/>
                <w:sz w:val="24"/>
                <w:szCs w:val="22"/>
                <w:vertAlign w:val="superscript"/>
              </w:rPr>
              <w:t>3</w:t>
            </w:r>
            <w:r>
              <w:rPr>
                <w:rFonts w:hint="eastAsia"/>
                <w:sz w:val="24"/>
                <w:szCs w:val="22"/>
              </w:rPr>
              <w:t>/d。一期采用海水反渗透工艺，即“V型滤池→清水池→超滤给水泵→超滤自清洗过滤器→超滤膜组件→中间水池(兼反洗)→海水反渗透给水泵→海水反渗透保安过滤器→海水RO高压泵(带PX型能量回收装置)→海水RO膜组件（夏季部分进二级反渗透处理，二级反渗透产水和一级反渗透产水进行混掺）→一级反渗透产水池”，二期工程产水7万m</w:t>
            </w:r>
            <w:r>
              <w:rPr>
                <w:rFonts w:hint="eastAsia"/>
                <w:sz w:val="24"/>
                <w:szCs w:val="22"/>
                <w:vertAlign w:val="superscript"/>
              </w:rPr>
              <w:t>3</w:t>
            </w:r>
            <w:r>
              <w:rPr>
                <w:rFonts w:hint="eastAsia"/>
                <w:sz w:val="24"/>
                <w:szCs w:val="22"/>
              </w:rPr>
              <w:t>/d，采用2万m</w:t>
            </w:r>
            <w:r>
              <w:rPr>
                <w:rFonts w:hint="eastAsia"/>
                <w:sz w:val="24"/>
                <w:szCs w:val="22"/>
                <w:vertAlign w:val="superscript"/>
              </w:rPr>
              <w:t>3</w:t>
            </w:r>
            <w:r>
              <w:rPr>
                <w:rFonts w:hint="eastAsia"/>
                <w:sz w:val="24"/>
                <w:szCs w:val="22"/>
              </w:rPr>
              <w:t>/d低温多效+5万m</w:t>
            </w:r>
            <w:r>
              <w:rPr>
                <w:rFonts w:hint="eastAsia"/>
                <w:sz w:val="24"/>
                <w:szCs w:val="22"/>
                <w:vertAlign w:val="superscript"/>
              </w:rPr>
              <w:t>3</w:t>
            </w:r>
            <w:r>
              <w:rPr>
                <w:rFonts w:hint="eastAsia"/>
                <w:sz w:val="24"/>
                <w:szCs w:val="22"/>
              </w:rPr>
              <w:t>/d海水反渗透耦合工艺，其中海水反渗透工艺与一期相同。滤池反洗水、超滤反冲洗水、一级反渗透浓水、低温多效浓水排入电厂在运机组冷却水排水渠，超滤</w:t>
            </w:r>
            <w:r>
              <w:rPr>
                <w:sz w:val="24"/>
                <w:szCs w:val="22"/>
              </w:rPr>
              <w:t>CEB</w:t>
            </w:r>
            <w:r>
              <w:rPr>
                <w:rFonts w:hint="eastAsia"/>
                <w:sz w:val="24"/>
                <w:szCs w:val="22"/>
              </w:rPr>
              <w:t>反洗水及其他废水排入中和池，处理后排入冷却水排水渠；各排水与电厂在运机组冷却水混合后，近岸排放。产水拟作为威海市市政自来水及厂用水。项目总投资为</w:t>
            </w:r>
            <w:r>
              <w:rPr>
                <w:sz w:val="24"/>
                <w:szCs w:val="22"/>
              </w:rPr>
              <w:t>72700</w:t>
            </w:r>
            <w:r>
              <w:rPr>
                <w:rFonts w:hint="eastAsia"/>
                <w:sz w:val="24"/>
                <w:szCs w:val="22"/>
              </w:rPr>
              <w:t>万元，一期工程建设期</w:t>
            </w:r>
            <w:r>
              <w:rPr>
                <w:sz w:val="24"/>
                <w:szCs w:val="22"/>
              </w:rPr>
              <w:t>14</w:t>
            </w:r>
            <w:r>
              <w:rPr>
                <w:rFonts w:hint="eastAsia"/>
                <w:sz w:val="24"/>
                <w:szCs w:val="22"/>
              </w:rPr>
              <w:t>个月，预计</w:t>
            </w:r>
            <w:r>
              <w:rPr>
                <w:sz w:val="24"/>
                <w:szCs w:val="22"/>
              </w:rPr>
              <w:t>2020</w:t>
            </w:r>
            <w:r>
              <w:rPr>
                <w:rFonts w:hint="eastAsia"/>
                <w:sz w:val="24"/>
                <w:szCs w:val="22"/>
              </w:rPr>
              <w:t>年</w:t>
            </w:r>
            <w:r>
              <w:rPr>
                <w:sz w:val="24"/>
                <w:szCs w:val="22"/>
              </w:rPr>
              <w:t>10</w:t>
            </w:r>
            <w:r>
              <w:rPr>
                <w:rFonts w:hint="eastAsia"/>
                <w:sz w:val="24"/>
                <w:szCs w:val="22"/>
              </w:rPr>
              <w:t>月动工，</w:t>
            </w:r>
            <w:r>
              <w:rPr>
                <w:sz w:val="24"/>
                <w:szCs w:val="22"/>
              </w:rPr>
              <w:t>2021</w:t>
            </w:r>
            <w:r>
              <w:rPr>
                <w:rFonts w:hint="eastAsia"/>
                <w:sz w:val="24"/>
                <w:szCs w:val="22"/>
              </w:rPr>
              <w:t>年底竣工；二期工程建设期1</w:t>
            </w:r>
            <w:r>
              <w:rPr>
                <w:sz w:val="24"/>
                <w:szCs w:val="22"/>
              </w:rPr>
              <w:t>8</w:t>
            </w:r>
            <w:r>
              <w:rPr>
                <w:rFonts w:hint="eastAsia"/>
                <w:sz w:val="24"/>
                <w:szCs w:val="22"/>
              </w:rPr>
              <w:t>个月，预计202</w:t>
            </w:r>
            <w:r>
              <w:rPr>
                <w:sz w:val="24"/>
                <w:szCs w:val="22"/>
              </w:rPr>
              <w:t>1</w:t>
            </w:r>
            <w:r>
              <w:rPr>
                <w:rFonts w:hint="eastAsia"/>
                <w:sz w:val="24"/>
                <w:szCs w:val="22"/>
              </w:rPr>
              <w:t>年10月动工，202</w:t>
            </w:r>
            <w:r>
              <w:rPr>
                <w:sz w:val="24"/>
                <w:szCs w:val="22"/>
              </w:rPr>
              <w:t>3</w:t>
            </w:r>
            <w:r>
              <w:rPr>
                <w:rFonts w:hint="eastAsia"/>
                <w:sz w:val="24"/>
                <w:szCs w:val="22"/>
              </w:rPr>
              <w:t>年4月竣工。</w:t>
            </w:r>
          </w:p>
          <w:p>
            <w:pPr>
              <w:topLinePunct/>
              <w:adjustRightInd w:val="0"/>
              <w:snapToGrid w:val="0"/>
              <w:spacing w:line="360" w:lineRule="auto"/>
              <w:ind w:firstLine="480" w:firstLineChars="200"/>
              <w:rPr>
                <w:sz w:val="24"/>
                <w:szCs w:val="22"/>
              </w:rPr>
            </w:pPr>
            <w:r>
              <w:rPr>
                <w:rFonts w:hint="eastAsia"/>
                <w:sz w:val="24"/>
                <w:szCs w:val="22"/>
              </w:rPr>
              <w:t>工程拟采用现有工程在用排水口，不新设排水口，浓盐水经冷却水渠近岸排放，排水口</w:t>
            </w:r>
            <w:r>
              <w:rPr>
                <w:sz w:val="24"/>
                <w:szCs w:val="22"/>
              </w:rPr>
              <w:t>(</w:t>
            </w:r>
            <w:r>
              <w:rPr>
                <w:rFonts w:hint="eastAsia"/>
                <w:sz w:val="24"/>
                <w:szCs w:val="22"/>
              </w:rPr>
              <w:t>中心点</w:t>
            </w:r>
            <w:r>
              <w:rPr>
                <w:sz w:val="24"/>
                <w:szCs w:val="22"/>
              </w:rPr>
              <w:t>)</w:t>
            </w:r>
            <w:r>
              <w:rPr>
                <w:rFonts w:hint="eastAsia"/>
                <w:sz w:val="24"/>
                <w:szCs w:val="22"/>
              </w:rPr>
              <w:t>坐标为</w:t>
            </w:r>
            <w:r>
              <w:rPr>
                <w:sz w:val="24"/>
                <w:szCs w:val="22"/>
              </w:rPr>
              <w:t>122°12'20"E</w:t>
            </w:r>
            <w:r>
              <w:rPr>
                <w:rFonts w:hint="eastAsia"/>
                <w:sz w:val="24"/>
                <w:szCs w:val="22"/>
              </w:rPr>
              <w:t>、</w:t>
            </w:r>
            <w:r>
              <w:rPr>
                <w:sz w:val="24"/>
                <w:szCs w:val="22"/>
              </w:rPr>
              <w:t>37°27'7"N</w:t>
            </w:r>
            <w:r>
              <w:rPr>
                <w:rFonts w:hint="eastAsia"/>
                <w:sz w:val="24"/>
                <w:szCs w:val="22"/>
              </w:rPr>
              <w:t>。</w:t>
            </w:r>
          </w:p>
          <w:p>
            <w:pPr>
              <w:topLinePunct/>
              <w:adjustRightInd w:val="0"/>
              <w:snapToGrid w:val="0"/>
              <w:spacing w:line="360" w:lineRule="auto"/>
              <w:ind w:firstLine="480" w:firstLineChars="200"/>
              <w:rPr>
                <w:sz w:val="24"/>
                <w:szCs w:val="22"/>
              </w:rPr>
            </w:pPr>
            <w:r>
              <w:rPr>
                <w:sz w:val="24"/>
                <w:szCs w:val="22"/>
              </w:rPr>
              <w:t>该项目属于《产业结构调整指导目录(2019</w:t>
            </w:r>
            <w:r>
              <w:rPr>
                <w:rFonts w:hint="eastAsia"/>
                <w:sz w:val="24"/>
                <w:szCs w:val="22"/>
              </w:rPr>
              <w:t>年本</w:t>
            </w:r>
            <w:r>
              <w:rPr>
                <w:sz w:val="24"/>
                <w:szCs w:val="22"/>
              </w:rPr>
              <w:t>)</w:t>
            </w:r>
            <w:r>
              <w:rPr>
                <w:rFonts w:hint="eastAsia"/>
                <w:sz w:val="24"/>
                <w:szCs w:val="22"/>
              </w:rPr>
              <w:t>》</w:t>
            </w:r>
            <w:r>
              <w:rPr>
                <w:sz w:val="24"/>
                <w:szCs w:val="22"/>
              </w:rPr>
              <w:t>(</w:t>
            </w:r>
            <w:r>
              <w:rPr>
                <w:rFonts w:hint="eastAsia"/>
                <w:sz w:val="24"/>
                <w:szCs w:val="22"/>
              </w:rPr>
              <w:t>修正版</w:t>
            </w:r>
            <w:r>
              <w:rPr>
                <w:sz w:val="24"/>
                <w:szCs w:val="22"/>
              </w:rPr>
              <w:t>)</w:t>
            </w:r>
            <w:r>
              <w:rPr>
                <w:rFonts w:hint="eastAsia"/>
                <w:sz w:val="24"/>
                <w:szCs w:val="22"/>
              </w:rPr>
              <w:t>中“鼓励类，四十三、环境保护与资源节约综合利用”中的“</w:t>
            </w:r>
            <w:r>
              <w:rPr>
                <w:sz w:val="24"/>
                <w:szCs w:val="22"/>
              </w:rPr>
              <w:t>3</w:t>
            </w:r>
            <w:r>
              <w:rPr>
                <w:rFonts w:hint="eastAsia"/>
                <w:sz w:val="24"/>
                <w:szCs w:val="22"/>
              </w:rPr>
              <w:t>、微咸水、苦咸水、劣质水、海水的开发利用及海水淡化工程”，已取得中国华能集团有限公司的立项批复，符合国家产业政策。</w:t>
            </w:r>
          </w:p>
          <w:p>
            <w:pPr>
              <w:adjustRightInd w:val="0"/>
              <w:snapToGrid w:val="0"/>
              <w:spacing w:line="360" w:lineRule="auto"/>
              <w:ind w:firstLine="480" w:firstLineChars="200"/>
              <w:rPr>
                <w:sz w:val="24"/>
                <w:szCs w:val="22"/>
              </w:rPr>
            </w:pPr>
            <w:r>
              <w:rPr>
                <w:sz w:val="24"/>
                <w:szCs w:val="22"/>
              </w:rPr>
              <w:t xml:space="preserve">2. </w:t>
            </w:r>
            <w:r>
              <w:rPr>
                <w:rFonts w:hint="eastAsia"/>
                <w:sz w:val="24"/>
                <w:szCs w:val="22"/>
              </w:rPr>
              <w:t>环境质量现状</w:t>
            </w:r>
          </w:p>
          <w:p>
            <w:pPr>
              <w:topLinePunct/>
              <w:adjustRightInd w:val="0"/>
              <w:snapToGrid w:val="0"/>
              <w:spacing w:line="360" w:lineRule="auto"/>
              <w:ind w:firstLine="480" w:firstLineChars="200"/>
              <w:rPr>
                <w:sz w:val="24"/>
                <w:szCs w:val="22"/>
              </w:rPr>
            </w:pPr>
            <w:r>
              <w:rPr>
                <w:rFonts w:hint="eastAsia"/>
                <w:sz w:val="24"/>
                <w:szCs w:val="22"/>
              </w:rPr>
              <w:t>(</w:t>
            </w:r>
            <w:r>
              <w:rPr>
                <w:sz w:val="24"/>
                <w:szCs w:val="22"/>
              </w:rPr>
              <w:t xml:space="preserve">1) </w:t>
            </w:r>
            <w:r>
              <w:rPr>
                <w:rFonts w:hint="eastAsia"/>
                <w:sz w:val="24"/>
                <w:szCs w:val="22"/>
              </w:rPr>
              <w:t>大气质量现状</w:t>
            </w:r>
          </w:p>
          <w:p>
            <w:pPr>
              <w:topLinePunct/>
              <w:adjustRightInd w:val="0"/>
              <w:snapToGrid w:val="0"/>
              <w:spacing w:line="360" w:lineRule="auto"/>
              <w:ind w:firstLine="480" w:firstLineChars="200"/>
              <w:rPr>
                <w:sz w:val="24"/>
                <w:szCs w:val="22"/>
              </w:rPr>
            </w:pPr>
            <w:r>
              <w:rPr>
                <w:rFonts w:hint="eastAsia"/>
                <w:sz w:val="24"/>
                <w:szCs w:val="22"/>
              </w:rPr>
              <w:t>根据《2019年威海市生态环境状况公报》，项目所在区域环境空气质量符合《环境空气质量标准》（</w:t>
            </w:r>
            <w:r>
              <w:rPr>
                <w:sz w:val="24"/>
                <w:szCs w:val="22"/>
              </w:rPr>
              <w:t>GB3095-2012</w:t>
            </w:r>
            <w:r>
              <w:rPr>
                <w:rFonts w:hint="eastAsia"/>
                <w:sz w:val="24"/>
                <w:szCs w:val="22"/>
              </w:rPr>
              <w:t>）二级标准。</w:t>
            </w:r>
          </w:p>
          <w:p>
            <w:pPr>
              <w:topLinePunct/>
              <w:adjustRightInd w:val="0"/>
              <w:snapToGrid w:val="0"/>
              <w:spacing w:line="360" w:lineRule="auto"/>
              <w:ind w:firstLine="480" w:firstLineChars="200"/>
              <w:rPr>
                <w:sz w:val="24"/>
                <w:szCs w:val="22"/>
              </w:rPr>
            </w:pPr>
            <w:r>
              <w:rPr>
                <w:sz w:val="24"/>
                <w:szCs w:val="22"/>
              </w:rPr>
              <w:t xml:space="preserve">(2) </w:t>
            </w:r>
            <w:r>
              <w:rPr>
                <w:rFonts w:hint="eastAsia"/>
                <w:sz w:val="24"/>
                <w:szCs w:val="22"/>
              </w:rPr>
              <w:t>声环境质量</w:t>
            </w:r>
          </w:p>
          <w:p>
            <w:pPr>
              <w:topLinePunct/>
              <w:adjustRightInd w:val="0"/>
              <w:snapToGrid w:val="0"/>
              <w:spacing w:line="360" w:lineRule="auto"/>
              <w:ind w:firstLine="480" w:firstLineChars="200"/>
              <w:rPr>
                <w:sz w:val="24"/>
                <w:szCs w:val="22"/>
              </w:rPr>
            </w:pPr>
            <w:r>
              <w:rPr>
                <w:rFonts w:hint="eastAsia"/>
                <w:sz w:val="24"/>
                <w:szCs w:val="22"/>
              </w:rPr>
              <w:t>本项目位于声环境</w:t>
            </w:r>
            <w:r>
              <w:rPr>
                <w:sz w:val="24"/>
                <w:szCs w:val="22"/>
              </w:rPr>
              <w:t>3</w:t>
            </w:r>
            <w:r>
              <w:rPr>
                <w:rFonts w:hint="eastAsia"/>
                <w:sz w:val="24"/>
                <w:szCs w:val="22"/>
              </w:rPr>
              <w:t>类功能区内，</w:t>
            </w:r>
            <w:r>
              <w:rPr>
                <w:rFonts w:hint="eastAsia"/>
                <w:sz w:val="24"/>
              </w:rPr>
              <w:t>根据华能威海电厂提供的2</w:t>
            </w:r>
            <w:r>
              <w:rPr>
                <w:sz w:val="24"/>
              </w:rPr>
              <w:t>020</w:t>
            </w:r>
            <w:r>
              <w:rPr>
                <w:rFonts w:hint="eastAsia"/>
                <w:sz w:val="24"/>
              </w:rPr>
              <w:t>年9月4日厂界噪声例行监测数据（SHEOE-</w:t>
            </w:r>
            <w:r>
              <w:rPr>
                <w:sz w:val="24"/>
              </w:rPr>
              <w:t>004</w:t>
            </w:r>
            <w:r>
              <w:rPr>
                <w:rFonts w:hint="eastAsia"/>
                <w:sz w:val="24"/>
              </w:rPr>
              <w:t>-R</w:t>
            </w:r>
            <w:r>
              <w:rPr>
                <w:sz w:val="24"/>
              </w:rPr>
              <w:t>04</w:t>
            </w:r>
            <w:r>
              <w:rPr>
                <w:rFonts w:hint="eastAsia"/>
                <w:sz w:val="24"/>
              </w:rPr>
              <w:t>），结果显示，厂界</w:t>
            </w:r>
            <w:r>
              <w:rPr>
                <w:rFonts w:hint="eastAsia"/>
                <w:sz w:val="24"/>
                <w:szCs w:val="22"/>
              </w:rPr>
              <w:t>声环境质量昼、夜平均等效声级满足声功能区</w:t>
            </w:r>
            <w:r>
              <w:rPr>
                <w:sz w:val="24"/>
                <w:szCs w:val="22"/>
              </w:rPr>
              <w:t>3</w:t>
            </w:r>
            <w:r>
              <w:rPr>
                <w:rFonts w:hint="eastAsia"/>
                <w:sz w:val="24"/>
                <w:szCs w:val="22"/>
              </w:rPr>
              <w:t>类标准要求。</w:t>
            </w:r>
          </w:p>
          <w:p>
            <w:pPr>
              <w:topLinePunct/>
              <w:adjustRightInd w:val="0"/>
              <w:snapToGrid w:val="0"/>
              <w:spacing w:line="360" w:lineRule="auto"/>
              <w:ind w:firstLine="480" w:firstLineChars="200"/>
              <w:rPr>
                <w:sz w:val="24"/>
                <w:szCs w:val="22"/>
              </w:rPr>
            </w:pPr>
            <w:r>
              <w:rPr>
                <w:sz w:val="24"/>
                <w:szCs w:val="22"/>
              </w:rPr>
              <w:t xml:space="preserve">(3) </w:t>
            </w:r>
            <w:r>
              <w:rPr>
                <w:rFonts w:hint="eastAsia"/>
                <w:sz w:val="24"/>
                <w:szCs w:val="22"/>
              </w:rPr>
              <w:t>水环境质量</w:t>
            </w:r>
          </w:p>
          <w:p>
            <w:pPr>
              <w:topLinePunct/>
              <w:adjustRightInd w:val="0"/>
              <w:snapToGrid w:val="0"/>
              <w:spacing w:line="360" w:lineRule="auto"/>
              <w:ind w:firstLine="480" w:firstLineChars="200"/>
              <w:rPr>
                <w:sz w:val="24"/>
                <w:szCs w:val="22"/>
              </w:rPr>
            </w:pPr>
            <w:r>
              <w:rPr>
                <w:rFonts w:hint="eastAsia"/>
                <w:sz w:val="24"/>
                <w:szCs w:val="22"/>
              </w:rPr>
              <w:t>根据</w:t>
            </w:r>
            <w:r>
              <w:rPr>
                <w:sz w:val="24"/>
                <w:szCs w:val="22"/>
              </w:rPr>
              <w:t>2020</w:t>
            </w:r>
            <w:r>
              <w:rPr>
                <w:rFonts w:hint="eastAsia"/>
                <w:sz w:val="24"/>
                <w:szCs w:val="22"/>
              </w:rPr>
              <w:t>年</w:t>
            </w:r>
            <w:r>
              <w:rPr>
                <w:sz w:val="24"/>
                <w:szCs w:val="22"/>
              </w:rPr>
              <w:t>8</w:t>
            </w:r>
            <w:r>
              <w:rPr>
                <w:rFonts w:hint="eastAsia"/>
                <w:sz w:val="24"/>
                <w:szCs w:val="22"/>
              </w:rPr>
              <w:t>月现状监测结果，排水口附近海域的</w:t>
            </w:r>
            <w:r>
              <w:rPr>
                <w:sz w:val="24"/>
                <w:szCs w:val="22"/>
              </w:rPr>
              <w:t>pH</w:t>
            </w:r>
            <w:r>
              <w:rPr>
                <w:rFonts w:hint="eastAsia"/>
                <w:sz w:val="24"/>
                <w:szCs w:val="22"/>
              </w:rPr>
              <w:t>、</w:t>
            </w:r>
            <w:r>
              <w:rPr>
                <w:sz w:val="24"/>
                <w:szCs w:val="22"/>
              </w:rPr>
              <w:t>DO</w:t>
            </w:r>
            <w:r>
              <w:rPr>
                <w:rFonts w:hint="eastAsia"/>
                <w:sz w:val="24"/>
                <w:szCs w:val="22"/>
              </w:rPr>
              <w:t>、</w:t>
            </w:r>
            <w:r>
              <w:rPr>
                <w:sz w:val="24"/>
                <w:szCs w:val="22"/>
              </w:rPr>
              <w:t>COD</w:t>
            </w:r>
            <w:r>
              <w:rPr>
                <w:rFonts w:hint="eastAsia"/>
                <w:sz w:val="24"/>
                <w:szCs w:val="22"/>
              </w:rPr>
              <w:t>、无机氮、磷酸盐、石油类、硫化物、挥发酚以及重金属（铜、铅、镉、砷、锌、铬及总汞）标准指数均小于</w:t>
            </w:r>
            <w:r>
              <w:rPr>
                <w:sz w:val="24"/>
                <w:szCs w:val="22"/>
              </w:rPr>
              <w:t>1</w:t>
            </w:r>
            <w:r>
              <w:rPr>
                <w:rFonts w:hint="eastAsia"/>
                <w:sz w:val="24"/>
                <w:szCs w:val="22"/>
              </w:rPr>
              <w:t>，符合《海水水质标准》（</w:t>
            </w:r>
            <w:r>
              <w:rPr>
                <w:sz w:val="24"/>
                <w:szCs w:val="22"/>
              </w:rPr>
              <w:t>GB3097-1997</w:t>
            </w:r>
            <w:r>
              <w:rPr>
                <w:rFonts w:hint="eastAsia"/>
                <w:sz w:val="24"/>
                <w:szCs w:val="22"/>
              </w:rPr>
              <w:t>）要求，满足海域使用功能要求，评价海域的水质质量状况良好。</w:t>
            </w:r>
          </w:p>
          <w:p>
            <w:pPr>
              <w:topLinePunct/>
              <w:adjustRightInd w:val="0"/>
              <w:snapToGrid w:val="0"/>
              <w:spacing w:line="360" w:lineRule="auto"/>
              <w:ind w:firstLine="480" w:firstLineChars="200"/>
              <w:rPr>
                <w:sz w:val="24"/>
                <w:szCs w:val="22"/>
              </w:rPr>
            </w:pPr>
            <w:r>
              <w:rPr>
                <w:rFonts w:hint="eastAsia"/>
                <w:sz w:val="24"/>
                <w:szCs w:val="22"/>
              </w:rPr>
              <w:t>收集的历史资料显示：威海湾内各监测因子监测值均满足所在海洋功能区标准要求。</w:t>
            </w:r>
          </w:p>
          <w:p>
            <w:pPr>
              <w:topLinePunct/>
              <w:adjustRightInd w:val="0"/>
              <w:snapToGrid w:val="0"/>
              <w:spacing w:line="360" w:lineRule="auto"/>
              <w:ind w:firstLine="480" w:firstLineChars="200"/>
              <w:rPr>
                <w:sz w:val="24"/>
                <w:szCs w:val="22"/>
              </w:rPr>
            </w:pPr>
            <w:r>
              <w:rPr>
                <w:sz w:val="24"/>
                <w:szCs w:val="22"/>
              </w:rPr>
              <w:t>(4)</w:t>
            </w:r>
            <w:r>
              <w:rPr>
                <w:rFonts w:hint="eastAsia"/>
                <w:sz w:val="24"/>
                <w:szCs w:val="22"/>
              </w:rPr>
              <w:t>沉积物质量</w:t>
            </w:r>
          </w:p>
          <w:p>
            <w:pPr>
              <w:topLinePunct/>
              <w:adjustRightInd w:val="0"/>
              <w:snapToGrid w:val="0"/>
              <w:spacing w:line="360" w:lineRule="auto"/>
              <w:ind w:firstLine="480" w:firstLineChars="200"/>
              <w:rPr>
                <w:sz w:val="24"/>
                <w:szCs w:val="22"/>
              </w:rPr>
            </w:pPr>
            <w:r>
              <w:rPr>
                <w:rFonts w:hint="eastAsia"/>
                <w:sz w:val="24"/>
                <w:szCs w:val="22"/>
              </w:rPr>
              <w:t>根据</w:t>
            </w:r>
            <w:r>
              <w:rPr>
                <w:sz w:val="24"/>
                <w:szCs w:val="22"/>
              </w:rPr>
              <w:t>2020</w:t>
            </w:r>
            <w:r>
              <w:rPr>
                <w:rFonts w:hint="eastAsia"/>
                <w:sz w:val="24"/>
                <w:szCs w:val="22"/>
              </w:rPr>
              <w:t>年</w:t>
            </w:r>
            <w:r>
              <w:rPr>
                <w:sz w:val="24"/>
                <w:szCs w:val="22"/>
              </w:rPr>
              <w:t>8</w:t>
            </w:r>
            <w:r>
              <w:rPr>
                <w:rFonts w:hint="eastAsia"/>
                <w:sz w:val="24"/>
                <w:szCs w:val="22"/>
              </w:rPr>
              <w:t>月现状调查结果，调查海域各站位沉积物样品的所有检测项目</w:t>
            </w:r>
            <w:r>
              <w:rPr>
                <w:sz w:val="24"/>
                <w:szCs w:val="22"/>
              </w:rPr>
              <w:t>(</w:t>
            </w:r>
            <w:r>
              <w:rPr>
                <w:rFonts w:hint="eastAsia"/>
                <w:sz w:val="24"/>
                <w:szCs w:val="22"/>
              </w:rPr>
              <w:t>有机碳、硫化物、石油类、铜、镉、铅、锌、铬、砷以及总汞）的评价因子均小</w:t>
            </w:r>
          </w:p>
          <w:p>
            <w:pPr>
              <w:topLinePunct/>
              <w:adjustRightInd w:val="0"/>
              <w:snapToGrid w:val="0"/>
              <w:spacing w:line="360" w:lineRule="auto"/>
              <w:rPr>
                <w:sz w:val="24"/>
                <w:szCs w:val="22"/>
              </w:rPr>
            </w:pPr>
            <w:r>
              <w:rPr>
                <w:rFonts w:hint="eastAsia"/>
                <w:sz w:val="24"/>
                <w:szCs w:val="22"/>
              </w:rPr>
              <w:t>于</w:t>
            </w:r>
            <w:r>
              <w:rPr>
                <w:sz w:val="24"/>
                <w:szCs w:val="22"/>
              </w:rPr>
              <w:t>1</w:t>
            </w:r>
            <w:r>
              <w:rPr>
                <w:rFonts w:hint="eastAsia"/>
                <w:sz w:val="24"/>
                <w:szCs w:val="22"/>
              </w:rPr>
              <w:t>，均满足所在海洋功能区标准要求，该海域表层沉积物质量现状良好。</w:t>
            </w:r>
          </w:p>
          <w:p>
            <w:pPr>
              <w:topLinePunct/>
              <w:adjustRightInd w:val="0"/>
              <w:snapToGrid w:val="0"/>
              <w:spacing w:line="360" w:lineRule="auto"/>
              <w:ind w:firstLine="480" w:firstLineChars="200"/>
              <w:rPr>
                <w:sz w:val="24"/>
                <w:szCs w:val="22"/>
              </w:rPr>
            </w:pPr>
            <w:r>
              <w:rPr>
                <w:sz w:val="24"/>
                <w:szCs w:val="22"/>
              </w:rPr>
              <w:t>(5)</w:t>
            </w:r>
            <w:r>
              <w:rPr>
                <w:rFonts w:hint="eastAsia"/>
                <w:sz w:val="24"/>
                <w:szCs w:val="22"/>
              </w:rPr>
              <w:t>海洋生物体质量</w:t>
            </w:r>
          </w:p>
          <w:p>
            <w:pPr>
              <w:topLinePunct/>
              <w:adjustRightInd w:val="0"/>
              <w:snapToGrid w:val="0"/>
              <w:spacing w:line="360" w:lineRule="auto"/>
              <w:ind w:firstLine="480" w:firstLineChars="200"/>
              <w:rPr>
                <w:sz w:val="24"/>
                <w:szCs w:val="22"/>
              </w:rPr>
            </w:pPr>
            <w:r>
              <w:rPr>
                <w:sz w:val="24"/>
                <w:szCs w:val="22"/>
              </w:rPr>
              <w:t>2020</w:t>
            </w:r>
            <w:r>
              <w:rPr>
                <w:rFonts w:hint="eastAsia"/>
                <w:sz w:val="24"/>
                <w:szCs w:val="22"/>
              </w:rPr>
              <w:t>年</w:t>
            </w:r>
            <w:r>
              <w:rPr>
                <w:sz w:val="24"/>
                <w:szCs w:val="22"/>
              </w:rPr>
              <w:t>08</w:t>
            </w:r>
            <w:r>
              <w:rPr>
                <w:rFonts w:hint="eastAsia"/>
                <w:sz w:val="24"/>
                <w:szCs w:val="22"/>
              </w:rPr>
              <w:t>月调查结果表明，小黄花鱼、黄鱼、乌鳢鱼、三疣梭子蟹、赤甲红蟹和鹰爪虾生物样品中的镉、铅、总汞、铜、锌、砷、铬以及石油烃监测项目均符合《全国海岛资源综合调查简明教程》中标准要求；红里扇贝生物样品中镉、铅、总汞、铜、锌、砷、铬以及石油烃监测项目均符合《海洋生物质量》（</w:t>
            </w:r>
            <w:r>
              <w:rPr>
                <w:sz w:val="24"/>
                <w:szCs w:val="22"/>
              </w:rPr>
              <w:t>GB18241-2001</w:t>
            </w:r>
            <w:r>
              <w:rPr>
                <w:rFonts w:hint="eastAsia"/>
                <w:sz w:val="24"/>
                <w:szCs w:val="22"/>
              </w:rPr>
              <w:t>）中第一类标准。该调查海域生物质量状况良好。</w:t>
            </w:r>
          </w:p>
          <w:p>
            <w:pPr>
              <w:topLinePunct/>
              <w:adjustRightInd w:val="0"/>
              <w:snapToGrid w:val="0"/>
              <w:spacing w:line="360" w:lineRule="auto"/>
              <w:ind w:firstLine="480" w:firstLineChars="200"/>
              <w:rPr>
                <w:sz w:val="24"/>
                <w:szCs w:val="22"/>
              </w:rPr>
            </w:pPr>
            <w:r>
              <w:rPr>
                <w:sz w:val="24"/>
                <w:szCs w:val="22"/>
              </w:rPr>
              <w:t>(6)</w:t>
            </w:r>
            <w:r>
              <w:rPr>
                <w:rFonts w:hint="eastAsia"/>
                <w:sz w:val="24"/>
                <w:szCs w:val="22"/>
              </w:rPr>
              <w:t>海洋生物生态现状</w:t>
            </w:r>
          </w:p>
          <w:p>
            <w:pPr>
              <w:topLinePunct/>
              <w:adjustRightInd w:val="0"/>
              <w:snapToGrid w:val="0"/>
              <w:spacing w:line="360" w:lineRule="auto"/>
              <w:ind w:firstLine="480" w:firstLineChars="200"/>
              <w:rPr>
                <w:sz w:val="24"/>
                <w:szCs w:val="22"/>
              </w:rPr>
            </w:pPr>
            <w:r>
              <w:rPr>
                <w:rFonts w:hint="eastAsia"/>
                <w:sz w:val="24"/>
                <w:szCs w:val="22"/>
              </w:rPr>
              <w:t>浮游植物：</w:t>
            </w:r>
            <w:r>
              <w:rPr>
                <w:sz w:val="24"/>
                <w:szCs w:val="22"/>
              </w:rPr>
              <w:t>2020</w:t>
            </w:r>
            <w:r>
              <w:rPr>
                <w:rFonts w:hint="eastAsia"/>
                <w:sz w:val="24"/>
                <w:szCs w:val="22"/>
              </w:rPr>
              <w:t>年</w:t>
            </w:r>
            <w:r>
              <w:rPr>
                <w:sz w:val="24"/>
                <w:szCs w:val="22"/>
              </w:rPr>
              <w:t>8</w:t>
            </w:r>
            <w:r>
              <w:rPr>
                <w:rFonts w:hint="eastAsia"/>
                <w:sz w:val="24"/>
                <w:szCs w:val="22"/>
              </w:rPr>
              <w:t>月调查海域共获浮游植物</w:t>
            </w:r>
            <w:r>
              <w:rPr>
                <w:sz w:val="24"/>
                <w:szCs w:val="22"/>
              </w:rPr>
              <w:t>48</w:t>
            </w:r>
            <w:r>
              <w:rPr>
                <w:rFonts w:hint="eastAsia"/>
                <w:sz w:val="24"/>
                <w:szCs w:val="22"/>
              </w:rPr>
              <w:t>种，隶属于硅藻和甲藻</w:t>
            </w:r>
            <w:r>
              <w:rPr>
                <w:sz w:val="24"/>
                <w:szCs w:val="22"/>
              </w:rPr>
              <w:t>2</w:t>
            </w:r>
            <w:r>
              <w:rPr>
                <w:rFonts w:hint="eastAsia"/>
                <w:sz w:val="24"/>
                <w:szCs w:val="22"/>
              </w:rPr>
              <w:t>个浮游植物门。其中硅藻出现的种类和数量占绝对优势，共</w:t>
            </w:r>
            <w:r>
              <w:rPr>
                <w:sz w:val="24"/>
                <w:szCs w:val="22"/>
              </w:rPr>
              <w:t>39</w:t>
            </w:r>
            <w:r>
              <w:rPr>
                <w:rFonts w:hint="eastAsia"/>
                <w:sz w:val="24"/>
                <w:szCs w:val="22"/>
              </w:rPr>
              <w:t>种，甲藻</w:t>
            </w:r>
            <w:r>
              <w:rPr>
                <w:sz w:val="24"/>
                <w:szCs w:val="22"/>
              </w:rPr>
              <w:t>9</w:t>
            </w:r>
            <w:r>
              <w:rPr>
                <w:rFonts w:hint="eastAsia"/>
                <w:sz w:val="24"/>
                <w:szCs w:val="22"/>
              </w:rPr>
              <w:t>种。调查发现优势种</w:t>
            </w:r>
            <w:r>
              <w:rPr>
                <w:sz w:val="24"/>
                <w:szCs w:val="22"/>
              </w:rPr>
              <w:t>6</w:t>
            </w:r>
            <w:r>
              <w:rPr>
                <w:rFonts w:hint="eastAsia"/>
                <w:sz w:val="24"/>
                <w:szCs w:val="22"/>
              </w:rPr>
              <w:t>种，为窄隙角毛藻</w:t>
            </w:r>
            <w:r>
              <w:rPr>
                <w:sz w:val="24"/>
                <w:szCs w:val="22"/>
              </w:rPr>
              <w:t>(Chaetoceros affinis Lauder)</w:t>
            </w:r>
            <w:r>
              <w:rPr>
                <w:rFonts w:hint="eastAsia"/>
                <w:sz w:val="24"/>
                <w:szCs w:val="22"/>
              </w:rPr>
              <w:t>、旋链角毛藻</w:t>
            </w:r>
            <w:r>
              <w:rPr>
                <w:sz w:val="24"/>
                <w:szCs w:val="22"/>
              </w:rPr>
              <w:t xml:space="preserve">(Chaetoceros curvisetus Cleve) </w:t>
            </w:r>
            <w:r>
              <w:rPr>
                <w:rFonts w:hint="eastAsia"/>
                <w:sz w:val="24"/>
                <w:szCs w:val="22"/>
              </w:rPr>
              <w:t>、劳氏角毛藻</w:t>
            </w:r>
            <w:r>
              <w:rPr>
                <w:sz w:val="24"/>
                <w:szCs w:val="22"/>
              </w:rPr>
              <w:t>(Chaetoceros lorenzianus Grunow)</w:t>
            </w:r>
            <w:r>
              <w:rPr>
                <w:rFonts w:hint="eastAsia"/>
                <w:sz w:val="24"/>
                <w:szCs w:val="22"/>
              </w:rPr>
              <w:t>、海洋角毛藻</w:t>
            </w:r>
            <w:r>
              <w:rPr>
                <w:sz w:val="24"/>
                <w:szCs w:val="22"/>
              </w:rPr>
              <w:t xml:space="preserve">(Chaetoceros pelagicus Cleve) </w:t>
            </w:r>
            <w:r>
              <w:rPr>
                <w:rFonts w:hint="eastAsia"/>
                <w:sz w:val="24"/>
                <w:szCs w:val="22"/>
              </w:rPr>
              <w:t>、尖刺拟菱形藻</w:t>
            </w:r>
            <w:r>
              <w:rPr>
                <w:sz w:val="24"/>
                <w:szCs w:val="22"/>
              </w:rPr>
              <w:t>(Pseudo-nitzschia pungens (Grunow ex  Cleve)Hasle)</w:t>
            </w:r>
            <w:r>
              <w:rPr>
                <w:rFonts w:hint="eastAsia"/>
                <w:sz w:val="24"/>
                <w:szCs w:val="22"/>
              </w:rPr>
              <w:t>、中肋骨条藻</w:t>
            </w:r>
            <w:r>
              <w:rPr>
                <w:sz w:val="24"/>
                <w:szCs w:val="22"/>
              </w:rPr>
              <w:t>(Skeletonema costatum (Greville)Cleve)。浮游植物群落的多样性指数在2.54±0.42</w:t>
            </w:r>
            <w:r>
              <w:rPr>
                <w:rFonts w:hint="eastAsia"/>
                <w:sz w:val="24"/>
                <w:szCs w:val="22"/>
              </w:rPr>
              <w:t>；丰度值指数为</w:t>
            </w:r>
            <w:r>
              <w:rPr>
                <w:sz w:val="24"/>
                <w:szCs w:val="22"/>
              </w:rPr>
              <w:t>0.82</w:t>
            </w:r>
            <w:r>
              <w:rPr>
                <w:rFonts w:hint="eastAsia"/>
                <w:sz w:val="24"/>
                <w:szCs w:val="22"/>
              </w:rPr>
              <w:t>±</w:t>
            </w:r>
            <w:r>
              <w:rPr>
                <w:sz w:val="24"/>
                <w:szCs w:val="22"/>
              </w:rPr>
              <w:t>0.17</w:t>
            </w:r>
            <w:r>
              <w:rPr>
                <w:rFonts w:hint="eastAsia"/>
                <w:sz w:val="24"/>
                <w:szCs w:val="22"/>
              </w:rPr>
              <w:t>；均匀度指数为</w:t>
            </w:r>
            <w:r>
              <w:rPr>
                <w:sz w:val="24"/>
                <w:szCs w:val="22"/>
              </w:rPr>
              <w:t>0.63±0.09</w:t>
            </w:r>
            <w:r>
              <w:rPr>
                <w:rFonts w:hint="eastAsia"/>
                <w:sz w:val="24"/>
                <w:szCs w:val="22"/>
              </w:rPr>
              <w:t>。以上指数均在威海湾海域浮游植物群落指数的正常变化范围内，无异常现象。</w:t>
            </w:r>
          </w:p>
          <w:p>
            <w:pPr>
              <w:topLinePunct/>
              <w:adjustRightInd w:val="0"/>
              <w:snapToGrid w:val="0"/>
              <w:spacing w:line="360" w:lineRule="auto"/>
              <w:ind w:firstLine="480" w:firstLineChars="200"/>
              <w:rPr>
                <w:sz w:val="24"/>
                <w:szCs w:val="22"/>
              </w:rPr>
            </w:pPr>
            <w:r>
              <w:rPr>
                <w:rFonts w:hint="eastAsia"/>
                <w:sz w:val="24"/>
                <w:szCs w:val="22"/>
              </w:rPr>
              <w:t>浮游动物：</w:t>
            </w:r>
            <w:r>
              <w:rPr>
                <w:sz w:val="24"/>
                <w:szCs w:val="22"/>
              </w:rPr>
              <w:t>2020</w:t>
            </w:r>
            <w:r>
              <w:rPr>
                <w:rFonts w:hint="eastAsia"/>
                <w:sz w:val="24"/>
                <w:szCs w:val="22"/>
              </w:rPr>
              <w:t>年</w:t>
            </w:r>
            <w:r>
              <w:rPr>
                <w:sz w:val="24"/>
                <w:szCs w:val="22"/>
              </w:rPr>
              <w:t>8</w:t>
            </w:r>
            <w:r>
              <w:rPr>
                <w:rFonts w:hint="eastAsia"/>
                <w:sz w:val="24"/>
                <w:szCs w:val="22"/>
              </w:rPr>
              <w:t>月调查海域浮游动物共有</w:t>
            </w:r>
            <w:r>
              <w:rPr>
                <w:sz w:val="24"/>
                <w:szCs w:val="22"/>
              </w:rPr>
              <w:t>25</w:t>
            </w:r>
            <w:r>
              <w:rPr>
                <w:rFonts w:hint="eastAsia"/>
                <w:sz w:val="24"/>
                <w:szCs w:val="22"/>
              </w:rPr>
              <w:t>个种类，分属</w:t>
            </w:r>
            <w:r>
              <w:rPr>
                <w:sz w:val="24"/>
                <w:szCs w:val="22"/>
              </w:rPr>
              <w:t>8</w:t>
            </w:r>
            <w:r>
              <w:rPr>
                <w:rFonts w:hint="eastAsia"/>
                <w:sz w:val="24"/>
                <w:szCs w:val="22"/>
              </w:rPr>
              <w:t>个类群。其中，浮游幼虫种类最多，共</w:t>
            </w:r>
            <w:r>
              <w:rPr>
                <w:sz w:val="24"/>
                <w:szCs w:val="22"/>
              </w:rPr>
              <w:t>10</w:t>
            </w:r>
            <w:r>
              <w:rPr>
                <w:rFonts w:hint="eastAsia"/>
                <w:sz w:val="24"/>
                <w:szCs w:val="22"/>
              </w:rPr>
              <w:t>种；桡足类其次，有</w:t>
            </w:r>
            <w:r>
              <w:rPr>
                <w:sz w:val="24"/>
                <w:szCs w:val="22"/>
              </w:rPr>
              <w:t>6</w:t>
            </w:r>
            <w:r>
              <w:rPr>
                <w:rFonts w:hint="eastAsia"/>
                <w:sz w:val="24"/>
                <w:szCs w:val="22"/>
              </w:rPr>
              <w:t>种；水螅水母</w:t>
            </w:r>
            <w:r>
              <w:rPr>
                <w:sz w:val="24"/>
                <w:szCs w:val="22"/>
              </w:rPr>
              <w:t>3</w:t>
            </w:r>
            <w:r>
              <w:rPr>
                <w:rFonts w:hint="eastAsia"/>
                <w:sz w:val="24"/>
                <w:szCs w:val="22"/>
              </w:rPr>
              <w:t>种；毛颚类</w:t>
            </w:r>
            <w:r>
              <w:rPr>
                <w:sz w:val="24"/>
                <w:szCs w:val="22"/>
              </w:rPr>
              <w:t>1</w:t>
            </w:r>
            <w:r>
              <w:rPr>
                <w:rFonts w:hint="eastAsia"/>
                <w:sz w:val="24"/>
                <w:szCs w:val="22"/>
              </w:rPr>
              <w:t>种；原生动物、枝角类、端足类和被囊类各</w:t>
            </w:r>
            <w:r>
              <w:rPr>
                <w:sz w:val="24"/>
                <w:szCs w:val="22"/>
              </w:rPr>
              <w:t>1</w:t>
            </w:r>
            <w:r>
              <w:rPr>
                <w:rFonts w:hint="eastAsia"/>
                <w:sz w:val="24"/>
                <w:szCs w:val="22"/>
              </w:rPr>
              <w:t>种。浮游动物优势种类有</w:t>
            </w:r>
            <w:r>
              <w:rPr>
                <w:sz w:val="24"/>
                <w:szCs w:val="22"/>
              </w:rPr>
              <w:t>4</w:t>
            </w:r>
            <w:r>
              <w:rPr>
                <w:rFonts w:hint="eastAsia"/>
                <w:sz w:val="24"/>
                <w:szCs w:val="22"/>
              </w:rPr>
              <w:t>种，分别为：枝角类的鸟喙尖头溞（</w:t>
            </w:r>
            <w:r>
              <w:rPr>
                <w:sz w:val="24"/>
                <w:szCs w:val="22"/>
              </w:rPr>
              <w:t>Penilia avirostris</w:t>
            </w:r>
            <w:r>
              <w:rPr>
                <w:rFonts w:hint="eastAsia"/>
                <w:sz w:val="24"/>
                <w:szCs w:val="22"/>
              </w:rPr>
              <w:t>）和桡足类的小拟哲水蚤（</w:t>
            </w:r>
            <w:r>
              <w:rPr>
                <w:sz w:val="24"/>
                <w:szCs w:val="22"/>
              </w:rPr>
              <w:t>Paracalanus parvus</w:t>
            </w:r>
            <w:r>
              <w:rPr>
                <w:rFonts w:hint="eastAsia"/>
                <w:sz w:val="24"/>
                <w:szCs w:val="22"/>
              </w:rPr>
              <w:t>）、双刺唇角水蚤（</w:t>
            </w:r>
            <w:r>
              <w:rPr>
                <w:sz w:val="24"/>
                <w:szCs w:val="22"/>
              </w:rPr>
              <w:t>Labidocera bipinnata</w:t>
            </w:r>
            <w:r>
              <w:rPr>
                <w:rFonts w:hint="eastAsia"/>
                <w:sz w:val="24"/>
                <w:szCs w:val="22"/>
              </w:rPr>
              <w:t>）、和浮游幼虫的短尾类溞状幼虫（</w:t>
            </w:r>
            <w:r>
              <w:rPr>
                <w:sz w:val="24"/>
                <w:szCs w:val="22"/>
              </w:rPr>
              <w:t>Brachyura zoea larva</w:t>
            </w:r>
            <w:r>
              <w:rPr>
                <w:rFonts w:hint="eastAsia"/>
                <w:sz w:val="24"/>
                <w:szCs w:val="22"/>
              </w:rPr>
              <w:t>）。</w:t>
            </w:r>
            <w:r>
              <w:rPr>
                <w:sz w:val="24"/>
                <w:szCs w:val="22"/>
              </w:rPr>
              <w:t>浮游</w:t>
            </w:r>
            <w:r>
              <w:rPr>
                <w:rFonts w:hint="eastAsia"/>
                <w:sz w:val="24"/>
                <w:szCs w:val="22"/>
              </w:rPr>
              <w:t>动物群落的多样性指数为</w:t>
            </w:r>
            <w:r>
              <w:rPr>
                <w:sz w:val="24"/>
                <w:szCs w:val="22"/>
              </w:rPr>
              <w:t>1.89</w:t>
            </w:r>
            <w:r>
              <w:rPr>
                <w:rFonts w:hint="eastAsia"/>
                <w:sz w:val="24"/>
                <w:szCs w:val="22"/>
              </w:rPr>
              <w:t>±</w:t>
            </w:r>
            <w:r>
              <w:rPr>
                <w:sz w:val="24"/>
                <w:szCs w:val="22"/>
              </w:rPr>
              <w:t>0.63</w:t>
            </w:r>
            <w:r>
              <w:rPr>
                <w:rFonts w:hint="eastAsia"/>
                <w:sz w:val="24"/>
                <w:szCs w:val="22"/>
              </w:rPr>
              <w:t>；丰度值指数为</w:t>
            </w:r>
            <w:r>
              <w:rPr>
                <w:sz w:val="24"/>
                <w:szCs w:val="22"/>
              </w:rPr>
              <w:t>1.18</w:t>
            </w:r>
            <w:r>
              <w:rPr>
                <w:rFonts w:hint="eastAsia"/>
                <w:sz w:val="24"/>
                <w:szCs w:val="22"/>
              </w:rPr>
              <w:t>±</w:t>
            </w:r>
            <w:r>
              <w:rPr>
                <w:sz w:val="24"/>
                <w:szCs w:val="22"/>
              </w:rPr>
              <w:t>0.51</w:t>
            </w:r>
            <w:r>
              <w:rPr>
                <w:rFonts w:hint="eastAsia"/>
                <w:sz w:val="24"/>
                <w:szCs w:val="22"/>
              </w:rPr>
              <w:t>；均匀度指数为</w:t>
            </w:r>
            <w:r>
              <w:rPr>
                <w:sz w:val="24"/>
                <w:szCs w:val="22"/>
              </w:rPr>
              <w:t>0.64</w:t>
            </w:r>
            <w:r>
              <w:rPr>
                <w:rFonts w:hint="eastAsia"/>
                <w:sz w:val="24"/>
                <w:szCs w:val="22"/>
              </w:rPr>
              <w:t>±</w:t>
            </w:r>
            <w:r>
              <w:rPr>
                <w:sz w:val="24"/>
                <w:szCs w:val="22"/>
              </w:rPr>
              <w:t>0.12</w:t>
            </w:r>
            <w:r>
              <w:rPr>
                <w:rFonts w:hint="eastAsia"/>
                <w:sz w:val="24"/>
                <w:szCs w:val="22"/>
              </w:rPr>
              <w:t>。以上指数均在威海州湾海域浮游植物群落指数的正常变化范围内，无异常现象。</w:t>
            </w:r>
          </w:p>
          <w:p>
            <w:pPr>
              <w:topLinePunct/>
              <w:adjustRightInd w:val="0"/>
              <w:snapToGrid w:val="0"/>
              <w:spacing w:line="360" w:lineRule="auto"/>
              <w:ind w:firstLine="480" w:firstLineChars="200"/>
              <w:rPr>
                <w:sz w:val="24"/>
                <w:szCs w:val="22"/>
              </w:rPr>
            </w:pPr>
            <w:r>
              <w:rPr>
                <w:rFonts w:hint="eastAsia"/>
                <w:sz w:val="24"/>
                <w:szCs w:val="22"/>
              </w:rPr>
              <w:t>底栖生物：调查海域大型底栖动物共采集鉴定到</w:t>
            </w:r>
            <w:r>
              <w:rPr>
                <w:sz w:val="24"/>
                <w:szCs w:val="22"/>
              </w:rPr>
              <w:t>68</w:t>
            </w:r>
            <w:r>
              <w:rPr>
                <w:rFonts w:hint="eastAsia"/>
                <w:sz w:val="24"/>
                <w:szCs w:val="22"/>
              </w:rPr>
              <w:t>种，分别隶属于环节动物门多毛类、软体动物门、节肢动物门甲壳类、棘皮动物门和腔肠动物门。各站位底栖生物栖息密度的幅度为</w:t>
            </w:r>
            <w:r>
              <w:rPr>
                <w:sz w:val="24"/>
                <w:szCs w:val="22"/>
              </w:rPr>
              <w:t>330~1840ind/m</w:t>
            </w:r>
            <w:r>
              <w:rPr>
                <w:sz w:val="24"/>
                <w:szCs w:val="22"/>
                <w:vertAlign w:val="superscript"/>
              </w:rPr>
              <w:t>2</w:t>
            </w:r>
            <w:r>
              <w:rPr>
                <w:sz w:val="24"/>
                <w:szCs w:val="22"/>
              </w:rPr>
              <w:t>；生物量的幅度为(11.70~209.28) g/m</w:t>
            </w:r>
            <w:r>
              <w:rPr>
                <w:sz w:val="24"/>
                <w:szCs w:val="22"/>
                <w:vertAlign w:val="superscript"/>
              </w:rPr>
              <w:t>2</w:t>
            </w:r>
            <w:r>
              <w:rPr>
                <w:sz w:val="24"/>
                <w:szCs w:val="22"/>
              </w:rPr>
              <w:t>。大型底栖动物丰富度平均值为2.48</w:t>
            </w:r>
            <w:r>
              <w:rPr>
                <w:rFonts w:hint="eastAsia"/>
                <w:sz w:val="24"/>
                <w:szCs w:val="22"/>
              </w:rPr>
              <w:t>；各站多样性指数平均值为</w:t>
            </w:r>
            <w:r>
              <w:rPr>
                <w:sz w:val="24"/>
                <w:szCs w:val="22"/>
              </w:rPr>
              <w:t>2.27</w:t>
            </w:r>
            <w:r>
              <w:rPr>
                <w:rFonts w:hint="eastAsia"/>
                <w:sz w:val="24"/>
                <w:szCs w:val="22"/>
              </w:rPr>
              <w:t>；各站底栖生物均匀度指数平均值为</w:t>
            </w:r>
            <w:r>
              <w:rPr>
                <w:sz w:val="24"/>
                <w:szCs w:val="22"/>
              </w:rPr>
              <w:t>0.5</w:t>
            </w:r>
            <w:r>
              <w:rPr>
                <w:rFonts w:hint="eastAsia"/>
                <w:sz w:val="24"/>
                <w:szCs w:val="22"/>
              </w:rPr>
              <w:t>。以上指数均在威海湾海域浮游植物群落指数的正常变化范围内，无异常现象。</w:t>
            </w:r>
          </w:p>
          <w:p>
            <w:pPr>
              <w:topLinePunct/>
              <w:adjustRightInd w:val="0"/>
              <w:snapToGrid w:val="0"/>
              <w:spacing w:line="360" w:lineRule="auto"/>
              <w:ind w:firstLine="480" w:firstLineChars="200"/>
              <w:rPr>
                <w:sz w:val="24"/>
                <w:szCs w:val="22"/>
              </w:rPr>
            </w:pPr>
            <w:r>
              <w:rPr>
                <w:rFonts w:hint="eastAsia"/>
                <w:sz w:val="24"/>
                <w:szCs w:val="22"/>
              </w:rPr>
              <w:t>叶绿素</w:t>
            </w:r>
            <w:r>
              <w:rPr>
                <w:sz w:val="24"/>
                <w:szCs w:val="22"/>
              </w:rPr>
              <w:t>a</w:t>
            </w:r>
            <w:r>
              <w:rPr>
                <w:rFonts w:hint="eastAsia"/>
                <w:sz w:val="24"/>
                <w:szCs w:val="22"/>
              </w:rPr>
              <w:t>：调查海域叶绿素</w:t>
            </w:r>
            <w:r>
              <w:rPr>
                <w:sz w:val="24"/>
                <w:szCs w:val="22"/>
              </w:rPr>
              <w:t>a</w:t>
            </w:r>
            <w:r>
              <w:rPr>
                <w:rFonts w:hint="eastAsia"/>
                <w:sz w:val="24"/>
                <w:szCs w:val="22"/>
              </w:rPr>
              <w:t>含量在</w:t>
            </w:r>
            <w:r>
              <w:rPr>
                <w:sz w:val="24"/>
                <w:szCs w:val="22"/>
              </w:rPr>
              <w:t>2.23~4.01</w:t>
            </w:r>
            <w:r>
              <w:rPr>
                <w:rFonts w:hint="eastAsia"/>
                <w:sz w:val="24"/>
                <w:szCs w:val="22"/>
              </w:rPr>
              <w:t>µ</w:t>
            </w:r>
            <w:r>
              <w:rPr>
                <w:sz w:val="24"/>
                <w:szCs w:val="22"/>
              </w:rPr>
              <w:t>g/L</w:t>
            </w:r>
            <w:r>
              <w:rPr>
                <w:rFonts w:hint="eastAsia"/>
                <w:sz w:val="24"/>
                <w:szCs w:val="22"/>
              </w:rPr>
              <w:t>，平均为</w:t>
            </w:r>
            <w:r>
              <w:rPr>
                <w:sz w:val="24"/>
                <w:szCs w:val="22"/>
              </w:rPr>
              <w:t xml:space="preserve">3.11 </w:t>
            </w:r>
            <w:r>
              <w:rPr>
                <w:rFonts w:hint="eastAsia"/>
                <w:sz w:val="24"/>
                <w:szCs w:val="22"/>
              </w:rPr>
              <w:t>µ</w:t>
            </w:r>
            <w:r>
              <w:rPr>
                <w:sz w:val="24"/>
                <w:szCs w:val="22"/>
              </w:rPr>
              <w:t>g/L</w:t>
            </w:r>
            <w:r>
              <w:rPr>
                <w:rFonts w:hint="eastAsia"/>
                <w:sz w:val="24"/>
                <w:szCs w:val="22"/>
              </w:rPr>
              <w:t>。</w:t>
            </w:r>
          </w:p>
          <w:p>
            <w:pPr>
              <w:adjustRightInd w:val="0"/>
              <w:snapToGrid w:val="0"/>
              <w:spacing w:line="360" w:lineRule="auto"/>
              <w:ind w:firstLine="480" w:firstLineChars="200"/>
              <w:rPr>
                <w:sz w:val="24"/>
                <w:szCs w:val="22"/>
              </w:rPr>
            </w:pPr>
            <w:r>
              <w:rPr>
                <w:sz w:val="24"/>
                <w:szCs w:val="22"/>
              </w:rPr>
              <w:t>3. 营运期的环境影响结论</w:t>
            </w:r>
          </w:p>
          <w:p>
            <w:pPr>
              <w:adjustRightInd w:val="0"/>
              <w:snapToGrid w:val="0"/>
              <w:spacing w:line="360" w:lineRule="auto"/>
              <w:ind w:firstLine="480" w:firstLineChars="200"/>
              <w:rPr>
                <w:sz w:val="24"/>
                <w:szCs w:val="22"/>
              </w:rPr>
            </w:pPr>
            <w:r>
              <w:rPr>
                <w:sz w:val="24"/>
                <w:szCs w:val="22"/>
              </w:rPr>
              <w:t xml:space="preserve">(1) </w:t>
            </w:r>
            <w:r>
              <w:rPr>
                <w:rFonts w:hint="eastAsia"/>
                <w:sz w:val="24"/>
                <w:szCs w:val="22"/>
              </w:rPr>
              <w:t>废气</w:t>
            </w:r>
          </w:p>
          <w:p>
            <w:pPr>
              <w:pStyle w:val="51"/>
              <w:adjustRightInd w:val="0"/>
              <w:snapToGrid w:val="0"/>
              <w:spacing w:line="360" w:lineRule="auto"/>
              <w:ind w:firstLine="492"/>
              <w:rPr>
                <w:rFonts w:ascii="Times New Roman" w:hAnsi="Times New Roman"/>
                <w:sz w:val="24"/>
                <w:szCs w:val="22"/>
              </w:rPr>
            </w:pPr>
            <w:r>
              <w:rPr>
                <w:rFonts w:hint="eastAsia" w:ascii="Times New Roman" w:hAnsi="Times New Roman"/>
                <w:sz w:val="24"/>
                <w:szCs w:val="22"/>
              </w:rPr>
              <w:t>根据项目工艺特点，本项目运营期间不产生大气污染物，对周围大气环境无影响。</w:t>
            </w:r>
          </w:p>
          <w:p>
            <w:pPr>
              <w:adjustRightInd w:val="0"/>
              <w:snapToGrid w:val="0"/>
              <w:spacing w:line="360" w:lineRule="auto"/>
              <w:ind w:firstLine="480" w:firstLineChars="200"/>
              <w:rPr>
                <w:sz w:val="24"/>
                <w:szCs w:val="22"/>
              </w:rPr>
            </w:pPr>
            <w:r>
              <w:rPr>
                <w:sz w:val="24"/>
                <w:szCs w:val="22"/>
              </w:rPr>
              <w:t xml:space="preserve">(2) </w:t>
            </w:r>
            <w:r>
              <w:rPr>
                <w:rFonts w:hint="eastAsia"/>
                <w:sz w:val="24"/>
                <w:szCs w:val="22"/>
              </w:rPr>
              <w:t>废水</w:t>
            </w:r>
          </w:p>
          <w:p>
            <w:pPr>
              <w:topLinePunct/>
              <w:adjustRightInd w:val="0"/>
              <w:snapToGrid w:val="0"/>
              <w:spacing w:line="360" w:lineRule="auto"/>
              <w:ind w:firstLine="480" w:firstLineChars="200"/>
              <w:rPr>
                <w:sz w:val="24"/>
                <w:szCs w:val="22"/>
              </w:rPr>
            </w:pPr>
            <w:r>
              <w:rPr>
                <w:rFonts w:hint="eastAsia"/>
                <w:sz w:val="24"/>
                <w:szCs w:val="22"/>
              </w:rPr>
              <w:t>工程浓盐水排放依托现状排水口，不新设排水口，</w:t>
            </w:r>
            <w:r>
              <w:rPr>
                <w:sz w:val="24"/>
                <w:szCs w:val="22"/>
              </w:rPr>
              <w:t>pH</w:t>
            </w:r>
            <w:r>
              <w:rPr>
                <w:rFonts w:hint="eastAsia"/>
                <w:sz w:val="24"/>
                <w:szCs w:val="22"/>
              </w:rPr>
              <w:t>、</w:t>
            </w:r>
            <w:r>
              <w:rPr>
                <w:sz w:val="24"/>
                <w:szCs w:val="22"/>
              </w:rPr>
              <w:t>SS</w:t>
            </w:r>
            <w:r>
              <w:rPr>
                <w:rFonts w:hint="eastAsia"/>
                <w:sz w:val="24"/>
                <w:szCs w:val="22"/>
              </w:rPr>
              <w:t>排放满足《流域水污染物综合排放标准</w:t>
            </w:r>
            <w:r>
              <w:rPr>
                <w:sz w:val="24"/>
                <w:szCs w:val="22"/>
              </w:rPr>
              <w:t xml:space="preserve"> </w:t>
            </w:r>
            <w:r>
              <w:rPr>
                <w:rFonts w:hint="eastAsia"/>
                <w:sz w:val="24"/>
                <w:szCs w:val="22"/>
              </w:rPr>
              <w:t>第</w:t>
            </w:r>
            <w:r>
              <w:rPr>
                <w:sz w:val="24"/>
                <w:szCs w:val="22"/>
              </w:rPr>
              <w:t>5</w:t>
            </w:r>
            <w:r>
              <w:rPr>
                <w:rFonts w:hint="eastAsia"/>
                <w:sz w:val="24"/>
                <w:szCs w:val="22"/>
              </w:rPr>
              <w:t>部分：半岛流域》</w:t>
            </w:r>
            <w:r>
              <w:rPr>
                <w:sz w:val="24"/>
                <w:szCs w:val="22"/>
              </w:rPr>
              <w:t>(DB37/3416.5-2018)</w:t>
            </w:r>
            <w:r>
              <w:rPr>
                <w:rFonts w:hint="eastAsia"/>
                <w:sz w:val="24"/>
                <w:szCs w:val="22"/>
              </w:rPr>
              <w:t>表</w:t>
            </w:r>
            <w:r>
              <w:rPr>
                <w:sz w:val="24"/>
                <w:szCs w:val="22"/>
              </w:rPr>
              <w:t>2</w:t>
            </w:r>
            <w:r>
              <w:rPr>
                <w:rFonts w:hint="eastAsia"/>
                <w:sz w:val="24"/>
                <w:szCs w:val="22"/>
              </w:rPr>
              <w:t>中二级标准要求</w:t>
            </w:r>
            <w:r>
              <w:rPr>
                <w:sz w:val="24"/>
                <w:szCs w:val="22"/>
              </w:rPr>
              <w:t>(pH 6-9</w:t>
            </w:r>
            <w:r>
              <w:rPr>
                <w:rFonts w:hint="eastAsia"/>
                <w:sz w:val="24"/>
                <w:szCs w:val="22"/>
              </w:rPr>
              <w:t>，</w:t>
            </w:r>
            <w:r>
              <w:rPr>
                <w:sz w:val="24"/>
                <w:szCs w:val="22"/>
              </w:rPr>
              <w:t>SS 30mg/L)</w:t>
            </w:r>
            <w:r>
              <w:rPr>
                <w:rFonts w:hint="eastAsia"/>
                <w:sz w:val="24"/>
                <w:szCs w:val="22"/>
              </w:rPr>
              <w:t>。本项目浓盐水与直流循环冷却水混合后排入威海湾。经预测，浓盐水排海造成排放口附近海域盐度升高约</w:t>
            </w:r>
            <w:r>
              <w:rPr>
                <w:sz w:val="24"/>
                <w:szCs w:val="22"/>
              </w:rPr>
              <w:t>0.9</w:t>
            </w:r>
            <w:r>
              <w:rPr>
                <w:rFonts w:hint="eastAsia"/>
                <w:sz w:val="24"/>
                <w:szCs w:val="22"/>
              </w:rPr>
              <w:t>，在周边农渔业区和海洋保护区的盐度增量极小，因而对农渔业区和海洋保护区的水质影响较小。总体而言，浓盐水因经温排水稀释后排放，入海源强较小，再经海水稀释扩散后，对工程附近海域盐度的影响较小，基本不会对排水口周边海域的生物群落造成影响。</w:t>
            </w:r>
          </w:p>
          <w:p>
            <w:pPr>
              <w:adjustRightInd w:val="0"/>
              <w:snapToGrid w:val="0"/>
              <w:spacing w:line="360" w:lineRule="auto"/>
              <w:ind w:firstLine="480" w:firstLineChars="200"/>
              <w:rPr>
                <w:sz w:val="24"/>
                <w:szCs w:val="22"/>
              </w:rPr>
            </w:pPr>
            <w:r>
              <w:rPr>
                <w:rFonts w:hint="eastAsia"/>
                <w:sz w:val="24"/>
                <w:szCs w:val="22"/>
              </w:rPr>
              <w:t>本项目建成运行后，浓盐水排放会导致排水口局部小范围海域的盐度增量超过</w:t>
            </w:r>
            <w:r>
              <w:rPr>
                <w:sz w:val="24"/>
                <w:szCs w:val="22"/>
              </w:rPr>
              <w:t>0.9</w:t>
            </w:r>
            <w:r>
              <w:rPr>
                <w:rFonts w:hint="eastAsia"/>
                <w:sz w:val="24"/>
                <w:szCs w:val="22"/>
              </w:rPr>
              <w:t>，对浮游生物、底栖生物、游泳生物等产生的影响较小。排水口位于港口航运区，生物量较小，且生物多为广盐性生物，因此，扩建工程浓盐水排放对生物影响较小，同时海水淡化后浓盐水与电厂温排水一起排放，因此稀释后的浓盐水排放不会对大区域范围带来明显的生态环境问题。</w:t>
            </w:r>
          </w:p>
          <w:p>
            <w:pPr>
              <w:adjustRightInd w:val="0"/>
              <w:snapToGrid w:val="0"/>
              <w:spacing w:line="360" w:lineRule="auto"/>
              <w:ind w:firstLine="480" w:firstLineChars="200"/>
              <w:rPr>
                <w:sz w:val="24"/>
                <w:szCs w:val="22"/>
              </w:rPr>
            </w:pPr>
            <w:r>
              <w:rPr>
                <w:sz w:val="24"/>
                <w:szCs w:val="22"/>
              </w:rPr>
              <w:t xml:space="preserve">(3) </w:t>
            </w:r>
            <w:r>
              <w:rPr>
                <w:rFonts w:hint="eastAsia"/>
                <w:sz w:val="24"/>
                <w:szCs w:val="22"/>
              </w:rPr>
              <w:t>噪声</w:t>
            </w:r>
          </w:p>
          <w:p>
            <w:pPr>
              <w:adjustRightInd w:val="0"/>
              <w:snapToGrid w:val="0"/>
              <w:spacing w:line="360" w:lineRule="auto"/>
              <w:ind w:firstLine="480" w:firstLineChars="200"/>
              <w:rPr>
                <w:sz w:val="24"/>
                <w:szCs w:val="22"/>
              </w:rPr>
            </w:pPr>
            <w:r>
              <w:rPr>
                <w:rFonts w:hint="eastAsia"/>
                <w:sz w:val="24"/>
                <w:szCs w:val="22"/>
              </w:rPr>
              <w:t>项目营运过程中产生的噪声主要是设备运行噪声，主要为各种提升泵、空压机、离心泵、鼓风机等设备。通过采取建筑隔声、合理布局和必要的减振降噪措施，以及选用低噪声设备，空压机加设隔声罩等措施后，各厂界噪声排放均满足《工业企业厂界环境噪声排放标准》</w:t>
            </w:r>
            <w:r>
              <w:rPr>
                <w:sz w:val="24"/>
                <w:szCs w:val="22"/>
              </w:rPr>
              <w:t>(GB12348-2008)</w:t>
            </w:r>
            <w:r>
              <w:rPr>
                <w:rFonts w:hint="eastAsia"/>
                <w:sz w:val="24"/>
                <w:szCs w:val="22"/>
              </w:rPr>
              <w:t>中</w:t>
            </w:r>
            <w:r>
              <w:rPr>
                <w:sz w:val="24"/>
                <w:szCs w:val="22"/>
              </w:rPr>
              <w:t>3</w:t>
            </w:r>
            <w:r>
              <w:rPr>
                <w:rFonts w:hint="eastAsia"/>
                <w:sz w:val="24"/>
                <w:szCs w:val="22"/>
              </w:rPr>
              <w:t>类标准要求。营运期噪声不会对周围环境造成明显影响。</w:t>
            </w:r>
          </w:p>
          <w:p>
            <w:pPr>
              <w:adjustRightInd w:val="0"/>
              <w:snapToGrid w:val="0"/>
              <w:spacing w:line="360" w:lineRule="auto"/>
              <w:ind w:firstLine="480" w:firstLineChars="200"/>
              <w:rPr>
                <w:sz w:val="24"/>
                <w:szCs w:val="22"/>
              </w:rPr>
            </w:pPr>
            <w:r>
              <w:rPr>
                <w:sz w:val="24"/>
                <w:szCs w:val="22"/>
              </w:rPr>
              <w:t xml:space="preserve">(4) </w:t>
            </w:r>
            <w:r>
              <w:rPr>
                <w:rFonts w:hint="eastAsia"/>
                <w:sz w:val="24"/>
                <w:szCs w:val="22"/>
              </w:rPr>
              <w:t>固体废弃物</w:t>
            </w:r>
          </w:p>
          <w:p>
            <w:pPr>
              <w:adjustRightInd w:val="0"/>
              <w:snapToGrid w:val="0"/>
              <w:spacing w:line="360" w:lineRule="auto"/>
              <w:ind w:firstLine="480" w:firstLineChars="200"/>
              <w:rPr>
                <w:sz w:val="24"/>
                <w:szCs w:val="22"/>
              </w:rPr>
            </w:pPr>
            <w:r>
              <w:rPr>
                <w:rFonts w:hint="eastAsia"/>
                <w:sz w:val="24"/>
                <w:szCs w:val="22"/>
              </w:rPr>
              <w:t>项目营运后产生的固废主要为工艺过程产生的污泥，不产生危险废物。污泥运至煤厂掺烧。在上述措施得到落实的情况下，项目固废不会对周围环境造成污染影响。</w:t>
            </w:r>
          </w:p>
          <w:p>
            <w:pPr>
              <w:adjustRightInd w:val="0"/>
              <w:snapToGrid w:val="0"/>
              <w:spacing w:line="360" w:lineRule="auto"/>
              <w:ind w:firstLine="480" w:firstLineChars="200"/>
              <w:rPr>
                <w:sz w:val="24"/>
                <w:szCs w:val="22"/>
              </w:rPr>
            </w:pPr>
            <w:r>
              <w:rPr>
                <w:sz w:val="24"/>
                <w:szCs w:val="22"/>
              </w:rPr>
              <w:t xml:space="preserve">(5) </w:t>
            </w:r>
            <w:r>
              <w:rPr>
                <w:rFonts w:hint="eastAsia"/>
                <w:sz w:val="24"/>
                <w:szCs w:val="22"/>
              </w:rPr>
              <w:t>环境风险</w:t>
            </w:r>
          </w:p>
          <w:p>
            <w:pPr>
              <w:adjustRightInd w:val="0"/>
              <w:snapToGrid w:val="0"/>
              <w:spacing w:line="360" w:lineRule="auto"/>
              <w:ind w:firstLine="470" w:firstLineChars="196"/>
              <w:rPr>
                <w:sz w:val="24"/>
                <w:szCs w:val="22"/>
              </w:rPr>
            </w:pPr>
            <w:r>
              <w:rPr>
                <w:rFonts w:hint="eastAsia"/>
                <w:sz w:val="24"/>
                <w:szCs w:val="22"/>
              </w:rPr>
              <w:t>根据《危险化学品重大危险源辨识》</w:t>
            </w:r>
            <w:r>
              <w:rPr>
                <w:sz w:val="24"/>
                <w:szCs w:val="22"/>
              </w:rPr>
              <w:t>(GB18218-2009)</w:t>
            </w:r>
            <w:r>
              <w:rPr>
                <w:rFonts w:hint="eastAsia"/>
                <w:sz w:val="24"/>
                <w:szCs w:val="22"/>
              </w:rPr>
              <w:t>、《建设项目环境风险评价技术导则》</w:t>
            </w:r>
            <w:r>
              <w:rPr>
                <w:sz w:val="24"/>
                <w:szCs w:val="22"/>
              </w:rPr>
              <w:t>(HJ/T 169-2018)</w:t>
            </w:r>
            <w:r>
              <w:rPr>
                <w:rFonts w:hint="eastAsia"/>
                <w:sz w:val="24"/>
                <w:szCs w:val="22"/>
              </w:rPr>
              <w:t>，项目环境风险潜势为Ⅱ，在各项风险防范措施落实到位的情况下，项目环境风险处于可接受范围内。</w:t>
            </w:r>
          </w:p>
          <w:p>
            <w:pPr>
              <w:adjustRightInd w:val="0"/>
              <w:snapToGrid w:val="0"/>
              <w:spacing w:line="360" w:lineRule="auto"/>
              <w:ind w:firstLine="470" w:firstLineChars="196"/>
              <w:rPr>
                <w:sz w:val="24"/>
                <w:szCs w:val="22"/>
              </w:rPr>
            </w:pPr>
            <w:r>
              <w:rPr>
                <w:rFonts w:hint="eastAsia"/>
                <w:sz w:val="24"/>
                <w:szCs w:val="22"/>
              </w:rPr>
              <w:t>综上所述：华能威海发电有限责任公司海水淡化项目，符合国家产业政策；在公司现有厂区内建设，选址合理；采取的环保措施可行，污染物排放量和对周边环境的影响较小，从环保角度考虑，项目建设可行。</w:t>
            </w:r>
          </w:p>
          <w:p>
            <w:pPr>
              <w:tabs>
                <w:tab w:val="left" w:pos="840"/>
                <w:tab w:val="left" w:pos="1200"/>
              </w:tabs>
              <w:adjustRightInd w:val="0"/>
              <w:snapToGrid w:val="0"/>
              <w:spacing w:line="360" w:lineRule="auto"/>
              <w:ind w:firstLine="480" w:firstLineChars="200"/>
              <w:rPr>
                <w:sz w:val="24"/>
                <w:szCs w:val="22"/>
              </w:rPr>
            </w:pPr>
            <w:r>
              <w:rPr>
                <w:rFonts w:hint="eastAsia"/>
                <w:sz w:val="24"/>
                <w:szCs w:val="22"/>
              </w:rPr>
              <w:t>二、建议</w:t>
            </w:r>
          </w:p>
          <w:p>
            <w:pPr>
              <w:adjustRightInd w:val="0"/>
              <w:snapToGrid w:val="0"/>
              <w:spacing w:line="360" w:lineRule="auto"/>
              <w:ind w:firstLine="480" w:firstLineChars="200"/>
              <w:rPr>
                <w:sz w:val="24"/>
                <w:szCs w:val="22"/>
              </w:rPr>
            </w:pPr>
            <w:r>
              <w:rPr>
                <w:sz w:val="24"/>
                <w:szCs w:val="22"/>
              </w:rPr>
              <w:t>1.</w:t>
            </w:r>
            <w:r>
              <w:rPr>
                <w:rFonts w:hint="eastAsia"/>
                <w:sz w:val="24"/>
                <w:szCs w:val="22"/>
              </w:rPr>
              <w:t>加强对膜清洗、反冲洗废水的中和沉淀处理，确保外排水达标排放。</w:t>
            </w:r>
          </w:p>
          <w:p>
            <w:pPr>
              <w:adjustRightInd w:val="0"/>
              <w:snapToGrid w:val="0"/>
              <w:spacing w:line="360" w:lineRule="auto"/>
              <w:ind w:firstLine="480" w:firstLineChars="200"/>
              <w:rPr>
                <w:sz w:val="24"/>
                <w:szCs w:val="22"/>
              </w:rPr>
            </w:pPr>
            <w:r>
              <w:rPr>
                <w:rFonts w:hint="eastAsia"/>
                <w:sz w:val="24"/>
                <w:szCs w:val="22"/>
              </w:rPr>
              <w:t>2</w:t>
            </w:r>
            <w:r>
              <w:rPr>
                <w:sz w:val="24"/>
                <w:szCs w:val="22"/>
              </w:rPr>
              <w:t>.</w:t>
            </w:r>
            <w:r>
              <w:rPr>
                <w:rFonts w:hint="eastAsia"/>
                <w:sz w:val="24"/>
                <w:szCs w:val="22"/>
              </w:rPr>
              <w:t>加强对产生噪声设备的隔声、减振等降噪措施管理，确保噪声达标排放。</w:t>
            </w:r>
          </w:p>
          <w:p>
            <w:pPr>
              <w:pStyle w:val="81"/>
              <w:shd w:val="clear" w:color="auto" w:fill="FFFFFF"/>
              <w:adjustRightInd w:val="0"/>
              <w:snapToGrid w:val="0"/>
              <w:spacing w:before="0" w:beforeAutospacing="0" w:after="0" w:afterAutospacing="0" w:line="360" w:lineRule="auto"/>
              <w:ind w:firstLine="480" w:firstLineChars="200"/>
              <w:textAlignment w:val="baseline"/>
              <w:rPr>
                <w:rFonts w:ascii="Times New Roman" w:hAnsi="Times New Roman"/>
                <w:kern w:val="2"/>
                <w:szCs w:val="22"/>
              </w:rPr>
            </w:pPr>
          </w:p>
        </w:tc>
      </w:tr>
    </w:tbl>
    <w:p>
      <w:pPr>
        <w:spacing w:line="360" w:lineRule="auto"/>
        <w:rPr>
          <w:rFonts w:ascii="黑体" w:hAnsi="黑体" w:eastAsia="黑体" w:cs="黑体"/>
          <w:kern w:val="0"/>
          <w:sz w:val="24"/>
        </w:rPr>
      </w:pPr>
    </w:p>
    <w:sectPr>
      <w:headerReference r:id="rId13" w:type="first"/>
      <w:footerReference r:id="rId15" w:type="first"/>
      <w:headerReference r:id="rId12" w:type="default"/>
      <w:footerReference r:id="rId14" w:type="default"/>
      <w:pgSz w:w="16840" w:h="11907" w:orient="landscape"/>
      <w:pgMar w:top="1531" w:right="1440" w:bottom="1531" w:left="1440" w:header="1021" w:footer="1021" w:gutter="0"/>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5C75778-C1ED-4FBF-ABBC-342DA5DF114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9727A4F5-9EC6-45A7-8FA9-CC48E62AC353}"/>
  </w:font>
  <w:font w:name="楷体_GB2312">
    <w:altName w:val="楷体"/>
    <w:panose1 w:val="00000000000000000000"/>
    <w:charset w:val="86"/>
    <w:family w:val="modern"/>
    <w:pitch w:val="default"/>
    <w:sig w:usb0="00000000" w:usb1="00000000" w:usb2="00000000" w:usb3="00000000" w:csb0="00040000" w:csb1="00000000"/>
    <w:embedRegular r:id="rId3" w:fontKey="{10B4C86E-B574-4C5B-B2D3-C623324ECF80}"/>
  </w:font>
  <w:font w:name="等线">
    <w:altName w:val="Arial Unicode MS"/>
    <w:panose1 w:val="00000000000000000000"/>
    <w:charset w:val="86"/>
    <w:family w:val="auto"/>
    <w:pitch w:val="default"/>
    <w:sig w:usb0="00000000" w:usb1="00000000" w:usb2="00000016" w:usb3="00000000" w:csb0="0004000F" w:csb1="00000000"/>
    <w:embedRegular r:id="rId4" w:fontKey="{28367D0A-A20C-403C-B214-F22A2202BCB2}"/>
  </w:font>
  <w:font w:name="Cambria">
    <w:panose1 w:val="02040503050406030204"/>
    <w:charset w:val="00"/>
    <w:family w:val="roman"/>
    <w:pitch w:val="default"/>
    <w:sig w:usb0="E00002FF" w:usb1="400004FF" w:usb2="00000000" w:usb3="00000000" w:csb0="2000019F" w:csb1="00000000"/>
    <w:embedRegular r:id="rId5" w:fontKey="{BFC1B89F-7411-493A-96E2-025D9C7E227B}"/>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embedRegular r:id="rId6" w:fontKey="{8E32C81D-C9BE-4E40-AB45-B0F3FDBA0402}"/>
  </w:font>
  <w:font w:name="方正书宋简体">
    <w:altName w:val="宋体"/>
    <w:panose1 w:val="00000000000000000000"/>
    <w:charset w:val="86"/>
    <w:family w:val="auto"/>
    <w:pitch w:val="default"/>
    <w:sig w:usb0="00000000" w:usb1="00000000" w:usb2="00000010" w:usb3="00000000" w:csb0="00040000" w:csb1="00000000"/>
    <w:embedRegular r:id="rId7" w:fontKey="{EFBBA1E2-7349-48E3-B932-E3DC5612C94E}"/>
  </w:font>
  <w:font w:name="仿宋_GB2312">
    <w:altName w:val="仿宋"/>
    <w:panose1 w:val="00000000000000000000"/>
    <w:charset w:val="86"/>
    <w:family w:val="modern"/>
    <w:pitch w:val="default"/>
    <w:sig w:usb0="00000000" w:usb1="00000000" w:usb2="00000010" w:usb3="00000000" w:csb0="00040000" w:csb1="00000000"/>
    <w:embedRegular r:id="rId8" w:fontKey="{ADB01CB1-3496-41CF-AB69-B276D9F1DD1F}"/>
  </w:font>
  <w:font w:name="方正宋三简体">
    <w:altName w:val="宋体"/>
    <w:panose1 w:val="00000000000000000000"/>
    <w:charset w:val="86"/>
    <w:family w:val="roman"/>
    <w:pitch w:val="default"/>
    <w:sig w:usb0="00000000" w:usb1="00000000" w:usb2="00000000" w:usb3="00000000" w:csb0="00000000" w:csb1="00000000"/>
    <w:embedRegular r:id="rId9" w:fontKey="{CE3FF903-9DCE-4249-BD57-37237ED40F78}"/>
  </w:font>
  <w:font w:name="Trebuchet MS">
    <w:panose1 w:val="020B0603020202020204"/>
    <w:charset w:val="00"/>
    <w:family w:val="swiss"/>
    <w:pitch w:val="default"/>
    <w:sig w:usb0="00000287" w:usb1="00000000" w:usb2="00000000" w:usb3="00000000" w:csb0="2000009F" w:csb1="00000000"/>
  </w:font>
  <w:font w:name="PMingLiU">
    <w:panose1 w:val="02020500000000000000"/>
    <w:charset w:val="88"/>
    <w:family w:val="roman"/>
    <w:pitch w:val="default"/>
    <w:sig w:usb0="A00002FF" w:usb1="28CFFCFA" w:usb2="00000016" w:usb3="00000000" w:csb0="00100001" w:csb1="00000000"/>
  </w:font>
  <w:font w:name="等线 Light">
    <w:altName w:val="宋体"/>
    <w:panose1 w:val="00000000000000000000"/>
    <w:charset w:val="86"/>
    <w:family w:val="auto"/>
    <w:pitch w:val="default"/>
    <w:sig w:usb0="00000000" w:usb1="00000000" w:usb2="00000016" w:usb3="00000000" w:csb0="0004000F" w:csb1="00000000"/>
  </w:font>
  <w:font w:name="Univers">
    <w:altName w:val="Segoe Print"/>
    <w:panose1 w:val="00000000000000000000"/>
    <w:charset w:val="00"/>
    <w:family w:val="swiss"/>
    <w:pitch w:val="default"/>
    <w:sig w:usb0="00000000" w:usb1="00000000" w:usb2="00000000" w:usb3="00000000" w:csb0="0000000F" w:csb1="00000000"/>
  </w:font>
  <w:font w:name="华文中宋">
    <w:panose1 w:val="02010600040101010101"/>
    <w:charset w:val="86"/>
    <w:family w:val="roman"/>
    <w:pitch w:val="default"/>
    <w:sig w:usb0="00000287" w:usb1="080F0000" w:usb2="00000000" w:usb3="00000000" w:csb0="0004009F" w:csb1="DFD70000"/>
  </w:font>
  <w:font w:name="ˎ̥">
    <w:altName w:val="Times New Roman"/>
    <w:panose1 w:val="00000000000000000000"/>
    <w:charset w:val="00"/>
    <w:family w:val="roman"/>
    <w:pitch w:val="default"/>
    <w:sig w:usb0="00000000" w:usb1="00000000" w:usb2="00000000" w:usb3="00000000" w:csb0="00000000" w:csb1="00000000"/>
  </w:font>
  <w:font w:name="Arial Unicode MS">
    <w:panose1 w:val="020B0604020202020204"/>
    <w:charset w:val="86"/>
    <w:family w:val="swiss"/>
    <w:pitch w:val="default"/>
    <w:sig w:usb0="FFFFFFFF" w:usb1="E9FFFFFF" w:usb2="0000003F" w:usb3="00000000" w:csb0="603F01FF" w:csb1="FFFF0000"/>
  </w:font>
  <w:font w:name="方正黑体简体">
    <w:altName w:val="宋体"/>
    <w:panose1 w:val="00000000000000000000"/>
    <w:charset w:val="86"/>
    <w:family w:val="auto"/>
    <w:pitch w:val="default"/>
    <w:sig w:usb0="00000000" w:usb1="00000000" w:usb2="00000010" w:usb3="00000000" w:csb0="00040000" w:csb1="00000000"/>
  </w:font>
  <w:font w:name="Batang">
    <w:panose1 w:val="02030600000101010101"/>
    <w:charset w:val="81"/>
    <w:family w:val="roman"/>
    <w:pitch w:val="default"/>
    <w:sig w:usb0="B00002AF" w:usb1="69D77CFB" w:usb2="00000030" w:usb3="00000000" w:csb0="4008009F" w:csb1="DFD70000"/>
  </w:font>
  <w:font w:name="方正小标宋简体">
    <w:altName w:val="Arial Unicode MS"/>
    <w:panose1 w:val="00000000000000000000"/>
    <w:charset w:val="86"/>
    <w:family w:val="auto"/>
    <w:pitch w:val="default"/>
    <w:sig w:usb0="00000000" w:usb1="00000000" w:usb2="00000010" w:usb3="00000000" w:csb0="00040000" w:csb1="00000000"/>
  </w:font>
  <w:font w:name="仿宋体">
    <w:altName w:val="幼圆"/>
    <w:panose1 w:val="00000000000000000000"/>
    <w:charset w:val="86"/>
    <w:family w:val="roman"/>
    <w:pitch w:val="default"/>
    <w:sig w:usb0="00000000" w:usb1="00000000" w:usb2="00000010" w:usb3="00000000" w:csb0="00040000" w:csb1="00000000"/>
  </w:font>
  <w:font w:name="Verdana">
    <w:panose1 w:val="020B0604030504040204"/>
    <w:charset w:val="00"/>
    <w:family w:val="swiss"/>
    <w:pitch w:val="default"/>
    <w:sig w:usb0="A10006FF" w:usb1="4000205B" w:usb2="00000010" w:usb3="00000000" w:csb0="2000019F" w:csb1="00000000"/>
  </w:font>
  <w:font w:name="Garamond">
    <w:panose1 w:val="02020404030301010803"/>
    <w:charset w:val="00"/>
    <w:family w:val="roman"/>
    <w:pitch w:val="default"/>
    <w:sig w:usb0="00000287" w:usb1="00000000" w:usb2="00000000" w:usb3="00000000" w:csb0="0000009F" w:csb1="DFD70000"/>
  </w:font>
  <w:font w:name="TimesNewRoman">
    <w:altName w:val="MS Gothic"/>
    <w:panose1 w:val="00000000000000000000"/>
    <w:charset w:val="00"/>
    <w:family w:val="auto"/>
    <w:pitch w:val="default"/>
    <w:sig w:usb0="00000000" w:usb1="00000000" w:usb2="00000000" w:usb3="00000000" w:csb0="00000001" w:csb1="00000000"/>
  </w:font>
  <w:font w:name="华文行楷">
    <w:panose1 w:val="02010800040101010101"/>
    <w:charset w:val="86"/>
    <w:family w:val="roman"/>
    <w:pitch w:val="default"/>
    <w:sig w:usb0="00000001" w:usb1="080F0000" w:usb2="0000000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华文新魏">
    <w:panose1 w:val="02010800040101010101"/>
    <w:charset w:val="86"/>
    <w:family w:val="roman"/>
    <w:pitch w:val="default"/>
    <w:sig w:usb0="00000001" w:usb1="080F0000" w:usb2="00000000" w:usb3="00000000" w:csb0="00040000" w:csb1="00000000"/>
  </w:font>
  <w:font w:name="华文楷体">
    <w:panose1 w:val="02010600040101010101"/>
    <w:charset w:val="86"/>
    <w:family w:val="roman"/>
    <w:pitch w:val="default"/>
    <w:sig w:usb0="00000287" w:usb1="080F0000" w:usb2="00000000" w:usb3="00000000" w:csb0="0004009F" w:csb1="DFD70000"/>
  </w:font>
  <w:font w:name="Tms Rmn">
    <w:altName w:val="Segoe Print"/>
    <w:panose1 w:val="02020603040505020304"/>
    <w:charset w:val="00"/>
    <w:family w:val="roman"/>
    <w:pitch w:val="default"/>
    <w:sig w:usb0="00000000" w:usb1="00000000" w:usb2="00000000" w:usb3="00000000" w:csb0="00000001" w:csb1="00000000"/>
  </w:font>
  <w:font w:name="隶书">
    <w:panose1 w:val="0201050906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Book Antiqua">
    <w:panose1 w:val="02040602050305030304"/>
    <w:charset w:val="00"/>
    <w:family w:val="roman"/>
    <w:pitch w:val="default"/>
    <w:sig w:usb0="00000287" w:usb1="00000000" w:usb2="00000000" w:usb3="00000000" w:csb0="2000009F" w:csb1="DFD70000"/>
  </w:font>
  <w:font w:name="幼圆">
    <w:panose1 w:val="02010509060101010101"/>
    <w:charset w:val="86"/>
    <w:family w:val="modern"/>
    <w:pitch w:val="default"/>
    <w:sig w:usb0="00000001" w:usb1="080E0000" w:usb2="00000000" w:usb3="00000000" w:csb0="00040000"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embedRegular r:id="rId10" w:fontKey="{2AD5EB0C-745B-4FA3-8992-9FCF761AEE05}"/>
  </w:font>
  <w:font w:name="Plotter">
    <w:altName w:val="Times New Roman"/>
    <w:panose1 w:val="00000000000000000000"/>
    <w:charset w:val="01"/>
    <w:family w:val="roman"/>
    <w:pitch w:val="default"/>
    <w:sig w:usb0="00000000" w:usb1="00000000" w:usb2="00000000" w:usb3="00000000" w:csb0="00040001" w:csb1="00000000"/>
  </w:font>
  <w:font w:name="新宋体">
    <w:panose1 w:val="02010609030101010101"/>
    <w:charset w:val="86"/>
    <w:family w:val="modern"/>
    <w:pitch w:val="default"/>
    <w:sig w:usb0="00000003" w:usb1="288F0000" w:usb2="00000006" w:usb3="00000000" w:csb0="00040001" w:csb1="00000000"/>
  </w:font>
  <w:font w:name="Consolas">
    <w:panose1 w:val="020B0609020204030204"/>
    <w:charset w:val="00"/>
    <w:family w:val="modern"/>
    <w:pitch w:val="default"/>
    <w:sig w:usb0="E10002FF" w:usb1="4000FCFF" w:usb2="00000009" w:usb3="00000000" w:csb0="6000019F" w:csb1="DFD70000"/>
  </w:font>
  <w:font w:name="DFKai-SB">
    <w:panose1 w:val="03000509000000000000"/>
    <w:charset w:val="88"/>
    <w:family w:val="script"/>
    <w:pitch w:val="default"/>
    <w:sig w:usb0="00000003" w:usb1="082E0000" w:usb2="00000016" w:usb3="00000000" w:csb0="00100001" w:csb1="00000000"/>
  </w:font>
  <w:font w:name="·ÂËÎÌå">
    <w:altName w:val="Times New Roman"/>
    <w:panose1 w:val="00000000000000000000"/>
    <w:charset w:val="00"/>
    <w:family w:val="auto"/>
    <w:pitch w:val="default"/>
    <w:sig w:usb0="00000000" w:usb1="00000000" w:usb2="00000000" w:usb3="00000000" w:csb0="00000001" w:csb1="00000000"/>
  </w:font>
  <w:font w:name="Impact">
    <w:panose1 w:val="020B0806030902050204"/>
    <w:charset w:val="00"/>
    <w:family w:val="swiss"/>
    <w:pitch w:val="default"/>
    <w:sig w:usb0="00000287" w:usb1="00000000" w:usb2="00000000" w:usb3="00000000" w:csb0="2000009F" w:csb1="DFD70000"/>
  </w:font>
  <w:font w:name="Sim Sun">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MS Mincho">
    <w:panose1 w:val="02020609040205080304"/>
    <w:charset w:val="80"/>
    <w:family w:val="modern"/>
    <w:pitch w:val="default"/>
    <w:sig w:usb0="E00002FF" w:usb1="6AC7FDFB" w:usb2="00000012" w:usb3="00000000" w:csb0="4002009F" w:csb1="DFD70000"/>
    <w:embedRegular r:id="rId11" w:fontKey="{5541C62E-1D3E-4D6A-8297-67FB9E8EC145}"/>
  </w:font>
  <w:font w:name="方正舒体">
    <w:panose1 w:val="02010601030101010101"/>
    <w:charset w:val="86"/>
    <w:family w:val="auto"/>
    <w:pitch w:val="default"/>
    <w:sig w:usb0="00000003" w:usb1="080E0000" w:usb2="00000000" w:usb3="00000000" w:csb0="00040000" w:csb1="00000000"/>
  </w:font>
  <w:font w:name="Vladimir Script">
    <w:panose1 w:val="03050402040407070305"/>
    <w:charset w:val="00"/>
    <w:family w:val="script"/>
    <w:pitch w:val="default"/>
    <w:sig w:usb0="00000003" w:usb1="00000000" w:usb2="00000000" w:usb3="00000000" w:csb0="20000001" w:csb1="00000000"/>
  </w:font>
  <w:font w:name="Abadi MT Condensed Light">
    <w:altName w:val="MV Boli"/>
    <w:panose1 w:val="00000000000000000000"/>
    <w:charset w:val="00"/>
    <w:family w:val="swiss"/>
    <w:pitch w:val="default"/>
    <w:sig w:usb0="00000000" w:usb1="00000000" w:usb2="00000000" w:usb3="00000000" w:csb0="00000001" w:csb1="00000000"/>
  </w:font>
  <w:font w:name="Century">
    <w:panose1 w:val="02040604050505020304"/>
    <w:charset w:val="00"/>
    <w:family w:val="roman"/>
    <w:pitch w:val="default"/>
    <w:sig w:usb0="00000287" w:usb1="00000000" w:usb2="00000000" w:usb3="00000000" w:csb0="2000009F" w:csb1="DFD70000"/>
  </w:font>
  <w:font w:name="___WRD_EMBED_SUB_44">
    <w:altName w:val="宋体"/>
    <w:panose1 w:val="00000000000000000000"/>
    <w:charset w:val="86"/>
    <w:family w:val="modern"/>
    <w:pitch w:val="default"/>
    <w:sig w:usb0="00000000" w:usb1="00000000" w:usb2="00000010" w:usb3="00000000" w:csb0="00040000" w:csb1="00000000"/>
    <w:embedRegular r:id="rId12" w:fontKey="{AFB1118C-10DA-433A-9356-87678E9B34BA}"/>
  </w:font>
  <w:font w:name="Segoe UI Symbol">
    <w:panose1 w:val="020B0502040204020203"/>
    <w:charset w:val="00"/>
    <w:family w:val="swiss"/>
    <w:pitch w:val="default"/>
    <w:sig w:usb0="8000006F" w:usb1="1200FBEF" w:usb2="0064C000" w:usb3="00000002" w:csb0="00000001" w:csb1="40000000"/>
    <w:embedRegular r:id="rId13" w:fontKey="{7E31E85E-F7B5-4C50-AC65-E6145F1A65EF}"/>
  </w:font>
  <w:font w:name="宋体e眠副浡渀.">
    <w:altName w:val="宋体"/>
    <w:panose1 w:val="00000000000000000000"/>
    <w:charset w:val="86"/>
    <w:family w:val="roman"/>
    <w:pitch w:val="default"/>
    <w:sig w:usb0="00000000" w:usb1="00000000" w:usb2="00000010" w:usb3="00000000" w:csb0="00040000" w:csb1="00000000"/>
    <w:embedRegular r:id="rId14" w:fontKey="{7B2B3C78-D413-4BBE-917A-4B9E70D839B9}"/>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auto"/>
    <w:pitch w:val="default"/>
    <w:sig w:usb0="E00002FF" w:usb1="6AC7FDFB" w:usb2="00000012" w:usb3="00000000" w:csb0="4002009F" w:csb1="DFD70000"/>
  </w:font>
  <w:font w:name="MV Boli">
    <w:panose1 w:val="02000500030200090000"/>
    <w:charset w:val="00"/>
    <w:family w:val="auto"/>
    <w:pitch w:val="default"/>
    <w:sig w:usb0="00000003" w:usb1="00000000" w:usb2="000001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framePr w:wrap="around" w:vAnchor="text" w:hAnchor="margin" w:xAlign="center" w:y="1"/>
      <w:rPr>
        <w:rStyle w:val="100"/>
      </w:rPr>
    </w:pPr>
    <w:r>
      <w:fldChar w:fldCharType="begin"/>
    </w:r>
    <w:r>
      <w:rPr>
        <w:rStyle w:val="100"/>
      </w:rPr>
      <w:instrText xml:space="preserve">PAGE  </w:instrText>
    </w:r>
    <w:r>
      <w:fldChar w:fldCharType="separate"/>
    </w:r>
    <w:r>
      <w:rPr>
        <w:rStyle w:val="100"/>
      </w:rPr>
      <w:t>2</w:t>
    </w:r>
    <w:r>
      <w:fldChar w:fldCharType="end"/>
    </w:r>
  </w:p>
  <w:p>
    <w:pPr>
      <w:pStyle w:val="5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framePr w:wrap="around" w:vAnchor="text" w:hAnchor="margin" w:xAlign="center" w:y="1"/>
      <w:rPr>
        <w:rStyle w:val="100"/>
      </w:rPr>
    </w:pPr>
    <w:r>
      <w:fldChar w:fldCharType="begin"/>
    </w:r>
    <w:r>
      <w:rPr>
        <w:rStyle w:val="100"/>
      </w:rPr>
      <w:instrText xml:space="preserve">PAGE  </w:instrText>
    </w:r>
    <w:r>
      <w:fldChar w:fldCharType="separate"/>
    </w:r>
    <w:r>
      <w:rPr>
        <w:rStyle w:val="100"/>
      </w:rPr>
      <w:t>1</w:t>
    </w:r>
    <w:r>
      <w:fldChar w:fldCharType="end"/>
    </w:r>
  </w:p>
  <w:p>
    <w:pPr>
      <w:pStyle w:val="5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15104450"/>
    </w:sdtPr>
    <w:sdtContent>
      <w:p>
        <w:pPr>
          <w:pStyle w:val="55"/>
          <w:jc w:val="center"/>
        </w:pPr>
        <w:r>
          <w:fldChar w:fldCharType="begin"/>
        </w:r>
        <w:r>
          <w:instrText xml:space="preserve">PAGE   \* MERGEFORMAT</w:instrText>
        </w:r>
        <w:r>
          <w:fldChar w:fldCharType="separate"/>
        </w:r>
        <w:r>
          <w:rPr>
            <w:lang w:val="zh-CN"/>
          </w:rPr>
          <w:t>92</w:t>
        </w:r>
        <w:r>
          <w:rPr>
            <w:lang w:val="zh-CN"/>
          </w:rPr>
          <w:fldChar w:fldCharType="end"/>
        </w:r>
      </w:p>
    </w:sdtContent>
  </w:sdt>
  <w:p>
    <w:pPr>
      <w:pStyle w:val="5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framePr w:wrap="around" w:vAnchor="text" w:hAnchor="margin" w:xAlign="center" w:y="1"/>
      <w:rPr>
        <w:rStyle w:val="100"/>
      </w:rPr>
    </w:pPr>
  </w:p>
  <w:p>
    <w:pPr>
      <w:pStyle w:val="5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framePr w:wrap="around" w:vAnchor="text" w:hAnchor="margin" w:xAlign="center" w:y="1"/>
      <w:rPr>
        <w:rStyle w:val="100"/>
      </w:rPr>
    </w:pPr>
    <w:r>
      <w:fldChar w:fldCharType="begin"/>
    </w:r>
    <w:r>
      <w:rPr>
        <w:rStyle w:val="100"/>
      </w:rPr>
      <w:instrText xml:space="preserve">PAGE  </w:instrText>
    </w:r>
    <w:r>
      <w:fldChar w:fldCharType="separate"/>
    </w:r>
    <w:r>
      <w:rPr>
        <w:rStyle w:val="100"/>
      </w:rPr>
      <w:t>89</w:t>
    </w:r>
    <w:r>
      <w:fldChar w:fldCharType="end"/>
    </w:r>
  </w:p>
  <w:p>
    <w:pPr>
      <w:pStyle w:val="5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41126701"/>
    </w:sdtPr>
    <w:sdtContent>
      <w:p>
        <w:pPr>
          <w:pStyle w:val="55"/>
          <w:jc w:val="center"/>
        </w:pPr>
        <w:r>
          <w:fldChar w:fldCharType="begin"/>
        </w:r>
        <w:r>
          <w:instrText xml:space="preserve">PAGE   \* MERGEFORMAT</w:instrText>
        </w:r>
        <w:r>
          <w:fldChar w:fldCharType="separate"/>
        </w:r>
        <w:r>
          <w:rPr>
            <w:lang w:val="zh-CN"/>
          </w:rPr>
          <w:t>112</w:t>
        </w:r>
        <w:r>
          <w:rPr>
            <w:lang w:val="zh-CN"/>
          </w:rPr>
          <w:fldChar w:fldCharType="end"/>
        </w:r>
      </w:p>
    </w:sdtContent>
  </w:sdt>
  <w:p>
    <w:pPr>
      <w:pStyle w:val="55"/>
      <w:ind w:firstLine="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83356458"/>
    </w:sdtPr>
    <w:sdtContent>
      <w:p>
        <w:pPr>
          <w:pStyle w:val="55"/>
          <w:jc w:val="center"/>
        </w:pPr>
        <w:r>
          <w:fldChar w:fldCharType="begin"/>
        </w:r>
        <w:r>
          <w:instrText xml:space="preserve">PAGE   \* MERGEFORMAT</w:instrText>
        </w:r>
        <w:r>
          <w:fldChar w:fldCharType="separate"/>
        </w:r>
        <w:r>
          <w:rPr>
            <w:lang w:val="zh-CN"/>
          </w:rPr>
          <w:t>110</w:t>
        </w:r>
        <w:r>
          <w:rPr>
            <w:lang w:val="zh-CN"/>
          </w:rPr>
          <w:fldChar w:fldCharType="end"/>
        </w:r>
      </w:p>
    </w:sdtContent>
  </w:sdt>
  <w:p>
    <w:pPr>
      <w:pStyle w:val="55"/>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48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multilevel"/>
    <w:tmpl w:val="00000008"/>
    <w:lvl w:ilvl="0" w:tentative="0">
      <w:start w:val="1"/>
      <w:numFmt w:val="decimal"/>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rPr>
    </w:lvl>
    <w:lvl w:ilvl="1" w:tentative="0">
      <w:start w:val="1"/>
      <w:numFmt w:val="decimal"/>
      <w:pStyle w:val="1818"/>
      <w:isLgl/>
      <w:lvlText w:val="%1.%2"/>
      <w:lvlJc w:val="left"/>
      <w:pPr>
        <w:ind w:left="405" w:hanging="405"/>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rPr>
    </w:lvl>
    <w:lvl w:ilvl="2" w:tentative="0">
      <w:start w:val="1"/>
      <w:numFmt w:val="decimal"/>
      <w:isLgl/>
      <w:lvlText w:val="%1.%2.%3"/>
      <w:lvlJc w:val="left"/>
      <w:pPr>
        <w:ind w:left="720" w:hanging="720"/>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rPr>
    </w:lvl>
    <w:lvl w:ilvl="3" w:tentative="0">
      <w:start w:val="1"/>
      <w:numFmt w:val="decimal"/>
      <w:isLgl/>
      <w:lvlText w:val="%1.%2.%3.%4"/>
      <w:lvlJc w:val="left"/>
      <w:pPr>
        <w:ind w:left="720" w:hanging="720"/>
      </w:pPr>
      <w:rPr>
        <w:rFonts w:hint="default"/>
      </w:rPr>
    </w:lvl>
    <w:lvl w:ilvl="4" w:tentative="0">
      <w:start w:val="1"/>
      <w:numFmt w:val="decimal"/>
      <w:isLgl/>
      <w:lvlText w:val="%1.%2.%3.%4.%5"/>
      <w:lvlJc w:val="left"/>
      <w:pPr>
        <w:ind w:left="1080" w:hanging="1080"/>
      </w:pPr>
      <w:rPr>
        <w:rFonts w:hint="default"/>
      </w:rPr>
    </w:lvl>
    <w:lvl w:ilvl="5" w:tentative="0">
      <w:start w:val="1"/>
      <w:numFmt w:val="decimal"/>
      <w:isLgl/>
      <w:lvlText w:val="%1.%2.%3.%4.%5.%6"/>
      <w:lvlJc w:val="left"/>
      <w:pPr>
        <w:ind w:left="1080" w:hanging="1080"/>
      </w:pPr>
      <w:rPr>
        <w:rFonts w:hint="default"/>
      </w:rPr>
    </w:lvl>
    <w:lvl w:ilvl="6" w:tentative="0">
      <w:start w:val="1"/>
      <w:numFmt w:val="decimal"/>
      <w:isLgl/>
      <w:lvlText w:val="%1.%2.%3.%4.%5.%6.%7"/>
      <w:lvlJc w:val="left"/>
      <w:pPr>
        <w:ind w:left="1440" w:hanging="1440"/>
      </w:pPr>
      <w:rPr>
        <w:rFonts w:hint="default"/>
      </w:rPr>
    </w:lvl>
    <w:lvl w:ilvl="7" w:tentative="0">
      <w:start w:val="1"/>
      <w:numFmt w:val="decimal"/>
      <w:isLgl/>
      <w:lvlText w:val="%1.%2.%3.%4.%5.%6.%7.%8"/>
      <w:lvlJc w:val="left"/>
      <w:pPr>
        <w:ind w:left="1440" w:hanging="1440"/>
      </w:pPr>
      <w:rPr>
        <w:rFonts w:hint="default"/>
      </w:rPr>
    </w:lvl>
    <w:lvl w:ilvl="8" w:tentative="0">
      <w:start w:val="1"/>
      <w:numFmt w:val="decimal"/>
      <w:isLgl/>
      <w:lvlText w:val="%1.%2.%3.%4.%5.%6.%7.%8.%9"/>
      <w:lvlJc w:val="left"/>
      <w:pPr>
        <w:ind w:left="1800" w:hanging="1800"/>
      </w:pPr>
      <w:rPr>
        <w:rFonts w:hint="default"/>
      </w:rPr>
    </w:lvl>
  </w:abstractNum>
  <w:abstractNum w:abstractNumId="1">
    <w:nsid w:val="00000013"/>
    <w:multiLevelType w:val="multilevel"/>
    <w:tmpl w:val="00000013"/>
    <w:lvl w:ilvl="0" w:tentative="0">
      <w:start w:val="1"/>
      <w:numFmt w:val="decimal"/>
      <w:lvlText w:val="%1"/>
      <w:lvlJc w:val="left"/>
      <w:pPr>
        <w:tabs>
          <w:tab w:val="left" w:pos="425"/>
        </w:tabs>
        <w:ind w:left="425" w:hanging="425"/>
      </w:pPr>
      <w:rPr>
        <w:rFonts w:hint="eastAsia"/>
      </w:rPr>
    </w:lvl>
    <w:lvl w:ilvl="1" w:tentative="0">
      <w:start w:val="1"/>
      <w:numFmt w:val="decimal"/>
      <w:pStyle w:val="1812"/>
      <w:lvlText w:val="%1.%2"/>
      <w:lvlJc w:val="left"/>
      <w:pPr>
        <w:tabs>
          <w:tab w:val="left" w:pos="1505"/>
        </w:tabs>
        <w:ind w:left="992" w:hanging="567"/>
      </w:pPr>
    </w:lvl>
    <w:lvl w:ilvl="2" w:tentative="0">
      <w:start w:val="1"/>
      <w:numFmt w:val="decimal"/>
      <w:pStyle w:val="1811"/>
      <w:lvlText w:val="%1.%2.%3"/>
      <w:lvlJc w:val="left"/>
      <w:pPr>
        <w:tabs>
          <w:tab w:val="left" w:pos="2291"/>
        </w:tabs>
        <w:ind w:left="1418" w:hanging="567"/>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rPr>
    </w:lvl>
    <w:lvl w:ilvl="3" w:tentative="0">
      <w:start w:val="1"/>
      <w:numFmt w:val="decimal"/>
      <w:pStyle w:val="1813"/>
      <w:lvlText w:val="%1.%2.%3.%4"/>
      <w:lvlJc w:val="left"/>
      <w:pPr>
        <w:tabs>
          <w:tab w:val="left" w:pos="2160"/>
        </w:tabs>
        <w:ind w:left="708" w:hanging="708"/>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rPr>
    </w:lvl>
    <w:lvl w:ilvl="4" w:tentative="0">
      <w:start w:val="1"/>
      <w:numFmt w:val="decimal"/>
      <w:lvlText w:val="%1.%2.%3.%4.%5"/>
      <w:lvlJc w:val="left"/>
      <w:pPr>
        <w:tabs>
          <w:tab w:val="left" w:pos="4221"/>
        </w:tabs>
        <w:ind w:left="2551" w:hanging="850"/>
      </w:pPr>
      <w:rPr>
        <w:rFonts w:hint="eastAsia"/>
      </w:rPr>
    </w:lvl>
    <w:lvl w:ilvl="5" w:tentative="0">
      <w:start w:val="1"/>
      <w:numFmt w:val="decimal"/>
      <w:lvlText w:val="%1.%2.%3.%4.%5.%6"/>
      <w:lvlJc w:val="left"/>
      <w:pPr>
        <w:tabs>
          <w:tab w:val="left" w:pos="5006"/>
        </w:tabs>
        <w:ind w:left="3260" w:hanging="1134"/>
      </w:pPr>
      <w:rPr>
        <w:rFonts w:hint="eastAsia"/>
      </w:rPr>
    </w:lvl>
    <w:lvl w:ilvl="6" w:tentative="0">
      <w:start w:val="1"/>
      <w:numFmt w:val="decimal"/>
      <w:lvlText w:val="%1.%2.%3.%4.%5.%6.%7"/>
      <w:lvlJc w:val="left"/>
      <w:pPr>
        <w:tabs>
          <w:tab w:val="left" w:pos="6151"/>
        </w:tabs>
        <w:ind w:left="3827" w:hanging="1276"/>
      </w:pPr>
      <w:rPr>
        <w:rFonts w:hint="eastAsia"/>
      </w:rPr>
    </w:lvl>
    <w:lvl w:ilvl="7" w:tentative="0">
      <w:start w:val="1"/>
      <w:numFmt w:val="decimal"/>
      <w:lvlText w:val="%1.%2.%3.%4.%5.%6.%7.%8"/>
      <w:lvlJc w:val="left"/>
      <w:pPr>
        <w:tabs>
          <w:tab w:val="left" w:pos="6936"/>
        </w:tabs>
        <w:ind w:left="4394" w:hanging="1418"/>
      </w:pPr>
      <w:rPr>
        <w:rFonts w:hint="eastAsia"/>
      </w:rPr>
    </w:lvl>
    <w:lvl w:ilvl="8" w:tentative="0">
      <w:start w:val="1"/>
      <w:numFmt w:val="decimal"/>
      <w:lvlText w:val="%1.%2.%3.%4.%5.%6.%7.%8.%9"/>
      <w:lvlJc w:val="left"/>
      <w:pPr>
        <w:tabs>
          <w:tab w:val="left" w:pos="8082"/>
        </w:tabs>
        <w:ind w:left="5102" w:hanging="1700"/>
      </w:pPr>
      <w:rPr>
        <w:rFonts w:hint="eastAsia"/>
      </w:rPr>
    </w:lvl>
  </w:abstractNum>
  <w:abstractNum w:abstractNumId="2">
    <w:nsid w:val="00000017"/>
    <w:multiLevelType w:val="singleLevel"/>
    <w:tmpl w:val="00000017"/>
    <w:lvl w:ilvl="0" w:tentative="0">
      <w:start w:val="1"/>
      <w:numFmt w:val="decimal"/>
      <w:pStyle w:val="2825"/>
      <w:lvlText w:val="%1."/>
      <w:lvlJc w:val="left"/>
      <w:pPr>
        <w:tabs>
          <w:tab w:val="left" w:pos="1620"/>
        </w:tabs>
        <w:ind w:left="1620" w:hanging="360"/>
      </w:pPr>
    </w:lvl>
  </w:abstractNum>
  <w:abstractNum w:abstractNumId="3">
    <w:nsid w:val="0000001F"/>
    <w:multiLevelType w:val="multilevel"/>
    <w:tmpl w:val="0000001F"/>
    <w:lvl w:ilvl="0" w:tentative="0">
      <w:start w:val="1"/>
      <w:numFmt w:val="decimal"/>
      <w:lvlText w:val="%1、"/>
      <w:lvlJc w:val="left"/>
      <w:pPr>
        <w:tabs>
          <w:tab w:val="left" w:pos="360"/>
        </w:tabs>
        <w:ind w:left="360" w:hanging="36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0C9D1125"/>
    <w:multiLevelType w:val="multilevel"/>
    <w:tmpl w:val="0C9D1125"/>
    <w:lvl w:ilvl="0" w:tentative="0">
      <w:start w:val="1"/>
      <w:numFmt w:val="decimal"/>
      <w:pStyle w:val="1725"/>
      <w:lvlText w:val="附表%1."/>
      <w:lvlJc w:val="center"/>
      <w:pPr>
        <w:tabs>
          <w:tab w:val="left" w:pos="360"/>
        </w:tabs>
        <w:ind w:left="0" w:firstLine="0"/>
      </w:pPr>
      <w:rPr>
        <w:rFonts w:hint="default" w:ascii="Times New Roman" w:hAnsi="Times New Roman" w:eastAsia="宋体"/>
        <w:b/>
        <w:i w:val="0"/>
        <w:sz w:val="24"/>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16DF2990"/>
    <w:multiLevelType w:val="multilevel"/>
    <w:tmpl w:val="16DF2990"/>
    <w:lvl w:ilvl="0" w:tentative="0">
      <w:start w:val="1"/>
      <w:numFmt w:val="decimal"/>
      <w:pStyle w:val="150"/>
      <w:lvlText w:val="%1"/>
      <w:lvlJc w:val="left"/>
      <w:pPr>
        <w:tabs>
          <w:tab w:val="left" w:pos="942"/>
        </w:tabs>
        <w:ind w:left="942" w:hanging="432"/>
      </w:pPr>
    </w:lvl>
    <w:lvl w:ilvl="1" w:tentative="0">
      <w:start w:val="1"/>
      <w:numFmt w:val="decimal"/>
      <w:pStyle w:val="151"/>
      <w:lvlText w:val="%1.%2"/>
      <w:lvlJc w:val="left"/>
      <w:pPr>
        <w:tabs>
          <w:tab w:val="left" w:pos="576"/>
        </w:tabs>
        <w:ind w:left="576" w:hanging="576"/>
      </w:pPr>
    </w:lvl>
    <w:lvl w:ilvl="2" w:tentative="0">
      <w:start w:val="1"/>
      <w:numFmt w:val="decimal"/>
      <w:lvlText w:val="%1.%2.%3"/>
      <w:lvlJc w:val="left"/>
      <w:pPr>
        <w:tabs>
          <w:tab w:val="left" w:pos="5760"/>
        </w:tabs>
        <w:ind w:left="5760" w:hanging="720"/>
      </w:pPr>
    </w:lvl>
    <w:lvl w:ilvl="3" w:tentative="0">
      <w:start w:val="1"/>
      <w:numFmt w:val="decimal"/>
      <w:lvlText w:val="%1.%2.%3.%4"/>
      <w:lvlJc w:val="left"/>
      <w:pPr>
        <w:tabs>
          <w:tab w:val="left" w:pos="1374"/>
        </w:tabs>
        <w:ind w:left="1374" w:hanging="864"/>
      </w:pPr>
    </w:lvl>
    <w:lvl w:ilvl="4" w:tentative="0">
      <w:start w:val="1"/>
      <w:numFmt w:val="decimal"/>
      <w:lvlText w:val="%1.%2.%3.%4.%5"/>
      <w:lvlJc w:val="left"/>
      <w:pPr>
        <w:tabs>
          <w:tab w:val="left" w:pos="1518"/>
        </w:tabs>
        <w:ind w:left="1518" w:hanging="1008"/>
      </w:pPr>
    </w:lvl>
    <w:lvl w:ilvl="5" w:tentative="0">
      <w:start w:val="1"/>
      <w:numFmt w:val="decimal"/>
      <w:lvlText w:val="%1.%2.%3.%4.%5.%6"/>
      <w:lvlJc w:val="left"/>
      <w:pPr>
        <w:tabs>
          <w:tab w:val="left" w:pos="1662"/>
        </w:tabs>
        <w:ind w:left="1662" w:hanging="1152"/>
      </w:pPr>
    </w:lvl>
    <w:lvl w:ilvl="6" w:tentative="0">
      <w:start w:val="1"/>
      <w:numFmt w:val="decimal"/>
      <w:lvlText w:val="%1.%2.%3.%4.%5.%6.%7"/>
      <w:lvlJc w:val="left"/>
      <w:pPr>
        <w:tabs>
          <w:tab w:val="left" w:pos="1806"/>
        </w:tabs>
        <w:ind w:left="1806" w:hanging="1296"/>
      </w:pPr>
    </w:lvl>
    <w:lvl w:ilvl="7" w:tentative="0">
      <w:start w:val="1"/>
      <w:numFmt w:val="decimal"/>
      <w:lvlText w:val="%1.%2.%3.%4.%5.%6.%7.%8"/>
      <w:lvlJc w:val="left"/>
      <w:pPr>
        <w:tabs>
          <w:tab w:val="left" w:pos="1950"/>
        </w:tabs>
        <w:ind w:left="1950" w:hanging="1440"/>
      </w:pPr>
    </w:lvl>
    <w:lvl w:ilvl="8" w:tentative="0">
      <w:start w:val="1"/>
      <w:numFmt w:val="decimal"/>
      <w:lvlText w:val="%1.%2.%3.%4.%5.%6.%7.%8.%9"/>
      <w:lvlJc w:val="left"/>
      <w:pPr>
        <w:tabs>
          <w:tab w:val="left" w:pos="2094"/>
        </w:tabs>
        <w:ind w:left="2094" w:hanging="1584"/>
      </w:pPr>
    </w:lvl>
  </w:abstractNum>
  <w:abstractNum w:abstractNumId="6">
    <w:nsid w:val="175D0101"/>
    <w:multiLevelType w:val="multilevel"/>
    <w:tmpl w:val="175D0101"/>
    <w:lvl w:ilvl="0" w:tentative="0">
      <w:start w:val="1"/>
      <w:numFmt w:val="decimal"/>
      <w:pStyle w:val="1800"/>
      <w:lvlText w:val="图1-%1"/>
      <w:lvlJc w:val="left"/>
      <w:pPr>
        <w:tabs>
          <w:tab w:val="left" w:pos="425"/>
        </w:tabs>
        <w:ind w:left="425" w:hanging="425"/>
      </w:pPr>
      <w:rPr>
        <w:rFonts w:hint="eastAsia" w:ascii="Times New Roman" w:hAnsi="Times New Roman" w:cs="Times New Roman"/>
        <w:bCs w:val="0"/>
        <w:i w:val="0"/>
        <w:iCs w:val="0"/>
        <w:caps w:val="0"/>
        <w:smallCaps w:val="0"/>
        <w:strike w:val="0"/>
        <w:dstrike w:val="0"/>
        <w:outline w:val="0"/>
        <w:shadow w:val="0"/>
        <w:emboss w:val="0"/>
        <w:imprint w:val="0"/>
        <w:vanish w:val="0"/>
        <w:color w:val="000000"/>
        <w:spacing w:val="0"/>
        <w:position w:val="0"/>
        <w:u w:val="none"/>
        <w:vertAlign w:val="baseline"/>
      </w:rPr>
    </w:lvl>
    <w:lvl w:ilvl="1" w:tentative="0">
      <w:start w:val="1"/>
      <w:numFmt w:val="decimal"/>
      <w:lvlText w:val="%1.%2"/>
      <w:lvlJc w:val="left"/>
      <w:pPr>
        <w:tabs>
          <w:tab w:val="left" w:pos="1505"/>
        </w:tabs>
        <w:ind w:left="992" w:hanging="567"/>
      </w:pPr>
    </w:lvl>
    <w:lvl w:ilvl="2" w:tentative="0">
      <w:start w:val="1"/>
      <w:numFmt w:val="decimal"/>
      <w:lvlText w:val="%1.%2.%3"/>
      <w:lvlJc w:val="left"/>
      <w:pPr>
        <w:tabs>
          <w:tab w:val="left" w:pos="2291"/>
        </w:tabs>
        <w:ind w:left="1418" w:hanging="567"/>
      </w:pPr>
      <w:rPr>
        <w:rFonts w:hint="eastAsia"/>
      </w:rPr>
    </w:lvl>
    <w:lvl w:ilvl="3" w:tentative="0">
      <w:start w:val="1"/>
      <w:numFmt w:val="decimal"/>
      <w:lvlText w:val="%1.%2.%3.%4"/>
      <w:lvlJc w:val="left"/>
      <w:pPr>
        <w:tabs>
          <w:tab w:val="left" w:pos="3436"/>
        </w:tabs>
        <w:ind w:left="1984" w:hanging="708"/>
      </w:pPr>
      <w:rPr>
        <w:rFonts w:hint="eastAsia"/>
      </w:rPr>
    </w:lvl>
    <w:lvl w:ilvl="4" w:tentative="0">
      <w:start w:val="1"/>
      <w:numFmt w:val="decimal"/>
      <w:lvlText w:val="%1.%2.%3.%4.%5"/>
      <w:lvlJc w:val="left"/>
      <w:pPr>
        <w:tabs>
          <w:tab w:val="left" w:pos="4221"/>
        </w:tabs>
        <w:ind w:left="2551" w:hanging="850"/>
      </w:pPr>
      <w:rPr>
        <w:rFonts w:hint="eastAsia"/>
      </w:rPr>
    </w:lvl>
    <w:lvl w:ilvl="5" w:tentative="0">
      <w:start w:val="1"/>
      <w:numFmt w:val="decimal"/>
      <w:lvlText w:val="%1.%2.%3.%4.%5.%6"/>
      <w:lvlJc w:val="left"/>
      <w:pPr>
        <w:tabs>
          <w:tab w:val="left" w:pos="5006"/>
        </w:tabs>
        <w:ind w:left="3260" w:hanging="1134"/>
      </w:pPr>
      <w:rPr>
        <w:rFonts w:hint="eastAsia"/>
      </w:rPr>
    </w:lvl>
    <w:lvl w:ilvl="6" w:tentative="0">
      <w:start w:val="1"/>
      <w:numFmt w:val="decimal"/>
      <w:lvlText w:val="%1.%2.%3.%4.%5.%6.%7"/>
      <w:lvlJc w:val="left"/>
      <w:pPr>
        <w:tabs>
          <w:tab w:val="left" w:pos="6151"/>
        </w:tabs>
        <w:ind w:left="3827" w:hanging="1276"/>
      </w:pPr>
      <w:rPr>
        <w:rFonts w:hint="eastAsia"/>
      </w:rPr>
    </w:lvl>
    <w:lvl w:ilvl="7" w:tentative="0">
      <w:start w:val="1"/>
      <w:numFmt w:val="decimal"/>
      <w:lvlText w:val="%1.%2.%3.%4.%5.%6.%7.%8"/>
      <w:lvlJc w:val="left"/>
      <w:pPr>
        <w:tabs>
          <w:tab w:val="left" w:pos="6936"/>
        </w:tabs>
        <w:ind w:left="4394" w:hanging="1418"/>
      </w:pPr>
      <w:rPr>
        <w:rFonts w:hint="eastAsia"/>
      </w:rPr>
    </w:lvl>
    <w:lvl w:ilvl="8" w:tentative="0">
      <w:start w:val="1"/>
      <w:numFmt w:val="decimal"/>
      <w:lvlText w:val="%1.%2.%3.%4.%5.%6.%7.%8.%9"/>
      <w:lvlJc w:val="left"/>
      <w:pPr>
        <w:tabs>
          <w:tab w:val="left" w:pos="8082"/>
        </w:tabs>
        <w:ind w:left="5102" w:hanging="1700"/>
      </w:pPr>
      <w:rPr>
        <w:rFonts w:hint="eastAsia"/>
      </w:rPr>
    </w:lvl>
  </w:abstractNum>
  <w:abstractNum w:abstractNumId="7">
    <w:nsid w:val="18647A07"/>
    <w:multiLevelType w:val="multilevel"/>
    <w:tmpl w:val="18647A07"/>
    <w:lvl w:ilvl="0" w:tentative="0">
      <w:start w:val="1"/>
      <w:numFmt w:val="decimal"/>
      <w:pStyle w:val="2435"/>
      <w:lvlText w:val="(%1)"/>
      <w:lvlJc w:val="left"/>
      <w:pPr>
        <w:tabs>
          <w:tab w:val="left" w:pos="510"/>
        </w:tabs>
        <w:ind w:left="510" w:hanging="510"/>
      </w:pPr>
      <w:rPr>
        <w:rFonts w:hint="default"/>
      </w:rPr>
    </w:lvl>
    <w:lvl w:ilvl="1" w:tentative="0">
      <w:start w:val="1"/>
      <w:numFmt w:val="decimalEnclosedCircle"/>
      <w:lvlText w:val="%2"/>
      <w:lvlJc w:val="left"/>
      <w:pPr>
        <w:ind w:left="780" w:hanging="360"/>
      </w:pPr>
      <w:rPr>
        <w:rFonts w:hint="default"/>
      </w:rPr>
    </w:lvl>
    <w:lvl w:ilvl="2" w:tentative="0">
      <w:start w:val="1"/>
      <w:numFmt w:val="decimalEnclosedCircle"/>
      <w:lvlText w:val="%3"/>
      <w:lvlJc w:val="left"/>
      <w:pPr>
        <w:ind w:left="1200" w:hanging="360"/>
      </w:pPr>
      <w:rPr>
        <w:rFonts w:hint="default"/>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8">
    <w:nsid w:val="1A747B0B"/>
    <w:multiLevelType w:val="multilevel"/>
    <w:tmpl w:val="1A747B0B"/>
    <w:lvl w:ilvl="0" w:tentative="0">
      <w:start w:val="1"/>
      <w:numFmt w:val="decimal"/>
      <w:pStyle w:val="1719"/>
      <w:suff w:val="space"/>
      <w:lvlText w:val="第%1章"/>
      <w:lvlJc w:val="left"/>
      <w:pPr>
        <w:ind w:left="0" w:firstLine="0"/>
      </w:pPr>
      <w:rPr>
        <w:rFonts w:hint="default" w:ascii="Arial" w:hAnsi="Arial" w:eastAsia="宋体"/>
        <w:b/>
        <w:i w:val="0"/>
        <w:sz w:val="32"/>
        <w:szCs w:val="32"/>
      </w:rPr>
    </w:lvl>
    <w:lvl w:ilvl="1" w:tentative="0">
      <w:start w:val="1"/>
      <w:numFmt w:val="decimal"/>
      <w:pStyle w:val="1714"/>
      <w:isLgl/>
      <w:suff w:val="space"/>
      <w:lvlText w:val="%1.%2"/>
      <w:lvlJc w:val="left"/>
      <w:pPr>
        <w:ind w:left="0" w:firstLine="0"/>
      </w:pPr>
      <w:rPr>
        <w:rFonts w:hint="default" w:ascii="Arial" w:hAnsi="Arial" w:eastAsia="宋体"/>
        <w:b/>
        <w:i w:val="0"/>
        <w:sz w:val="28"/>
        <w:szCs w:val="28"/>
      </w:rPr>
    </w:lvl>
    <w:lvl w:ilvl="2" w:tentative="0">
      <w:start w:val="1"/>
      <w:numFmt w:val="decimal"/>
      <w:pStyle w:val="1716"/>
      <w:suff w:val="space"/>
      <w:lvlText w:val="%3、"/>
      <w:lvlJc w:val="left"/>
      <w:pPr>
        <w:ind w:left="0" w:firstLine="0"/>
      </w:pPr>
      <w:rPr>
        <w:rFonts w:ascii="Times New Roman" w:hAnsi="Times New Roman" w:eastAsia="Times New Roman" w:cs="Times New Roman"/>
        <w:b/>
        <w:i w:val="0"/>
        <w:sz w:val="28"/>
        <w:szCs w:val="28"/>
      </w:rPr>
    </w:lvl>
    <w:lvl w:ilvl="3" w:tentative="0">
      <w:start w:val="1"/>
      <w:numFmt w:val="decimal"/>
      <w:lvlText w:val="%1.%2.%3.%4"/>
      <w:lvlJc w:val="left"/>
      <w:pPr>
        <w:tabs>
          <w:tab w:val="left" w:pos="1021"/>
        </w:tabs>
        <w:ind w:left="851" w:hanging="851"/>
      </w:pPr>
      <w:rPr>
        <w:rFonts w:hint="default" w:ascii="Arial" w:hAnsi="Arial" w:eastAsia="宋体"/>
        <w:b/>
        <w:i w:val="0"/>
        <w:sz w:val="28"/>
        <w:szCs w:val="28"/>
      </w:rPr>
    </w:lvl>
    <w:lvl w:ilvl="4" w:tentative="0">
      <w:start w:val="1"/>
      <w:numFmt w:val="decimal"/>
      <w:pStyle w:val="1718"/>
      <w:lvlText w:val="（%5）"/>
      <w:lvlJc w:val="left"/>
      <w:pPr>
        <w:tabs>
          <w:tab w:val="left" w:pos="720"/>
        </w:tabs>
        <w:ind w:left="380" w:firstLine="340"/>
      </w:pPr>
      <w:rPr>
        <w:rFonts w:hint="default" w:ascii="Arial" w:hAnsi="Arial" w:eastAsia="宋体"/>
        <w:b w:val="0"/>
        <w:i w:val="0"/>
        <w:color w:val="auto"/>
        <w:spacing w:val="-20"/>
        <w:sz w:val="28"/>
        <w:szCs w:val="28"/>
        <w:lang w:val="en-US"/>
      </w:rPr>
    </w:lvl>
    <w:lvl w:ilvl="5" w:tentative="0">
      <w:start w:val="1"/>
      <w:numFmt w:val="lowerLetter"/>
      <w:pStyle w:val="1715"/>
      <w:lvlText w:val="%6)"/>
      <w:lvlJc w:val="left"/>
      <w:pPr>
        <w:tabs>
          <w:tab w:val="left" w:pos="964"/>
        </w:tabs>
        <w:ind w:left="0" w:firstLine="510"/>
      </w:pPr>
      <w:rPr>
        <w:rFonts w:hint="eastAsia" w:ascii="Times New Roman" w:hAnsi="Times New Roman" w:eastAsia="宋体" w:cs="Times New Roman"/>
        <w:b/>
        <w:i w:val="0"/>
        <w:sz w:val="28"/>
        <w:szCs w:val="28"/>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9">
    <w:nsid w:val="1AA7200D"/>
    <w:multiLevelType w:val="multilevel"/>
    <w:tmpl w:val="1AA7200D"/>
    <w:lvl w:ilvl="0" w:tentative="0">
      <w:start w:val="4"/>
      <w:numFmt w:val="japaneseCounting"/>
      <w:pStyle w:val="1706"/>
      <w:lvlText w:val="第%1章"/>
      <w:lvlJc w:val="left"/>
      <w:pPr>
        <w:tabs>
          <w:tab w:val="left" w:pos="1680"/>
        </w:tabs>
        <w:ind w:left="1680" w:hanging="168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1D8A6AE7"/>
    <w:multiLevelType w:val="multilevel"/>
    <w:tmpl w:val="1D8A6AE7"/>
    <w:lvl w:ilvl="0" w:tentative="0">
      <w:start w:val="1"/>
      <w:numFmt w:val="decimal"/>
      <w:pStyle w:val="1814"/>
      <w:lvlText w:val="表3-%1"/>
      <w:lvlJc w:val="left"/>
      <w:pPr>
        <w:ind w:left="5949" w:hanging="420"/>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rPr>
    </w:lvl>
    <w:lvl w:ilvl="1" w:tentative="0">
      <w:start w:val="1"/>
      <w:numFmt w:val="lowerLetter"/>
      <w:lvlText w:val="%2)"/>
      <w:lvlJc w:val="left"/>
      <w:pPr>
        <w:ind w:left="4740" w:hanging="420"/>
      </w:pPr>
    </w:lvl>
    <w:lvl w:ilvl="2" w:tentative="0">
      <w:start w:val="1"/>
      <w:numFmt w:val="lowerRoman"/>
      <w:lvlText w:val="%3."/>
      <w:lvlJc w:val="right"/>
      <w:pPr>
        <w:ind w:left="5160" w:hanging="420"/>
      </w:pPr>
    </w:lvl>
    <w:lvl w:ilvl="3" w:tentative="0">
      <w:start w:val="1"/>
      <w:numFmt w:val="decimal"/>
      <w:lvlText w:val="%4."/>
      <w:lvlJc w:val="left"/>
      <w:pPr>
        <w:ind w:left="5580" w:hanging="420"/>
      </w:pPr>
    </w:lvl>
    <w:lvl w:ilvl="4" w:tentative="0">
      <w:start w:val="1"/>
      <w:numFmt w:val="lowerLetter"/>
      <w:lvlText w:val="%5)"/>
      <w:lvlJc w:val="left"/>
      <w:pPr>
        <w:ind w:left="6000" w:hanging="420"/>
      </w:pPr>
    </w:lvl>
    <w:lvl w:ilvl="5" w:tentative="0">
      <w:start w:val="1"/>
      <w:numFmt w:val="lowerRoman"/>
      <w:lvlText w:val="%6."/>
      <w:lvlJc w:val="right"/>
      <w:pPr>
        <w:ind w:left="6420" w:hanging="420"/>
      </w:pPr>
    </w:lvl>
    <w:lvl w:ilvl="6" w:tentative="0">
      <w:start w:val="1"/>
      <w:numFmt w:val="decimal"/>
      <w:lvlText w:val="%7."/>
      <w:lvlJc w:val="left"/>
      <w:pPr>
        <w:ind w:left="6840" w:hanging="420"/>
      </w:pPr>
    </w:lvl>
    <w:lvl w:ilvl="7" w:tentative="0">
      <w:start w:val="1"/>
      <w:numFmt w:val="lowerLetter"/>
      <w:lvlText w:val="%8)"/>
      <w:lvlJc w:val="left"/>
      <w:pPr>
        <w:ind w:left="7260" w:hanging="420"/>
      </w:pPr>
    </w:lvl>
    <w:lvl w:ilvl="8" w:tentative="0">
      <w:start w:val="1"/>
      <w:numFmt w:val="lowerRoman"/>
      <w:lvlText w:val="%9."/>
      <w:lvlJc w:val="right"/>
      <w:pPr>
        <w:ind w:left="7680" w:hanging="420"/>
      </w:pPr>
    </w:lvl>
  </w:abstractNum>
  <w:abstractNum w:abstractNumId="11">
    <w:nsid w:val="1DBC60E3"/>
    <w:multiLevelType w:val="multilevel"/>
    <w:tmpl w:val="1DBC60E3"/>
    <w:lvl w:ilvl="0" w:tentative="0">
      <w:start w:val="1"/>
      <w:numFmt w:val="decimal"/>
      <w:pStyle w:val="1351"/>
      <w:lvlText w:val="%1)"/>
      <w:lvlJc w:val="left"/>
      <w:pPr>
        <w:tabs>
          <w:tab w:val="left" w:pos="900"/>
        </w:tabs>
        <w:ind w:left="900" w:hanging="420"/>
      </w:p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2">
    <w:nsid w:val="24AB67C4"/>
    <w:multiLevelType w:val="multilevel"/>
    <w:tmpl w:val="24AB67C4"/>
    <w:lvl w:ilvl="0" w:tentative="0">
      <w:start w:val="1"/>
      <w:numFmt w:val="decimal"/>
      <w:lvlText w:val="(%1)"/>
      <w:lvlJc w:val="left"/>
      <w:pPr>
        <w:tabs>
          <w:tab w:val="left" w:pos="510"/>
        </w:tabs>
        <w:ind w:left="510" w:hanging="510"/>
      </w:pPr>
      <w:rPr>
        <w:rFonts w:hint="default"/>
      </w:rPr>
    </w:lvl>
    <w:lvl w:ilvl="1" w:tentative="0">
      <w:start w:val="1"/>
      <w:numFmt w:val="decimal"/>
      <w:lvlText w:val="（%2）"/>
      <w:lvlJc w:val="left"/>
      <w:pPr>
        <w:tabs>
          <w:tab w:val="left" w:pos="1140"/>
        </w:tabs>
        <w:ind w:left="1140" w:hanging="720"/>
      </w:pPr>
      <w:rPr>
        <w:rFonts w:hint="default"/>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pStyle w:val="2407"/>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27215068"/>
    <w:multiLevelType w:val="multilevel"/>
    <w:tmpl w:val="27215068"/>
    <w:lvl w:ilvl="0" w:tentative="0">
      <w:start w:val="1"/>
      <w:numFmt w:val="japaneseCounting"/>
      <w:pStyle w:val="2364"/>
      <w:lvlText w:val="%1、"/>
      <w:lvlJc w:val="left"/>
      <w:pPr>
        <w:tabs>
          <w:tab w:val="left" w:pos="720"/>
        </w:tabs>
        <w:ind w:left="720" w:hanging="720"/>
      </w:pPr>
      <w:rPr>
        <w:rFonts w:hint="eastAsia"/>
        <w:b/>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380010A9"/>
    <w:multiLevelType w:val="multilevel"/>
    <w:tmpl w:val="380010A9"/>
    <w:lvl w:ilvl="0" w:tentative="0">
      <w:start w:val="1"/>
      <w:numFmt w:val="decimal"/>
      <w:pStyle w:val="1700"/>
      <w:lvlText w:val="%1"/>
      <w:lvlJc w:val="center"/>
      <w:pPr>
        <w:tabs>
          <w:tab w:val="left" w:pos="144"/>
        </w:tabs>
        <w:ind w:left="144" w:hanging="144"/>
      </w:pPr>
      <w:rPr>
        <w:rFonts w:hint="eastAsia"/>
      </w:rPr>
    </w:lvl>
    <w:lvl w:ilvl="1" w:tentative="0">
      <w:start w:val="1"/>
      <w:numFmt w:val="decimal"/>
      <w:lvlText w:val="%1.%2"/>
      <w:lvlJc w:val="left"/>
      <w:pPr>
        <w:tabs>
          <w:tab w:val="left" w:pos="576"/>
        </w:tabs>
        <w:ind w:left="576" w:hanging="576"/>
      </w:pPr>
      <w:rPr>
        <w:rFonts w:hint="eastAsia"/>
      </w:rPr>
    </w:lvl>
    <w:lvl w:ilvl="2" w:tentative="0">
      <w:start w:val="1"/>
      <w:numFmt w:val="decimal"/>
      <w:lvlText w:val="%1.%2.%3"/>
      <w:lvlJc w:val="left"/>
      <w:pPr>
        <w:tabs>
          <w:tab w:val="left" w:pos="432"/>
        </w:tabs>
        <w:ind w:left="432" w:hanging="720"/>
      </w:pPr>
      <w:rPr>
        <w:rFonts w:hint="eastAsia"/>
      </w:rPr>
    </w:lvl>
    <w:lvl w:ilvl="3" w:tentative="0">
      <w:start w:val="1"/>
      <w:numFmt w:val="decimal"/>
      <w:lvlText w:val="%1.%2.%3.%4"/>
      <w:lvlJc w:val="left"/>
      <w:pPr>
        <w:tabs>
          <w:tab w:val="left" w:pos="576"/>
        </w:tabs>
        <w:ind w:left="576" w:hanging="864"/>
      </w:pPr>
      <w:rPr>
        <w:rFonts w:hint="eastAsia"/>
      </w:rPr>
    </w:lvl>
    <w:lvl w:ilvl="4" w:tentative="0">
      <w:start w:val="1"/>
      <w:numFmt w:val="decimal"/>
      <w:lvlText w:val="%1.%2.%3.%4.%5"/>
      <w:lvlJc w:val="left"/>
      <w:pPr>
        <w:tabs>
          <w:tab w:val="left" w:pos="720"/>
        </w:tabs>
        <w:ind w:left="720" w:hanging="1008"/>
      </w:pPr>
      <w:rPr>
        <w:rFonts w:hint="eastAsia"/>
      </w:rPr>
    </w:lvl>
    <w:lvl w:ilvl="5" w:tentative="0">
      <w:start w:val="1"/>
      <w:numFmt w:val="decimal"/>
      <w:lvlText w:val="%1.%2.%3.%4.%5.%6"/>
      <w:lvlJc w:val="left"/>
      <w:pPr>
        <w:tabs>
          <w:tab w:val="left" w:pos="864"/>
        </w:tabs>
        <w:ind w:left="864" w:hanging="1152"/>
      </w:pPr>
      <w:rPr>
        <w:rFonts w:hint="eastAsia"/>
      </w:rPr>
    </w:lvl>
    <w:lvl w:ilvl="6" w:tentative="0">
      <w:start w:val="1"/>
      <w:numFmt w:val="decimal"/>
      <w:lvlText w:val="%1.%2.%3.%4.%5.%6.%7"/>
      <w:lvlJc w:val="left"/>
      <w:pPr>
        <w:tabs>
          <w:tab w:val="left" w:pos="1008"/>
        </w:tabs>
        <w:ind w:left="1008" w:hanging="1296"/>
      </w:pPr>
      <w:rPr>
        <w:rFonts w:hint="eastAsia"/>
      </w:rPr>
    </w:lvl>
    <w:lvl w:ilvl="7" w:tentative="0">
      <w:start w:val="1"/>
      <w:numFmt w:val="decimal"/>
      <w:lvlText w:val="%1.%2.%3.%4.%5.%6.%7.%8"/>
      <w:lvlJc w:val="left"/>
      <w:pPr>
        <w:tabs>
          <w:tab w:val="left" w:pos="1152"/>
        </w:tabs>
        <w:ind w:left="1152" w:hanging="1440"/>
      </w:pPr>
      <w:rPr>
        <w:rFonts w:hint="eastAsia"/>
      </w:rPr>
    </w:lvl>
    <w:lvl w:ilvl="8" w:tentative="0">
      <w:start w:val="1"/>
      <w:numFmt w:val="decimal"/>
      <w:lvlText w:val="%1.%2.%3.%4.%5.%6.%7.%8.%9"/>
      <w:lvlJc w:val="left"/>
      <w:pPr>
        <w:tabs>
          <w:tab w:val="left" w:pos="1296"/>
        </w:tabs>
        <w:ind w:left="1296" w:hanging="1584"/>
      </w:pPr>
      <w:rPr>
        <w:rFonts w:hint="eastAsia"/>
      </w:rPr>
    </w:lvl>
  </w:abstractNum>
  <w:abstractNum w:abstractNumId="15">
    <w:nsid w:val="3C694D85"/>
    <w:multiLevelType w:val="multilevel"/>
    <w:tmpl w:val="3C694D85"/>
    <w:lvl w:ilvl="0" w:tentative="0">
      <w:start w:val="1"/>
      <w:numFmt w:val="decimal"/>
      <w:pStyle w:val="1753"/>
      <w:lvlText w:val="（%1）"/>
      <w:lvlJc w:val="left"/>
      <w:pPr>
        <w:tabs>
          <w:tab w:val="left" w:pos="1287"/>
        </w:tabs>
        <w:ind w:left="0" w:firstLine="567"/>
      </w:pPr>
      <w:rPr>
        <w:rFonts w:hint="default" w:ascii="Times New Roman" w:hAnsi="Times New Roman" w:eastAsia="宋体"/>
        <w:b w:val="0"/>
        <w:i w:val="0"/>
        <w:color w:val="auto"/>
        <w:sz w:val="28"/>
        <w:u w:val="none"/>
      </w:rPr>
    </w:lvl>
    <w:lvl w:ilvl="1" w:tentative="0">
      <w:start w:val="1"/>
      <w:numFmt w:val="lowerLetter"/>
      <w:lvlText w:val="%2)"/>
      <w:lvlJc w:val="left"/>
      <w:pPr>
        <w:tabs>
          <w:tab w:val="left" w:pos="1407"/>
        </w:tabs>
        <w:ind w:left="1407" w:hanging="420"/>
      </w:pPr>
    </w:lvl>
    <w:lvl w:ilvl="2" w:tentative="0">
      <w:start w:val="1"/>
      <w:numFmt w:val="lowerRoman"/>
      <w:lvlText w:val="%3."/>
      <w:lvlJc w:val="right"/>
      <w:pPr>
        <w:tabs>
          <w:tab w:val="left" w:pos="1827"/>
        </w:tabs>
        <w:ind w:left="1827" w:hanging="420"/>
      </w:pPr>
    </w:lvl>
    <w:lvl w:ilvl="3" w:tentative="0">
      <w:start w:val="1"/>
      <w:numFmt w:val="decimal"/>
      <w:lvlText w:val="%4."/>
      <w:lvlJc w:val="left"/>
      <w:pPr>
        <w:tabs>
          <w:tab w:val="left" w:pos="2247"/>
        </w:tabs>
        <w:ind w:left="2247" w:hanging="420"/>
      </w:pPr>
    </w:lvl>
    <w:lvl w:ilvl="4" w:tentative="0">
      <w:start w:val="1"/>
      <w:numFmt w:val="lowerLetter"/>
      <w:lvlText w:val="%5)"/>
      <w:lvlJc w:val="left"/>
      <w:pPr>
        <w:tabs>
          <w:tab w:val="left" w:pos="2667"/>
        </w:tabs>
        <w:ind w:left="2667" w:hanging="420"/>
      </w:pPr>
    </w:lvl>
    <w:lvl w:ilvl="5" w:tentative="0">
      <w:start w:val="1"/>
      <w:numFmt w:val="lowerRoman"/>
      <w:lvlText w:val="%6."/>
      <w:lvlJc w:val="right"/>
      <w:pPr>
        <w:tabs>
          <w:tab w:val="left" w:pos="3087"/>
        </w:tabs>
        <w:ind w:left="3087" w:hanging="420"/>
      </w:pPr>
    </w:lvl>
    <w:lvl w:ilvl="6" w:tentative="0">
      <w:start w:val="1"/>
      <w:numFmt w:val="decimal"/>
      <w:lvlText w:val="%7."/>
      <w:lvlJc w:val="left"/>
      <w:pPr>
        <w:tabs>
          <w:tab w:val="left" w:pos="3507"/>
        </w:tabs>
        <w:ind w:left="3507" w:hanging="420"/>
      </w:pPr>
    </w:lvl>
    <w:lvl w:ilvl="7" w:tentative="0">
      <w:start w:val="1"/>
      <w:numFmt w:val="lowerLetter"/>
      <w:lvlText w:val="%8)"/>
      <w:lvlJc w:val="left"/>
      <w:pPr>
        <w:tabs>
          <w:tab w:val="left" w:pos="3927"/>
        </w:tabs>
        <w:ind w:left="3927" w:hanging="420"/>
      </w:pPr>
    </w:lvl>
    <w:lvl w:ilvl="8" w:tentative="0">
      <w:start w:val="1"/>
      <w:numFmt w:val="lowerRoman"/>
      <w:lvlText w:val="%9."/>
      <w:lvlJc w:val="right"/>
      <w:pPr>
        <w:tabs>
          <w:tab w:val="left" w:pos="4347"/>
        </w:tabs>
        <w:ind w:left="4347" w:hanging="420"/>
      </w:pPr>
    </w:lvl>
  </w:abstractNum>
  <w:abstractNum w:abstractNumId="16">
    <w:nsid w:val="407E65F9"/>
    <w:multiLevelType w:val="multilevel"/>
    <w:tmpl w:val="407E65F9"/>
    <w:lvl w:ilvl="0" w:tentative="0">
      <w:start w:val="1"/>
      <w:numFmt w:val="none"/>
      <w:pStyle w:val="1952"/>
      <w:lvlText w:val="%1·　"/>
      <w:lvlJc w:val="left"/>
      <w:pPr>
        <w:tabs>
          <w:tab w:val="left" w:pos="1140"/>
        </w:tabs>
        <w:ind w:left="737" w:hanging="317"/>
      </w:pPr>
      <w:rPr>
        <w:rFonts w:hint="eastAsia" w:ascii="宋体" w:hAnsi="Times New Roman" w:eastAsia="宋体"/>
        <w:b w:val="0"/>
        <w:i w:val="0"/>
        <w:sz w:val="21"/>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7">
    <w:nsid w:val="43584616"/>
    <w:multiLevelType w:val="singleLevel"/>
    <w:tmpl w:val="43584616"/>
    <w:lvl w:ilvl="0" w:tentative="0">
      <w:start w:val="1"/>
      <w:numFmt w:val="decimal"/>
      <w:pStyle w:val="2355"/>
      <w:lvlText w:val="表 %1.  "/>
      <w:lvlJc w:val="left"/>
      <w:pPr>
        <w:tabs>
          <w:tab w:val="left" w:pos="1080"/>
        </w:tabs>
        <w:ind w:left="425" w:hanging="425"/>
      </w:pPr>
      <w:rPr>
        <w:rFonts w:hint="eastAsia"/>
      </w:rPr>
    </w:lvl>
  </w:abstractNum>
  <w:abstractNum w:abstractNumId="18">
    <w:nsid w:val="536B6F1D"/>
    <w:multiLevelType w:val="singleLevel"/>
    <w:tmpl w:val="536B6F1D"/>
    <w:lvl w:ilvl="0" w:tentative="0">
      <w:start w:val="1"/>
      <w:numFmt w:val="bullet"/>
      <w:pStyle w:val="1347"/>
      <w:lvlText w:val=""/>
      <w:lvlJc w:val="left"/>
      <w:pPr>
        <w:tabs>
          <w:tab w:val="left" w:pos="425"/>
        </w:tabs>
        <w:ind w:left="425" w:hanging="425"/>
      </w:pPr>
      <w:rPr>
        <w:rFonts w:hint="default" w:ascii="Wingdings" w:hAnsi="Wingdings"/>
        <w:sz w:val="21"/>
      </w:rPr>
    </w:lvl>
  </w:abstractNum>
  <w:abstractNum w:abstractNumId="19">
    <w:nsid w:val="557C2AF5"/>
    <w:multiLevelType w:val="multilevel"/>
    <w:tmpl w:val="557C2AF5"/>
    <w:lvl w:ilvl="0" w:tentative="0">
      <w:start w:val="1"/>
      <w:numFmt w:val="decimal"/>
      <w:pStyle w:val="2525"/>
      <w:suff w:val="nothing"/>
      <w:lvlText w:val="图%1　"/>
      <w:lvlJc w:val="left"/>
      <w:pPr>
        <w:ind w:left="0" w:firstLine="0"/>
      </w:pPr>
      <w:rPr>
        <w:rFonts w:hint="eastAsia" w:ascii="黑体" w:hAnsi="Times New Roman" w:eastAsia="黑体"/>
        <w:b w:val="0"/>
        <w:i w:val="0"/>
        <w:sz w:val="21"/>
        <w:lang w:val="en-US"/>
      </w:rPr>
    </w:lvl>
    <w:lvl w:ilvl="1" w:tentative="0">
      <w:start w:val="1"/>
      <w:numFmt w:val="decimal"/>
      <w:suff w:val="nothing"/>
      <w:lvlText w:val="%1%2　"/>
      <w:lvlJc w:val="left"/>
      <w:pPr>
        <w:ind w:left="0" w:firstLine="0"/>
      </w:pPr>
      <w:rPr>
        <w:rFonts w:hint="default" w:ascii="Times New Roman" w:hAnsi="Times New Roman" w:eastAsia="黑体"/>
        <w:b w:val="0"/>
        <w:i w:val="0"/>
        <w:sz w:val="21"/>
      </w:rPr>
    </w:lvl>
    <w:lvl w:ilvl="2" w:tentative="0">
      <w:start w:val="1"/>
      <w:numFmt w:val="decimal"/>
      <w:suff w:val="nothing"/>
      <w:lvlText w:val="%1%2.%3　"/>
      <w:lvlJc w:val="left"/>
      <w:pPr>
        <w:ind w:left="0" w:firstLine="0"/>
      </w:pPr>
      <w:rPr>
        <w:rFonts w:hint="default" w:ascii="Times New Roman" w:hAnsi="Times New Roman" w:eastAsia="黑体"/>
        <w:b w:val="0"/>
        <w:i w:val="0"/>
        <w:sz w:val="21"/>
      </w:rPr>
    </w:lvl>
    <w:lvl w:ilvl="3" w:tentative="0">
      <w:start w:val="1"/>
      <w:numFmt w:val="decimal"/>
      <w:suff w:val="nothing"/>
      <w:lvlText w:val="%1%2.%3.%4　"/>
      <w:lvlJc w:val="left"/>
      <w:pPr>
        <w:ind w:left="0" w:firstLine="0"/>
      </w:pPr>
      <w:rPr>
        <w:rFonts w:hint="default" w:ascii="Times New Roman" w:hAnsi="Times New Roman" w:eastAsia="黑体"/>
        <w:b w:val="0"/>
        <w:i w:val="0"/>
        <w:sz w:val="21"/>
      </w:rPr>
    </w:lvl>
    <w:lvl w:ilvl="4" w:tentative="0">
      <w:start w:val="1"/>
      <w:numFmt w:val="decimal"/>
      <w:suff w:val="nothing"/>
      <w:lvlText w:val="%1%2.%3.%4.%5　"/>
      <w:lvlJc w:val="left"/>
      <w:pPr>
        <w:ind w:left="0" w:firstLine="0"/>
      </w:pPr>
      <w:rPr>
        <w:rFonts w:hint="default" w:ascii="Times New Roman" w:hAnsi="Times New Roman" w:eastAsia="黑体"/>
        <w:b w:val="0"/>
        <w:i w:val="0"/>
        <w:sz w:val="21"/>
      </w:rPr>
    </w:lvl>
    <w:lvl w:ilvl="5" w:tentative="0">
      <w:start w:val="1"/>
      <w:numFmt w:val="decimal"/>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default" w:ascii="Times New Roman"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0">
    <w:nsid w:val="5D205833"/>
    <w:multiLevelType w:val="multilevel"/>
    <w:tmpl w:val="5D205833"/>
    <w:lvl w:ilvl="0" w:tentative="0">
      <w:start w:val="1"/>
      <w:numFmt w:val="decimal"/>
      <w:pStyle w:val="1808"/>
      <w:lvlText w:val="图1-%1"/>
      <w:lvlJc w:val="left"/>
      <w:pPr>
        <w:ind w:left="420" w:hanging="420"/>
      </w:pPr>
      <w:rPr>
        <w:rFonts w:hint="eastAsia"/>
        <w:b/>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1">
    <w:nsid w:val="60DC16B4"/>
    <w:multiLevelType w:val="multilevel"/>
    <w:tmpl w:val="60DC16B4"/>
    <w:lvl w:ilvl="0" w:tentative="0">
      <w:start w:val="1"/>
      <w:numFmt w:val="decimal"/>
      <w:pStyle w:val="1701"/>
      <w:lvlText w:val="%1)"/>
      <w:lvlJc w:val="left"/>
      <w:pPr>
        <w:tabs>
          <w:tab w:val="left" w:pos="900"/>
        </w:tabs>
        <w:ind w:left="900" w:hanging="420"/>
      </w:p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2">
    <w:nsid w:val="656D53B5"/>
    <w:multiLevelType w:val="multilevel"/>
    <w:tmpl w:val="656D53B5"/>
    <w:lvl w:ilvl="0" w:tentative="0">
      <w:start w:val="1"/>
      <w:numFmt w:val="decimal"/>
      <w:pStyle w:val="1806"/>
      <w:lvlText w:val="表1-%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6A690F59"/>
    <w:multiLevelType w:val="multilevel"/>
    <w:tmpl w:val="6A690F59"/>
    <w:lvl w:ilvl="0" w:tentative="0">
      <w:start w:val="1"/>
      <w:numFmt w:val="decimal"/>
      <w:pStyle w:val="3126"/>
      <w:lvlText w:val="%1."/>
      <w:lvlJc w:val="left"/>
      <w:pPr>
        <w:tabs>
          <w:tab w:val="left" w:pos="360"/>
        </w:tabs>
        <w:ind w:left="360" w:hanging="360"/>
      </w:pPr>
      <w:rPr>
        <w:rFonts w:hint="default"/>
      </w:rPr>
    </w:lvl>
    <w:lvl w:ilvl="1" w:tentative="0">
      <w:start w:val="1"/>
      <w:numFmt w:val="decimal"/>
      <w:pStyle w:val="3127"/>
      <w:isLgl/>
      <w:lvlText w:val="%1.%2"/>
      <w:lvlJc w:val="left"/>
      <w:pPr>
        <w:tabs>
          <w:tab w:val="left" w:pos="420"/>
        </w:tabs>
        <w:ind w:left="420" w:hanging="420"/>
      </w:pPr>
      <w:rPr>
        <w:b w:val="0"/>
        <w:bCs w:val="0"/>
        <w:i w:val="0"/>
        <w:iCs w:val="0"/>
        <w:caps w:val="0"/>
        <w:smallCaps w:val="0"/>
        <w:strike w:val="0"/>
        <w:dstrike w:val="0"/>
        <w:outline w:val="0"/>
        <w:shadow w:val="0"/>
        <w:emboss w:val="0"/>
        <w:imprint w:val="0"/>
        <w:vanish w:val="0"/>
        <w:spacing w:val="0"/>
        <w:position w:val="0"/>
        <w:u w:val="none"/>
        <w:vertAlign w:val="baseline"/>
      </w:rPr>
    </w:lvl>
    <w:lvl w:ilvl="2" w:tentative="0">
      <w:start w:val="1"/>
      <w:numFmt w:val="decimal"/>
      <w:isLgl/>
      <w:lvlText w:val="%1.%2.%3"/>
      <w:lvlJc w:val="left"/>
      <w:pPr>
        <w:tabs>
          <w:tab w:val="left" w:pos="720"/>
        </w:tabs>
        <w:ind w:left="720" w:hanging="720"/>
      </w:pPr>
      <w:rPr>
        <w:rFonts w:hint="default"/>
      </w:rPr>
    </w:lvl>
    <w:lvl w:ilvl="3" w:tentative="0">
      <w:start w:val="1"/>
      <w:numFmt w:val="decimal"/>
      <w:isLgl/>
      <w:lvlText w:val="%1.%2.%3.%4"/>
      <w:lvlJc w:val="left"/>
      <w:pPr>
        <w:tabs>
          <w:tab w:val="left" w:pos="720"/>
        </w:tabs>
        <w:ind w:left="720" w:hanging="720"/>
      </w:pPr>
      <w:rPr>
        <w:rFonts w:hint="default"/>
      </w:rPr>
    </w:lvl>
    <w:lvl w:ilvl="4" w:tentative="0">
      <w:start w:val="1"/>
      <w:numFmt w:val="decimal"/>
      <w:isLgl/>
      <w:lvlText w:val="%1.%2.%3.%4.%5"/>
      <w:lvlJc w:val="left"/>
      <w:pPr>
        <w:tabs>
          <w:tab w:val="left" w:pos="1080"/>
        </w:tabs>
        <w:ind w:left="1080" w:hanging="1080"/>
      </w:pPr>
      <w:rPr>
        <w:rFonts w:hint="default"/>
      </w:rPr>
    </w:lvl>
    <w:lvl w:ilvl="5" w:tentative="0">
      <w:start w:val="1"/>
      <w:numFmt w:val="decimal"/>
      <w:isLgl/>
      <w:lvlText w:val="%1.%2.%3.%4.%5.%6"/>
      <w:lvlJc w:val="left"/>
      <w:pPr>
        <w:tabs>
          <w:tab w:val="left" w:pos="1080"/>
        </w:tabs>
        <w:ind w:left="1080" w:hanging="1080"/>
      </w:pPr>
      <w:rPr>
        <w:rFonts w:hint="default"/>
      </w:rPr>
    </w:lvl>
    <w:lvl w:ilvl="6" w:tentative="0">
      <w:start w:val="1"/>
      <w:numFmt w:val="decimal"/>
      <w:isLgl/>
      <w:lvlText w:val="%1.%2.%3.%4.%5.%6.%7"/>
      <w:lvlJc w:val="left"/>
      <w:pPr>
        <w:tabs>
          <w:tab w:val="left" w:pos="1440"/>
        </w:tabs>
        <w:ind w:left="1440" w:hanging="1440"/>
      </w:pPr>
      <w:rPr>
        <w:rFonts w:hint="default"/>
      </w:rPr>
    </w:lvl>
    <w:lvl w:ilvl="7" w:tentative="0">
      <w:start w:val="1"/>
      <w:numFmt w:val="decimal"/>
      <w:isLgl/>
      <w:lvlText w:val="%1.%2.%3.%4.%5.%6.%7.%8"/>
      <w:lvlJc w:val="left"/>
      <w:pPr>
        <w:tabs>
          <w:tab w:val="left" w:pos="1440"/>
        </w:tabs>
        <w:ind w:left="1440" w:hanging="1440"/>
      </w:pPr>
      <w:rPr>
        <w:rFonts w:hint="default"/>
      </w:rPr>
    </w:lvl>
    <w:lvl w:ilvl="8" w:tentative="0">
      <w:start w:val="1"/>
      <w:numFmt w:val="decimal"/>
      <w:isLgl/>
      <w:lvlText w:val="%1.%2.%3.%4.%5.%6.%7.%8.%9"/>
      <w:lvlJc w:val="left"/>
      <w:pPr>
        <w:tabs>
          <w:tab w:val="left" w:pos="1800"/>
        </w:tabs>
        <w:ind w:left="1800" w:hanging="1800"/>
      </w:pPr>
      <w:rPr>
        <w:rFonts w:hint="default"/>
      </w:rPr>
    </w:lvl>
  </w:abstractNum>
  <w:abstractNum w:abstractNumId="24">
    <w:nsid w:val="73432E2C"/>
    <w:multiLevelType w:val="multilevel"/>
    <w:tmpl w:val="73432E2C"/>
    <w:lvl w:ilvl="0" w:tentative="0">
      <w:start w:val="1"/>
      <w:numFmt w:val="bullet"/>
      <w:pStyle w:val="1995"/>
      <w:lvlText w:val=""/>
      <w:lvlJc w:val="left"/>
      <w:pPr>
        <w:tabs>
          <w:tab w:val="left" w:pos="420"/>
        </w:tabs>
        <w:ind w:left="420" w:hanging="420"/>
      </w:pPr>
      <w:rPr>
        <w:rFonts w:hint="default" w:ascii="Wingdings" w:hAnsi="Wingding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5">
    <w:nsid w:val="78A404CF"/>
    <w:multiLevelType w:val="multilevel"/>
    <w:tmpl w:val="78A404CF"/>
    <w:lvl w:ilvl="0" w:tentative="0">
      <w:start w:val="1"/>
      <w:numFmt w:val="bullet"/>
      <w:pStyle w:val="1318"/>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1320"/>
        </w:tabs>
        <w:ind w:left="1320" w:hanging="420"/>
      </w:pPr>
      <w:rPr>
        <w:rFonts w:hint="default" w:ascii="Wingdings" w:hAnsi="Wingdings"/>
      </w:rPr>
    </w:lvl>
    <w:lvl w:ilvl="2" w:tentative="0">
      <w:start w:val="1"/>
      <w:numFmt w:val="bullet"/>
      <w:lvlText w:val=""/>
      <w:lvlJc w:val="left"/>
      <w:pPr>
        <w:tabs>
          <w:tab w:val="left" w:pos="1740"/>
        </w:tabs>
        <w:ind w:left="1740" w:hanging="420"/>
      </w:pPr>
      <w:rPr>
        <w:rFonts w:hint="default" w:ascii="Wingdings" w:hAnsi="Wingdings"/>
      </w:rPr>
    </w:lvl>
    <w:lvl w:ilvl="3" w:tentative="0">
      <w:start w:val="1"/>
      <w:numFmt w:val="bullet"/>
      <w:lvlText w:val=""/>
      <w:lvlJc w:val="left"/>
      <w:pPr>
        <w:tabs>
          <w:tab w:val="left" w:pos="2160"/>
        </w:tabs>
        <w:ind w:left="2160" w:hanging="420"/>
      </w:pPr>
      <w:rPr>
        <w:rFonts w:hint="default" w:ascii="Wingdings" w:hAnsi="Wingdings"/>
      </w:rPr>
    </w:lvl>
    <w:lvl w:ilvl="4" w:tentative="0">
      <w:start w:val="1"/>
      <w:numFmt w:val="bullet"/>
      <w:lvlText w:val=""/>
      <w:lvlJc w:val="left"/>
      <w:pPr>
        <w:tabs>
          <w:tab w:val="left" w:pos="2580"/>
        </w:tabs>
        <w:ind w:left="2580" w:hanging="420"/>
      </w:pPr>
      <w:rPr>
        <w:rFonts w:hint="default" w:ascii="Wingdings" w:hAnsi="Wingdings"/>
      </w:rPr>
    </w:lvl>
    <w:lvl w:ilvl="5" w:tentative="0">
      <w:start w:val="1"/>
      <w:numFmt w:val="bullet"/>
      <w:lvlText w:val=""/>
      <w:lvlJc w:val="left"/>
      <w:pPr>
        <w:tabs>
          <w:tab w:val="left" w:pos="3000"/>
        </w:tabs>
        <w:ind w:left="3000" w:hanging="420"/>
      </w:pPr>
      <w:rPr>
        <w:rFonts w:hint="default" w:ascii="Wingdings" w:hAnsi="Wingdings"/>
      </w:rPr>
    </w:lvl>
    <w:lvl w:ilvl="6" w:tentative="0">
      <w:start w:val="1"/>
      <w:numFmt w:val="bullet"/>
      <w:lvlText w:val=""/>
      <w:lvlJc w:val="left"/>
      <w:pPr>
        <w:tabs>
          <w:tab w:val="left" w:pos="3420"/>
        </w:tabs>
        <w:ind w:left="3420" w:hanging="420"/>
      </w:pPr>
      <w:rPr>
        <w:rFonts w:hint="default" w:ascii="Wingdings" w:hAnsi="Wingdings"/>
      </w:rPr>
    </w:lvl>
    <w:lvl w:ilvl="7" w:tentative="0">
      <w:start w:val="1"/>
      <w:numFmt w:val="bullet"/>
      <w:lvlText w:val=""/>
      <w:lvlJc w:val="left"/>
      <w:pPr>
        <w:tabs>
          <w:tab w:val="left" w:pos="3840"/>
        </w:tabs>
        <w:ind w:left="3840" w:hanging="420"/>
      </w:pPr>
      <w:rPr>
        <w:rFonts w:hint="default" w:ascii="Wingdings" w:hAnsi="Wingdings"/>
      </w:rPr>
    </w:lvl>
    <w:lvl w:ilvl="8" w:tentative="0">
      <w:start w:val="1"/>
      <w:numFmt w:val="bullet"/>
      <w:lvlText w:val=""/>
      <w:lvlJc w:val="left"/>
      <w:pPr>
        <w:tabs>
          <w:tab w:val="left" w:pos="4260"/>
        </w:tabs>
        <w:ind w:left="4260" w:hanging="420"/>
      </w:pPr>
      <w:rPr>
        <w:rFonts w:hint="default" w:ascii="Wingdings" w:hAnsi="Wingdings"/>
      </w:rPr>
    </w:lvl>
  </w:abstractNum>
  <w:num w:numId="1">
    <w:abstractNumId w:val="5"/>
  </w:num>
  <w:num w:numId="2">
    <w:abstractNumId w:val="25"/>
  </w:num>
  <w:num w:numId="3">
    <w:abstractNumId w:val="18"/>
  </w:num>
  <w:num w:numId="4">
    <w:abstractNumId w:val="11"/>
  </w:num>
  <w:num w:numId="5">
    <w:abstractNumId w:val="20"/>
  </w:num>
  <w:num w:numId="6">
    <w:abstractNumId w:val="14"/>
  </w:num>
  <w:num w:numId="7">
    <w:abstractNumId w:val="21"/>
  </w:num>
  <w:num w:numId="8">
    <w:abstractNumId w:val="9"/>
  </w:num>
  <w:num w:numId="9">
    <w:abstractNumId w:val="8"/>
  </w:num>
  <w:num w:numId="10">
    <w:abstractNumId w:val="4"/>
  </w:num>
  <w:num w:numId="11">
    <w:abstractNumId w:val="15"/>
  </w:num>
  <w:num w:numId="12">
    <w:abstractNumId w:val="6"/>
  </w:num>
  <w:num w:numId="13">
    <w:abstractNumId w:val="22"/>
  </w:num>
  <w:num w:numId="14">
    <w:abstractNumId w:val="1"/>
  </w:num>
  <w:num w:numId="15">
    <w:abstractNumId w:val="10"/>
  </w:num>
  <w:num w:numId="16">
    <w:abstractNumId w:val="0"/>
  </w:num>
  <w:num w:numId="17">
    <w:abstractNumId w:val="16"/>
  </w:num>
  <w:num w:numId="18">
    <w:abstractNumId w:val="24"/>
  </w:num>
  <w:num w:numId="19">
    <w:abstractNumId w:val="17"/>
  </w:num>
  <w:num w:numId="20">
    <w:abstractNumId w:val="13"/>
  </w:num>
  <w:num w:numId="21">
    <w:abstractNumId w:val="12"/>
  </w:num>
  <w:num w:numId="22">
    <w:abstractNumId w:val="7"/>
  </w:num>
  <w:num w:numId="23">
    <w:abstractNumId w:val="19"/>
  </w:num>
  <w:num w:numId="24">
    <w:abstractNumId w:val="2"/>
  </w:num>
  <w:num w:numId="25">
    <w:abstractNumId w:val="23"/>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hideSpellingErrors/>
  <w:documentProtection w:enforcement="0"/>
  <w:defaultTabStop w:val="420"/>
  <w:drawingGridHorizontalSpacing w:val="105"/>
  <w:drawingGridVerticalSpacing w:val="163"/>
  <w:displayHorizontalDrawingGridEvery w:val="2"/>
  <w:displayVerticalDrawingGridEvery w:val="2"/>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5C"/>
    <w:rsid w:val="000004A6"/>
    <w:rsid w:val="00000CDE"/>
    <w:rsid w:val="00000E26"/>
    <w:rsid w:val="00000F2B"/>
    <w:rsid w:val="000013D4"/>
    <w:rsid w:val="00001665"/>
    <w:rsid w:val="00003705"/>
    <w:rsid w:val="00004B66"/>
    <w:rsid w:val="00004B9B"/>
    <w:rsid w:val="00004EAB"/>
    <w:rsid w:val="000056EA"/>
    <w:rsid w:val="00005C09"/>
    <w:rsid w:val="000069D9"/>
    <w:rsid w:val="00006F70"/>
    <w:rsid w:val="0000717D"/>
    <w:rsid w:val="000074D6"/>
    <w:rsid w:val="00007CD0"/>
    <w:rsid w:val="0001169C"/>
    <w:rsid w:val="0001279A"/>
    <w:rsid w:val="00013F64"/>
    <w:rsid w:val="000142A4"/>
    <w:rsid w:val="00014547"/>
    <w:rsid w:val="0001529C"/>
    <w:rsid w:val="000160C5"/>
    <w:rsid w:val="00017D57"/>
    <w:rsid w:val="00020699"/>
    <w:rsid w:val="00020AA4"/>
    <w:rsid w:val="000218F3"/>
    <w:rsid w:val="0002216F"/>
    <w:rsid w:val="000222D4"/>
    <w:rsid w:val="00022C95"/>
    <w:rsid w:val="0002312F"/>
    <w:rsid w:val="00023634"/>
    <w:rsid w:val="00023B66"/>
    <w:rsid w:val="00024165"/>
    <w:rsid w:val="0002488B"/>
    <w:rsid w:val="0002509A"/>
    <w:rsid w:val="0002587B"/>
    <w:rsid w:val="00025E7E"/>
    <w:rsid w:val="00026106"/>
    <w:rsid w:val="00026439"/>
    <w:rsid w:val="00026694"/>
    <w:rsid w:val="00026DE8"/>
    <w:rsid w:val="00026E52"/>
    <w:rsid w:val="00026E56"/>
    <w:rsid w:val="00026F0B"/>
    <w:rsid w:val="0002732C"/>
    <w:rsid w:val="00030236"/>
    <w:rsid w:val="00030839"/>
    <w:rsid w:val="00031982"/>
    <w:rsid w:val="00032867"/>
    <w:rsid w:val="00033174"/>
    <w:rsid w:val="00033E2D"/>
    <w:rsid w:val="00034314"/>
    <w:rsid w:val="00034839"/>
    <w:rsid w:val="00034E05"/>
    <w:rsid w:val="00035C47"/>
    <w:rsid w:val="00035C60"/>
    <w:rsid w:val="00036236"/>
    <w:rsid w:val="000364F0"/>
    <w:rsid w:val="00036AE7"/>
    <w:rsid w:val="00036AE8"/>
    <w:rsid w:val="00037022"/>
    <w:rsid w:val="0003764B"/>
    <w:rsid w:val="00037AD3"/>
    <w:rsid w:val="0004048B"/>
    <w:rsid w:val="00040AB7"/>
    <w:rsid w:val="00042241"/>
    <w:rsid w:val="00042ED3"/>
    <w:rsid w:val="00042F80"/>
    <w:rsid w:val="00043C7C"/>
    <w:rsid w:val="0004406B"/>
    <w:rsid w:val="000443DA"/>
    <w:rsid w:val="000449DA"/>
    <w:rsid w:val="000457BB"/>
    <w:rsid w:val="00046220"/>
    <w:rsid w:val="00046568"/>
    <w:rsid w:val="000466AB"/>
    <w:rsid w:val="00046B4C"/>
    <w:rsid w:val="000472D1"/>
    <w:rsid w:val="00050261"/>
    <w:rsid w:val="0005119F"/>
    <w:rsid w:val="000511C2"/>
    <w:rsid w:val="00051D47"/>
    <w:rsid w:val="00051DFD"/>
    <w:rsid w:val="0005210C"/>
    <w:rsid w:val="0005228E"/>
    <w:rsid w:val="00052365"/>
    <w:rsid w:val="00052422"/>
    <w:rsid w:val="00052F4E"/>
    <w:rsid w:val="00052F99"/>
    <w:rsid w:val="00053432"/>
    <w:rsid w:val="00053849"/>
    <w:rsid w:val="0005391A"/>
    <w:rsid w:val="00054486"/>
    <w:rsid w:val="00054639"/>
    <w:rsid w:val="000549AC"/>
    <w:rsid w:val="0005648B"/>
    <w:rsid w:val="00056AEB"/>
    <w:rsid w:val="00056CE5"/>
    <w:rsid w:val="00057ACC"/>
    <w:rsid w:val="00061F96"/>
    <w:rsid w:val="00062030"/>
    <w:rsid w:val="000622B6"/>
    <w:rsid w:val="00062C7B"/>
    <w:rsid w:val="000632EA"/>
    <w:rsid w:val="0006346F"/>
    <w:rsid w:val="000634CF"/>
    <w:rsid w:val="00063A4D"/>
    <w:rsid w:val="000646CE"/>
    <w:rsid w:val="000647DB"/>
    <w:rsid w:val="00065316"/>
    <w:rsid w:val="00066394"/>
    <w:rsid w:val="00066EDF"/>
    <w:rsid w:val="00067464"/>
    <w:rsid w:val="00067D86"/>
    <w:rsid w:val="00067EC4"/>
    <w:rsid w:val="000701A2"/>
    <w:rsid w:val="00070F45"/>
    <w:rsid w:val="00071084"/>
    <w:rsid w:val="00071808"/>
    <w:rsid w:val="00071A23"/>
    <w:rsid w:val="00071D89"/>
    <w:rsid w:val="00072179"/>
    <w:rsid w:val="000738FA"/>
    <w:rsid w:val="00073E87"/>
    <w:rsid w:val="00074F69"/>
    <w:rsid w:val="0007564B"/>
    <w:rsid w:val="000762C0"/>
    <w:rsid w:val="00076CAF"/>
    <w:rsid w:val="00076EFC"/>
    <w:rsid w:val="00077375"/>
    <w:rsid w:val="0008122D"/>
    <w:rsid w:val="00081A9C"/>
    <w:rsid w:val="000820B0"/>
    <w:rsid w:val="00082B07"/>
    <w:rsid w:val="00083852"/>
    <w:rsid w:val="00083A1D"/>
    <w:rsid w:val="00084165"/>
    <w:rsid w:val="000855F8"/>
    <w:rsid w:val="000857AA"/>
    <w:rsid w:val="00085BDB"/>
    <w:rsid w:val="000862BB"/>
    <w:rsid w:val="000868F4"/>
    <w:rsid w:val="00087538"/>
    <w:rsid w:val="00087542"/>
    <w:rsid w:val="00091005"/>
    <w:rsid w:val="000911FB"/>
    <w:rsid w:val="00091424"/>
    <w:rsid w:val="000914AE"/>
    <w:rsid w:val="00091EC7"/>
    <w:rsid w:val="00091F40"/>
    <w:rsid w:val="00093B29"/>
    <w:rsid w:val="00093E5A"/>
    <w:rsid w:val="00094143"/>
    <w:rsid w:val="000947E2"/>
    <w:rsid w:val="00094C84"/>
    <w:rsid w:val="00095A3A"/>
    <w:rsid w:val="00095A99"/>
    <w:rsid w:val="00095CCC"/>
    <w:rsid w:val="000961F8"/>
    <w:rsid w:val="00096621"/>
    <w:rsid w:val="00096CB6"/>
    <w:rsid w:val="00097537"/>
    <w:rsid w:val="000978E7"/>
    <w:rsid w:val="00097E7E"/>
    <w:rsid w:val="000A03D0"/>
    <w:rsid w:val="000A10F4"/>
    <w:rsid w:val="000A1150"/>
    <w:rsid w:val="000A126A"/>
    <w:rsid w:val="000A1F80"/>
    <w:rsid w:val="000A2391"/>
    <w:rsid w:val="000A2D33"/>
    <w:rsid w:val="000A3367"/>
    <w:rsid w:val="000A34D2"/>
    <w:rsid w:val="000A49F5"/>
    <w:rsid w:val="000A5947"/>
    <w:rsid w:val="000A5B90"/>
    <w:rsid w:val="000A7102"/>
    <w:rsid w:val="000A7D47"/>
    <w:rsid w:val="000B2539"/>
    <w:rsid w:val="000B2609"/>
    <w:rsid w:val="000B260C"/>
    <w:rsid w:val="000B38C6"/>
    <w:rsid w:val="000B5749"/>
    <w:rsid w:val="000B5AC8"/>
    <w:rsid w:val="000B6229"/>
    <w:rsid w:val="000B6375"/>
    <w:rsid w:val="000B647A"/>
    <w:rsid w:val="000B6CDA"/>
    <w:rsid w:val="000B7096"/>
    <w:rsid w:val="000B7145"/>
    <w:rsid w:val="000B765B"/>
    <w:rsid w:val="000B7941"/>
    <w:rsid w:val="000C0F60"/>
    <w:rsid w:val="000C1113"/>
    <w:rsid w:val="000C1AAB"/>
    <w:rsid w:val="000C205A"/>
    <w:rsid w:val="000C2823"/>
    <w:rsid w:val="000C2C48"/>
    <w:rsid w:val="000C2F0A"/>
    <w:rsid w:val="000C3381"/>
    <w:rsid w:val="000C3E7C"/>
    <w:rsid w:val="000C405C"/>
    <w:rsid w:val="000C4205"/>
    <w:rsid w:val="000C42EF"/>
    <w:rsid w:val="000C485B"/>
    <w:rsid w:val="000C5712"/>
    <w:rsid w:val="000C6504"/>
    <w:rsid w:val="000C6A89"/>
    <w:rsid w:val="000C73CC"/>
    <w:rsid w:val="000C7767"/>
    <w:rsid w:val="000D0B59"/>
    <w:rsid w:val="000D0E93"/>
    <w:rsid w:val="000D13DE"/>
    <w:rsid w:val="000D14D7"/>
    <w:rsid w:val="000D158A"/>
    <w:rsid w:val="000D163E"/>
    <w:rsid w:val="000D2102"/>
    <w:rsid w:val="000D2482"/>
    <w:rsid w:val="000D2F03"/>
    <w:rsid w:val="000D30B8"/>
    <w:rsid w:val="000D317C"/>
    <w:rsid w:val="000D35EC"/>
    <w:rsid w:val="000D56CB"/>
    <w:rsid w:val="000D5D30"/>
    <w:rsid w:val="000D6435"/>
    <w:rsid w:val="000D7885"/>
    <w:rsid w:val="000E0096"/>
    <w:rsid w:val="000E0904"/>
    <w:rsid w:val="000E0DA8"/>
    <w:rsid w:val="000E154F"/>
    <w:rsid w:val="000E1B0A"/>
    <w:rsid w:val="000E1C1A"/>
    <w:rsid w:val="000E2A2F"/>
    <w:rsid w:val="000E2AAE"/>
    <w:rsid w:val="000E33E5"/>
    <w:rsid w:val="000E3C02"/>
    <w:rsid w:val="000E3FEA"/>
    <w:rsid w:val="000E4097"/>
    <w:rsid w:val="000E4FC9"/>
    <w:rsid w:val="000E5A2A"/>
    <w:rsid w:val="000E6207"/>
    <w:rsid w:val="000E6395"/>
    <w:rsid w:val="000E63DE"/>
    <w:rsid w:val="000E6E6A"/>
    <w:rsid w:val="000E74F7"/>
    <w:rsid w:val="000E7FC3"/>
    <w:rsid w:val="000F1E97"/>
    <w:rsid w:val="000F2183"/>
    <w:rsid w:val="000F2965"/>
    <w:rsid w:val="000F30C9"/>
    <w:rsid w:val="000F33B6"/>
    <w:rsid w:val="000F35E0"/>
    <w:rsid w:val="000F3F59"/>
    <w:rsid w:val="000F4AC9"/>
    <w:rsid w:val="000F4B05"/>
    <w:rsid w:val="000F4B85"/>
    <w:rsid w:val="000F6872"/>
    <w:rsid w:val="000F763D"/>
    <w:rsid w:val="00100086"/>
    <w:rsid w:val="0010019B"/>
    <w:rsid w:val="00100DFC"/>
    <w:rsid w:val="001012EF"/>
    <w:rsid w:val="0010184E"/>
    <w:rsid w:val="00101AC7"/>
    <w:rsid w:val="00102536"/>
    <w:rsid w:val="00102EC9"/>
    <w:rsid w:val="0010357D"/>
    <w:rsid w:val="001035EF"/>
    <w:rsid w:val="00103A35"/>
    <w:rsid w:val="00103AEE"/>
    <w:rsid w:val="001043EA"/>
    <w:rsid w:val="00104E58"/>
    <w:rsid w:val="00105120"/>
    <w:rsid w:val="001052E6"/>
    <w:rsid w:val="00105CFE"/>
    <w:rsid w:val="00105D86"/>
    <w:rsid w:val="0010658E"/>
    <w:rsid w:val="0010727E"/>
    <w:rsid w:val="00110107"/>
    <w:rsid w:val="00110A68"/>
    <w:rsid w:val="00110B46"/>
    <w:rsid w:val="00111025"/>
    <w:rsid w:val="00111AE8"/>
    <w:rsid w:val="001123E1"/>
    <w:rsid w:val="001126E3"/>
    <w:rsid w:val="0011327C"/>
    <w:rsid w:val="001140A3"/>
    <w:rsid w:val="00114241"/>
    <w:rsid w:val="001144FB"/>
    <w:rsid w:val="0011450A"/>
    <w:rsid w:val="00114F16"/>
    <w:rsid w:val="00115386"/>
    <w:rsid w:val="00115B85"/>
    <w:rsid w:val="00115DB5"/>
    <w:rsid w:val="00116C02"/>
    <w:rsid w:val="00117071"/>
    <w:rsid w:val="001179B2"/>
    <w:rsid w:val="001202E8"/>
    <w:rsid w:val="00120461"/>
    <w:rsid w:val="00120C6C"/>
    <w:rsid w:val="00121759"/>
    <w:rsid w:val="001219EF"/>
    <w:rsid w:val="00121FA1"/>
    <w:rsid w:val="00122B02"/>
    <w:rsid w:val="0012390A"/>
    <w:rsid w:val="0012409B"/>
    <w:rsid w:val="001249A2"/>
    <w:rsid w:val="00124C46"/>
    <w:rsid w:val="00125048"/>
    <w:rsid w:val="00125861"/>
    <w:rsid w:val="00125AA6"/>
    <w:rsid w:val="00125CB2"/>
    <w:rsid w:val="0012641F"/>
    <w:rsid w:val="00127694"/>
    <w:rsid w:val="00127A5D"/>
    <w:rsid w:val="00127F9C"/>
    <w:rsid w:val="00130177"/>
    <w:rsid w:val="00130612"/>
    <w:rsid w:val="00130905"/>
    <w:rsid w:val="001314A2"/>
    <w:rsid w:val="00131D13"/>
    <w:rsid w:val="00132E9A"/>
    <w:rsid w:val="0013420E"/>
    <w:rsid w:val="001347B4"/>
    <w:rsid w:val="00134BF3"/>
    <w:rsid w:val="00134C63"/>
    <w:rsid w:val="00135A0C"/>
    <w:rsid w:val="001366D9"/>
    <w:rsid w:val="00136DCD"/>
    <w:rsid w:val="0014069F"/>
    <w:rsid w:val="00140D8B"/>
    <w:rsid w:val="00140F13"/>
    <w:rsid w:val="0014304C"/>
    <w:rsid w:val="00143AE3"/>
    <w:rsid w:val="00143F53"/>
    <w:rsid w:val="00144A67"/>
    <w:rsid w:val="00145F98"/>
    <w:rsid w:val="00146B7C"/>
    <w:rsid w:val="001471BB"/>
    <w:rsid w:val="001476B3"/>
    <w:rsid w:val="00147F5F"/>
    <w:rsid w:val="001506AB"/>
    <w:rsid w:val="00151A82"/>
    <w:rsid w:val="00151D07"/>
    <w:rsid w:val="00151D5E"/>
    <w:rsid w:val="00153731"/>
    <w:rsid w:val="00153FAA"/>
    <w:rsid w:val="0015570F"/>
    <w:rsid w:val="00155A6D"/>
    <w:rsid w:val="00156BDF"/>
    <w:rsid w:val="00156D71"/>
    <w:rsid w:val="00157AC0"/>
    <w:rsid w:val="001611D8"/>
    <w:rsid w:val="00161E20"/>
    <w:rsid w:val="00162788"/>
    <w:rsid w:val="0016292D"/>
    <w:rsid w:val="00163003"/>
    <w:rsid w:val="0016391A"/>
    <w:rsid w:val="00164565"/>
    <w:rsid w:val="00164722"/>
    <w:rsid w:val="00164916"/>
    <w:rsid w:val="0016517A"/>
    <w:rsid w:val="0016568D"/>
    <w:rsid w:val="00165CCB"/>
    <w:rsid w:val="00167E5D"/>
    <w:rsid w:val="00170CF5"/>
    <w:rsid w:val="001715DA"/>
    <w:rsid w:val="00172A27"/>
    <w:rsid w:val="00173778"/>
    <w:rsid w:val="00174304"/>
    <w:rsid w:val="001750DB"/>
    <w:rsid w:val="00175170"/>
    <w:rsid w:val="0017575E"/>
    <w:rsid w:val="00176E00"/>
    <w:rsid w:val="00180BC1"/>
    <w:rsid w:val="001817BA"/>
    <w:rsid w:val="00181B60"/>
    <w:rsid w:val="00181D97"/>
    <w:rsid w:val="001823BB"/>
    <w:rsid w:val="00182712"/>
    <w:rsid w:val="00182DAC"/>
    <w:rsid w:val="0018314C"/>
    <w:rsid w:val="00184897"/>
    <w:rsid w:val="001848DD"/>
    <w:rsid w:val="00184B46"/>
    <w:rsid w:val="00185390"/>
    <w:rsid w:val="00185EC2"/>
    <w:rsid w:val="0018610D"/>
    <w:rsid w:val="001869FF"/>
    <w:rsid w:val="00186B2F"/>
    <w:rsid w:val="00186D46"/>
    <w:rsid w:val="001872EF"/>
    <w:rsid w:val="00190031"/>
    <w:rsid w:val="00190B1E"/>
    <w:rsid w:val="00190E74"/>
    <w:rsid w:val="001913FE"/>
    <w:rsid w:val="00191422"/>
    <w:rsid w:val="0019183C"/>
    <w:rsid w:val="0019276A"/>
    <w:rsid w:val="0019343F"/>
    <w:rsid w:val="001934AF"/>
    <w:rsid w:val="0019352D"/>
    <w:rsid w:val="001939F7"/>
    <w:rsid w:val="0019455F"/>
    <w:rsid w:val="00196C9A"/>
    <w:rsid w:val="001974E1"/>
    <w:rsid w:val="00197F10"/>
    <w:rsid w:val="00197F4E"/>
    <w:rsid w:val="001A11F4"/>
    <w:rsid w:val="001A15E9"/>
    <w:rsid w:val="001A3000"/>
    <w:rsid w:val="001A32F1"/>
    <w:rsid w:val="001A42AA"/>
    <w:rsid w:val="001A4A91"/>
    <w:rsid w:val="001A5D3A"/>
    <w:rsid w:val="001A600A"/>
    <w:rsid w:val="001A6118"/>
    <w:rsid w:val="001A7522"/>
    <w:rsid w:val="001A7D89"/>
    <w:rsid w:val="001B0273"/>
    <w:rsid w:val="001B04AF"/>
    <w:rsid w:val="001B062E"/>
    <w:rsid w:val="001B10A0"/>
    <w:rsid w:val="001B10FD"/>
    <w:rsid w:val="001B1327"/>
    <w:rsid w:val="001B14E2"/>
    <w:rsid w:val="001B1C0F"/>
    <w:rsid w:val="001B2652"/>
    <w:rsid w:val="001B2681"/>
    <w:rsid w:val="001B2967"/>
    <w:rsid w:val="001B2CB3"/>
    <w:rsid w:val="001B2D94"/>
    <w:rsid w:val="001B3B39"/>
    <w:rsid w:val="001B4175"/>
    <w:rsid w:val="001B4484"/>
    <w:rsid w:val="001B475B"/>
    <w:rsid w:val="001B4B86"/>
    <w:rsid w:val="001B5453"/>
    <w:rsid w:val="001B5794"/>
    <w:rsid w:val="001B6111"/>
    <w:rsid w:val="001B68E9"/>
    <w:rsid w:val="001B6C35"/>
    <w:rsid w:val="001B6E5B"/>
    <w:rsid w:val="001C0015"/>
    <w:rsid w:val="001C0460"/>
    <w:rsid w:val="001C04AE"/>
    <w:rsid w:val="001C0900"/>
    <w:rsid w:val="001C0BF7"/>
    <w:rsid w:val="001C167A"/>
    <w:rsid w:val="001C2789"/>
    <w:rsid w:val="001C2EE8"/>
    <w:rsid w:val="001C3817"/>
    <w:rsid w:val="001C39BB"/>
    <w:rsid w:val="001C3CA4"/>
    <w:rsid w:val="001C3FC4"/>
    <w:rsid w:val="001C5772"/>
    <w:rsid w:val="001C5D0D"/>
    <w:rsid w:val="001C60ED"/>
    <w:rsid w:val="001C6F3D"/>
    <w:rsid w:val="001C7502"/>
    <w:rsid w:val="001C7A6A"/>
    <w:rsid w:val="001D0D63"/>
    <w:rsid w:val="001D1A32"/>
    <w:rsid w:val="001D1AB7"/>
    <w:rsid w:val="001D1E6F"/>
    <w:rsid w:val="001D1FE6"/>
    <w:rsid w:val="001D28EE"/>
    <w:rsid w:val="001D2FEB"/>
    <w:rsid w:val="001D48C3"/>
    <w:rsid w:val="001D530D"/>
    <w:rsid w:val="001D6071"/>
    <w:rsid w:val="001D6C21"/>
    <w:rsid w:val="001D75B9"/>
    <w:rsid w:val="001E027C"/>
    <w:rsid w:val="001E0AF7"/>
    <w:rsid w:val="001E0B7D"/>
    <w:rsid w:val="001E0D7D"/>
    <w:rsid w:val="001E0FD9"/>
    <w:rsid w:val="001E191F"/>
    <w:rsid w:val="001E2B05"/>
    <w:rsid w:val="001E37F7"/>
    <w:rsid w:val="001E3ACE"/>
    <w:rsid w:val="001E3C07"/>
    <w:rsid w:val="001E3E4F"/>
    <w:rsid w:val="001E43EC"/>
    <w:rsid w:val="001E4B5E"/>
    <w:rsid w:val="001E4DC1"/>
    <w:rsid w:val="001E522A"/>
    <w:rsid w:val="001E52CE"/>
    <w:rsid w:val="001E56B1"/>
    <w:rsid w:val="001E599E"/>
    <w:rsid w:val="001E5C4F"/>
    <w:rsid w:val="001E61BD"/>
    <w:rsid w:val="001E7493"/>
    <w:rsid w:val="001E7F5C"/>
    <w:rsid w:val="001F0774"/>
    <w:rsid w:val="001F11E4"/>
    <w:rsid w:val="001F12F6"/>
    <w:rsid w:val="001F1DB7"/>
    <w:rsid w:val="001F33D8"/>
    <w:rsid w:val="001F34F1"/>
    <w:rsid w:val="001F492D"/>
    <w:rsid w:val="001F4E6A"/>
    <w:rsid w:val="001F4EEE"/>
    <w:rsid w:val="001F50AD"/>
    <w:rsid w:val="001F6A22"/>
    <w:rsid w:val="001F6D32"/>
    <w:rsid w:val="001F6D39"/>
    <w:rsid w:val="001F76C4"/>
    <w:rsid w:val="002008F4"/>
    <w:rsid w:val="00200BF0"/>
    <w:rsid w:val="00200F2A"/>
    <w:rsid w:val="002015C5"/>
    <w:rsid w:val="00201BD5"/>
    <w:rsid w:val="00202A74"/>
    <w:rsid w:val="00202BE6"/>
    <w:rsid w:val="00202E93"/>
    <w:rsid w:val="00203B60"/>
    <w:rsid w:val="00203C54"/>
    <w:rsid w:val="00204536"/>
    <w:rsid w:val="00204628"/>
    <w:rsid w:val="00204715"/>
    <w:rsid w:val="00204D2A"/>
    <w:rsid w:val="0020577C"/>
    <w:rsid w:val="00205B18"/>
    <w:rsid w:val="002069D5"/>
    <w:rsid w:val="00206FE8"/>
    <w:rsid w:val="00207553"/>
    <w:rsid w:val="00207A62"/>
    <w:rsid w:val="00207B63"/>
    <w:rsid w:val="00207FB7"/>
    <w:rsid w:val="0021035B"/>
    <w:rsid w:val="00210459"/>
    <w:rsid w:val="002113E0"/>
    <w:rsid w:val="00211904"/>
    <w:rsid w:val="00211D1D"/>
    <w:rsid w:val="00211F57"/>
    <w:rsid w:val="00212607"/>
    <w:rsid w:val="00212723"/>
    <w:rsid w:val="00212732"/>
    <w:rsid w:val="00212C6E"/>
    <w:rsid w:val="002134D7"/>
    <w:rsid w:val="00214315"/>
    <w:rsid w:val="00214BE9"/>
    <w:rsid w:val="00215AFA"/>
    <w:rsid w:val="00215BCA"/>
    <w:rsid w:val="0021614A"/>
    <w:rsid w:val="00220156"/>
    <w:rsid w:val="002203DD"/>
    <w:rsid w:val="00221297"/>
    <w:rsid w:val="002212DE"/>
    <w:rsid w:val="00221808"/>
    <w:rsid w:val="0022243B"/>
    <w:rsid w:val="0022252D"/>
    <w:rsid w:val="00223587"/>
    <w:rsid w:val="0022378D"/>
    <w:rsid w:val="00224215"/>
    <w:rsid w:val="002249BE"/>
    <w:rsid w:val="00224F51"/>
    <w:rsid w:val="0022517B"/>
    <w:rsid w:val="002258D0"/>
    <w:rsid w:val="002277CB"/>
    <w:rsid w:val="00227AFE"/>
    <w:rsid w:val="00227D2A"/>
    <w:rsid w:val="0023021A"/>
    <w:rsid w:val="00230A83"/>
    <w:rsid w:val="002318BD"/>
    <w:rsid w:val="002333A1"/>
    <w:rsid w:val="00233A0C"/>
    <w:rsid w:val="00233EA2"/>
    <w:rsid w:val="002349E6"/>
    <w:rsid w:val="00235330"/>
    <w:rsid w:val="00235826"/>
    <w:rsid w:val="00235C25"/>
    <w:rsid w:val="00235C95"/>
    <w:rsid w:val="00236008"/>
    <w:rsid w:val="0023655A"/>
    <w:rsid w:val="0023663B"/>
    <w:rsid w:val="00237627"/>
    <w:rsid w:val="00237928"/>
    <w:rsid w:val="00237BD2"/>
    <w:rsid w:val="002406E3"/>
    <w:rsid w:val="00241BF1"/>
    <w:rsid w:val="00241F17"/>
    <w:rsid w:val="00242E24"/>
    <w:rsid w:val="00244241"/>
    <w:rsid w:val="00244BA7"/>
    <w:rsid w:val="0024503A"/>
    <w:rsid w:val="00245485"/>
    <w:rsid w:val="00245BF3"/>
    <w:rsid w:val="00246278"/>
    <w:rsid w:val="002465DF"/>
    <w:rsid w:val="002474BF"/>
    <w:rsid w:val="002474E1"/>
    <w:rsid w:val="00247687"/>
    <w:rsid w:val="00247B7D"/>
    <w:rsid w:val="00250990"/>
    <w:rsid w:val="00250C3D"/>
    <w:rsid w:val="00251054"/>
    <w:rsid w:val="00252408"/>
    <w:rsid w:val="0025248A"/>
    <w:rsid w:val="00252DC6"/>
    <w:rsid w:val="00253F71"/>
    <w:rsid w:val="0025413C"/>
    <w:rsid w:val="00254477"/>
    <w:rsid w:val="00255F09"/>
    <w:rsid w:val="00257082"/>
    <w:rsid w:val="002570D5"/>
    <w:rsid w:val="00257EAB"/>
    <w:rsid w:val="002609B6"/>
    <w:rsid w:val="00260F0F"/>
    <w:rsid w:val="00261054"/>
    <w:rsid w:val="002614BF"/>
    <w:rsid w:val="00262466"/>
    <w:rsid w:val="00262807"/>
    <w:rsid w:val="00262F48"/>
    <w:rsid w:val="0026372C"/>
    <w:rsid w:val="0026478C"/>
    <w:rsid w:val="00264F8F"/>
    <w:rsid w:val="00265B4C"/>
    <w:rsid w:val="00265CEC"/>
    <w:rsid w:val="00266471"/>
    <w:rsid w:val="002664E8"/>
    <w:rsid w:val="002669FD"/>
    <w:rsid w:val="002671C4"/>
    <w:rsid w:val="002677C3"/>
    <w:rsid w:val="002706F6"/>
    <w:rsid w:val="00270A40"/>
    <w:rsid w:val="002710A0"/>
    <w:rsid w:val="0027274C"/>
    <w:rsid w:val="002727E1"/>
    <w:rsid w:val="00272D69"/>
    <w:rsid w:val="00273519"/>
    <w:rsid w:val="00273D8C"/>
    <w:rsid w:val="00273EC8"/>
    <w:rsid w:val="00274329"/>
    <w:rsid w:val="00274B3A"/>
    <w:rsid w:val="00274C4F"/>
    <w:rsid w:val="00274D96"/>
    <w:rsid w:val="0027512A"/>
    <w:rsid w:val="002760A0"/>
    <w:rsid w:val="002761E6"/>
    <w:rsid w:val="00276446"/>
    <w:rsid w:val="00276C94"/>
    <w:rsid w:val="00277045"/>
    <w:rsid w:val="00277A68"/>
    <w:rsid w:val="00277BC0"/>
    <w:rsid w:val="00280461"/>
    <w:rsid w:val="00280A63"/>
    <w:rsid w:val="00280F39"/>
    <w:rsid w:val="00281359"/>
    <w:rsid w:val="002830B6"/>
    <w:rsid w:val="0028380D"/>
    <w:rsid w:val="00283D79"/>
    <w:rsid w:val="002845F5"/>
    <w:rsid w:val="00284EE4"/>
    <w:rsid w:val="002866CA"/>
    <w:rsid w:val="00286C28"/>
    <w:rsid w:val="00287E87"/>
    <w:rsid w:val="00290502"/>
    <w:rsid w:val="00290D66"/>
    <w:rsid w:val="00291168"/>
    <w:rsid w:val="00292690"/>
    <w:rsid w:val="00293214"/>
    <w:rsid w:val="00294834"/>
    <w:rsid w:val="002948E5"/>
    <w:rsid w:val="00294932"/>
    <w:rsid w:val="00294E39"/>
    <w:rsid w:val="00296471"/>
    <w:rsid w:val="002965F3"/>
    <w:rsid w:val="00296DD5"/>
    <w:rsid w:val="00296E45"/>
    <w:rsid w:val="0029708C"/>
    <w:rsid w:val="002A0B0C"/>
    <w:rsid w:val="002A0F78"/>
    <w:rsid w:val="002A2D88"/>
    <w:rsid w:val="002A30F5"/>
    <w:rsid w:val="002A399B"/>
    <w:rsid w:val="002A4B76"/>
    <w:rsid w:val="002A509D"/>
    <w:rsid w:val="002A5F1F"/>
    <w:rsid w:val="002A64E7"/>
    <w:rsid w:val="002A7093"/>
    <w:rsid w:val="002B07FD"/>
    <w:rsid w:val="002B0C00"/>
    <w:rsid w:val="002B1342"/>
    <w:rsid w:val="002B146D"/>
    <w:rsid w:val="002B17ED"/>
    <w:rsid w:val="002B3CF1"/>
    <w:rsid w:val="002B40BC"/>
    <w:rsid w:val="002B4A49"/>
    <w:rsid w:val="002B4EDD"/>
    <w:rsid w:val="002B5660"/>
    <w:rsid w:val="002B5B58"/>
    <w:rsid w:val="002B5F83"/>
    <w:rsid w:val="002B78BF"/>
    <w:rsid w:val="002C04D8"/>
    <w:rsid w:val="002C0651"/>
    <w:rsid w:val="002C1403"/>
    <w:rsid w:val="002C146D"/>
    <w:rsid w:val="002C14D8"/>
    <w:rsid w:val="002C2B47"/>
    <w:rsid w:val="002C31B7"/>
    <w:rsid w:val="002C356E"/>
    <w:rsid w:val="002C37D2"/>
    <w:rsid w:val="002C388E"/>
    <w:rsid w:val="002C425D"/>
    <w:rsid w:val="002C4995"/>
    <w:rsid w:val="002C4BB9"/>
    <w:rsid w:val="002C5F32"/>
    <w:rsid w:val="002C5F54"/>
    <w:rsid w:val="002C694C"/>
    <w:rsid w:val="002C6A48"/>
    <w:rsid w:val="002C6C24"/>
    <w:rsid w:val="002C701E"/>
    <w:rsid w:val="002C7F28"/>
    <w:rsid w:val="002D0D0C"/>
    <w:rsid w:val="002D10DF"/>
    <w:rsid w:val="002D2521"/>
    <w:rsid w:val="002D27DC"/>
    <w:rsid w:val="002D2DF7"/>
    <w:rsid w:val="002D3EF1"/>
    <w:rsid w:val="002D4960"/>
    <w:rsid w:val="002D4B83"/>
    <w:rsid w:val="002D4ED2"/>
    <w:rsid w:val="002D5538"/>
    <w:rsid w:val="002D65E3"/>
    <w:rsid w:val="002D6B5E"/>
    <w:rsid w:val="002D7933"/>
    <w:rsid w:val="002E11EA"/>
    <w:rsid w:val="002E142B"/>
    <w:rsid w:val="002E1A24"/>
    <w:rsid w:val="002E25ED"/>
    <w:rsid w:val="002E29DA"/>
    <w:rsid w:val="002E37F6"/>
    <w:rsid w:val="002E4AFF"/>
    <w:rsid w:val="002E59BB"/>
    <w:rsid w:val="002E5C8D"/>
    <w:rsid w:val="002E6317"/>
    <w:rsid w:val="002E634C"/>
    <w:rsid w:val="002E6CCB"/>
    <w:rsid w:val="002E6E5C"/>
    <w:rsid w:val="002E7982"/>
    <w:rsid w:val="002F0080"/>
    <w:rsid w:val="002F0A3C"/>
    <w:rsid w:val="002F1172"/>
    <w:rsid w:val="002F2923"/>
    <w:rsid w:val="002F2F34"/>
    <w:rsid w:val="002F34B0"/>
    <w:rsid w:val="002F3683"/>
    <w:rsid w:val="002F4C77"/>
    <w:rsid w:val="002F4F12"/>
    <w:rsid w:val="002F4F83"/>
    <w:rsid w:val="002F5670"/>
    <w:rsid w:val="002F579E"/>
    <w:rsid w:val="002F5870"/>
    <w:rsid w:val="002F5873"/>
    <w:rsid w:val="002F5C3F"/>
    <w:rsid w:val="002F5EF9"/>
    <w:rsid w:val="002F6978"/>
    <w:rsid w:val="002F697A"/>
    <w:rsid w:val="002F6DA7"/>
    <w:rsid w:val="002F7080"/>
    <w:rsid w:val="002F7094"/>
    <w:rsid w:val="002F7499"/>
    <w:rsid w:val="002F7ABD"/>
    <w:rsid w:val="002F7C1E"/>
    <w:rsid w:val="002F7F09"/>
    <w:rsid w:val="00300716"/>
    <w:rsid w:val="00300C35"/>
    <w:rsid w:val="003012F5"/>
    <w:rsid w:val="0030143E"/>
    <w:rsid w:val="00301A44"/>
    <w:rsid w:val="003022A4"/>
    <w:rsid w:val="00302733"/>
    <w:rsid w:val="003041D9"/>
    <w:rsid w:val="0030482D"/>
    <w:rsid w:val="00304939"/>
    <w:rsid w:val="0030522E"/>
    <w:rsid w:val="00305587"/>
    <w:rsid w:val="003069D9"/>
    <w:rsid w:val="00306B54"/>
    <w:rsid w:val="003077D4"/>
    <w:rsid w:val="003102F5"/>
    <w:rsid w:val="00310E4D"/>
    <w:rsid w:val="00310E92"/>
    <w:rsid w:val="00310FD7"/>
    <w:rsid w:val="00311F0D"/>
    <w:rsid w:val="0031203A"/>
    <w:rsid w:val="003123DC"/>
    <w:rsid w:val="00312A41"/>
    <w:rsid w:val="00312A86"/>
    <w:rsid w:val="003144AE"/>
    <w:rsid w:val="00314759"/>
    <w:rsid w:val="00314DB1"/>
    <w:rsid w:val="003161C1"/>
    <w:rsid w:val="00316A4D"/>
    <w:rsid w:val="00317574"/>
    <w:rsid w:val="00317F53"/>
    <w:rsid w:val="00317F63"/>
    <w:rsid w:val="0032058D"/>
    <w:rsid w:val="00320CDE"/>
    <w:rsid w:val="0032208E"/>
    <w:rsid w:val="003221A6"/>
    <w:rsid w:val="00322C3A"/>
    <w:rsid w:val="00322DB4"/>
    <w:rsid w:val="0032338E"/>
    <w:rsid w:val="003233D5"/>
    <w:rsid w:val="00324202"/>
    <w:rsid w:val="00324B19"/>
    <w:rsid w:val="0032694E"/>
    <w:rsid w:val="003273CB"/>
    <w:rsid w:val="00327420"/>
    <w:rsid w:val="00327CE9"/>
    <w:rsid w:val="003323B2"/>
    <w:rsid w:val="00332C4C"/>
    <w:rsid w:val="00332C6F"/>
    <w:rsid w:val="00332EFF"/>
    <w:rsid w:val="00333E37"/>
    <w:rsid w:val="00333E70"/>
    <w:rsid w:val="00334664"/>
    <w:rsid w:val="0033487C"/>
    <w:rsid w:val="00334EB4"/>
    <w:rsid w:val="003360DD"/>
    <w:rsid w:val="00336E38"/>
    <w:rsid w:val="00340D25"/>
    <w:rsid w:val="00342936"/>
    <w:rsid w:val="00342BE3"/>
    <w:rsid w:val="00343725"/>
    <w:rsid w:val="00344416"/>
    <w:rsid w:val="00344618"/>
    <w:rsid w:val="00344792"/>
    <w:rsid w:val="00344C72"/>
    <w:rsid w:val="003451BA"/>
    <w:rsid w:val="00345DAC"/>
    <w:rsid w:val="00346460"/>
    <w:rsid w:val="00346E71"/>
    <w:rsid w:val="00347242"/>
    <w:rsid w:val="00347F20"/>
    <w:rsid w:val="003506E8"/>
    <w:rsid w:val="00351041"/>
    <w:rsid w:val="00351722"/>
    <w:rsid w:val="00351A9E"/>
    <w:rsid w:val="00352614"/>
    <w:rsid w:val="003527CB"/>
    <w:rsid w:val="00353247"/>
    <w:rsid w:val="00353424"/>
    <w:rsid w:val="0035373F"/>
    <w:rsid w:val="00353973"/>
    <w:rsid w:val="003542AE"/>
    <w:rsid w:val="00354978"/>
    <w:rsid w:val="0035581E"/>
    <w:rsid w:val="003561B5"/>
    <w:rsid w:val="0035648A"/>
    <w:rsid w:val="00356869"/>
    <w:rsid w:val="00356C3E"/>
    <w:rsid w:val="00360779"/>
    <w:rsid w:val="00360C32"/>
    <w:rsid w:val="00360E87"/>
    <w:rsid w:val="003617CA"/>
    <w:rsid w:val="00361912"/>
    <w:rsid w:val="00362679"/>
    <w:rsid w:val="00363808"/>
    <w:rsid w:val="00363FAA"/>
    <w:rsid w:val="003644A8"/>
    <w:rsid w:val="00364981"/>
    <w:rsid w:val="00364C4D"/>
    <w:rsid w:val="00364E1D"/>
    <w:rsid w:val="00364E81"/>
    <w:rsid w:val="00365EA6"/>
    <w:rsid w:val="00366481"/>
    <w:rsid w:val="00366ED1"/>
    <w:rsid w:val="00367489"/>
    <w:rsid w:val="003700AB"/>
    <w:rsid w:val="003726FE"/>
    <w:rsid w:val="00373097"/>
    <w:rsid w:val="003732EA"/>
    <w:rsid w:val="00373619"/>
    <w:rsid w:val="00373F45"/>
    <w:rsid w:val="0037512D"/>
    <w:rsid w:val="00375C2F"/>
    <w:rsid w:val="00376856"/>
    <w:rsid w:val="00376E65"/>
    <w:rsid w:val="00377CB1"/>
    <w:rsid w:val="00377FAC"/>
    <w:rsid w:val="0038045C"/>
    <w:rsid w:val="00380E81"/>
    <w:rsid w:val="00381230"/>
    <w:rsid w:val="003818D0"/>
    <w:rsid w:val="00381D45"/>
    <w:rsid w:val="00383082"/>
    <w:rsid w:val="00383114"/>
    <w:rsid w:val="00383BC0"/>
    <w:rsid w:val="003846E2"/>
    <w:rsid w:val="00384E46"/>
    <w:rsid w:val="0038525B"/>
    <w:rsid w:val="0038531E"/>
    <w:rsid w:val="00386685"/>
    <w:rsid w:val="00386E32"/>
    <w:rsid w:val="003905C2"/>
    <w:rsid w:val="00391095"/>
    <w:rsid w:val="003915FD"/>
    <w:rsid w:val="00392959"/>
    <w:rsid w:val="00392EE2"/>
    <w:rsid w:val="00394151"/>
    <w:rsid w:val="00395104"/>
    <w:rsid w:val="00395572"/>
    <w:rsid w:val="00395A4B"/>
    <w:rsid w:val="00395A9D"/>
    <w:rsid w:val="0039705A"/>
    <w:rsid w:val="00397427"/>
    <w:rsid w:val="00397C50"/>
    <w:rsid w:val="00397E78"/>
    <w:rsid w:val="003A06AF"/>
    <w:rsid w:val="003A12FF"/>
    <w:rsid w:val="003A17F1"/>
    <w:rsid w:val="003A2CD0"/>
    <w:rsid w:val="003A320C"/>
    <w:rsid w:val="003A33AA"/>
    <w:rsid w:val="003A33C4"/>
    <w:rsid w:val="003A3C39"/>
    <w:rsid w:val="003A3E0C"/>
    <w:rsid w:val="003A3EB5"/>
    <w:rsid w:val="003A3EF1"/>
    <w:rsid w:val="003A4223"/>
    <w:rsid w:val="003A4BC7"/>
    <w:rsid w:val="003A50D7"/>
    <w:rsid w:val="003A52BA"/>
    <w:rsid w:val="003A57DF"/>
    <w:rsid w:val="003A6447"/>
    <w:rsid w:val="003A6B8F"/>
    <w:rsid w:val="003A6BA8"/>
    <w:rsid w:val="003A7062"/>
    <w:rsid w:val="003A7089"/>
    <w:rsid w:val="003B028D"/>
    <w:rsid w:val="003B031D"/>
    <w:rsid w:val="003B12DC"/>
    <w:rsid w:val="003B2168"/>
    <w:rsid w:val="003B30D8"/>
    <w:rsid w:val="003B38FF"/>
    <w:rsid w:val="003B3CD3"/>
    <w:rsid w:val="003B4408"/>
    <w:rsid w:val="003B4792"/>
    <w:rsid w:val="003B5013"/>
    <w:rsid w:val="003B5044"/>
    <w:rsid w:val="003B526F"/>
    <w:rsid w:val="003B5D6A"/>
    <w:rsid w:val="003B7490"/>
    <w:rsid w:val="003B793A"/>
    <w:rsid w:val="003B7D0E"/>
    <w:rsid w:val="003C1A9D"/>
    <w:rsid w:val="003C346F"/>
    <w:rsid w:val="003C3B53"/>
    <w:rsid w:val="003C43F3"/>
    <w:rsid w:val="003C44C7"/>
    <w:rsid w:val="003C466B"/>
    <w:rsid w:val="003C528E"/>
    <w:rsid w:val="003C5799"/>
    <w:rsid w:val="003C675D"/>
    <w:rsid w:val="003C6AF5"/>
    <w:rsid w:val="003C7AEE"/>
    <w:rsid w:val="003D0DEB"/>
    <w:rsid w:val="003D0E8E"/>
    <w:rsid w:val="003D16C0"/>
    <w:rsid w:val="003D1C88"/>
    <w:rsid w:val="003D2508"/>
    <w:rsid w:val="003D2674"/>
    <w:rsid w:val="003D3821"/>
    <w:rsid w:val="003D3DB3"/>
    <w:rsid w:val="003D43AC"/>
    <w:rsid w:val="003D4FDA"/>
    <w:rsid w:val="003D5171"/>
    <w:rsid w:val="003D5AAD"/>
    <w:rsid w:val="003D6CFF"/>
    <w:rsid w:val="003D6FA9"/>
    <w:rsid w:val="003D71FC"/>
    <w:rsid w:val="003D7941"/>
    <w:rsid w:val="003E01B9"/>
    <w:rsid w:val="003E0A13"/>
    <w:rsid w:val="003E2770"/>
    <w:rsid w:val="003E32D5"/>
    <w:rsid w:val="003E3379"/>
    <w:rsid w:val="003E338B"/>
    <w:rsid w:val="003E384D"/>
    <w:rsid w:val="003E459B"/>
    <w:rsid w:val="003E5D73"/>
    <w:rsid w:val="003E675E"/>
    <w:rsid w:val="003E68C5"/>
    <w:rsid w:val="003E6EA6"/>
    <w:rsid w:val="003F0129"/>
    <w:rsid w:val="003F0AFD"/>
    <w:rsid w:val="003F0E52"/>
    <w:rsid w:val="003F12E3"/>
    <w:rsid w:val="003F1EFB"/>
    <w:rsid w:val="003F28A1"/>
    <w:rsid w:val="003F335A"/>
    <w:rsid w:val="003F3696"/>
    <w:rsid w:val="003F41CC"/>
    <w:rsid w:val="003F45BE"/>
    <w:rsid w:val="003F4757"/>
    <w:rsid w:val="003F49B3"/>
    <w:rsid w:val="003F4A4E"/>
    <w:rsid w:val="003F5B47"/>
    <w:rsid w:val="003F63F7"/>
    <w:rsid w:val="003F66F9"/>
    <w:rsid w:val="003F7185"/>
    <w:rsid w:val="00401426"/>
    <w:rsid w:val="0040154B"/>
    <w:rsid w:val="00401D69"/>
    <w:rsid w:val="0040213D"/>
    <w:rsid w:val="00403CCB"/>
    <w:rsid w:val="00404D85"/>
    <w:rsid w:val="00405002"/>
    <w:rsid w:val="00405303"/>
    <w:rsid w:val="004054EB"/>
    <w:rsid w:val="00406479"/>
    <w:rsid w:val="00406629"/>
    <w:rsid w:val="00406F0B"/>
    <w:rsid w:val="00407DAE"/>
    <w:rsid w:val="004122CD"/>
    <w:rsid w:val="00412B04"/>
    <w:rsid w:val="00412C8D"/>
    <w:rsid w:val="00413EE0"/>
    <w:rsid w:val="00414B3D"/>
    <w:rsid w:val="0041547A"/>
    <w:rsid w:val="004159B5"/>
    <w:rsid w:val="00415F38"/>
    <w:rsid w:val="00416759"/>
    <w:rsid w:val="0041729A"/>
    <w:rsid w:val="00417C90"/>
    <w:rsid w:val="004201A4"/>
    <w:rsid w:val="00420487"/>
    <w:rsid w:val="00420EDB"/>
    <w:rsid w:val="0042116D"/>
    <w:rsid w:val="004216FC"/>
    <w:rsid w:val="004218D4"/>
    <w:rsid w:val="004219B7"/>
    <w:rsid w:val="00421F98"/>
    <w:rsid w:val="0042200C"/>
    <w:rsid w:val="004227D3"/>
    <w:rsid w:val="00423291"/>
    <w:rsid w:val="004234B8"/>
    <w:rsid w:val="00424EAE"/>
    <w:rsid w:val="0042507C"/>
    <w:rsid w:val="004251EA"/>
    <w:rsid w:val="00425349"/>
    <w:rsid w:val="004256C1"/>
    <w:rsid w:val="0042578E"/>
    <w:rsid w:val="00425A4A"/>
    <w:rsid w:val="00426663"/>
    <w:rsid w:val="00426F49"/>
    <w:rsid w:val="00427338"/>
    <w:rsid w:val="00427C55"/>
    <w:rsid w:val="00427EC0"/>
    <w:rsid w:val="00430189"/>
    <w:rsid w:val="0043018A"/>
    <w:rsid w:val="004305ED"/>
    <w:rsid w:val="00430A16"/>
    <w:rsid w:val="00430E40"/>
    <w:rsid w:val="00431163"/>
    <w:rsid w:val="00431864"/>
    <w:rsid w:val="00432257"/>
    <w:rsid w:val="00432FBF"/>
    <w:rsid w:val="00434C44"/>
    <w:rsid w:val="00435BA1"/>
    <w:rsid w:val="0043663A"/>
    <w:rsid w:val="0043737E"/>
    <w:rsid w:val="00437BCA"/>
    <w:rsid w:val="00437D00"/>
    <w:rsid w:val="00437E5E"/>
    <w:rsid w:val="00437ED3"/>
    <w:rsid w:val="00440CB3"/>
    <w:rsid w:val="0044161A"/>
    <w:rsid w:val="00441650"/>
    <w:rsid w:val="00443699"/>
    <w:rsid w:val="00444343"/>
    <w:rsid w:val="00445880"/>
    <w:rsid w:val="00445A8E"/>
    <w:rsid w:val="00446333"/>
    <w:rsid w:val="0044637F"/>
    <w:rsid w:val="00446E1E"/>
    <w:rsid w:val="0044725D"/>
    <w:rsid w:val="0044739F"/>
    <w:rsid w:val="004508F2"/>
    <w:rsid w:val="00450AA1"/>
    <w:rsid w:val="00450F67"/>
    <w:rsid w:val="00450F95"/>
    <w:rsid w:val="00452AE8"/>
    <w:rsid w:val="00453956"/>
    <w:rsid w:val="004540F4"/>
    <w:rsid w:val="00454979"/>
    <w:rsid w:val="004551B6"/>
    <w:rsid w:val="00455E8D"/>
    <w:rsid w:val="004561F9"/>
    <w:rsid w:val="00456CF6"/>
    <w:rsid w:val="0045739D"/>
    <w:rsid w:val="0045757E"/>
    <w:rsid w:val="00457600"/>
    <w:rsid w:val="00460059"/>
    <w:rsid w:val="004600A7"/>
    <w:rsid w:val="00460791"/>
    <w:rsid w:val="00460A96"/>
    <w:rsid w:val="00461DC2"/>
    <w:rsid w:val="00462252"/>
    <w:rsid w:val="00462792"/>
    <w:rsid w:val="004632DD"/>
    <w:rsid w:val="004638CD"/>
    <w:rsid w:val="00464208"/>
    <w:rsid w:val="004644F7"/>
    <w:rsid w:val="0046516F"/>
    <w:rsid w:val="004654CC"/>
    <w:rsid w:val="00466849"/>
    <w:rsid w:val="00466947"/>
    <w:rsid w:val="004670F4"/>
    <w:rsid w:val="0046784B"/>
    <w:rsid w:val="00467A8D"/>
    <w:rsid w:val="0047207A"/>
    <w:rsid w:val="00473646"/>
    <w:rsid w:val="0047367E"/>
    <w:rsid w:val="00473C7A"/>
    <w:rsid w:val="00474560"/>
    <w:rsid w:val="004752E1"/>
    <w:rsid w:val="00475968"/>
    <w:rsid w:val="00476172"/>
    <w:rsid w:val="0047635F"/>
    <w:rsid w:val="00476557"/>
    <w:rsid w:val="00476808"/>
    <w:rsid w:val="00476CA9"/>
    <w:rsid w:val="0047766C"/>
    <w:rsid w:val="0048117B"/>
    <w:rsid w:val="00482CE7"/>
    <w:rsid w:val="00484B1B"/>
    <w:rsid w:val="004858B7"/>
    <w:rsid w:val="00485E88"/>
    <w:rsid w:val="0048615D"/>
    <w:rsid w:val="00487E3F"/>
    <w:rsid w:val="004900EB"/>
    <w:rsid w:val="004908A0"/>
    <w:rsid w:val="00490BC1"/>
    <w:rsid w:val="00490C20"/>
    <w:rsid w:val="00491891"/>
    <w:rsid w:val="00491F11"/>
    <w:rsid w:val="004922FA"/>
    <w:rsid w:val="00493884"/>
    <w:rsid w:val="004951DC"/>
    <w:rsid w:val="00495265"/>
    <w:rsid w:val="004957E5"/>
    <w:rsid w:val="0049656D"/>
    <w:rsid w:val="0049672E"/>
    <w:rsid w:val="004969D8"/>
    <w:rsid w:val="004970C4"/>
    <w:rsid w:val="004A2AB6"/>
    <w:rsid w:val="004A4063"/>
    <w:rsid w:val="004A4B23"/>
    <w:rsid w:val="004A53BE"/>
    <w:rsid w:val="004A565E"/>
    <w:rsid w:val="004A6452"/>
    <w:rsid w:val="004A6F57"/>
    <w:rsid w:val="004A7218"/>
    <w:rsid w:val="004A7D48"/>
    <w:rsid w:val="004B0AF3"/>
    <w:rsid w:val="004B0C5B"/>
    <w:rsid w:val="004B283A"/>
    <w:rsid w:val="004B290D"/>
    <w:rsid w:val="004B2D29"/>
    <w:rsid w:val="004B2DEB"/>
    <w:rsid w:val="004B3531"/>
    <w:rsid w:val="004B3F9B"/>
    <w:rsid w:val="004B41D1"/>
    <w:rsid w:val="004B4218"/>
    <w:rsid w:val="004B4238"/>
    <w:rsid w:val="004B6551"/>
    <w:rsid w:val="004B6B0B"/>
    <w:rsid w:val="004B763B"/>
    <w:rsid w:val="004B7847"/>
    <w:rsid w:val="004B78AD"/>
    <w:rsid w:val="004C0D36"/>
    <w:rsid w:val="004C0EBD"/>
    <w:rsid w:val="004C0F90"/>
    <w:rsid w:val="004C10B8"/>
    <w:rsid w:val="004C1467"/>
    <w:rsid w:val="004C172B"/>
    <w:rsid w:val="004C1A46"/>
    <w:rsid w:val="004C23E2"/>
    <w:rsid w:val="004C2E42"/>
    <w:rsid w:val="004C4572"/>
    <w:rsid w:val="004C485F"/>
    <w:rsid w:val="004C51A3"/>
    <w:rsid w:val="004C5E81"/>
    <w:rsid w:val="004C65D7"/>
    <w:rsid w:val="004C69BB"/>
    <w:rsid w:val="004C7558"/>
    <w:rsid w:val="004D1F3E"/>
    <w:rsid w:val="004D2FA2"/>
    <w:rsid w:val="004D3E9C"/>
    <w:rsid w:val="004D4596"/>
    <w:rsid w:val="004D4685"/>
    <w:rsid w:val="004D4B35"/>
    <w:rsid w:val="004D4BF8"/>
    <w:rsid w:val="004D4E28"/>
    <w:rsid w:val="004D513B"/>
    <w:rsid w:val="004D631F"/>
    <w:rsid w:val="004D634B"/>
    <w:rsid w:val="004D6644"/>
    <w:rsid w:val="004E0256"/>
    <w:rsid w:val="004E0C45"/>
    <w:rsid w:val="004E1072"/>
    <w:rsid w:val="004E10C7"/>
    <w:rsid w:val="004E1182"/>
    <w:rsid w:val="004E1889"/>
    <w:rsid w:val="004E290D"/>
    <w:rsid w:val="004E2FB7"/>
    <w:rsid w:val="004E31DC"/>
    <w:rsid w:val="004E36C6"/>
    <w:rsid w:val="004E46DE"/>
    <w:rsid w:val="004E4D21"/>
    <w:rsid w:val="004E528C"/>
    <w:rsid w:val="004E56A5"/>
    <w:rsid w:val="004E59A3"/>
    <w:rsid w:val="004E5B5C"/>
    <w:rsid w:val="004E5C96"/>
    <w:rsid w:val="004E5D27"/>
    <w:rsid w:val="004E66CC"/>
    <w:rsid w:val="004E735D"/>
    <w:rsid w:val="004E7B56"/>
    <w:rsid w:val="004F0616"/>
    <w:rsid w:val="004F09D5"/>
    <w:rsid w:val="004F0AFD"/>
    <w:rsid w:val="004F0D3D"/>
    <w:rsid w:val="004F0E4D"/>
    <w:rsid w:val="004F0F64"/>
    <w:rsid w:val="004F1C9D"/>
    <w:rsid w:val="004F2148"/>
    <w:rsid w:val="004F260D"/>
    <w:rsid w:val="004F34A2"/>
    <w:rsid w:val="004F38C4"/>
    <w:rsid w:val="004F3F64"/>
    <w:rsid w:val="004F4284"/>
    <w:rsid w:val="004F4735"/>
    <w:rsid w:val="004F482B"/>
    <w:rsid w:val="004F507E"/>
    <w:rsid w:val="004F574B"/>
    <w:rsid w:val="004F6C33"/>
    <w:rsid w:val="004F6C50"/>
    <w:rsid w:val="004F76EE"/>
    <w:rsid w:val="004F7816"/>
    <w:rsid w:val="00500272"/>
    <w:rsid w:val="005007FF"/>
    <w:rsid w:val="005008A8"/>
    <w:rsid w:val="00500C0F"/>
    <w:rsid w:val="00502015"/>
    <w:rsid w:val="0050212D"/>
    <w:rsid w:val="0050259D"/>
    <w:rsid w:val="005032C9"/>
    <w:rsid w:val="00503F03"/>
    <w:rsid w:val="00504849"/>
    <w:rsid w:val="00504B6E"/>
    <w:rsid w:val="00504F35"/>
    <w:rsid w:val="0050509B"/>
    <w:rsid w:val="00505B9F"/>
    <w:rsid w:val="00507C6A"/>
    <w:rsid w:val="005109D5"/>
    <w:rsid w:val="00510B4A"/>
    <w:rsid w:val="0051199F"/>
    <w:rsid w:val="00511A9D"/>
    <w:rsid w:val="00511FCB"/>
    <w:rsid w:val="005120B0"/>
    <w:rsid w:val="00512403"/>
    <w:rsid w:val="00513468"/>
    <w:rsid w:val="005136D7"/>
    <w:rsid w:val="00513A76"/>
    <w:rsid w:val="00513CB4"/>
    <w:rsid w:val="00514322"/>
    <w:rsid w:val="00515A66"/>
    <w:rsid w:val="00515C84"/>
    <w:rsid w:val="0051655A"/>
    <w:rsid w:val="00517436"/>
    <w:rsid w:val="005174B1"/>
    <w:rsid w:val="005175E9"/>
    <w:rsid w:val="00520D93"/>
    <w:rsid w:val="005214E1"/>
    <w:rsid w:val="00521784"/>
    <w:rsid w:val="00521D59"/>
    <w:rsid w:val="00522C74"/>
    <w:rsid w:val="00523097"/>
    <w:rsid w:val="0052334A"/>
    <w:rsid w:val="00525870"/>
    <w:rsid w:val="00525A22"/>
    <w:rsid w:val="00526E52"/>
    <w:rsid w:val="00526E89"/>
    <w:rsid w:val="00530574"/>
    <w:rsid w:val="00531824"/>
    <w:rsid w:val="0053197E"/>
    <w:rsid w:val="00534163"/>
    <w:rsid w:val="0053592D"/>
    <w:rsid w:val="00535FF3"/>
    <w:rsid w:val="0053758F"/>
    <w:rsid w:val="0053797B"/>
    <w:rsid w:val="00537A3E"/>
    <w:rsid w:val="00541898"/>
    <w:rsid w:val="0054241F"/>
    <w:rsid w:val="00542A95"/>
    <w:rsid w:val="00542C08"/>
    <w:rsid w:val="00542CD8"/>
    <w:rsid w:val="00544106"/>
    <w:rsid w:val="00544DDE"/>
    <w:rsid w:val="00544EA1"/>
    <w:rsid w:val="005451FC"/>
    <w:rsid w:val="005468E6"/>
    <w:rsid w:val="00547703"/>
    <w:rsid w:val="00547A3E"/>
    <w:rsid w:val="00547DA8"/>
    <w:rsid w:val="00550588"/>
    <w:rsid w:val="005514EA"/>
    <w:rsid w:val="00551BEA"/>
    <w:rsid w:val="005522EC"/>
    <w:rsid w:val="00552D3E"/>
    <w:rsid w:val="00552D7D"/>
    <w:rsid w:val="005531A6"/>
    <w:rsid w:val="00553E70"/>
    <w:rsid w:val="00554460"/>
    <w:rsid w:val="00554497"/>
    <w:rsid w:val="005544EF"/>
    <w:rsid w:val="00554F16"/>
    <w:rsid w:val="00555AAE"/>
    <w:rsid w:val="00555C7D"/>
    <w:rsid w:val="0055610B"/>
    <w:rsid w:val="005565F4"/>
    <w:rsid w:val="005573A6"/>
    <w:rsid w:val="005573D5"/>
    <w:rsid w:val="00560F58"/>
    <w:rsid w:val="005612DE"/>
    <w:rsid w:val="00561AB0"/>
    <w:rsid w:val="00563600"/>
    <w:rsid w:val="00563957"/>
    <w:rsid w:val="00564768"/>
    <w:rsid w:val="005648AD"/>
    <w:rsid w:val="00566A28"/>
    <w:rsid w:val="00566B97"/>
    <w:rsid w:val="005670DF"/>
    <w:rsid w:val="00570E2D"/>
    <w:rsid w:val="00570F33"/>
    <w:rsid w:val="00572CC4"/>
    <w:rsid w:val="00573616"/>
    <w:rsid w:val="005758CD"/>
    <w:rsid w:val="00575BB5"/>
    <w:rsid w:val="00575EAE"/>
    <w:rsid w:val="00576325"/>
    <w:rsid w:val="00576B21"/>
    <w:rsid w:val="00576C09"/>
    <w:rsid w:val="00577800"/>
    <w:rsid w:val="00580B62"/>
    <w:rsid w:val="0058152D"/>
    <w:rsid w:val="00581929"/>
    <w:rsid w:val="00581988"/>
    <w:rsid w:val="00582EA8"/>
    <w:rsid w:val="00584859"/>
    <w:rsid w:val="00584C33"/>
    <w:rsid w:val="00585465"/>
    <w:rsid w:val="00586204"/>
    <w:rsid w:val="005862BF"/>
    <w:rsid w:val="00586D4F"/>
    <w:rsid w:val="00587830"/>
    <w:rsid w:val="00587C68"/>
    <w:rsid w:val="00590026"/>
    <w:rsid w:val="00590AED"/>
    <w:rsid w:val="00590BF5"/>
    <w:rsid w:val="00591877"/>
    <w:rsid w:val="0059249A"/>
    <w:rsid w:val="00592601"/>
    <w:rsid w:val="0059286E"/>
    <w:rsid w:val="00592D6A"/>
    <w:rsid w:val="00593169"/>
    <w:rsid w:val="00593468"/>
    <w:rsid w:val="00593587"/>
    <w:rsid w:val="00593960"/>
    <w:rsid w:val="005946D6"/>
    <w:rsid w:val="00595369"/>
    <w:rsid w:val="00595837"/>
    <w:rsid w:val="0059765E"/>
    <w:rsid w:val="005A016E"/>
    <w:rsid w:val="005A2175"/>
    <w:rsid w:val="005A265D"/>
    <w:rsid w:val="005A5ED9"/>
    <w:rsid w:val="005A68D0"/>
    <w:rsid w:val="005A7B34"/>
    <w:rsid w:val="005A7F0D"/>
    <w:rsid w:val="005B0C7D"/>
    <w:rsid w:val="005B0E80"/>
    <w:rsid w:val="005B15E1"/>
    <w:rsid w:val="005B16A8"/>
    <w:rsid w:val="005B1D01"/>
    <w:rsid w:val="005B2239"/>
    <w:rsid w:val="005B24C6"/>
    <w:rsid w:val="005B3F57"/>
    <w:rsid w:val="005B4741"/>
    <w:rsid w:val="005B4D4B"/>
    <w:rsid w:val="005B5B45"/>
    <w:rsid w:val="005B66F8"/>
    <w:rsid w:val="005B6781"/>
    <w:rsid w:val="005B6B27"/>
    <w:rsid w:val="005B7B63"/>
    <w:rsid w:val="005C09DC"/>
    <w:rsid w:val="005C0D9E"/>
    <w:rsid w:val="005C0DAD"/>
    <w:rsid w:val="005C1A07"/>
    <w:rsid w:val="005C1F9C"/>
    <w:rsid w:val="005C23EE"/>
    <w:rsid w:val="005C24EA"/>
    <w:rsid w:val="005C2D30"/>
    <w:rsid w:val="005C37A1"/>
    <w:rsid w:val="005C4534"/>
    <w:rsid w:val="005C4895"/>
    <w:rsid w:val="005C4C50"/>
    <w:rsid w:val="005C4ED7"/>
    <w:rsid w:val="005C5B9E"/>
    <w:rsid w:val="005C73CA"/>
    <w:rsid w:val="005C795F"/>
    <w:rsid w:val="005C7AEA"/>
    <w:rsid w:val="005C7E37"/>
    <w:rsid w:val="005C7E4E"/>
    <w:rsid w:val="005D0865"/>
    <w:rsid w:val="005D105A"/>
    <w:rsid w:val="005D2542"/>
    <w:rsid w:val="005D29F7"/>
    <w:rsid w:val="005D41D8"/>
    <w:rsid w:val="005D4478"/>
    <w:rsid w:val="005D536F"/>
    <w:rsid w:val="005D5686"/>
    <w:rsid w:val="005D59E2"/>
    <w:rsid w:val="005D5A5E"/>
    <w:rsid w:val="005D6B0D"/>
    <w:rsid w:val="005D6CBD"/>
    <w:rsid w:val="005D6EF8"/>
    <w:rsid w:val="005D70E7"/>
    <w:rsid w:val="005D71F8"/>
    <w:rsid w:val="005D7BBA"/>
    <w:rsid w:val="005D7BE6"/>
    <w:rsid w:val="005D7CA0"/>
    <w:rsid w:val="005E0442"/>
    <w:rsid w:val="005E094C"/>
    <w:rsid w:val="005E0DE4"/>
    <w:rsid w:val="005E0F3A"/>
    <w:rsid w:val="005E1BCF"/>
    <w:rsid w:val="005E25F3"/>
    <w:rsid w:val="005E34B2"/>
    <w:rsid w:val="005E4654"/>
    <w:rsid w:val="005E4A4E"/>
    <w:rsid w:val="005E5100"/>
    <w:rsid w:val="005E6874"/>
    <w:rsid w:val="005E6C3A"/>
    <w:rsid w:val="005E72C9"/>
    <w:rsid w:val="005E7588"/>
    <w:rsid w:val="005E771B"/>
    <w:rsid w:val="005E7AF0"/>
    <w:rsid w:val="005F02BE"/>
    <w:rsid w:val="005F587F"/>
    <w:rsid w:val="005F60A7"/>
    <w:rsid w:val="005F7551"/>
    <w:rsid w:val="005F7559"/>
    <w:rsid w:val="005F7BB4"/>
    <w:rsid w:val="00600452"/>
    <w:rsid w:val="006004D0"/>
    <w:rsid w:val="00600A56"/>
    <w:rsid w:val="00601016"/>
    <w:rsid w:val="0060206B"/>
    <w:rsid w:val="00605079"/>
    <w:rsid w:val="00605505"/>
    <w:rsid w:val="0060582F"/>
    <w:rsid w:val="00606DA4"/>
    <w:rsid w:val="006074FD"/>
    <w:rsid w:val="00610985"/>
    <w:rsid w:val="006115DA"/>
    <w:rsid w:val="00611D0B"/>
    <w:rsid w:val="00611E41"/>
    <w:rsid w:val="006122AF"/>
    <w:rsid w:val="00612E16"/>
    <w:rsid w:val="006132A9"/>
    <w:rsid w:val="00613305"/>
    <w:rsid w:val="00613ADB"/>
    <w:rsid w:val="00614640"/>
    <w:rsid w:val="00615B7E"/>
    <w:rsid w:val="00615FB4"/>
    <w:rsid w:val="006174EF"/>
    <w:rsid w:val="006175DE"/>
    <w:rsid w:val="00617ACE"/>
    <w:rsid w:val="00617BBD"/>
    <w:rsid w:val="00620987"/>
    <w:rsid w:val="00620AA2"/>
    <w:rsid w:val="006211F1"/>
    <w:rsid w:val="006212BE"/>
    <w:rsid w:val="006217E8"/>
    <w:rsid w:val="006224C0"/>
    <w:rsid w:val="0062329E"/>
    <w:rsid w:val="00623430"/>
    <w:rsid w:val="0062397D"/>
    <w:rsid w:val="00624182"/>
    <w:rsid w:val="0062503E"/>
    <w:rsid w:val="00625B30"/>
    <w:rsid w:val="00625BD5"/>
    <w:rsid w:val="00625DEB"/>
    <w:rsid w:val="0062678C"/>
    <w:rsid w:val="00630A76"/>
    <w:rsid w:val="00630CF0"/>
    <w:rsid w:val="00631314"/>
    <w:rsid w:val="006314A7"/>
    <w:rsid w:val="0063196F"/>
    <w:rsid w:val="00632315"/>
    <w:rsid w:val="006325B0"/>
    <w:rsid w:val="00632CD5"/>
    <w:rsid w:val="00633205"/>
    <w:rsid w:val="0063321A"/>
    <w:rsid w:val="00633EE8"/>
    <w:rsid w:val="00634B55"/>
    <w:rsid w:val="00634DEB"/>
    <w:rsid w:val="0063684B"/>
    <w:rsid w:val="006404D6"/>
    <w:rsid w:val="00640547"/>
    <w:rsid w:val="00640C74"/>
    <w:rsid w:val="006414F2"/>
    <w:rsid w:val="006425C4"/>
    <w:rsid w:val="006435CF"/>
    <w:rsid w:val="0064373E"/>
    <w:rsid w:val="00644977"/>
    <w:rsid w:val="0064519C"/>
    <w:rsid w:val="006451BB"/>
    <w:rsid w:val="006455A7"/>
    <w:rsid w:val="006464FA"/>
    <w:rsid w:val="00650427"/>
    <w:rsid w:val="00651427"/>
    <w:rsid w:val="006516DF"/>
    <w:rsid w:val="00651F4D"/>
    <w:rsid w:val="0065204F"/>
    <w:rsid w:val="006522AB"/>
    <w:rsid w:val="00652E2E"/>
    <w:rsid w:val="00653127"/>
    <w:rsid w:val="0065362F"/>
    <w:rsid w:val="00653B1E"/>
    <w:rsid w:val="00653D08"/>
    <w:rsid w:val="00653DEE"/>
    <w:rsid w:val="006543A2"/>
    <w:rsid w:val="006543F9"/>
    <w:rsid w:val="0065489B"/>
    <w:rsid w:val="0065544D"/>
    <w:rsid w:val="00655CE8"/>
    <w:rsid w:val="00656C37"/>
    <w:rsid w:val="006603E8"/>
    <w:rsid w:val="00661490"/>
    <w:rsid w:val="00662355"/>
    <w:rsid w:val="0066404E"/>
    <w:rsid w:val="00664763"/>
    <w:rsid w:val="00664CB6"/>
    <w:rsid w:val="0066737C"/>
    <w:rsid w:val="00667A17"/>
    <w:rsid w:val="0067028E"/>
    <w:rsid w:val="006708FE"/>
    <w:rsid w:val="00670DF6"/>
    <w:rsid w:val="006714D0"/>
    <w:rsid w:val="00672176"/>
    <w:rsid w:val="006723C4"/>
    <w:rsid w:val="0067244A"/>
    <w:rsid w:val="0067266A"/>
    <w:rsid w:val="006728AA"/>
    <w:rsid w:val="006739A5"/>
    <w:rsid w:val="00673BED"/>
    <w:rsid w:val="00674363"/>
    <w:rsid w:val="006749C1"/>
    <w:rsid w:val="00674C92"/>
    <w:rsid w:val="006753BF"/>
    <w:rsid w:val="0067591D"/>
    <w:rsid w:val="00676445"/>
    <w:rsid w:val="00676E1F"/>
    <w:rsid w:val="006771F7"/>
    <w:rsid w:val="006772B8"/>
    <w:rsid w:val="00677D55"/>
    <w:rsid w:val="006806D9"/>
    <w:rsid w:val="00681D73"/>
    <w:rsid w:val="00682CCF"/>
    <w:rsid w:val="00684009"/>
    <w:rsid w:val="006840A0"/>
    <w:rsid w:val="006843CB"/>
    <w:rsid w:val="0068510A"/>
    <w:rsid w:val="006853DE"/>
    <w:rsid w:val="00685E98"/>
    <w:rsid w:val="00687069"/>
    <w:rsid w:val="0068797D"/>
    <w:rsid w:val="00690F7C"/>
    <w:rsid w:val="00691B2D"/>
    <w:rsid w:val="00693473"/>
    <w:rsid w:val="00694D61"/>
    <w:rsid w:val="00696366"/>
    <w:rsid w:val="006A0090"/>
    <w:rsid w:val="006A05CB"/>
    <w:rsid w:val="006A12E1"/>
    <w:rsid w:val="006A1301"/>
    <w:rsid w:val="006A18B6"/>
    <w:rsid w:val="006A4FD2"/>
    <w:rsid w:val="006A650E"/>
    <w:rsid w:val="006A6BAC"/>
    <w:rsid w:val="006B02A4"/>
    <w:rsid w:val="006B0342"/>
    <w:rsid w:val="006B0FAA"/>
    <w:rsid w:val="006B0FDB"/>
    <w:rsid w:val="006B2C50"/>
    <w:rsid w:val="006B3317"/>
    <w:rsid w:val="006B34B9"/>
    <w:rsid w:val="006B3762"/>
    <w:rsid w:val="006B376B"/>
    <w:rsid w:val="006B410D"/>
    <w:rsid w:val="006B45CD"/>
    <w:rsid w:val="006B48CD"/>
    <w:rsid w:val="006B4BF0"/>
    <w:rsid w:val="006B4DFA"/>
    <w:rsid w:val="006B7D45"/>
    <w:rsid w:val="006B7DED"/>
    <w:rsid w:val="006C0F79"/>
    <w:rsid w:val="006C1101"/>
    <w:rsid w:val="006C1A99"/>
    <w:rsid w:val="006C1B1F"/>
    <w:rsid w:val="006C24C3"/>
    <w:rsid w:val="006C2CFE"/>
    <w:rsid w:val="006C367E"/>
    <w:rsid w:val="006C3786"/>
    <w:rsid w:val="006C4687"/>
    <w:rsid w:val="006C4B4F"/>
    <w:rsid w:val="006C5233"/>
    <w:rsid w:val="006C5B2A"/>
    <w:rsid w:val="006C63BD"/>
    <w:rsid w:val="006C6DE0"/>
    <w:rsid w:val="006C70D9"/>
    <w:rsid w:val="006C7193"/>
    <w:rsid w:val="006C75B0"/>
    <w:rsid w:val="006C780B"/>
    <w:rsid w:val="006C7A7A"/>
    <w:rsid w:val="006C7CB9"/>
    <w:rsid w:val="006D0CC9"/>
    <w:rsid w:val="006D288F"/>
    <w:rsid w:val="006D2EE1"/>
    <w:rsid w:val="006D3B66"/>
    <w:rsid w:val="006D43AB"/>
    <w:rsid w:val="006D4E42"/>
    <w:rsid w:val="006D6D6A"/>
    <w:rsid w:val="006D6E2E"/>
    <w:rsid w:val="006D763F"/>
    <w:rsid w:val="006E055B"/>
    <w:rsid w:val="006E09A3"/>
    <w:rsid w:val="006E0F15"/>
    <w:rsid w:val="006E2926"/>
    <w:rsid w:val="006E408D"/>
    <w:rsid w:val="006E43A6"/>
    <w:rsid w:val="006E4C15"/>
    <w:rsid w:val="006E5C9D"/>
    <w:rsid w:val="006E60CE"/>
    <w:rsid w:val="006E6458"/>
    <w:rsid w:val="006E6B8A"/>
    <w:rsid w:val="006E708C"/>
    <w:rsid w:val="006E7BC0"/>
    <w:rsid w:val="006F0C3F"/>
    <w:rsid w:val="006F245D"/>
    <w:rsid w:val="006F4868"/>
    <w:rsid w:val="006F49F4"/>
    <w:rsid w:val="006F5539"/>
    <w:rsid w:val="006F76FF"/>
    <w:rsid w:val="007002C7"/>
    <w:rsid w:val="0070041C"/>
    <w:rsid w:val="00701ED4"/>
    <w:rsid w:val="00701EFA"/>
    <w:rsid w:val="0070227F"/>
    <w:rsid w:val="0070359E"/>
    <w:rsid w:val="00703C5C"/>
    <w:rsid w:val="00704B07"/>
    <w:rsid w:val="00704E02"/>
    <w:rsid w:val="00705595"/>
    <w:rsid w:val="007056F9"/>
    <w:rsid w:val="00705DE6"/>
    <w:rsid w:val="00706FE8"/>
    <w:rsid w:val="007071FF"/>
    <w:rsid w:val="00707C54"/>
    <w:rsid w:val="0071136A"/>
    <w:rsid w:val="00711492"/>
    <w:rsid w:val="007123BC"/>
    <w:rsid w:val="00713D67"/>
    <w:rsid w:val="007148EC"/>
    <w:rsid w:val="00715593"/>
    <w:rsid w:val="0071566C"/>
    <w:rsid w:val="00717250"/>
    <w:rsid w:val="00717D8A"/>
    <w:rsid w:val="007203E6"/>
    <w:rsid w:val="00721893"/>
    <w:rsid w:val="00721D85"/>
    <w:rsid w:val="007232E6"/>
    <w:rsid w:val="0072474D"/>
    <w:rsid w:val="0072482A"/>
    <w:rsid w:val="00725262"/>
    <w:rsid w:val="0072545F"/>
    <w:rsid w:val="00725CA2"/>
    <w:rsid w:val="007271FB"/>
    <w:rsid w:val="00727659"/>
    <w:rsid w:val="00727910"/>
    <w:rsid w:val="007301D9"/>
    <w:rsid w:val="00733F3F"/>
    <w:rsid w:val="00733F68"/>
    <w:rsid w:val="0073499A"/>
    <w:rsid w:val="00735709"/>
    <w:rsid w:val="00735943"/>
    <w:rsid w:val="00735FAD"/>
    <w:rsid w:val="00736A9A"/>
    <w:rsid w:val="0073775D"/>
    <w:rsid w:val="00737931"/>
    <w:rsid w:val="00737C07"/>
    <w:rsid w:val="00737D46"/>
    <w:rsid w:val="00737EAC"/>
    <w:rsid w:val="00740186"/>
    <w:rsid w:val="00740257"/>
    <w:rsid w:val="00740C92"/>
    <w:rsid w:val="00741A4A"/>
    <w:rsid w:val="00741CD8"/>
    <w:rsid w:val="00741FE2"/>
    <w:rsid w:val="00745426"/>
    <w:rsid w:val="00745E07"/>
    <w:rsid w:val="0074644B"/>
    <w:rsid w:val="007466D8"/>
    <w:rsid w:val="00746C0C"/>
    <w:rsid w:val="00747517"/>
    <w:rsid w:val="00747E16"/>
    <w:rsid w:val="00747F7B"/>
    <w:rsid w:val="00750093"/>
    <w:rsid w:val="007504CA"/>
    <w:rsid w:val="00750CC0"/>
    <w:rsid w:val="00750F7E"/>
    <w:rsid w:val="007519C9"/>
    <w:rsid w:val="00751EBF"/>
    <w:rsid w:val="00752392"/>
    <w:rsid w:val="00752A23"/>
    <w:rsid w:val="00752A28"/>
    <w:rsid w:val="00752E12"/>
    <w:rsid w:val="007531B4"/>
    <w:rsid w:val="00754009"/>
    <w:rsid w:val="0075580A"/>
    <w:rsid w:val="007563CD"/>
    <w:rsid w:val="0075718C"/>
    <w:rsid w:val="00757C00"/>
    <w:rsid w:val="0076047B"/>
    <w:rsid w:val="00760F01"/>
    <w:rsid w:val="00761780"/>
    <w:rsid w:val="00762F90"/>
    <w:rsid w:val="007635F1"/>
    <w:rsid w:val="0076398B"/>
    <w:rsid w:val="007648D2"/>
    <w:rsid w:val="007651F7"/>
    <w:rsid w:val="00765EEE"/>
    <w:rsid w:val="0076634F"/>
    <w:rsid w:val="00766FCC"/>
    <w:rsid w:val="007705A6"/>
    <w:rsid w:val="0077080C"/>
    <w:rsid w:val="00771283"/>
    <w:rsid w:val="00771E2A"/>
    <w:rsid w:val="007724E9"/>
    <w:rsid w:val="00772C1F"/>
    <w:rsid w:val="00773012"/>
    <w:rsid w:val="00773565"/>
    <w:rsid w:val="00773920"/>
    <w:rsid w:val="00773CF0"/>
    <w:rsid w:val="00773D2F"/>
    <w:rsid w:val="00773F73"/>
    <w:rsid w:val="00775239"/>
    <w:rsid w:val="007752F5"/>
    <w:rsid w:val="00776575"/>
    <w:rsid w:val="00776CF4"/>
    <w:rsid w:val="0077705F"/>
    <w:rsid w:val="007771A7"/>
    <w:rsid w:val="00777279"/>
    <w:rsid w:val="007777F1"/>
    <w:rsid w:val="00780396"/>
    <w:rsid w:val="007817D7"/>
    <w:rsid w:val="007818E2"/>
    <w:rsid w:val="0078229E"/>
    <w:rsid w:val="0078233D"/>
    <w:rsid w:val="00782849"/>
    <w:rsid w:val="007837F1"/>
    <w:rsid w:val="0078381F"/>
    <w:rsid w:val="00783A3D"/>
    <w:rsid w:val="00783B33"/>
    <w:rsid w:val="007840A1"/>
    <w:rsid w:val="007841A6"/>
    <w:rsid w:val="007848B5"/>
    <w:rsid w:val="00785586"/>
    <w:rsid w:val="00785B6F"/>
    <w:rsid w:val="00785F71"/>
    <w:rsid w:val="0078631A"/>
    <w:rsid w:val="007865FD"/>
    <w:rsid w:val="007866A5"/>
    <w:rsid w:val="00787160"/>
    <w:rsid w:val="00787623"/>
    <w:rsid w:val="007877EF"/>
    <w:rsid w:val="00787929"/>
    <w:rsid w:val="00790666"/>
    <w:rsid w:val="007908A0"/>
    <w:rsid w:val="00790907"/>
    <w:rsid w:val="0079160A"/>
    <w:rsid w:val="007918BF"/>
    <w:rsid w:val="00792438"/>
    <w:rsid w:val="007924A9"/>
    <w:rsid w:val="00792E8D"/>
    <w:rsid w:val="007932F0"/>
    <w:rsid w:val="00793356"/>
    <w:rsid w:val="00793522"/>
    <w:rsid w:val="00793DDD"/>
    <w:rsid w:val="00794033"/>
    <w:rsid w:val="00794D49"/>
    <w:rsid w:val="00794ED1"/>
    <w:rsid w:val="007955FB"/>
    <w:rsid w:val="00795C81"/>
    <w:rsid w:val="0079637D"/>
    <w:rsid w:val="00796AB0"/>
    <w:rsid w:val="007974C4"/>
    <w:rsid w:val="007974EC"/>
    <w:rsid w:val="00797F7E"/>
    <w:rsid w:val="00797FEB"/>
    <w:rsid w:val="007A050F"/>
    <w:rsid w:val="007A0D53"/>
    <w:rsid w:val="007A1E38"/>
    <w:rsid w:val="007A27EF"/>
    <w:rsid w:val="007A2F95"/>
    <w:rsid w:val="007A30BF"/>
    <w:rsid w:val="007A3FD5"/>
    <w:rsid w:val="007A4D1D"/>
    <w:rsid w:val="007A58CE"/>
    <w:rsid w:val="007A608C"/>
    <w:rsid w:val="007A7013"/>
    <w:rsid w:val="007A74CB"/>
    <w:rsid w:val="007A7608"/>
    <w:rsid w:val="007B0695"/>
    <w:rsid w:val="007B17FC"/>
    <w:rsid w:val="007B18F4"/>
    <w:rsid w:val="007B232F"/>
    <w:rsid w:val="007B2B03"/>
    <w:rsid w:val="007B2F9E"/>
    <w:rsid w:val="007B3AEE"/>
    <w:rsid w:val="007B4015"/>
    <w:rsid w:val="007B4742"/>
    <w:rsid w:val="007B4E67"/>
    <w:rsid w:val="007B60C3"/>
    <w:rsid w:val="007B6541"/>
    <w:rsid w:val="007B6E40"/>
    <w:rsid w:val="007B6FA2"/>
    <w:rsid w:val="007B73A1"/>
    <w:rsid w:val="007B73B2"/>
    <w:rsid w:val="007B7C73"/>
    <w:rsid w:val="007C01E8"/>
    <w:rsid w:val="007C0F07"/>
    <w:rsid w:val="007C10A4"/>
    <w:rsid w:val="007C2029"/>
    <w:rsid w:val="007C2109"/>
    <w:rsid w:val="007C2135"/>
    <w:rsid w:val="007C26DD"/>
    <w:rsid w:val="007C39BB"/>
    <w:rsid w:val="007C4002"/>
    <w:rsid w:val="007C4A6E"/>
    <w:rsid w:val="007C5681"/>
    <w:rsid w:val="007C58AF"/>
    <w:rsid w:val="007C59E1"/>
    <w:rsid w:val="007C5DA6"/>
    <w:rsid w:val="007C5EED"/>
    <w:rsid w:val="007C66F6"/>
    <w:rsid w:val="007C7168"/>
    <w:rsid w:val="007C7291"/>
    <w:rsid w:val="007C7C7D"/>
    <w:rsid w:val="007D0315"/>
    <w:rsid w:val="007D23E4"/>
    <w:rsid w:val="007D281B"/>
    <w:rsid w:val="007D2A56"/>
    <w:rsid w:val="007D2D41"/>
    <w:rsid w:val="007D410B"/>
    <w:rsid w:val="007D4598"/>
    <w:rsid w:val="007D476D"/>
    <w:rsid w:val="007D4F09"/>
    <w:rsid w:val="007D550E"/>
    <w:rsid w:val="007D5C89"/>
    <w:rsid w:val="007D62E8"/>
    <w:rsid w:val="007D7EB5"/>
    <w:rsid w:val="007E25A9"/>
    <w:rsid w:val="007E31C2"/>
    <w:rsid w:val="007E3460"/>
    <w:rsid w:val="007E380C"/>
    <w:rsid w:val="007E418B"/>
    <w:rsid w:val="007E4791"/>
    <w:rsid w:val="007E5777"/>
    <w:rsid w:val="007E6F94"/>
    <w:rsid w:val="007E7512"/>
    <w:rsid w:val="007E7F4F"/>
    <w:rsid w:val="007F026E"/>
    <w:rsid w:val="007F0723"/>
    <w:rsid w:val="007F2019"/>
    <w:rsid w:val="007F2239"/>
    <w:rsid w:val="007F236D"/>
    <w:rsid w:val="007F2587"/>
    <w:rsid w:val="007F3560"/>
    <w:rsid w:val="007F4A00"/>
    <w:rsid w:val="007F5375"/>
    <w:rsid w:val="007F5445"/>
    <w:rsid w:val="007F792F"/>
    <w:rsid w:val="00801307"/>
    <w:rsid w:val="008019F3"/>
    <w:rsid w:val="00801B29"/>
    <w:rsid w:val="00801BE6"/>
    <w:rsid w:val="008026FA"/>
    <w:rsid w:val="00802D58"/>
    <w:rsid w:val="00802EC1"/>
    <w:rsid w:val="00804628"/>
    <w:rsid w:val="008049A8"/>
    <w:rsid w:val="0080633D"/>
    <w:rsid w:val="0080700D"/>
    <w:rsid w:val="00807302"/>
    <w:rsid w:val="008078FA"/>
    <w:rsid w:val="00810084"/>
    <w:rsid w:val="008103A0"/>
    <w:rsid w:val="00810941"/>
    <w:rsid w:val="00812A43"/>
    <w:rsid w:val="00812DF0"/>
    <w:rsid w:val="00813034"/>
    <w:rsid w:val="008136B9"/>
    <w:rsid w:val="00814AC0"/>
    <w:rsid w:val="00814EDD"/>
    <w:rsid w:val="008154A2"/>
    <w:rsid w:val="008155CB"/>
    <w:rsid w:val="00815E83"/>
    <w:rsid w:val="008213B5"/>
    <w:rsid w:val="00821A5B"/>
    <w:rsid w:val="00821C8D"/>
    <w:rsid w:val="008228B0"/>
    <w:rsid w:val="00823BD1"/>
    <w:rsid w:val="00823C18"/>
    <w:rsid w:val="00823C4E"/>
    <w:rsid w:val="008240D9"/>
    <w:rsid w:val="00825509"/>
    <w:rsid w:val="008266CF"/>
    <w:rsid w:val="0082682B"/>
    <w:rsid w:val="008302F6"/>
    <w:rsid w:val="00830564"/>
    <w:rsid w:val="00830CCE"/>
    <w:rsid w:val="00831811"/>
    <w:rsid w:val="008318DF"/>
    <w:rsid w:val="008328B0"/>
    <w:rsid w:val="0083454D"/>
    <w:rsid w:val="00834814"/>
    <w:rsid w:val="00835343"/>
    <w:rsid w:val="00835E6F"/>
    <w:rsid w:val="008376FF"/>
    <w:rsid w:val="00837789"/>
    <w:rsid w:val="008377ED"/>
    <w:rsid w:val="00837D9D"/>
    <w:rsid w:val="008403A3"/>
    <w:rsid w:val="00840AFC"/>
    <w:rsid w:val="00840CB7"/>
    <w:rsid w:val="00840F9B"/>
    <w:rsid w:val="00841698"/>
    <w:rsid w:val="00841756"/>
    <w:rsid w:val="00841D8C"/>
    <w:rsid w:val="0084314E"/>
    <w:rsid w:val="008440D8"/>
    <w:rsid w:val="00844D5E"/>
    <w:rsid w:val="00845A71"/>
    <w:rsid w:val="00845B12"/>
    <w:rsid w:val="0084638E"/>
    <w:rsid w:val="00846A32"/>
    <w:rsid w:val="00846AD2"/>
    <w:rsid w:val="00850128"/>
    <w:rsid w:val="008504BF"/>
    <w:rsid w:val="00850E4D"/>
    <w:rsid w:val="00850E82"/>
    <w:rsid w:val="00851284"/>
    <w:rsid w:val="00851574"/>
    <w:rsid w:val="0085185F"/>
    <w:rsid w:val="00851F40"/>
    <w:rsid w:val="00852E47"/>
    <w:rsid w:val="00853432"/>
    <w:rsid w:val="00853682"/>
    <w:rsid w:val="0085411F"/>
    <w:rsid w:val="008544C1"/>
    <w:rsid w:val="008559FE"/>
    <w:rsid w:val="00855AEC"/>
    <w:rsid w:val="00856156"/>
    <w:rsid w:val="008561D0"/>
    <w:rsid w:val="0086016B"/>
    <w:rsid w:val="00860690"/>
    <w:rsid w:val="008608C9"/>
    <w:rsid w:val="00863233"/>
    <w:rsid w:val="008638A5"/>
    <w:rsid w:val="008641D0"/>
    <w:rsid w:val="00864BA0"/>
    <w:rsid w:val="00864FA4"/>
    <w:rsid w:val="008654C7"/>
    <w:rsid w:val="0086558C"/>
    <w:rsid w:val="00865915"/>
    <w:rsid w:val="00866196"/>
    <w:rsid w:val="00866C89"/>
    <w:rsid w:val="00866F25"/>
    <w:rsid w:val="00867470"/>
    <w:rsid w:val="008674F6"/>
    <w:rsid w:val="00867ECB"/>
    <w:rsid w:val="00870660"/>
    <w:rsid w:val="00870AC7"/>
    <w:rsid w:val="0087129A"/>
    <w:rsid w:val="008713B3"/>
    <w:rsid w:val="008713F6"/>
    <w:rsid w:val="008714CB"/>
    <w:rsid w:val="0087158F"/>
    <w:rsid w:val="00874153"/>
    <w:rsid w:val="008741EC"/>
    <w:rsid w:val="0087448E"/>
    <w:rsid w:val="00874B44"/>
    <w:rsid w:val="00874ED0"/>
    <w:rsid w:val="00875895"/>
    <w:rsid w:val="008759CE"/>
    <w:rsid w:val="008764B4"/>
    <w:rsid w:val="00876CBB"/>
    <w:rsid w:val="00876D62"/>
    <w:rsid w:val="008779AD"/>
    <w:rsid w:val="00877EB1"/>
    <w:rsid w:val="00880E84"/>
    <w:rsid w:val="008814FC"/>
    <w:rsid w:val="00882758"/>
    <w:rsid w:val="00882DF3"/>
    <w:rsid w:val="00882E51"/>
    <w:rsid w:val="0088417A"/>
    <w:rsid w:val="00885A18"/>
    <w:rsid w:val="00885BCD"/>
    <w:rsid w:val="00886370"/>
    <w:rsid w:val="00886453"/>
    <w:rsid w:val="008865BB"/>
    <w:rsid w:val="00886809"/>
    <w:rsid w:val="00886C69"/>
    <w:rsid w:val="00887A70"/>
    <w:rsid w:val="00890280"/>
    <w:rsid w:val="00891BE5"/>
    <w:rsid w:val="00892CB5"/>
    <w:rsid w:val="0089359C"/>
    <w:rsid w:val="00893759"/>
    <w:rsid w:val="00893801"/>
    <w:rsid w:val="00893815"/>
    <w:rsid w:val="0089464C"/>
    <w:rsid w:val="00894AE9"/>
    <w:rsid w:val="00894DE2"/>
    <w:rsid w:val="0089510C"/>
    <w:rsid w:val="00895DB7"/>
    <w:rsid w:val="008960B3"/>
    <w:rsid w:val="008963BB"/>
    <w:rsid w:val="00896C2D"/>
    <w:rsid w:val="008971CC"/>
    <w:rsid w:val="008972AE"/>
    <w:rsid w:val="00897D17"/>
    <w:rsid w:val="008A01BC"/>
    <w:rsid w:val="008A07E5"/>
    <w:rsid w:val="008A1F99"/>
    <w:rsid w:val="008A341D"/>
    <w:rsid w:val="008A36A7"/>
    <w:rsid w:val="008A475C"/>
    <w:rsid w:val="008A4B97"/>
    <w:rsid w:val="008A4DDA"/>
    <w:rsid w:val="008A55AD"/>
    <w:rsid w:val="008A6C10"/>
    <w:rsid w:val="008A6E0F"/>
    <w:rsid w:val="008A732F"/>
    <w:rsid w:val="008A75DA"/>
    <w:rsid w:val="008A773F"/>
    <w:rsid w:val="008B0169"/>
    <w:rsid w:val="008B0983"/>
    <w:rsid w:val="008B0C6C"/>
    <w:rsid w:val="008B1B13"/>
    <w:rsid w:val="008B2CAE"/>
    <w:rsid w:val="008B35C6"/>
    <w:rsid w:val="008B5798"/>
    <w:rsid w:val="008B59C9"/>
    <w:rsid w:val="008B6429"/>
    <w:rsid w:val="008B7FD1"/>
    <w:rsid w:val="008C035B"/>
    <w:rsid w:val="008C0FB3"/>
    <w:rsid w:val="008C1374"/>
    <w:rsid w:val="008C322B"/>
    <w:rsid w:val="008C453F"/>
    <w:rsid w:val="008C54B9"/>
    <w:rsid w:val="008C60D2"/>
    <w:rsid w:val="008C62E8"/>
    <w:rsid w:val="008C6349"/>
    <w:rsid w:val="008C6C64"/>
    <w:rsid w:val="008C6FF9"/>
    <w:rsid w:val="008C7863"/>
    <w:rsid w:val="008D0571"/>
    <w:rsid w:val="008D0B4A"/>
    <w:rsid w:val="008D0E1E"/>
    <w:rsid w:val="008D172B"/>
    <w:rsid w:val="008D2D07"/>
    <w:rsid w:val="008D5775"/>
    <w:rsid w:val="008D5852"/>
    <w:rsid w:val="008D5B81"/>
    <w:rsid w:val="008D6ABC"/>
    <w:rsid w:val="008D74F8"/>
    <w:rsid w:val="008D799B"/>
    <w:rsid w:val="008D7B7A"/>
    <w:rsid w:val="008E03F6"/>
    <w:rsid w:val="008E09AB"/>
    <w:rsid w:val="008E1125"/>
    <w:rsid w:val="008E1F5E"/>
    <w:rsid w:val="008E2719"/>
    <w:rsid w:val="008E2E54"/>
    <w:rsid w:val="008E34D3"/>
    <w:rsid w:val="008E3A2D"/>
    <w:rsid w:val="008E3B6D"/>
    <w:rsid w:val="008E4005"/>
    <w:rsid w:val="008E46CE"/>
    <w:rsid w:val="008E4BE8"/>
    <w:rsid w:val="008E649B"/>
    <w:rsid w:val="008E732E"/>
    <w:rsid w:val="008E7CEA"/>
    <w:rsid w:val="008F0578"/>
    <w:rsid w:val="008F0801"/>
    <w:rsid w:val="008F3074"/>
    <w:rsid w:val="008F41FC"/>
    <w:rsid w:val="008F4C7D"/>
    <w:rsid w:val="008F5EA3"/>
    <w:rsid w:val="008F742C"/>
    <w:rsid w:val="008F7B94"/>
    <w:rsid w:val="008F7F26"/>
    <w:rsid w:val="009007CF"/>
    <w:rsid w:val="0090084F"/>
    <w:rsid w:val="00901244"/>
    <w:rsid w:val="00901C9A"/>
    <w:rsid w:val="00901F8F"/>
    <w:rsid w:val="00903514"/>
    <w:rsid w:val="00903962"/>
    <w:rsid w:val="00903C84"/>
    <w:rsid w:val="009040EB"/>
    <w:rsid w:val="00904C59"/>
    <w:rsid w:val="009052B6"/>
    <w:rsid w:val="0090593C"/>
    <w:rsid w:val="00906C4E"/>
    <w:rsid w:val="00906E66"/>
    <w:rsid w:val="009070B4"/>
    <w:rsid w:val="00907F88"/>
    <w:rsid w:val="0091090F"/>
    <w:rsid w:val="00910C67"/>
    <w:rsid w:val="00911A73"/>
    <w:rsid w:val="00911E91"/>
    <w:rsid w:val="00911EA4"/>
    <w:rsid w:val="0091234C"/>
    <w:rsid w:val="009132AD"/>
    <w:rsid w:val="00913979"/>
    <w:rsid w:val="009142F6"/>
    <w:rsid w:val="00914EF1"/>
    <w:rsid w:val="00915440"/>
    <w:rsid w:val="0091604B"/>
    <w:rsid w:val="00916407"/>
    <w:rsid w:val="009168CE"/>
    <w:rsid w:val="0091737B"/>
    <w:rsid w:val="009173E4"/>
    <w:rsid w:val="00917BD7"/>
    <w:rsid w:val="00920C64"/>
    <w:rsid w:val="00921BF5"/>
    <w:rsid w:val="00922728"/>
    <w:rsid w:val="009230AD"/>
    <w:rsid w:val="009236DC"/>
    <w:rsid w:val="00925790"/>
    <w:rsid w:val="009261B3"/>
    <w:rsid w:val="009262B1"/>
    <w:rsid w:val="00926EF4"/>
    <w:rsid w:val="00927278"/>
    <w:rsid w:val="009300F5"/>
    <w:rsid w:val="00931159"/>
    <w:rsid w:val="00931A1A"/>
    <w:rsid w:val="00931BBF"/>
    <w:rsid w:val="00932535"/>
    <w:rsid w:val="00932C95"/>
    <w:rsid w:val="00935B62"/>
    <w:rsid w:val="00935C9B"/>
    <w:rsid w:val="009363B1"/>
    <w:rsid w:val="00937268"/>
    <w:rsid w:val="009376F5"/>
    <w:rsid w:val="0093795C"/>
    <w:rsid w:val="009401C6"/>
    <w:rsid w:val="0094129B"/>
    <w:rsid w:val="00942D91"/>
    <w:rsid w:val="00942F08"/>
    <w:rsid w:val="00943167"/>
    <w:rsid w:val="00943259"/>
    <w:rsid w:val="00944033"/>
    <w:rsid w:val="00944A6E"/>
    <w:rsid w:val="00945403"/>
    <w:rsid w:val="00945A89"/>
    <w:rsid w:val="00945EE1"/>
    <w:rsid w:val="009471C8"/>
    <w:rsid w:val="009472CD"/>
    <w:rsid w:val="009475AD"/>
    <w:rsid w:val="0094791A"/>
    <w:rsid w:val="009479D8"/>
    <w:rsid w:val="00947F4C"/>
    <w:rsid w:val="00950614"/>
    <w:rsid w:val="00950869"/>
    <w:rsid w:val="0095105B"/>
    <w:rsid w:val="0095149E"/>
    <w:rsid w:val="00952318"/>
    <w:rsid w:val="0095244B"/>
    <w:rsid w:val="00952A3A"/>
    <w:rsid w:val="0095303D"/>
    <w:rsid w:val="009535B4"/>
    <w:rsid w:val="00953915"/>
    <w:rsid w:val="0095400F"/>
    <w:rsid w:val="0095447B"/>
    <w:rsid w:val="00954BA1"/>
    <w:rsid w:val="00954F08"/>
    <w:rsid w:val="009567C8"/>
    <w:rsid w:val="009567F0"/>
    <w:rsid w:val="00956882"/>
    <w:rsid w:val="00956B48"/>
    <w:rsid w:val="00956EFA"/>
    <w:rsid w:val="00957554"/>
    <w:rsid w:val="00957AB5"/>
    <w:rsid w:val="00957D87"/>
    <w:rsid w:val="00960B7B"/>
    <w:rsid w:val="00960C2A"/>
    <w:rsid w:val="009617DE"/>
    <w:rsid w:val="00962B0D"/>
    <w:rsid w:val="00963FB7"/>
    <w:rsid w:val="009655F5"/>
    <w:rsid w:val="0096569C"/>
    <w:rsid w:val="00965C63"/>
    <w:rsid w:val="00965C69"/>
    <w:rsid w:val="009660A3"/>
    <w:rsid w:val="00966106"/>
    <w:rsid w:val="00966107"/>
    <w:rsid w:val="00970AC1"/>
    <w:rsid w:val="009711A9"/>
    <w:rsid w:val="00971AB5"/>
    <w:rsid w:val="00972233"/>
    <w:rsid w:val="00972996"/>
    <w:rsid w:val="00972CF2"/>
    <w:rsid w:val="00972D27"/>
    <w:rsid w:val="009732FE"/>
    <w:rsid w:val="00973327"/>
    <w:rsid w:val="00973756"/>
    <w:rsid w:val="00974009"/>
    <w:rsid w:val="009741D3"/>
    <w:rsid w:val="009744DD"/>
    <w:rsid w:val="00975168"/>
    <w:rsid w:val="00975588"/>
    <w:rsid w:val="00976C58"/>
    <w:rsid w:val="009775D6"/>
    <w:rsid w:val="009803C3"/>
    <w:rsid w:val="00981122"/>
    <w:rsid w:val="00981D87"/>
    <w:rsid w:val="00982CCA"/>
    <w:rsid w:val="009831E3"/>
    <w:rsid w:val="00983924"/>
    <w:rsid w:val="00983F07"/>
    <w:rsid w:val="0098478B"/>
    <w:rsid w:val="00985A0D"/>
    <w:rsid w:val="00986406"/>
    <w:rsid w:val="00986997"/>
    <w:rsid w:val="00987204"/>
    <w:rsid w:val="00987D40"/>
    <w:rsid w:val="0099012B"/>
    <w:rsid w:val="009904CE"/>
    <w:rsid w:val="00991096"/>
    <w:rsid w:val="0099149D"/>
    <w:rsid w:val="00991E76"/>
    <w:rsid w:val="0099202F"/>
    <w:rsid w:val="00992114"/>
    <w:rsid w:val="00993200"/>
    <w:rsid w:val="00993E9C"/>
    <w:rsid w:val="009941DF"/>
    <w:rsid w:val="009945B7"/>
    <w:rsid w:val="00994B2F"/>
    <w:rsid w:val="00995C5F"/>
    <w:rsid w:val="00996AB4"/>
    <w:rsid w:val="0099708D"/>
    <w:rsid w:val="00997202"/>
    <w:rsid w:val="009978FF"/>
    <w:rsid w:val="009A0293"/>
    <w:rsid w:val="009A0457"/>
    <w:rsid w:val="009A0486"/>
    <w:rsid w:val="009A084D"/>
    <w:rsid w:val="009A08C5"/>
    <w:rsid w:val="009A10E4"/>
    <w:rsid w:val="009A2E72"/>
    <w:rsid w:val="009A3E07"/>
    <w:rsid w:val="009A4252"/>
    <w:rsid w:val="009A4716"/>
    <w:rsid w:val="009A4DBE"/>
    <w:rsid w:val="009A5658"/>
    <w:rsid w:val="009A63E2"/>
    <w:rsid w:val="009A65CC"/>
    <w:rsid w:val="009A6640"/>
    <w:rsid w:val="009A6AEB"/>
    <w:rsid w:val="009A6C62"/>
    <w:rsid w:val="009A6DD4"/>
    <w:rsid w:val="009A73D8"/>
    <w:rsid w:val="009B0469"/>
    <w:rsid w:val="009B1ACC"/>
    <w:rsid w:val="009B20AE"/>
    <w:rsid w:val="009B2CDB"/>
    <w:rsid w:val="009B2E4D"/>
    <w:rsid w:val="009B3051"/>
    <w:rsid w:val="009B427F"/>
    <w:rsid w:val="009B46F7"/>
    <w:rsid w:val="009B5213"/>
    <w:rsid w:val="009B676D"/>
    <w:rsid w:val="009B7B8D"/>
    <w:rsid w:val="009C0465"/>
    <w:rsid w:val="009C07E9"/>
    <w:rsid w:val="009C172B"/>
    <w:rsid w:val="009C2DA5"/>
    <w:rsid w:val="009C2F5A"/>
    <w:rsid w:val="009C3225"/>
    <w:rsid w:val="009C3918"/>
    <w:rsid w:val="009C4801"/>
    <w:rsid w:val="009C4BD0"/>
    <w:rsid w:val="009C4F56"/>
    <w:rsid w:val="009C571A"/>
    <w:rsid w:val="009C626F"/>
    <w:rsid w:val="009C66DA"/>
    <w:rsid w:val="009C6C7F"/>
    <w:rsid w:val="009D0351"/>
    <w:rsid w:val="009D1354"/>
    <w:rsid w:val="009D352B"/>
    <w:rsid w:val="009D3903"/>
    <w:rsid w:val="009D3A97"/>
    <w:rsid w:val="009D4C4F"/>
    <w:rsid w:val="009D5148"/>
    <w:rsid w:val="009D53A1"/>
    <w:rsid w:val="009D6102"/>
    <w:rsid w:val="009D757E"/>
    <w:rsid w:val="009D7D0B"/>
    <w:rsid w:val="009E1564"/>
    <w:rsid w:val="009E1817"/>
    <w:rsid w:val="009E2B93"/>
    <w:rsid w:val="009E36E4"/>
    <w:rsid w:val="009E38BB"/>
    <w:rsid w:val="009E3D21"/>
    <w:rsid w:val="009E44F7"/>
    <w:rsid w:val="009E4CA3"/>
    <w:rsid w:val="009E4E3D"/>
    <w:rsid w:val="009E630A"/>
    <w:rsid w:val="009E6B2E"/>
    <w:rsid w:val="009E6CF1"/>
    <w:rsid w:val="009E6D3B"/>
    <w:rsid w:val="009E726E"/>
    <w:rsid w:val="009E7AAF"/>
    <w:rsid w:val="009E7DD5"/>
    <w:rsid w:val="009F02AF"/>
    <w:rsid w:val="009F0A65"/>
    <w:rsid w:val="009F1617"/>
    <w:rsid w:val="009F20B5"/>
    <w:rsid w:val="009F2B30"/>
    <w:rsid w:val="009F2B7A"/>
    <w:rsid w:val="009F3FEC"/>
    <w:rsid w:val="009F41FF"/>
    <w:rsid w:val="009F46F4"/>
    <w:rsid w:val="009F48C8"/>
    <w:rsid w:val="009F50BD"/>
    <w:rsid w:val="009F53BD"/>
    <w:rsid w:val="009F560A"/>
    <w:rsid w:val="009F5797"/>
    <w:rsid w:val="009F64EC"/>
    <w:rsid w:val="009F691D"/>
    <w:rsid w:val="009F6BA5"/>
    <w:rsid w:val="009F7018"/>
    <w:rsid w:val="009F7525"/>
    <w:rsid w:val="009F7DCA"/>
    <w:rsid w:val="00A00612"/>
    <w:rsid w:val="00A00A0F"/>
    <w:rsid w:val="00A00ADD"/>
    <w:rsid w:val="00A00FB8"/>
    <w:rsid w:val="00A011F9"/>
    <w:rsid w:val="00A01486"/>
    <w:rsid w:val="00A01515"/>
    <w:rsid w:val="00A01577"/>
    <w:rsid w:val="00A01AF6"/>
    <w:rsid w:val="00A01E58"/>
    <w:rsid w:val="00A02679"/>
    <w:rsid w:val="00A034F3"/>
    <w:rsid w:val="00A039AE"/>
    <w:rsid w:val="00A03A40"/>
    <w:rsid w:val="00A03F65"/>
    <w:rsid w:val="00A040CA"/>
    <w:rsid w:val="00A04386"/>
    <w:rsid w:val="00A04507"/>
    <w:rsid w:val="00A05660"/>
    <w:rsid w:val="00A05BE7"/>
    <w:rsid w:val="00A06DDE"/>
    <w:rsid w:val="00A06F0A"/>
    <w:rsid w:val="00A07484"/>
    <w:rsid w:val="00A10105"/>
    <w:rsid w:val="00A10121"/>
    <w:rsid w:val="00A1207A"/>
    <w:rsid w:val="00A142B7"/>
    <w:rsid w:val="00A15A87"/>
    <w:rsid w:val="00A162B6"/>
    <w:rsid w:val="00A16442"/>
    <w:rsid w:val="00A166C9"/>
    <w:rsid w:val="00A1766B"/>
    <w:rsid w:val="00A216B9"/>
    <w:rsid w:val="00A218F8"/>
    <w:rsid w:val="00A22061"/>
    <w:rsid w:val="00A22DFD"/>
    <w:rsid w:val="00A231C0"/>
    <w:rsid w:val="00A23F03"/>
    <w:rsid w:val="00A24112"/>
    <w:rsid w:val="00A25918"/>
    <w:rsid w:val="00A2599A"/>
    <w:rsid w:val="00A25AA5"/>
    <w:rsid w:val="00A25AB9"/>
    <w:rsid w:val="00A260B8"/>
    <w:rsid w:val="00A26A03"/>
    <w:rsid w:val="00A26A61"/>
    <w:rsid w:val="00A26B29"/>
    <w:rsid w:val="00A27ED2"/>
    <w:rsid w:val="00A308CE"/>
    <w:rsid w:val="00A31063"/>
    <w:rsid w:val="00A318BA"/>
    <w:rsid w:val="00A33091"/>
    <w:rsid w:val="00A3394E"/>
    <w:rsid w:val="00A349B7"/>
    <w:rsid w:val="00A34D2E"/>
    <w:rsid w:val="00A35672"/>
    <w:rsid w:val="00A35D6A"/>
    <w:rsid w:val="00A364FF"/>
    <w:rsid w:val="00A36511"/>
    <w:rsid w:val="00A3771C"/>
    <w:rsid w:val="00A37B89"/>
    <w:rsid w:val="00A37FE5"/>
    <w:rsid w:val="00A41969"/>
    <w:rsid w:val="00A43005"/>
    <w:rsid w:val="00A4301E"/>
    <w:rsid w:val="00A442D4"/>
    <w:rsid w:val="00A449EE"/>
    <w:rsid w:val="00A45316"/>
    <w:rsid w:val="00A46869"/>
    <w:rsid w:val="00A4708B"/>
    <w:rsid w:val="00A4740B"/>
    <w:rsid w:val="00A4746E"/>
    <w:rsid w:val="00A476EF"/>
    <w:rsid w:val="00A50313"/>
    <w:rsid w:val="00A5032C"/>
    <w:rsid w:val="00A5034A"/>
    <w:rsid w:val="00A5099F"/>
    <w:rsid w:val="00A515E8"/>
    <w:rsid w:val="00A51BA9"/>
    <w:rsid w:val="00A52224"/>
    <w:rsid w:val="00A528D4"/>
    <w:rsid w:val="00A5295C"/>
    <w:rsid w:val="00A52E71"/>
    <w:rsid w:val="00A53179"/>
    <w:rsid w:val="00A546CD"/>
    <w:rsid w:val="00A55665"/>
    <w:rsid w:val="00A563E0"/>
    <w:rsid w:val="00A5666E"/>
    <w:rsid w:val="00A5676D"/>
    <w:rsid w:val="00A56FAB"/>
    <w:rsid w:val="00A5710D"/>
    <w:rsid w:val="00A5751A"/>
    <w:rsid w:val="00A57A97"/>
    <w:rsid w:val="00A6002D"/>
    <w:rsid w:val="00A614F4"/>
    <w:rsid w:val="00A62F05"/>
    <w:rsid w:val="00A640BA"/>
    <w:rsid w:val="00A645FE"/>
    <w:rsid w:val="00A6490C"/>
    <w:rsid w:val="00A64A57"/>
    <w:rsid w:val="00A64D0B"/>
    <w:rsid w:val="00A654C3"/>
    <w:rsid w:val="00A657C3"/>
    <w:rsid w:val="00A65850"/>
    <w:rsid w:val="00A66715"/>
    <w:rsid w:val="00A66ED1"/>
    <w:rsid w:val="00A673F4"/>
    <w:rsid w:val="00A70087"/>
    <w:rsid w:val="00A701F7"/>
    <w:rsid w:val="00A70850"/>
    <w:rsid w:val="00A715DD"/>
    <w:rsid w:val="00A71B39"/>
    <w:rsid w:val="00A71CB1"/>
    <w:rsid w:val="00A71E96"/>
    <w:rsid w:val="00A724CB"/>
    <w:rsid w:val="00A7274A"/>
    <w:rsid w:val="00A73206"/>
    <w:rsid w:val="00A74110"/>
    <w:rsid w:val="00A7463B"/>
    <w:rsid w:val="00A75BD9"/>
    <w:rsid w:val="00A76179"/>
    <w:rsid w:val="00A777F8"/>
    <w:rsid w:val="00A778E0"/>
    <w:rsid w:val="00A77B3A"/>
    <w:rsid w:val="00A8037B"/>
    <w:rsid w:val="00A80608"/>
    <w:rsid w:val="00A80A4C"/>
    <w:rsid w:val="00A80D31"/>
    <w:rsid w:val="00A811C2"/>
    <w:rsid w:val="00A8208C"/>
    <w:rsid w:val="00A824F4"/>
    <w:rsid w:val="00A82657"/>
    <w:rsid w:val="00A82D7A"/>
    <w:rsid w:val="00A82DE5"/>
    <w:rsid w:val="00A82E06"/>
    <w:rsid w:val="00A82FFA"/>
    <w:rsid w:val="00A83945"/>
    <w:rsid w:val="00A83E9B"/>
    <w:rsid w:val="00A84E00"/>
    <w:rsid w:val="00A8546C"/>
    <w:rsid w:val="00A8654E"/>
    <w:rsid w:val="00A8669B"/>
    <w:rsid w:val="00A869D3"/>
    <w:rsid w:val="00A86A32"/>
    <w:rsid w:val="00A86FEA"/>
    <w:rsid w:val="00A90349"/>
    <w:rsid w:val="00A91C9B"/>
    <w:rsid w:val="00A935BE"/>
    <w:rsid w:val="00A945C9"/>
    <w:rsid w:val="00A947E4"/>
    <w:rsid w:val="00A951D9"/>
    <w:rsid w:val="00A95CA9"/>
    <w:rsid w:val="00A9617F"/>
    <w:rsid w:val="00A965F4"/>
    <w:rsid w:val="00A96ADF"/>
    <w:rsid w:val="00A974C3"/>
    <w:rsid w:val="00A97D7D"/>
    <w:rsid w:val="00A97FBB"/>
    <w:rsid w:val="00AA0875"/>
    <w:rsid w:val="00AA0E18"/>
    <w:rsid w:val="00AA11A2"/>
    <w:rsid w:val="00AA122F"/>
    <w:rsid w:val="00AA142C"/>
    <w:rsid w:val="00AA1A4C"/>
    <w:rsid w:val="00AA2B68"/>
    <w:rsid w:val="00AA37BC"/>
    <w:rsid w:val="00AA3A44"/>
    <w:rsid w:val="00AA48E7"/>
    <w:rsid w:val="00AA5C72"/>
    <w:rsid w:val="00AA5FA8"/>
    <w:rsid w:val="00AA6503"/>
    <w:rsid w:val="00AA7B2F"/>
    <w:rsid w:val="00AB0010"/>
    <w:rsid w:val="00AB011E"/>
    <w:rsid w:val="00AB131B"/>
    <w:rsid w:val="00AB1D2F"/>
    <w:rsid w:val="00AB1FD3"/>
    <w:rsid w:val="00AB30A0"/>
    <w:rsid w:val="00AB3E4F"/>
    <w:rsid w:val="00AB58C5"/>
    <w:rsid w:val="00AB6437"/>
    <w:rsid w:val="00AB729C"/>
    <w:rsid w:val="00AB7EFB"/>
    <w:rsid w:val="00AC0E32"/>
    <w:rsid w:val="00AC206B"/>
    <w:rsid w:val="00AC2F0E"/>
    <w:rsid w:val="00AC3556"/>
    <w:rsid w:val="00AC355E"/>
    <w:rsid w:val="00AC3861"/>
    <w:rsid w:val="00AC3ABE"/>
    <w:rsid w:val="00AC528C"/>
    <w:rsid w:val="00AC561E"/>
    <w:rsid w:val="00AC592D"/>
    <w:rsid w:val="00AC6243"/>
    <w:rsid w:val="00AC626E"/>
    <w:rsid w:val="00AC754D"/>
    <w:rsid w:val="00AC79DC"/>
    <w:rsid w:val="00AD121F"/>
    <w:rsid w:val="00AD1507"/>
    <w:rsid w:val="00AD1952"/>
    <w:rsid w:val="00AD1BB2"/>
    <w:rsid w:val="00AD1DD4"/>
    <w:rsid w:val="00AD244B"/>
    <w:rsid w:val="00AD2848"/>
    <w:rsid w:val="00AD2C45"/>
    <w:rsid w:val="00AD3E56"/>
    <w:rsid w:val="00AD4685"/>
    <w:rsid w:val="00AD4BDD"/>
    <w:rsid w:val="00AD6131"/>
    <w:rsid w:val="00AD62C7"/>
    <w:rsid w:val="00AD71D8"/>
    <w:rsid w:val="00AD7509"/>
    <w:rsid w:val="00AD7962"/>
    <w:rsid w:val="00AD7BA8"/>
    <w:rsid w:val="00AE035A"/>
    <w:rsid w:val="00AE0C22"/>
    <w:rsid w:val="00AE1DDD"/>
    <w:rsid w:val="00AE2930"/>
    <w:rsid w:val="00AE29C6"/>
    <w:rsid w:val="00AE3093"/>
    <w:rsid w:val="00AE4FCD"/>
    <w:rsid w:val="00AE5C7A"/>
    <w:rsid w:val="00AE6563"/>
    <w:rsid w:val="00AF0CE9"/>
    <w:rsid w:val="00AF16C9"/>
    <w:rsid w:val="00AF1A7A"/>
    <w:rsid w:val="00AF1AC9"/>
    <w:rsid w:val="00AF1CF4"/>
    <w:rsid w:val="00AF22AF"/>
    <w:rsid w:val="00AF25BE"/>
    <w:rsid w:val="00AF2633"/>
    <w:rsid w:val="00AF2AB6"/>
    <w:rsid w:val="00AF2B8D"/>
    <w:rsid w:val="00AF31E9"/>
    <w:rsid w:val="00AF33E5"/>
    <w:rsid w:val="00AF3E38"/>
    <w:rsid w:val="00AF4F66"/>
    <w:rsid w:val="00AF5BFF"/>
    <w:rsid w:val="00AF6994"/>
    <w:rsid w:val="00AF7623"/>
    <w:rsid w:val="00AF7956"/>
    <w:rsid w:val="00AF7B0D"/>
    <w:rsid w:val="00B01FB0"/>
    <w:rsid w:val="00B02557"/>
    <w:rsid w:val="00B035AC"/>
    <w:rsid w:val="00B03739"/>
    <w:rsid w:val="00B045EF"/>
    <w:rsid w:val="00B04951"/>
    <w:rsid w:val="00B04A2F"/>
    <w:rsid w:val="00B05552"/>
    <w:rsid w:val="00B05904"/>
    <w:rsid w:val="00B05F18"/>
    <w:rsid w:val="00B0609D"/>
    <w:rsid w:val="00B06351"/>
    <w:rsid w:val="00B103DE"/>
    <w:rsid w:val="00B10416"/>
    <w:rsid w:val="00B113BB"/>
    <w:rsid w:val="00B11476"/>
    <w:rsid w:val="00B118EC"/>
    <w:rsid w:val="00B121A6"/>
    <w:rsid w:val="00B12F07"/>
    <w:rsid w:val="00B12F33"/>
    <w:rsid w:val="00B13103"/>
    <w:rsid w:val="00B134AF"/>
    <w:rsid w:val="00B13B95"/>
    <w:rsid w:val="00B140F3"/>
    <w:rsid w:val="00B14907"/>
    <w:rsid w:val="00B14B7B"/>
    <w:rsid w:val="00B14BC9"/>
    <w:rsid w:val="00B161C7"/>
    <w:rsid w:val="00B16EC6"/>
    <w:rsid w:val="00B17E3C"/>
    <w:rsid w:val="00B17FBB"/>
    <w:rsid w:val="00B202A1"/>
    <w:rsid w:val="00B216D7"/>
    <w:rsid w:val="00B23AB8"/>
    <w:rsid w:val="00B2408E"/>
    <w:rsid w:val="00B2448D"/>
    <w:rsid w:val="00B25104"/>
    <w:rsid w:val="00B260F6"/>
    <w:rsid w:val="00B264BE"/>
    <w:rsid w:val="00B26B0E"/>
    <w:rsid w:val="00B27E63"/>
    <w:rsid w:val="00B27F8D"/>
    <w:rsid w:val="00B3000B"/>
    <w:rsid w:val="00B3062A"/>
    <w:rsid w:val="00B30739"/>
    <w:rsid w:val="00B31CFC"/>
    <w:rsid w:val="00B32D14"/>
    <w:rsid w:val="00B32E13"/>
    <w:rsid w:val="00B32E9D"/>
    <w:rsid w:val="00B33CC6"/>
    <w:rsid w:val="00B34497"/>
    <w:rsid w:val="00B3475D"/>
    <w:rsid w:val="00B34E79"/>
    <w:rsid w:val="00B3514E"/>
    <w:rsid w:val="00B357DB"/>
    <w:rsid w:val="00B37D50"/>
    <w:rsid w:val="00B37D5E"/>
    <w:rsid w:val="00B40E3A"/>
    <w:rsid w:val="00B41543"/>
    <w:rsid w:val="00B41EA1"/>
    <w:rsid w:val="00B42BCC"/>
    <w:rsid w:val="00B43309"/>
    <w:rsid w:val="00B434FA"/>
    <w:rsid w:val="00B435C3"/>
    <w:rsid w:val="00B442A5"/>
    <w:rsid w:val="00B443BF"/>
    <w:rsid w:val="00B4626F"/>
    <w:rsid w:val="00B472A5"/>
    <w:rsid w:val="00B476A2"/>
    <w:rsid w:val="00B50454"/>
    <w:rsid w:val="00B50ADA"/>
    <w:rsid w:val="00B531C1"/>
    <w:rsid w:val="00B531EF"/>
    <w:rsid w:val="00B536FE"/>
    <w:rsid w:val="00B53B8E"/>
    <w:rsid w:val="00B53C03"/>
    <w:rsid w:val="00B5427E"/>
    <w:rsid w:val="00B5433F"/>
    <w:rsid w:val="00B5434B"/>
    <w:rsid w:val="00B5457C"/>
    <w:rsid w:val="00B54CE8"/>
    <w:rsid w:val="00B56534"/>
    <w:rsid w:val="00B570BA"/>
    <w:rsid w:val="00B607FB"/>
    <w:rsid w:val="00B616A9"/>
    <w:rsid w:val="00B62010"/>
    <w:rsid w:val="00B625A4"/>
    <w:rsid w:val="00B62B60"/>
    <w:rsid w:val="00B636AC"/>
    <w:rsid w:val="00B64699"/>
    <w:rsid w:val="00B650BC"/>
    <w:rsid w:val="00B65D27"/>
    <w:rsid w:val="00B66569"/>
    <w:rsid w:val="00B666E6"/>
    <w:rsid w:val="00B67F7A"/>
    <w:rsid w:val="00B7007B"/>
    <w:rsid w:val="00B70261"/>
    <w:rsid w:val="00B70599"/>
    <w:rsid w:val="00B70600"/>
    <w:rsid w:val="00B70EAF"/>
    <w:rsid w:val="00B70FE8"/>
    <w:rsid w:val="00B71750"/>
    <w:rsid w:val="00B72B2B"/>
    <w:rsid w:val="00B75767"/>
    <w:rsid w:val="00B75813"/>
    <w:rsid w:val="00B75D42"/>
    <w:rsid w:val="00B762CD"/>
    <w:rsid w:val="00B76F3E"/>
    <w:rsid w:val="00B77416"/>
    <w:rsid w:val="00B7742C"/>
    <w:rsid w:val="00B77D47"/>
    <w:rsid w:val="00B8069E"/>
    <w:rsid w:val="00B81A8E"/>
    <w:rsid w:val="00B8379F"/>
    <w:rsid w:val="00B837BE"/>
    <w:rsid w:val="00B83BC4"/>
    <w:rsid w:val="00B83CBE"/>
    <w:rsid w:val="00B840A5"/>
    <w:rsid w:val="00B852C1"/>
    <w:rsid w:val="00B85F41"/>
    <w:rsid w:val="00B86D3A"/>
    <w:rsid w:val="00B87109"/>
    <w:rsid w:val="00B8722D"/>
    <w:rsid w:val="00B87A22"/>
    <w:rsid w:val="00B9274D"/>
    <w:rsid w:val="00B92C49"/>
    <w:rsid w:val="00B92D3E"/>
    <w:rsid w:val="00B93214"/>
    <w:rsid w:val="00B93635"/>
    <w:rsid w:val="00B94F57"/>
    <w:rsid w:val="00B961F3"/>
    <w:rsid w:val="00B96B38"/>
    <w:rsid w:val="00B97115"/>
    <w:rsid w:val="00BA0B45"/>
    <w:rsid w:val="00BA132D"/>
    <w:rsid w:val="00BA1367"/>
    <w:rsid w:val="00BA2398"/>
    <w:rsid w:val="00BA2A2F"/>
    <w:rsid w:val="00BA34FA"/>
    <w:rsid w:val="00BA4087"/>
    <w:rsid w:val="00BA4129"/>
    <w:rsid w:val="00BA6EFA"/>
    <w:rsid w:val="00BA74C8"/>
    <w:rsid w:val="00BB009E"/>
    <w:rsid w:val="00BB0C06"/>
    <w:rsid w:val="00BB1592"/>
    <w:rsid w:val="00BB17C8"/>
    <w:rsid w:val="00BB2954"/>
    <w:rsid w:val="00BB2F33"/>
    <w:rsid w:val="00BB4FC2"/>
    <w:rsid w:val="00BB676D"/>
    <w:rsid w:val="00BB7039"/>
    <w:rsid w:val="00BB72F6"/>
    <w:rsid w:val="00BC01E6"/>
    <w:rsid w:val="00BC17AA"/>
    <w:rsid w:val="00BC2EA1"/>
    <w:rsid w:val="00BC3DAE"/>
    <w:rsid w:val="00BC5A3D"/>
    <w:rsid w:val="00BC6B7C"/>
    <w:rsid w:val="00BC71A7"/>
    <w:rsid w:val="00BC72ED"/>
    <w:rsid w:val="00BC7E19"/>
    <w:rsid w:val="00BD0249"/>
    <w:rsid w:val="00BD09BD"/>
    <w:rsid w:val="00BD0A3B"/>
    <w:rsid w:val="00BD0B17"/>
    <w:rsid w:val="00BD10BC"/>
    <w:rsid w:val="00BD2B68"/>
    <w:rsid w:val="00BD3199"/>
    <w:rsid w:val="00BD3AC1"/>
    <w:rsid w:val="00BD3C84"/>
    <w:rsid w:val="00BD4AC7"/>
    <w:rsid w:val="00BD57B1"/>
    <w:rsid w:val="00BD5A08"/>
    <w:rsid w:val="00BD5CF2"/>
    <w:rsid w:val="00BD630F"/>
    <w:rsid w:val="00BD6696"/>
    <w:rsid w:val="00BD7358"/>
    <w:rsid w:val="00BD73FF"/>
    <w:rsid w:val="00BD7727"/>
    <w:rsid w:val="00BD7FFD"/>
    <w:rsid w:val="00BE0661"/>
    <w:rsid w:val="00BE0F6A"/>
    <w:rsid w:val="00BE15A8"/>
    <w:rsid w:val="00BE2D3E"/>
    <w:rsid w:val="00BE3B08"/>
    <w:rsid w:val="00BE487D"/>
    <w:rsid w:val="00BE4AC9"/>
    <w:rsid w:val="00BE4F6B"/>
    <w:rsid w:val="00BE544C"/>
    <w:rsid w:val="00BE5B9B"/>
    <w:rsid w:val="00BE65C9"/>
    <w:rsid w:val="00BE68F9"/>
    <w:rsid w:val="00BE7375"/>
    <w:rsid w:val="00BE7CB8"/>
    <w:rsid w:val="00BF0476"/>
    <w:rsid w:val="00BF072A"/>
    <w:rsid w:val="00BF0DF9"/>
    <w:rsid w:val="00BF1F9F"/>
    <w:rsid w:val="00BF2069"/>
    <w:rsid w:val="00BF269E"/>
    <w:rsid w:val="00BF26D7"/>
    <w:rsid w:val="00BF2A98"/>
    <w:rsid w:val="00BF2B36"/>
    <w:rsid w:val="00BF2E38"/>
    <w:rsid w:val="00BF3033"/>
    <w:rsid w:val="00BF388E"/>
    <w:rsid w:val="00BF473C"/>
    <w:rsid w:val="00BF49AD"/>
    <w:rsid w:val="00BF5527"/>
    <w:rsid w:val="00BF5A31"/>
    <w:rsid w:val="00BF5F2A"/>
    <w:rsid w:val="00BF5FE0"/>
    <w:rsid w:val="00BF604A"/>
    <w:rsid w:val="00BF62B1"/>
    <w:rsid w:val="00BF6AC9"/>
    <w:rsid w:val="00BF6F6F"/>
    <w:rsid w:val="00BF7F43"/>
    <w:rsid w:val="00C00671"/>
    <w:rsid w:val="00C00C13"/>
    <w:rsid w:val="00C010D6"/>
    <w:rsid w:val="00C01949"/>
    <w:rsid w:val="00C01E43"/>
    <w:rsid w:val="00C02549"/>
    <w:rsid w:val="00C036C0"/>
    <w:rsid w:val="00C051B1"/>
    <w:rsid w:val="00C056E6"/>
    <w:rsid w:val="00C05F4C"/>
    <w:rsid w:val="00C065BD"/>
    <w:rsid w:val="00C068E1"/>
    <w:rsid w:val="00C0703E"/>
    <w:rsid w:val="00C07329"/>
    <w:rsid w:val="00C113AA"/>
    <w:rsid w:val="00C115AA"/>
    <w:rsid w:val="00C1203F"/>
    <w:rsid w:val="00C12059"/>
    <w:rsid w:val="00C12E3F"/>
    <w:rsid w:val="00C12F39"/>
    <w:rsid w:val="00C13F58"/>
    <w:rsid w:val="00C149D1"/>
    <w:rsid w:val="00C14CB1"/>
    <w:rsid w:val="00C158C5"/>
    <w:rsid w:val="00C15EED"/>
    <w:rsid w:val="00C172BA"/>
    <w:rsid w:val="00C17E6D"/>
    <w:rsid w:val="00C17E6E"/>
    <w:rsid w:val="00C17E86"/>
    <w:rsid w:val="00C20167"/>
    <w:rsid w:val="00C2087D"/>
    <w:rsid w:val="00C20926"/>
    <w:rsid w:val="00C21861"/>
    <w:rsid w:val="00C21919"/>
    <w:rsid w:val="00C24325"/>
    <w:rsid w:val="00C246EE"/>
    <w:rsid w:val="00C24771"/>
    <w:rsid w:val="00C24CA7"/>
    <w:rsid w:val="00C25310"/>
    <w:rsid w:val="00C25A81"/>
    <w:rsid w:val="00C25D70"/>
    <w:rsid w:val="00C265B6"/>
    <w:rsid w:val="00C270E5"/>
    <w:rsid w:val="00C273B0"/>
    <w:rsid w:val="00C27404"/>
    <w:rsid w:val="00C27596"/>
    <w:rsid w:val="00C301AD"/>
    <w:rsid w:val="00C3264E"/>
    <w:rsid w:val="00C338D5"/>
    <w:rsid w:val="00C33970"/>
    <w:rsid w:val="00C33A02"/>
    <w:rsid w:val="00C33FA6"/>
    <w:rsid w:val="00C342F1"/>
    <w:rsid w:val="00C34697"/>
    <w:rsid w:val="00C34733"/>
    <w:rsid w:val="00C34839"/>
    <w:rsid w:val="00C348A2"/>
    <w:rsid w:val="00C34E17"/>
    <w:rsid w:val="00C34F57"/>
    <w:rsid w:val="00C360FA"/>
    <w:rsid w:val="00C40104"/>
    <w:rsid w:val="00C405AB"/>
    <w:rsid w:val="00C40D90"/>
    <w:rsid w:val="00C415C0"/>
    <w:rsid w:val="00C41C64"/>
    <w:rsid w:val="00C41FB3"/>
    <w:rsid w:val="00C43A38"/>
    <w:rsid w:val="00C44468"/>
    <w:rsid w:val="00C4551C"/>
    <w:rsid w:val="00C4620D"/>
    <w:rsid w:val="00C46CDF"/>
    <w:rsid w:val="00C477CE"/>
    <w:rsid w:val="00C50170"/>
    <w:rsid w:val="00C5024F"/>
    <w:rsid w:val="00C50C04"/>
    <w:rsid w:val="00C515C3"/>
    <w:rsid w:val="00C51CA2"/>
    <w:rsid w:val="00C51F43"/>
    <w:rsid w:val="00C527CD"/>
    <w:rsid w:val="00C535D2"/>
    <w:rsid w:val="00C53616"/>
    <w:rsid w:val="00C539CD"/>
    <w:rsid w:val="00C5648D"/>
    <w:rsid w:val="00C56A09"/>
    <w:rsid w:val="00C57F95"/>
    <w:rsid w:val="00C602C5"/>
    <w:rsid w:val="00C60E04"/>
    <w:rsid w:val="00C61669"/>
    <w:rsid w:val="00C62184"/>
    <w:rsid w:val="00C62710"/>
    <w:rsid w:val="00C628B9"/>
    <w:rsid w:val="00C63FEC"/>
    <w:rsid w:val="00C642BB"/>
    <w:rsid w:val="00C65092"/>
    <w:rsid w:val="00C650F3"/>
    <w:rsid w:val="00C667D6"/>
    <w:rsid w:val="00C6783B"/>
    <w:rsid w:val="00C70817"/>
    <w:rsid w:val="00C70950"/>
    <w:rsid w:val="00C70D48"/>
    <w:rsid w:val="00C70E04"/>
    <w:rsid w:val="00C72724"/>
    <w:rsid w:val="00C72BE5"/>
    <w:rsid w:val="00C739BE"/>
    <w:rsid w:val="00C73ED9"/>
    <w:rsid w:val="00C74DF3"/>
    <w:rsid w:val="00C7571B"/>
    <w:rsid w:val="00C779D7"/>
    <w:rsid w:val="00C77A29"/>
    <w:rsid w:val="00C808BD"/>
    <w:rsid w:val="00C80AE1"/>
    <w:rsid w:val="00C815E7"/>
    <w:rsid w:val="00C8166B"/>
    <w:rsid w:val="00C81A42"/>
    <w:rsid w:val="00C821B0"/>
    <w:rsid w:val="00C8242D"/>
    <w:rsid w:val="00C82482"/>
    <w:rsid w:val="00C82838"/>
    <w:rsid w:val="00C82BDB"/>
    <w:rsid w:val="00C82CB1"/>
    <w:rsid w:val="00C82E39"/>
    <w:rsid w:val="00C843DD"/>
    <w:rsid w:val="00C84B2D"/>
    <w:rsid w:val="00C84E0C"/>
    <w:rsid w:val="00C85464"/>
    <w:rsid w:val="00C86CF1"/>
    <w:rsid w:val="00C8784C"/>
    <w:rsid w:val="00C87E6D"/>
    <w:rsid w:val="00C90401"/>
    <w:rsid w:val="00C90553"/>
    <w:rsid w:val="00C90FFB"/>
    <w:rsid w:val="00C91A1E"/>
    <w:rsid w:val="00C92C6D"/>
    <w:rsid w:val="00C92DAB"/>
    <w:rsid w:val="00C932C7"/>
    <w:rsid w:val="00C93610"/>
    <w:rsid w:val="00C93D3C"/>
    <w:rsid w:val="00C9427D"/>
    <w:rsid w:val="00C9492C"/>
    <w:rsid w:val="00C94978"/>
    <w:rsid w:val="00C94DE6"/>
    <w:rsid w:val="00C95186"/>
    <w:rsid w:val="00C9602F"/>
    <w:rsid w:val="00C9668E"/>
    <w:rsid w:val="00C96FEC"/>
    <w:rsid w:val="00C970CE"/>
    <w:rsid w:val="00C97289"/>
    <w:rsid w:val="00C974C7"/>
    <w:rsid w:val="00C97830"/>
    <w:rsid w:val="00C97EE3"/>
    <w:rsid w:val="00CA1351"/>
    <w:rsid w:val="00CA1A9E"/>
    <w:rsid w:val="00CA1E68"/>
    <w:rsid w:val="00CA1F1A"/>
    <w:rsid w:val="00CA2524"/>
    <w:rsid w:val="00CA2574"/>
    <w:rsid w:val="00CA2B9F"/>
    <w:rsid w:val="00CA3D62"/>
    <w:rsid w:val="00CA4271"/>
    <w:rsid w:val="00CA42FD"/>
    <w:rsid w:val="00CA4781"/>
    <w:rsid w:val="00CA4CE0"/>
    <w:rsid w:val="00CA5536"/>
    <w:rsid w:val="00CA5F94"/>
    <w:rsid w:val="00CA71B5"/>
    <w:rsid w:val="00CA7CBB"/>
    <w:rsid w:val="00CB041B"/>
    <w:rsid w:val="00CB0A4B"/>
    <w:rsid w:val="00CB10AC"/>
    <w:rsid w:val="00CB1462"/>
    <w:rsid w:val="00CB2740"/>
    <w:rsid w:val="00CB3595"/>
    <w:rsid w:val="00CB36D9"/>
    <w:rsid w:val="00CB3B6F"/>
    <w:rsid w:val="00CB3ECB"/>
    <w:rsid w:val="00CB3FB6"/>
    <w:rsid w:val="00CB5142"/>
    <w:rsid w:val="00CB563D"/>
    <w:rsid w:val="00CB797E"/>
    <w:rsid w:val="00CC1E5B"/>
    <w:rsid w:val="00CC2FA7"/>
    <w:rsid w:val="00CC381B"/>
    <w:rsid w:val="00CC4469"/>
    <w:rsid w:val="00CC4B15"/>
    <w:rsid w:val="00CC57BF"/>
    <w:rsid w:val="00CC6729"/>
    <w:rsid w:val="00CC6BD8"/>
    <w:rsid w:val="00CC7848"/>
    <w:rsid w:val="00CD0708"/>
    <w:rsid w:val="00CD08C1"/>
    <w:rsid w:val="00CD1B10"/>
    <w:rsid w:val="00CD1E54"/>
    <w:rsid w:val="00CD1F01"/>
    <w:rsid w:val="00CD30D4"/>
    <w:rsid w:val="00CD3619"/>
    <w:rsid w:val="00CD37CB"/>
    <w:rsid w:val="00CD5319"/>
    <w:rsid w:val="00CD54EB"/>
    <w:rsid w:val="00CD5BEE"/>
    <w:rsid w:val="00CD5D7B"/>
    <w:rsid w:val="00CD5E67"/>
    <w:rsid w:val="00CD5F33"/>
    <w:rsid w:val="00CD6F63"/>
    <w:rsid w:val="00CD70F1"/>
    <w:rsid w:val="00CD793C"/>
    <w:rsid w:val="00CD7EE3"/>
    <w:rsid w:val="00CE0406"/>
    <w:rsid w:val="00CE0716"/>
    <w:rsid w:val="00CE094C"/>
    <w:rsid w:val="00CE0A74"/>
    <w:rsid w:val="00CE0A8E"/>
    <w:rsid w:val="00CE1779"/>
    <w:rsid w:val="00CE20FE"/>
    <w:rsid w:val="00CE2796"/>
    <w:rsid w:val="00CE3356"/>
    <w:rsid w:val="00CE4973"/>
    <w:rsid w:val="00CE4F72"/>
    <w:rsid w:val="00CE5014"/>
    <w:rsid w:val="00CE6F72"/>
    <w:rsid w:val="00CF00FC"/>
    <w:rsid w:val="00CF0748"/>
    <w:rsid w:val="00CF08AB"/>
    <w:rsid w:val="00CF0EDD"/>
    <w:rsid w:val="00CF143E"/>
    <w:rsid w:val="00CF145C"/>
    <w:rsid w:val="00CF148B"/>
    <w:rsid w:val="00CF2171"/>
    <w:rsid w:val="00CF2AA5"/>
    <w:rsid w:val="00CF2DD5"/>
    <w:rsid w:val="00CF4098"/>
    <w:rsid w:val="00CF40B8"/>
    <w:rsid w:val="00CF41BA"/>
    <w:rsid w:val="00CF4615"/>
    <w:rsid w:val="00CF4666"/>
    <w:rsid w:val="00CF4AD3"/>
    <w:rsid w:val="00CF5FCE"/>
    <w:rsid w:val="00CF6188"/>
    <w:rsid w:val="00CF6CA1"/>
    <w:rsid w:val="00CF6E30"/>
    <w:rsid w:val="00CF7C3D"/>
    <w:rsid w:val="00D0017A"/>
    <w:rsid w:val="00D00326"/>
    <w:rsid w:val="00D0131C"/>
    <w:rsid w:val="00D017BA"/>
    <w:rsid w:val="00D02B32"/>
    <w:rsid w:val="00D02F7D"/>
    <w:rsid w:val="00D02FB1"/>
    <w:rsid w:val="00D031EB"/>
    <w:rsid w:val="00D03B12"/>
    <w:rsid w:val="00D03C29"/>
    <w:rsid w:val="00D059C6"/>
    <w:rsid w:val="00D05D8A"/>
    <w:rsid w:val="00D05E37"/>
    <w:rsid w:val="00D063CD"/>
    <w:rsid w:val="00D06A5C"/>
    <w:rsid w:val="00D06E19"/>
    <w:rsid w:val="00D06FD2"/>
    <w:rsid w:val="00D07449"/>
    <w:rsid w:val="00D07EA4"/>
    <w:rsid w:val="00D11053"/>
    <w:rsid w:val="00D11BB9"/>
    <w:rsid w:val="00D129FB"/>
    <w:rsid w:val="00D14C46"/>
    <w:rsid w:val="00D15B17"/>
    <w:rsid w:val="00D16158"/>
    <w:rsid w:val="00D16567"/>
    <w:rsid w:val="00D1671E"/>
    <w:rsid w:val="00D16A8A"/>
    <w:rsid w:val="00D1734D"/>
    <w:rsid w:val="00D200B5"/>
    <w:rsid w:val="00D20472"/>
    <w:rsid w:val="00D20684"/>
    <w:rsid w:val="00D20D2F"/>
    <w:rsid w:val="00D211E1"/>
    <w:rsid w:val="00D2172B"/>
    <w:rsid w:val="00D21ADF"/>
    <w:rsid w:val="00D21B86"/>
    <w:rsid w:val="00D221BB"/>
    <w:rsid w:val="00D236AF"/>
    <w:rsid w:val="00D25C30"/>
    <w:rsid w:val="00D25FBD"/>
    <w:rsid w:val="00D307F9"/>
    <w:rsid w:val="00D30A3C"/>
    <w:rsid w:val="00D3195B"/>
    <w:rsid w:val="00D33965"/>
    <w:rsid w:val="00D3467C"/>
    <w:rsid w:val="00D34E9D"/>
    <w:rsid w:val="00D351CE"/>
    <w:rsid w:val="00D35DEE"/>
    <w:rsid w:val="00D36019"/>
    <w:rsid w:val="00D3642D"/>
    <w:rsid w:val="00D3650A"/>
    <w:rsid w:val="00D43D0D"/>
    <w:rsid w:val="00D43FC3"/>
    <w:rsid w:val="00D45791"/>
    <w:rsid w:val="00D4590D"/>
    <w:rsid w:val="00D45F78"/>
    <w:rsid w:val="00D45FC2"/>
    <w:rsid w:val="00D46545"/>
    <w:rsid w:val="00D470B1"/>
    <w:rsid w:val="00D4763C"/>
    <w:rsid w:val="00D50140"/>
    <w:rsid w:val="00D509E7"/>
    <w:rsid w:val="00D51085"/>
    <w:rsid w:val="00D515E8"/>
    <w:rsid w:val="00D51C00"/>
    <w:rsid w:val="00D523FC"/>
    <w:rsid w:val="00D5262D"/>
    <w:rsid w:val="00D5299A"/>
    <w:rsid w:val="00D54174"/>
    <w:rsid w:val="00D551A1"/>
    <w:rsid w:val="00D5532C"/>
    <w:rsid w:val="00D55839"/>
    <w:rsid w:val="00D55B54"/>
    <w:rsid w:val="00D5698E"/>
    <w:rsid w:val="00D57325"/>
    <w:rsid w:val="00D5794C"/>
    <w:rsid w:val="00D60CCB"/>
    <w:rsid w:val="00D616B2"/>
    <w:rsid w:val="00D653D0"/>
    <w:rsid w:val="00D65C7B"/>
    <w:rsid w:val="00D668D1"/>
    <w:rsid w:val="00D67022"/>
    <w:rsid w:val="00D70615"/>
    <w:rsid w:val="00D707FA"/>
    <w:rsid w:val="00D73776"/>
    <w:rsid w:val="00D73EAD"/>
    <w:rsid w:val="00D7520A"/>
    <w:rsid w:val="00D755C4"/>
    <w:rsid w:val="00D75D01"/>
    <w:rsid w:val="00D76AA4"/>
    <w:rsid w:val="00D76F0F"/>
    <w:rsid w:val="00D7701A"/>
    <w:rsid w:val="00D77A7D"/>
    <w:rsid w:val="00D77ABA"/>
    <w:rsid w:val="00D80053"/>
    <w:rsid w:val="00D80203"/>
    <w:rsid w:val="00D80C94"/>
    <w:rsid w:val="00D81468"/>
    <w:rsid w:val="00D816E2"/>
    <w:rsid w:val="00D81E71"/>
    <w:rsid w:val="00D81F75"/>
    <w:rsid w:val="00D823E3"/>
    <w:rsid w:val="00D82AF8"/>
    <w:rsid w:val="00D836EA"/>
    <w:rsid w:val="00D83F51"/>
    <w:rsid w:val="00D84C82"/>
    <w:rsid w:val="00D8532A"/>
    <w:rsid w:val="00D857F0"/>
    <w:rsid w:val="00D85DA6"/>
    <w:rsid w:val="00D863BE"/>
    <w:rsid w:val="00D863CB"/>
    <w:rsid w:val="00D90409"/>
    <w:rsid w:val="00D928AD"/>
    <w:rsid w:val="00D957B0"/>
    <w:rsid w:val="00D958F5"/>
    <w:rsid w:val="00D96722"/>
    <w:rsid w:val="00D97371"/>
    <w:rsid w:val="00DA0459"/>
    <w:rsid w:val="00DA04DA"/>
    <w:rsid w:val="00DA0B2C"/>
    <w:rsid w:val="00DA0D95"/>
    <w:rsid w:val="00DA1F48"/>
    <w:rsid w:val="00DA2240"/>
    <w:rsid w:val="00DA2707"/>
    <w:rsid w:val="00DA2730"/>
    <w:rsid w:val="00DA40CA"/>
    <w:rsid w:val="00DA439A"/>
    <w:rsid w:val="00DA47D4"/>
    <w:rsid w:val="00DA52D1"/>
    <w:rsid w:val="00DA653F"/>
    <w:rsid w:val="00DA6CA6"/>
    <w:rsid w:val="00DA7E06"/>
    <w:rsid w:val="00DB03A7"/>
    <w:rsid w:val="00DB0476"/>
    <w:rsid w:val="00DB1385"/>
    <w:rsid w:val="00DB16D1"/>
    <w:rsid w:val="00DB2676"/>
    <w:rsid w:val="00DB30C5"/>
    <w:rsid w:val="00DB3F65"/>
    <w:rsid w:val="00DB4526"/>
    <w:rsid w:val="00DB52E0"/>
    <w:rsid w:val="00DB6030"/>
    <w:rsid w:val="00DB6344"/>
    <w:rsid w:val="00DB65F2"/>
    <w:rsid w:val="00DB6FC3"/>
    <w:rsid w:val="00DB7D0E"/>
    <w:rsid w:val="00DB7EBD"/>
    <w:rsid w:val="00DC04CF"/>
    <w:rsid w:val="00DC0598"/>
    <w:rsid w:val="00DC086F"/>
    <w:rsid w:val="00DC0DE8"/>
    <w:rsid w:val="00DC154D"/>
    <w:rsid w:val="00DC1854"/>
    <w:rsid w:val="00DC1C4E"/>
    <w:rsid w:val="00DC1D1B"/>
    <w:rsid w:val="00DC1DF5"/>
    <w:rsid w:val="00DC200D"/>
    <w:rsid w:val="00DC27A2"/>
    <w:rsid w:val="00DC2AC6"/>
    <w:rsid w:val="00DC331B"/>
    <w:rsid w:val="00DC3763"/>
    <w:rsid w:val="00DC3D5F"/>
    <w:rsid w:val="00DC3F72"/>
    <w:rsid w:val="00DC40A1"/>
    <w:rsid w:val="00DC4A2D"/>
    <w:rsid w:val="00DC58D9"/>
    <w:rsid w:val="00DC5FC8"/>
    <w:rsid w:val="00DC65F0"/>
    <w:rsid w:val="00DC67F6"/>
    <w:rsid w:val="00DC6DED"/>
    <w:rsid w:val="00DC71F9"/>
    <w:rsid w:val="00DD0DC9"/>
    <w:rsid w:val="00DD1142"/>
    <w:rsid w:val="00DD12B1"/>
    <w:rsid w:val="00DD130D"/>
    <w:rsid w:val="00DD2698"/>
    <w:rsid w:val="00DD279B"/>
    <w:rsid w:val="00DD279F"/>
    <w:rsid w:val="00DD2EE9"/>
    <w:rsid w:val="00DD2F39"/>
    <w:rsid w:val="00DD4D72"/>
    <w:rsid w:val="00DD51BD"/>
    <w:rsid w:val="00DD58D0"/>
    <w:rsid w:val="00DD5C28"/>
    <w:rsid w:val="00DD6A0D"/>
    <w:rsid w:val="00DD6AFE"/>
    <w:rsid w:val="00DE0D43"/>
    <w:rsid w:val="00DE0E3C"/>
    <w:rsid w:val="00DE22E5"/>
    <w:rsid w:val="00DE2F6E"/>
    <w:rsid w:val="00DE3C1D"/>
    <w:rsid w:val="00DE3CCB"/>
    <w:rsid w:val="00DE4C06"/>
    <w:rsid w:val="00DE5840"/>
    <w:rsid w:val="00DE59F4"/>
    <w:rsid w:val="00DE68CE"/>
    <w:rsid w:val="00DE6C59"/>
    <w:rsid w:val="00DE753B"/>
    <w:rsid w:val="00DE75CA"/>
    <w:rsid w:val="00DE7ACF"/>
    <w:rsid w:val="00DE7D23"/>
    <w:rsid w:val="00DF07CE"/>
    <w:rsid w:val="00DF0E30"/>
    <w:rsid w:val="00DF1912"/>
    <w:rsid w:val="00DF1BC2"/>
    <w:rsid w:val="00DF2416"/>
    <w:rsid w:val="00DF244E"/>
    <w:rsid w:val="00DF276B"/>
    <w:rsid w:val="00DF30A1"/>
    <w:rsid w:val="00DF313E"/>
    <w:rsid w:val="00DF4723"/>
    <w:rsid w:val="00DF4924"/>
    <w:rsid w:val="00DF55A1"/>
    <w:rsid w:val="00DF5A61"/>
    <w:rsid w:val="00DF76DB"/>
    <w:rsid w:val="00E005BC"/>
    <w:rsid w:val="00E00D84"/>
    <w:rsid w:val="00E03D77"/>
    <w:rsid w:val="00E04B6B"/>
    <w:rsid w:val="00E04BD0"/>
    <w:rsid w:val="00E05E38"/>
    <w:rsid w:val="00E06231"/>
    <w:rsid w:val="00E06303"/>
    <w:rsid w:val="00E07077"/>
    <w:rsid w:val="00E07251"/>
    <w:rsid w:val="00E072AD"/>
    <w:rsid w:val="00E07616"/>
    <w:rsid w:val="00E07B76"/>
    <w:rsid w:val="00E10119"/>
    <w:rsid w:val="00E11762"/>
    <w:rsid w:val="00E120A9"/>
    <w:rsid w:val="00E128AB"/>
    <w:rsid w:val="00E12F58"/>
    <w:rsid w:val="00E14AA8"/>
    <w:rsid w:val="00E15564"/>
    <w:rsid w:val="00E1632B"/>
    <w:rsid w:val="00E17186"/>
    <w:rsid w:val="00E212FC"/>
    <w:rsid w:val="00E23038"/>
    <w:rsid w:val="00E23BEA"/>
    <w:rsid w:val="00E23F9B"/>
    <w:rsid w:val="00E2414E"/>
    <w:rsid w:val="00E24665"/>
    <w:rsid w:val="00E24FAD"/>
    <w:rsid w:val="00E255FB"/>
    <w:rsid w:val="00E25E5A"/>
    <w:rsid w:val="00E27A18"/>
    <w:rsid w:val="00E27CC5"/>
    <w:rsid w:val="00E27D4F"/>
    <w:rsid w:val="00E3103D"/>
    <w:rsid w:val="00E3124C"/>
    <w:rsid w:val="00E31457"/>
    <w:rsid w:val="00E31D61"/>
    <w:rsid w:val="00E31E4E"/>
    <w:rsid w:val="00E32F45"/>
    <w:rsid w:val="00E3326F"/>
    <w:rsid w:val="00E335FF"/>
    <w:rsid w:val="00E3480E"/>
    <w:rsid w:val="00E34DAB"/>
    <w:rsid w:val="00E34FB9"/>
    <w:rsid w:val="00E35159"/>
    <w:rsid w:val="00E3533A"/>
    <w:rsid w:val="00E35AC9"/>
    <w:rsid w:val="00E36CAF"/>
    <w:rsid w:val="00E36FB9"/>
    <w:rsid w:val="00E373A3"/>
    <w:rsid w:val="00E37676"/>
    <w:rsid w:val="00E412B4"/>
    <w:rsid w:val="00E417CA"/>
    <w:rsid w:val="00E41912"/>
    <w:rsid w:val="00E42FAF"/>
    <w:rsid w:val="00E43086"/>
    <w:rsid w:val="00E43A3E"/>
    <w:rsid w:val="00E43B5D"/>
    <w:rsid w:val="00E43EB2"/>
    <w:rsid w:val="00E43ED3"/>
    <w:rsid w:val="00E44125"/>
    <w:rsid w:val="00E450D3"/>
    <w:rsid w:val="00E45793"/>
    <w:rsid w:val="00E4587A"/>
    <w:rsid w:val="00E45E89"/>
    <w:rsid w:val="00E465C1"/>
    <w:rsid w:val="00E46BEF"/>
    <w:rsid w:val="00E46E6F"/>
    <w:rsid w:val="00E4727D"/>
    <w:rsid w:val="00E473C4"/>
    <w:rsid w:val="00E47639"/>
    <w:rsid w:val="00E47EC6"/>
    <w:rsid w:val="00E50592"/>
    <w:rsid w:val="00E517BD"/>
    <w:rsid w:val="00E52806"/>
    <w:rsid w:val="00E531F5"/>
    <w:rsid w:val="00E54044"/>
    <w:rsid w:val="00E5478C"/>
    <w:rsid w:val="00E54E14"/>
    <w:rsid w:val="00E55130"/>
    <w:rsid w:val="00E55D93"/>
    <w:rsid w:val="00E560E8"/>
    <w:rsid w:val="00E5637E"/>
    <w:rsid w:val="00E56B68"/>
    <w:rsid w:val="00E57AC7"/>
    <w:rsid w:val="00E57EB8"/>
    <w:rsid w:val="00E604BD"/>
    <w:rsid w:val="00E6128D"/>
    <w:rsid w:val="00E61E94"/>
    <w:rsid w:val="00E61FE3"/>
    <w:rsid w:val="00E627F2"/>
    <w:rsid w:val="00E627F7"/>
    <w:rsid w:val="00E629C0"/>
    <w:rsid w:val="00E6317C"/>
    <w:rsid w:val="00E64357"/>
    <w:rsid w:val="00E64933"/>
    <w:rsid w:val="00E65DBA"/>
    <w:rsid w:val="00E6603E"/>
    <w:rsid w:val="00E678DB"/>
    <w:rsid w:val="00E7018F"/>
    <w:rsid w:val="00E71629"/>
    <w:rsid w:val="00E71F95"/>
    <w:rsid w:val="00E72316"/>
    <w:rsid w:val="00E726F9"/>
    <w:rsid w:val="00E72BF6"/>
    <w:rsid w:val="00E74C2C"/>
    <w:rsid w:val="00E77D84"/>
    <w:rsid w:val="00E80129"/>
    <w:rsid w:val="00E802F7"/>
    <w:rsid w:val="00E80C2F"/>
    <w:rsid w:val="00E80E5F"/>
    <w:rsid w:val="00E814E1"/>
    <w:rsid w:val="00E814EB"/>
    <w:rsid w:val="00E81B2F"/>
    <w:rsid w:val="00E81B3D"/>
    <w:rsid w:val="00E81F81"/>
    <w:rsid w:val="00E82925"/>
    <w:rsid w:val="00E82A1B"/>
    <w:rsid w:val="00E83664"/>
    <w:rsid w:val="00E845E6"/>
    <w:rsid w:val="00E84F68"/>
    <w:rsid w:val="00E85197"/>
    <w:rsid w:val="00E857D4"/>
    <w:rsid w:val="00E86577"/>
    <w:rsid w:val="00E86933"/>
    <w:rsid w:val="00E9079E"/>
    <w:rsid w:val="00E922DB"/>
    <w:rsid w:val="00E92A63"/>
    <w:rsid w:val="00E92F7E"/>
    <w:rsid w:val="00E9336B"/>
    <w:rsid w:val="00E9342E"/>
    <w:rsid w:val="00E93D95"/>
    <w:rsid w:val="00E93F1F"/>
    <w:rsid w:val="00E94617"/>
    <w:rsid w:val="00E952B3"/>
    <w:rsid w:val="00E954A1"/>
    <w:rsid w:val="00E958E1"/>
    <w:rsid w:val="00E959A3"/>
    <w:rsid w:val="00E9792E"/>
    <w:rsid w:val="00E97AF0"/>
    <w:rsid w:val="00E97B21"/>
    <w:rsid w:val="00E97E2A"/>
    <w:rsid w:val="00EA004D"/>
    <w:rsid w:val="00EA3C2A"/>
    <w:rsid w:val="00EA4F09"/>
    <w:rsid w:val="00EA4FAC"/>
    <w:rsid w:val="00EA5103"/>
    <w:rsid w:val="00EA6AD4"/>
    <w:rsid w:val="00EA75E6"/>
    <w:rsid w:val="00EA7EEB"/>
    <w:rsid w:val="00EB02F9"/>
    <w:rsid w:val="00EB11F8"/>
    <w:rsid w:val="00EB15A0"/>
    <w:rsid w:val="00EB268E"/>
    <w:rsid w:val="00EB293B"/>
    <w:rsid w:val="00EB49C4"/>
    <w:rsid w:val="00EB4F40"/>
    <w:rsid w:val="00EB4FA8"/>
    <w:rsid w:val="00EB56A5"/>
    <w:rsid w:val="00EB5B98"/>
    <w:rsid w:val="00EB5E30"/>
    <w:rsid w:val="00EB6FB3"/>
    <w:rsid w:val="00EB76F7"/>
    <w:rsid w:val="00EC0170"/>
    <w:rsid w:val="00EC0570"/>
    <w:rsid w:val="00EC13D6"/>
    <w:rsid w:val="00EC1850"/>
    <w:rsid w:val="00EC4530"/>
    <w:rsid w:val="00EC5E89"/>
    <w:rsid w:val="00EC6A01"/>
    <w:rsid w:val="00EC7347"/>
    <w:rsid w:val="00ED04D9"/>
    <w:rsid w:val="00ED05D2"/>
    <w:rsid w:val="00ED060B"/>
    <w:rsid w:val="00ED1321"/>
    <w:rsid w:val="00ED289E"/>
    <w:rsid w:val="00ED2999"/>
    <w:rsid w:val="00ED38C8"/>
    <w:rsid w:val="00ED3BE9"/>
    <w:rsid w:val="00ED4C78"/>
    <w:rsid w:val="00ED4D07"/>
    <w:rsid w:val="00ED5B74"/>
    <w:rsid w:val="00ED7106"/>
    <w:rsid w:val="00EE0A6E"/>
    <w:rsid w:val="00EE10C5"/>
    <w:rsid w:val="00EE1FDC"/>
    <w:rsid w:val="00EE2935"/>
    <w:rsid w:val="00EE2B44"/>
    <w:rsid w:val="00EE40F4"/>
    <w:rsid w:val="00EE48BF"/>
    <w:rsid w:val="00EE533E"/>
    <w:rsid w:val="00EE5921"/>
    <w:rsid w:val="00EE6726"/>
    <w:rsid w:val="00EE6896"/>
    <w:rsid w:val="00EE6C4A"/>
    <w:rsid w:val="00EE7C6E"/>
    <w:rsid w:val="00EF1245"/>
    <w:rsid w:val="00EF159C"/>
    <w:rsid w:val="00EF2085"/>
    <w:rsid w:val="00EF2601"/>
    <w:rsid w:val="00EF2F14"/>
    <w:rsid w:val="00EF3E34"/>
    <w:rsid w:val="00EF47B8"/>
    <w:rsid w:val="00EF4F26"/>
    <w:rsid w:val="00EF58C4"/>
    <w:rsid w:val="00EF64F1"/>
    <w:rsid w:val="00EF6903"/>
    <w:rsid w:val="00EF7871"/>
    <w:rsid w:val="00EF7BA3"/>
    <w:rsid w:val="00F0096C"/>
    <w:rsid w:val="00F015B7"/>
    <w:rsid w:val="00F02A3B"/>
    <w:rsid w:val="00F02F98"/>
    <w:rsid w:val="00F030B0"/>
    <w:rsid w:val="00F03C54"/>
    <w:rsid w:val="00F0448F"/>
    <w:rsid w:val="00F0468E"/>
    <w:rsid w:val="00F04849"/>
    <w:rsid w:val="00F04F96"/>
    <w:rsid w:val="00F052E7"/>
    <w:rsid w:val="00F05B1F"/>
    <w:rsid w:val="00F06952"/>
    <w:rsid w:val="00F06A25"/>
    <w:rsid w:val="00F06F87"/>
    <w:rsid w:val="00F07125"/>
    <w:rsid w:val="00F074AA"/>
    <w:rsid w:val="00F100CE"/>
    <w:rsid w:val="00F10369"/>
    <w:rsid w:val="00F130AE"/>
    <w:rsid w:val="00F1331C"/>
    <w:rsid w:val="00F133F2"/>
    <w:rsid w:val="00F1449E"/>
    <w:rsid w:val="00F14811"/>
    <w:rsid w:val="00F14E1C"/>
    <w:rsid w:val="00F14EA7"/>
    <w:rsid w:val="00F15013"/>
    <w:rsid w:val="00F153EB"/>
    <w:rsid w:val="00F15E54"/>
    <w:rsid w:val="00F16779"/>
    <w:rsid w:val="00F16C10"/>
    <w:rsid w:val="00F16EAC"/>
    <w:rsid w:val="00F16EF2"/>
    <w:rsid w:val="00F17F0F"/>
    <w:rsid w:val="00F20044"/>
    <w:rsid w:val="00F200A4"/>
    <w:rsid w:val="00F213A2"/>
    <w:rsid w:val="00F226BC"/>
    <w:rsid w:val="00F2307B"/>
    <w:rsid w:val="00F232DE"/>
    <w:rsid w:val="00F23C62"/>
    <w:rsid w:val="00F24C20"/>
    <w:rsid w:val="00F24FFC"/>
    <w:rsid w:val="00F2508F"/>
    <w:rsid w:val="00F26CFD"/>
    <w:rsid w:val="00F275B1"/>
    <w:rsid w:val="00F27CF0"/>
    <w:rsid w:val="00F300C7"/>
    <w:rsid w:val="00F305CF"/>
    <w:rsid w:val="00F317EE"/>
    <w:rsid w:val="00F320C5"/>
    <w:rsid w:val="00F3268A"/>
    <w:rsid w:val="00F32E46"/>
    <w:rsid w:val="00F33034"/>
    <w:rsid w:val="00F3393E"/>
    <w:rsid w:val="00F34185"/>
    <w:rsid w:val="00F34A04"/>
    <w:rsid w:val="00F35165"/>
    <w:rsid w:val="00F3544E"/>
    <w:rsid w:val="00F36C97"/>
    <w:rsid w:val="00F36F9F"/>
    <w:rsid w:val="00F36FEE"/>
    <w:rsid w:val="00F371D8"/>
    <w:rsid w:val="00F376F3"/>
    <w:rsid w:val="00F37F89"/>
    <w:rsid w:val="00F40660"/>
    <w:rsid w:val="00F415B0"/>
    <w:rsid w:val="00F417B3"/>
    <w:rsid w:val="00F42629"/>
    <w:rsid w:val="00F42865"/>
    <w:rsid w:val="00F43884"/>
    <w:rsid w:val="00F43F04"/>
    <w:rsid w:val="00F446DA"/>
    <w:rsid w:val="00F45114"/>
    <w:rsid w:val="00F45294"/>
    <w:rsid w:val="00F45A22"/>
    <w:rsid w:val="00F47D18"/>
    <w:rsid w:val="00F5021D"/>
    <w:rsid w:val="00F50582"/>
    <w:rsid w:val="00F505F2"/>
    <w:rsid w:val="00F50DA7"/>
    <w:rsid w:val="00F511B4"/>
    <w:rsid w:val="00F51E0F"/>
    <w:rsid w:val="00F5284A"/>
    <w:rsid w:val="00F52B3E"/>
    <w:rsid w:val="00F53192"/>
    <w:rsid w:val="00F53369"/>
    <w:rsid w:val="00F537B9"/>
    <w:rsid w:val="00F53C36"/>
    <w:rsid w:val="00F54A07"/>
    <w:rsid w:val="00F54E3E"/>
    <w:rsid w:val="00F550F3"/>
    <w:rsid w:val="00F56482"/>
    <w:rsid w:val="00F60907"/>
    <w:rsid w:val="00F60B11"/>
    <w:rsid w:val="00F60B2F"/>
    <w:rsid w:val="00F61694"/>
    <w:rsid w:val="00F628B9"/>
    <w:rsid w:val="00F62F03"/>
    <w:rsid w:val="00F63F6C"/>
    <w:rsid w:val="00F642C1"/>
    <w:rsid w:val="00F6432C"/>
    <w:rsid w:val="00F648EA"/>
    <w:rsid w:val="00F64C63"/>
    <w:rsid w:val="00F64FDD"/>
    <w:rsid w:val="00F65DBB"/>
    <w:rsid w:val="00F67660"/>
    <w:rsid w:val="00F677B7"/>
    <w:rsid w:val="00F67CD5"/>
    <w:rsid w:val="00F70806"/>
    <w:rsid w:val="00F7221D"/>
    <w:rsid w:val="00F7297A"/>
    <w:rsid w:val="00F72CB4"/>
    <w:rsid w:val="00F72E0E"/>
    <w:rsid w:val="00F73243"/>
    <w:rsid w:val="00F73C28"/>
    <w:rsid w:val="00F73F40"/>
    <w:rsid w:val="00F7440F"/>
    <w:rsid w:val="00F7505E"/>
    <w:rsid w:val="00F760A5"/>
    <w:rsid w:val="00F760BA"/>
    <w:rsid w:val="00F761A3"/>
    <w:rsid w:val="00F763FA"/>
    <w:rsid w:val="00F76580"/>
    <w:rsid w:val="00F76A96"/>
    <w:rsid w:val="00F77D22"/>
    <w:rsid w:val="00F77DDB"/>
    <w:rsid w:val="00F80092"/>
    <w:rsid w:val="00F81377"/>
    <w:rsid w:val="00F8144F"/>
    <w:rsid w:val="00F816D4"/>
    <w:rsid w:val="00F818DE"/>
    <w:rsid w:val="00F8301E"/>
    <w:rsid w:val="00F836F5"/>
    <w:rsid w:val="00F83880"/>
    <w:rsid w:val="00F83DE6"/>
    <w:rsid w:val="00F84297"/>
    <w:rsid w:val="00F84756"/>
    <w:rsid w:val="00F84EA7"/>
    <w:rsid w:val="00F84F41"/>
    <w:rsid w:val="00F8554C"/>
    <w:rsid w:val="00F85719"/>
    <w:rsid w:val="00F85D15"/>
    <w:rsid w:val="00F85DF3"/>
    <w:rsid w:val="00F85E30"/>
    <w:rsid w:val="00F85E8C"/>
    <w:rsid w:val="00F8609B"/>
    <w:rsid w:val="00F866EE"/>
    <w:rsid w:val="00F8704E"/>
    <w:rsid w:val="00F870B1"/>
    <w:rsid w:val="00F871DF"/>
    <w:rsid w:val="00F90383"/>
    <w:rsid w:val="00F90B57"/>
    <w:rsid w:val="00F911A5"/>
    <w:rsid w:val="00F92B0C"/>
    <w:rsid w:val="00F92C1C"/>
    <w:rsid w:val="00F93C27"/>
    <w:rsid w:val="00F946F6"/>
    <w:rsid w:val="00F94915"/>
    <w:rsid w:val="00F951C9"/>
    <w:rsid w:val="00F955BE"/>
    <w:rsid w:val="00F9669B"/>
    <w:rsid w:val="00F96ACA"/>
    <w:rsid w:val="00F97615"/>
    <w:rsid w:val="00FA036C"/>
    <w:rsid w:val="00FA07DA"/>
    <w:rsid w:val="00FA153D"/>
    <w:rsid w:val="00FA218C"/>
    <w:rsid w:val="00FA228B"/>
    <w:rsid w:val="00FA2333"/>
    <w:rsid w:val="00FA4391"/>
    <w:rsid w:val="00FA43E2"/>
    <w:rsid w:val="00FA44EA"/>
    <w:rsid w:val="00FA4EF6"/>
    <w:rsid w:val="00FA4F51"/>
    <w:rsid w:val="00FA54AA"/>
    <w:rsid w:val="00FA555F"/>
    <w:rsid w:val="00FA5C9E"/>
    <w:rsid w:val="00FA6393"/>
    <w:rsid w:val="00FA6E27"/>
    <w:rsid w:val="00FA75AA"/>
    <w:rsid w:val="00FA7B4B"/>
    <w:rsid w:val="00FB007B"/>
    <w:rsid w:val="00FB0753"/>
    <w:rsid w:val="00FB22AF"/>
    <w:rsid w:val="00FB4128"/>
    <w:rsid w:val="00FB4755"/>
    <w:rsid w:val="00FB4F0E"/>
    <w:rsid w:val="00FB50FE"/>
    <w:rsid w:val="00FB5F74"/>
    <w:rsid w:val="00FB66B6"/>
    <w:rsid w:val="00FB6F92"/>
    <w:rsid w:val="00FC0386"/>
    <w:rsid w:val="00FC108B"/>
    <w:rsid w:val="00FC24F3"/>
    <w:rsid w:val="00FC3150"/>
    <w:rsid w:val="00FC336D"/>
    <w:rsid w:val="00FC4F32"/>
    <w:rsid w:val="00FD01A6"/>
    <w:rsid w:val="00FD2AF9"/>
    <w:rsid w:val="00FD3CF6"/>
    <w:rsid w:val="00FD4009"/>
    <w:rsid w:val="00FD48BC"/>
    <w:rsid w:val="00FD4B5A"/>
    <w:rsid w:val="00FD4E97"/>
    <w:rsid w:val="00FD567F"/>
    <w:rsid w:val="00FD6598"/>
    <w:rsid w:val="00FD6D97"/>
    <w:rsid w:val="00FD79D1"/>
    <w:rsid w:val="00FD7CEA"/>
    <w:rsid w:val="00FD7E3B"/>
    <w:rsid w:val="00FE0802"/>
    <w:rsid w:val="00FE080C"/>
    <w:rsid w:val="00FE1259"/>
    <w:rsid w:val="00FE1A45"/>
    <w:rsid w:val="00FE228F"/>
    <w:rsid w:val="00FE2E9B"/>
    <w:rsid w:val="00FE35DC"/>
    <w:rsid w:val="00FE3A79"/>
    <w:rsid w:val="00FE4ABB"/>
    <w:rsid w:val="00FE5605"/>
    <w:rsid w:val="00FE6A3E"/>
    <w:rsid w:val="00FE6C98"/>
    <w:rsid w:val="00FE6F46"/>
    <w:rsid w:val="00FE7D87"/>
    <w:rsid w:val="00FF0099"/>
    <w:rsid w:val="00FF0621"/>
    <w:rsid w:val="00FF27C7"/>
    <w:rsid w:val="00FF28F6"/>
    <w:rsid w:val="00FF2BB4"/>
    <w:rsid w:val="00FF352C"/>
    <w:rsid w:val="00FF478D"/>
    <w:rsid w:val="00FF4B85"/>
    <w:rsid w:val="00FF5427"/>
    <w:rsid w:val="00FF581D"/>
    <w:rsid w:val="00FF5BDA"/>
    <w:rsid w:val="00FF6A27"/>
    <w:rsid w:val="00FF6B20"/>
    <w:rsid w:val="00FF6E15"/>
    <w:rsid w:val="00FF6F3C"/>
    <w:rsid w:val="00FF7005"/>
    <w:rsid w:val="013C4FE1"/>
    <w:rsid w:val="015B1BBE"/>
    <w:rsid w:val="01B91636"/>
    <w:rsid w:val="03467748"/>
    <w:rsid w:val="04036024"/>
    <w:rsid w:val="04276602"/>
    <w:rsid w:val="04484608"/>
    <w:rsid w:val="04D95594"/>
    <w:rsid w:val="04F94FA9"/>
    <w:rsid w:val="056501EA"/>
    <w:rsid w:val="05700077"/>
    <w:rsid w:val="05E7379E"/>
    <w:rsid w:val="060B0C42"/>
    <w:rsid w:val="066F069C"/>
    <w:rsid w:val="07583E9D"/>
    <w:rsid w:val="09D92C37"/>
    <w:rsid w:val="0A2A393B"/>
    <w:rsid w:val="0A7A7B17"/>
    <w:rsid w:val="0BCD1053"/>
    <w:rsid w:val="0BDB40E4"/>
    <w:rsid w:val="0DA71101"/>
    <w:rsid w:val="0DAE548D"/>
    <w:rsid w:val="0E2630E4"/>
    <w:rsid w:val="0E5C69D2"/>
    <w:rsid w:val="0F763E6D"/>
    <w:rsid w:val="0F77265C"/>
    <w:rsid w:val="0FB748D6"/>
    <w:rsid w:val="0FBB45AA"/>
    <w:rsid w:val="10FD29EF"/>
    <w:rsid w:val="112934B3"/>
    <w:rsid w:val="11D2044F"/>
    <w:rsid w:val="12435284"/>
    <w:rsid w:val="126218B0"/>
    <w:rsid w:val="12CA0D34"/>
    <w:rsid w:val="12F627A9"/>
    <w:rsid w:val="13484626"/>
    <w:rsid w:val="13887B1A"/>
    <w:rsid w:val="14030958"/>
    <w:rsid w:val="1440789F"/>
    <w:rsid w:val="14923E39"/>
    <w:rsid w:val="14B81CF9"/>
    <w:rsid w:val="159641EB"/>
    <w:rsid w:val="15F466D7"/>
    <w:rsid w:val="163B503B"/>
    <w:rsid w:val="16630C11"/>
    <w:rsid w:val="1676286A"/>
    <w:rsid w:val="16D94FA9"/>
    <w:rsid w:val="1776135A"/>
    <w:rsid w:val="17D61C26"/>
    <w:rsid w:val="18146881"/>
    <w:rsid w:val="18662B96"/>
    <w:rsid w:val="188560FF"/>
    <w:rsid w:val="193D63F7"/>
    <w:rsid w:val="19CA195C"/>
    <w:rsid w:val="1A453F8B"/>
    <w:rsid w:val="1A592DA1"/>
    <w:rsid w:val="1A7D4B85"/>
    <w:rsid w:val="1AB3725D"/>
    <w:rsid w:val="1AE81CB5"/>
    <w:rsid w:val="1AF9779F"/>
    <w:rsid w:val="1B1D249A"/>
    <w:rsid w:val="1BB81089"/>
    <w:rsid w:val="1BB91A6F"/>
    <w:rsid w:val="1BDD3BA1"/>
    <w:rsid w:val="1CF21D0A"/>
    <w:rsid w:val="1D294EFF"/>
    <w:rsid w:val="1D9E64AF"/>
    <w:rsid w:val="1DB83AC9"/>
    <w:rsid w:val="1E64452B"/>
    <w:rsid w:val="1E780C0D"/>
    <w:rsid w:val="1EFA0FBE"/>
    <w:rsid w:val="1F883F7F"/>
    <w:rsid w:val="206E462B"/>
    <w:rsid w:val="20C3244D"/>
    <w:rsid w:val="20DE4F4B"/>
    <w:rsid w:val="20FA562E"/>
    <w:rsid w:val="20FC6DA1"/>
    <w:rsid w:val="21667FDB"/>
    <w:rsid w:val="21CD165D"/>
    <w:rsid w:val="22353B2B"/>
    <w:rsid w:val="22921754"/>
    <w:rsid w:val="23096D15"/>
    <w:rsid w:val="230D1610"/>
    <w:rsid w:val="233259D1"/>
    <w:rsid w:val="23935ED3"/>
    <w:rsid w:val="252C160A"/>
    <w:rsid w:val="25DE62E2"/>
    <w:rsid w:val="26C125E3"/>
    <w:rsid w:val="27866EA7"/>
    <w:rsid w:val="29F3332A"/>
    <w:rsid w:val="2A997AF3"/>
    <w:rsid w:val="2AE329E0"/>
    <w:rsid w:val="2B1D6AA8"/>
    <w:rsid w:val="2B5272A1"/>
    <w:rsid w:val="2BBD43D2"/>
    <w:rsid w:val="2C4B74B9"/>
    <w:rsid w:val="2C9F17C6"/>
    <w:rsid w:val="2DD227B8"/>
    <w:rsid w:val="2E5B4516"/>
    <w:rsid w:val="2F202AFD"/>
    <w:rsid w:val="2F5A7E75"/>
    <w:rsid w:val="308318FE"/>
    <w:rsid w:val="30A16DBF"/>
    <w:rsid w:val="318067EF"/>
    <w:rsid w:val="33033DCB"/>
    <w:rsid w:val="33283F6D"/>
    <w:rsid w:val="333A261A"/>
    <w:rsid w:val="3419097F"/>
    <w:rsid w:val="34234796"/>
    <w:rsid w:val="346074B4"/>
    <w:rsid w:val="34A8605D"/>
    <w:rsid w:val="350D5578"/>
    <w:rsid w:val="352B453F"/>
    <w:rsid w:val="35A04F88"/>
    <w:rsid w:val="36013D27"/>
    <w:rsid w:val="36765913"/>
    <w:rsid w:val="36946B19"/>
    <w:rsid w:val="370D6EAE"/>
    <w:rsid w:val="373561A2"/>
    <w:rsid w:val="37EE4BFC"/>
    <w:rsid w:val="38F802B7"/>
    <w:rsid w:val="3913073D"/>
    <w:rsid w:val="398179A2"/>
    <w:rsid w:val="39F21A1E"/>
    <w:rsid w:val="39F807EC"/>
    <w:rsid w:val="3B9D1452"/>
    <w:rsid w:val="3BD548B4"/>
    <w:rsid w:val="3D7E1A8F"/>
    <w:rsid w:val="3DA77A10"/>
    <w:rsid w:val="3DB868D1"/>
    <w:rsid w:val="3DDC63BF"/>
    <w:rsid w:val="3E9207B3"/>
    <w:rsid w:val="3EC76A8F"/>
    <w:rsid w:val="3EE32B3C"/>
    <w:rsid w:val="3F305821"/>
    <w:rsid w:val="3FA031BE"/>
    <w:rsid w:val="406527BC"/>
    <w:rsid w:val="416F2CD1"/>
    <w:rsid w:val="417E7F01"/>
    <w:rsid w:val="41A5233F"/>
    <w:rsid w:val="41E35F52"/>
    <w:rsid w:val="41EA08B5"/>
    <w:rsid w:val="42140F15"/>
    <w:rsid w:val="425659E6"/>
    <w:rsid w:val="4267796A"/>
    <w:rsid w:val="42837BA4"/>
    <w:rsid w:val="42EB1842"/>
    <w:rsid w:val="43104E14"/>
    <w:rsid w:val="435C7492"/>
    <w:rsid w:val="442A7D00"/>
    <w:rsid w:val="446012BE"/>
    <w:rsid w:val="44830FA3"/>
    <w:rsid w:val="45DE66FA"/>
    <w:rsid w:val="46487861"/>
    <w:rsid w:val="46C304BB"/>
    <w:rsid w:val="46C66CE1"/>
    <w:rsid w:val="474E3ED6"/>
    <w:rsid w:val="47B912CF"/>
    <w:rsid w:val="483C7010"/>
    <w:rsid w:val="49A3785C"/>
    <w:rsid w:val="49E33EC9"/>
    <w:rsid w:val="49E576E5"/>
    <w:rsid w:val="4A4C5D1D"/>
    <w:rsid w:val="4A500C79"/>
    <w:rsid w:val="4A973799"/>
    <w:rsid w:val="4A976B68"/>
    <w:rsid w:val="4AC039A5"/>
    <w:rsid w:val="4B3F2B00"/>
    <w:rsid w:val="4B6E7EC2"/>
    <w:rsid w:val="4B926803"/>
    <w:rsid w:val="4C226976"/>
    <w:rsid w:val="4CD17A13"/>
    <w:rsid w:val="4D8E7847"/>
    <w:rsid w:val="4D935553"/>
    <w:rsid w:val="4DE14F11"/>
    <w:rsid w:val="4E005F07"/>
    <w:rsid w:val="4E3529CA"/>
    <w:rsid w:val="4E416971"/>
    <w:rsid w:val="4E566916"/>
    <w:rsid w:val="4E7E08BF"/>
    <w:rsid w:val="4FCE2C0A"/>
    <w:rsid w:val="4FD5205E"/>
    <w:rsid w:val="4FFD2EC5"/>
    <w:rsid w:val="500602C9"/>
    <w:rsid w:val="502D5AC4"/>
    <w:rsid w:val="50681114"/>
    <w:rsid w:val="50F3175D"/>
    <w:rsid w:val="513D23B0"/>
    <w:rsid w:val="52070E7F"/>
    <w:rsid w:val="52183552"/>
    <w:rsid w:val="5249428D"/>
    <w:rsid w:val="53D22F4A"/>
    <w:rsid w:val="54052A0D"/>
    <w:rsid w:val="54517EE5"/>
    <w:rsid w:val="54C15E9F"/>
    <w:rsid w:val="55997CD7"/>
    <w:rsid w:val="55E33DB5"/>
    <w:rsid w:val="565902BA"/>
    <w:rsid w:val="56643100"/>
    <w:rsid w:val="56704473"/>
    <w:rsid w:val="56CF74B5"/>
    <w:rsid w:val="5796443F"/>
    <w:rsid w:val="57DE6F79"/>
    <w:rsid w:val="58635207"/>
    <w:rsid w:val="589863C7"/>
    <w:rsid w:val="58B42698"/>
    <w:rsid w:val="59946483"/>
    <w:rsid w:val="5A21156A"/>
    <w:rsid w:val="5A2C450B"/>
    <w:rsid w:val="5A36150F"/>
    <w:rsid w:val="5A65061D"/>
    <w:rsid w:val="5A7215A0"/>
    <w:rsid w:val="5AC0580F"/>
    <w:rsid w:val="5AD748BF"/>
    <w:rsid w:val="5B773D86"/>
    <w:rsid w:val="5D524618"/>
    <w:rsid w:val="5E164CF0"/>
    <w:rsid w:val="5E375B4F"/>
    <w:rsid w:val="5E87001F"/>
    <w:rsid w:val="5EAF24BA"/>
    <w:rsid w:val="5EC87D63"/>
    <w:rsid w:val="5F0D6F73"/>
    <w:rsid w:val="5F1F5ED9"/>
    <w:rsid w:val="60FD7E97"/>
    <w:rsid w:val="611E1732"/>
    <w:rsid w:val="61351088"/>
    <w:rsid w:val="61B23ED4"/>
    <w:rsid w:val="620318B2"/>
    <w:rsid w:val="620C1EB5"/>
    <w:rsid w:val="624B016E"/>
    <w:rsid w:val="626367B4"/>
    <w:rsid w:val="637473B8"/>
    <w:rsid w:val="63875FEA"/>
    <w:rsid w:val="638C3ABE"/>
    <w:rsid w:val="639456EF"/>
    <w:rsid w:val="63DB1F31"/>
    <w:rsid w:val="64AF3499"/>
    <w:rsid w:val="64BF1959"/>
    <w:rsid w:val="64F67168"/>
    <w:rsid w:val="651F3E88"/>
    <w:rsid w:val="655D4CDA"/>
    <w:rsid w:val="65706B65"/>
    <w:rsid w:val="6593084A"/>
    <w:rsid w:val="65DB18C2"/>
    <w:rsid w:val="65FC58E6"/>
    <w:rsid w:val="674838D8"/>
    <w:rsid w:val="67551FE0"/>
    <w:rsid w:val="677A5055"/>
    <w:rsid w:val="67900433"/>
    <w:rsid w:val="679B2621"/>
    <w:rsid w:val="67E07B05"/>
    <w:rsid w:val="67E81E06"/>
    <w:rsid w:val="685E1058"/>
    <w:rsid w:val="68DE230E"/>
    <w:rsid w:val="6985092D"/>
    <w:rsid w:val="69E676CD"/>
    <w:rsid w:val="6A064E6A"/>
    <w:rsid w:val="6A5247FE"/>
    <w:rsid w:val="6A584189"/>
    <w:rsid w:val="6AE51641"/>
    <w:rsid w:val="6AEC46CB"/>
    <w:rsid w:val="6B2B1F62"/>
    <w:rsid w:val="6B822971"/>
    <w:rsid w:val="6C76590B"/>
    <w:rsid w:val="6D604DB1"/>
    <w:rsid w:val="6D9126D1"/>
    <w:rsid w:val="6DAF644D"/>
    <w:rsid w:val="6DC1541F"/>
    <w:rsid w:val="6EA356D4"/>
    <w:rsid w:val="6FB66425"/>
    <w:rsid w:val="6FF43B3B"/>
    <w:rsid w:val="70B544F8"/>
    <w:rsid w:val="70C36C24"/>
    <w:rsid w:val="7154796E"/>
    <w:rsid w:val="71F00ADB"/>
    <w:rsid w:val="72314340"/>
    <w:rsid w:val="737A29B3"/>
    <w:rsid w:val="73CA14BC"/>
    <w:rsid w:val="73E82D35"/>
    <w:rsid w:val="74057972"/>
    <w:rsid w:val="74267270"/>
    <w:rsid w:val="74FF20A2"/>
    <w:rsid w:val="75171229"/>
    <w:rsid w:val="7528457C"/>
    <w:rsid w:val="75AA3ED3"/>
    <w:rsid w:val="75F00EC6"/>
    <w:rsid w:val="76361C70"/>
    <w:rsid w:val="76A27118"/>
    <w:rsid w:val="76F86320"/>
    <w:rsid w:val="77D85E94"/>
    <w:rsid w:val="78663B14"/>
    <w:rsid w:val="787C3AB9"/>
    <w:rsid w:val="79F92CFF"/>
    <w:rsid w:val="7A230972"/>
    <w:rsid w:val="7A4430A5"/>
    <w:rsid w:val="7B1C0B89"/>
    <w:rsid w:val="7BFF6443"/>
    <w:rsid w:val="7C074A56"/>
    <w:rsid w:val="7C322D2A"/>
    <w:rsid w:val="7C4514FE"/>
    <w:rsid w:val="7C9A746E"/>
    <w:rsid w:val="7DCC4DD4"/>
    <w:rsid w:val="7E0E2739"/>
    <w:rsid w:val="7E4029B0"/>
    <w:rsid w:val="7E5570D2"/>
    <w:rsid w:val="7E6B3474"/>
    <w:rsid w:val="7E7C749E"/>
    <w:rsid w:val="7EA55994"/>
    <w:rsid w:val="7F0168B9"/>
    <w:rsid w:val="7F230A88"/>
    <w:rsid w:val="7F69486A"/>
    <w:rsid w:val="7F745A7E"/>
    <w:rsid w:val="7FDE75F5"/>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semiHidden="0" w:name="heading 5"/>
    <w:lsdException w:qFormat="1" w:uiPriority="0" w:semiHidden="0" w:name="heading 6"/>
    <w:lsdException w:qFormat="1" w:uiPriority="0" w:semiHidden="0" w:name="heading 7"/>
    <w:lsdException w:qFormat="1" w:uiPriority="0" w:semiHidden="0" w:name="heading 8"/>
    <w:lsdException w:qFormat="1" w:uiPriority="0" w:semiHidden="0" w:name="heading 9"/>
    <w:lsdException w:qFormat="1" w:uiPriority="0" w:semiHidden="0" w:name="index 1"/>
    <w:lsdException w:qFormat="1" w:unhideWhenUsed="0" w:uiPriority="0" w:semiHidden="0" w:name="index 2"/>
    <w:lsdException w:qFormat="1"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unhideWhenUsed="0" w:uiPriority="0" w:semiHidden="0" w:name="index 8"/>
    <w:lsdException w:qFormat="1" w:unhideWhenUsed="0" w:uiPriority="0" w:semiHidden="0" w:name="index 9"/>
    <w:lsdException w:qFormat="1" w:uiPriority="39" w:semiHidden="0" w:name="toc 1"/>
    <w:lsdException w:qFormat="1" w:uiPriority="39" w:semiHidden="0" w:name="toc 2"/>
    <w:lsdException w:uiPriority="39" w:semiHidden="0" w:name="toc 3"/>
    <w:lsdException w:qFormat="1" w:uiPriority="39" w:semiHidden="0" w:name="toc 4"/>
    <w:lsdException w:uiPriority="39" w:semiHidden="0" w:name="toc 5"/>
    <w:lsdException w:qFormat="1" w:uiPriority="39" w:semiHidden="0" w:name="toc 6"/>
    <w:lsdException w:qFormat="1" w:unhideWhenUsed="0" w:uiPriority="39" w:semiHidden="0" w:name="toc 7"/>
    <w:lsdException w:qFormat="1" w:uiPriority="39" w:semiHidden="0" w:name="toc 8"/>
    <w:lsdException w:qFormat="1"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99" w:semiHidden="0" w:name="annotation reference"/>
    <w:lsdException w:qFormat="1" w:unhideWhenUsed="0" w:uiPriority="0" w:semiHidden="0" w:name="line number"/>
    <w:lsdException w:qFormat="1" w:unhideWhenUsed="0" w:uiPriority="0" w:semiHidden="0" w:name="page number"/>
    <w:lsdException w:qFormat="1" w:uiPriority="0" w:semiHidden="0" w:name="endnote reference"/>
    <w:lsdException w:qFormat="1" w:uiPriority="0" w:semiHidden="0" w:name="endnote text"/>
    <w:lsdException w:qFormat="1"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qFormat="1" w:unhideWhenUsed="0" w:uiPriority="0" w:semiHidden="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qFormat="1" w:unhideWhenUsed="0" w:uiPriority="0" w:semiHidden="0" w:name="Table Grid 1"/>
    <w:lsdException w:uiPriority="0" w:name="Table Grid 2"/>
    <w:lsdException w:uiPriority="0" w:name="Table Grid 3"/>
    <w:lsdException w:uiPriority="0" w:name="Table Grid 4"/>
    <w:lsdException w:qFormat="1" w:unhideWhenUsed="0" w:uiPriority="0" w:semiHidden="0" w:name="Table Grid 5"/>
    <w:lsdException w:uiPriority="0" w:name="Table Grid 6"/>
    <w:lsdException w:qFormat="1" w:unhideWhenUsed="0" w:uiPriority="0" w:semiHidden="0" w:name="Table Grid 7"/>
    <w:lsdException w:qFormat="1" w:unhideWhenUsed="0" w:uiPriority="0" w:semiHidden="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qFormat="1" w:unhideWhenUsed="0" w:uiPriority="0" w:semiHidden="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qFormat="1" w:unhideWhenUsed="0" w:uiPriority="0" w:semiHidden="0" w:name="Table Theme"/>
    <w:lsdException w:qFormat="1" w:unhideWhenUsed="0" w:uiPriority="0" w:semiHidden="0"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74"/>
    <w:qFormat/>
    <w:uiPriority w:val="0"/>
    <w:pPr>
      <w:keepNext/>
      <w:tabs>
        <w:tab w:val="left" w:pos="360"/>
      </w:tabs>
      <w:ind w:left="360" w:hanging="360" w:hangingChars="200"/>
      <w:jc w:val="center"/>
      <w:outlineLvl w:val="0"/>
    </w:pPr>
    <w:rPr>
      <w:rFonts w:eastAsia="楷体_GB2312"/>
      <w:sz w:val="30"/>
    </w:rPr>
  </w:style>
  <w:style w:type="paragraph" w:styleId="4">
    <w:name w:val="heading 2"/>
    <w:basedOn w:val="1"/>
    <w:next w:val="1"/>
    <w:link w:val="115"/>
    <w:qFormat/>
    <w:uiPriority w:val="0"/>
    <w:pPr>
      <w:keepNext/>
      <w:keepLines/>
      <w:tabs>
        <w:tab w:val="left" w:pos="360"/>
      </w:tabs>
      <w:spacing w:before="260" w:after="260" w:line="416" w:lineRule="auto"/>
      <w:ind w:left="360" w:hanging="360" w:hangingChars="200"/>
      <w:outlineLvl w:val="1"/>
    </w:pPr>
    <w:rPr>
      <w:rFonts w:ascii="Arial" w:hAnsi="Arial" w:eastAsia="黑体"/>
      <w:b/>
      <w:bCs/>
      <w:sz w:val="32"/>
      <w:szCs w:val="32"/>
    </w:rPr>
  </w:style>
  <w:style w:type="paragraph" w:styleId="5">
    <w:name w:val="heading 3"/>
    <w:basedOn w:val="1"/>
    <w:next w:val="1"/>
    <w:link w:val="173"/>
    <w:qFormat/>
    <w:uiPriority w:val="0"/>
    <w:pPr>
      <w:keepNext/>
      <w:tabs>
        <w:tab w:val="left" w:pos="360"/>
      </w:tabs>
      <w:adjustRightInd w:val="0"/>
      <w:snapToGrid w:val="0"/>
      <w:spacing w:line="360" w:lineRule="auto"/>
      <w:ind w:left="360" w:firstLine="200" w:firstLineChars="200"/>
      <w:outlineLvl w:val="2"/>
    </w:pPr>
    <w:rPr>
      <w:rFonts w:ascii="Arial" w:hAnsi="Arial" w:eastAsia="等线"/>
      <w:bCs/>
      <w:sz w:val="24"/>
    </w:rPr>
  </w:style>
  <w:style w:type="paragraph" w:styleId="6">
    <w:name w:val="heading 4"/>
    <w:basedOn w:val="1"/>
    <w:next w:val="1"/>
    <w:link w:val="175"/>
    <w:qFormat/>
    <w:uiPriority w:val="0"/>
    <w:pPr>
      <w:keepNext/>
      <w:keepLines/>
      <w:tabs>
        <w:tab w:val="left" w:pos="360"/>
      </w:tabs>
      <w:ind w:left="360" w:firstLine="200" w:firstLineChars="200"/>
      <w:jc w:val="left"/>
      <w:outlineLvl w:val="3"/>
    </w:pPr>
    <w:rPr>
      <w:rFonts w:hAnsi="Cambria"/>
      <w:b/>
      <w:bCs/>
      <w:szCs w:val="28"/>
    </w:rPr>
  </w:style>
  <w:style w:type="paragraph" w:styleId="7">
    <w:name w:val="heading 5"/>
    <w:basedOn w:val="1"/>
    <w:next w:val="1"/>
    <w:link w:val="207"/>
    <w:unhideWhenUsed/>
    <w:qFormat/>
    <w:uiPriority w:val="0"/>
    <w:pPr>
      <w:keepNext/>
      <w:keepLines/>
      <w:widowControl/>
      <w:tabs>
        <w:tab w:val="left" w:pos="360"/>
      </w:tabs>
      <w:adjustRightInd w:val="0"/>
      <w:snapToGrid w:val="0"/>
      <w:spacing w:beforeLines="50" w:afterLines="50" w:line="376" w:lineRule="auto"/>
      <w:ind w:left="360" w:hanging="360" w:hangingChars="200"/>
      <w:outlineLvl w:val="4"/>
    </w:pPr>
    <w:rPr>
      <w:rFonts w:ascii="Tahoma" w:hAnsi="Tahoma" w:eastAsia="微软雅黑"/>
      <w:b/>
      <w:bCs/>
      <w:kern w:val="0"/>
      <w:sz w:val="28"/>
      <w:szCs w:val="28"/>
    </w:rPr>
  </w:style>
  <w:style w:type="paragraph" w:styleId="8">
    <w:name w:val="heading 6"/>
    <w:basedOn w:val="1"/>
    <w:next w:val="1"/>
    <w:link w:val="208"/>
    <w:unhideWhenUsed/>
    <w:qFormat/>
    <w:uiPriority w:val="0"/>
    <w:pPr>
      <w:keepNext/>
      <w:keepLines/>
      <w:widowControl/>
      <w:tabs>
        <w:tab w:val="left" w:pos="360"/>
      </w:tabs>
      <w:adjustRightInd w:val="0"/>
      <w:snapToGrid w:val="0"/>
      <w:spacing w:beforeLines="50" w:afterLines="50" w:line="320" w:lineRule="auto"/>
      <w:ind w:left="360" w:hanging="360" w:hangingChars="200"/>
      <w:outlineLvl w:val="5"/>
    </w:pPr>
    <w:rPr>
      <w:rFonts w:ascii="Cambria" w:hAnsi="Cambria"/>
      <w:b/>
      <w:bCs/>
      <w:kern w:val="0"/>
      <w:sz w:val="24"/>
    </w:rPr>
  </w:style>
  <w:style w:type="paragraph" w:styleId="9">
    <w:name w:val="heading 7"/>
    <w:basedOn w:val="1"/>
    <w:next w:val="1"/>
    <w:link w:val="209"/>
    <w:unhideWhenUsed/>
    <w:qFormat/>
    <w:uiPriority w:val="0"/>
    <w:pPr>
      <w:keepNext/>
      <w:keepLines/>
      <w:widowControl/>
      <w:tabs>
        <w:tab w:val="left" w:pos="360"/>
      </w:tabs>
      <w:adjustRightInd w:val="0"/>
      <w:snapToGrid w:val="0"/>
      <w:spacing w:beforeLines="50" w:afterLines="50" w:line="320" w:lineRule="auto"/>
      <w:ind w:left="360" w:hanging="360" w:hangingChars="200"/>
      <w:outlineLvl w:val="6"/>
    </w:pPr>
    <w:rPr>
      <w:rFonts w:ascii="Tahoma" w:hAnsi="Tahoma" w:eastAsia="微软雅黑"/>
      <w:b/>
      <w:bCs/>
      <w:kern w:val="0"/>
      <w:sz w:val="24"/>
    </w:rPr>
  </w:style>
  <w:style w:type="paragraph" w:styleId="10">
    <w:name w:val="heading 8"/>
    <w:basedOn w:val="1"/>
    <w:next w:val="1"/>
    <w:link w:val="210"/>
    <w:unhideWhenUsed/>
    <w:qFormat/>
    <w:uiPriority w:val="0"/>
    <w:pPr>
      <w:keepNext/>
      <w:keepLines/>
      <w:widowControl/>
      <w:tabs>
        <w:tab w:val="left" w:pos="360"/>
      </w:tabs>
      <w:adjustRightInd w:val="0"/>
      <w:snapToGrid w:val="0"/>
      <w:spacing w:beforeLines="50" w:afterLines="50" w:line="320" w:lineRule="auto"/>
      <w:ind w:left="360" w:hanging="360" w:hangingChars="200"/>
      <w:outlineLvl w:val="7"/>
    </w:pPr>
    <w:rPr>
      <w:rFonts w:ascii="Cambria" w:hAnsi="Cambria"/>
      <w:kern w:val="0"/>
      <w:sz w:val="24"/>
    </w:rPr>
  </w:style>
  <w:style w:type="paragraph" w:styleId="11">
    <w:name w:val="heading 9"/>
    <w:basedOn w:val="1"/>
    <w:next w:val="1"/>
    <w:link w:val="211"/>
    <w:unhideWhenUsed/>
    <w:qFormat/>
    <w:uiPriority w:val="0"/>
    <w:pPr>
      <w:keepNext/>
      <w:keepLines/>
      <w:widowControl/>
      <w:tabs>
        <w:tab w:val="left" w:pos="360"/>
      </w:tabs>
      <w:adjustRightInd w:val="0"/>
      <w:snapToGrid w:val="0"/>
      <w:spacing w:beforeLines="50" w:afterLines="50" w:line="320" w:lineRule="auto"/>
      <w:ind w:left="360" w:hanging="360" w:hangingChars="200"/>
      <w:outlineLvl w:val="8"/>
    </w:pPr>
    <w:rPr>
      <w:rFonts w:ascii="Cambria" w:hAnsi="Cambria"/>
      <w:kern w:val="0"/>
      <w:szCs w:val="21"/>
    </w:rPr>
  </w:style>
  <w:style w:type="character" w:default="1" w:styleId="97">
    <w:name w:val="Default Paragraph Font"/>
    <w:semiHidden/>
    <w:unhideWhenUsed/>
    <w:uiPriority w:val="1"/>
  </w:style>
  <w:style w:type="table" w:default="1" w:styleId="88">
    <w:name w:val="Normal Table"/>
    <w:semiHidden/>
    <w:unhideWhenUsed/>
    <w:qFormat/>
    <w:uiPriority w:val="99"/>
    <w:tblPr>
      <w:tblLayout w:type="fixed"/>
      <w:tblCellMar>
        <w:top w:w="0" w:type="dxa"/>
        <w:left w:w="108" w:type="dxa"/>
        <w:bottom w:w="0" w:type="dxa"/>
        <w:right w:w="108" w:type="dxa"/>
      </w:tblCellMar>
    </w:tblPr>
  </w:style>
  <w:style w:type="paragraph" w:styleId="2">
    <w:name w:val="macro"/>
    <w:link w:val="2978"/>
    <w:uiPriority w:val="0"/>
    <w:pPr>
      <w:widowControl w:val="0"/>
      <w:tabs>
        <w:tab w:val="left" w:pos="360"/>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Times New Roman"/>
      <w:kern w:val="2"/>
      <w:sz w:val="24"/>
      <w:szCs w:val="24"/>
      <w:lang w:val="en-US" w:eastAsia="zh-CN" w:bidi="ar-SA"/>
    </w:rPr>
  </w:style>
  <w:style w:type="paragraph" w:styleId="12">
    <w:name w:val="List 3"/>
    <w:basedOn w:val="1"/>
    <w:qFormat/>
    <w:uiPriority w:val="0"/>
    <w:pPr>
      <w:widowControl/>
      <w:adjustRightInd w:val="0"/>
      <w:snapToGrid w:val="0"/>
      <w:spacing w:line="360" w:lineRule="auto"/>
      <w:ind w:left="100" w:leftChars="400" w:hanging="200" w:hangingChars="200"/>
    </w:pPr>
    <w:rPr>
      <w:kern w:val="0"/>
      <w:sz w:val="24"/>
      <w:szCs w:val="28"/>
    </w:rPr>
  </w:style>
  <w:style w:type="paragraph" w:styleId="13">
    <w:name w:val="toc 7"/>
    <w:basedOn w:val="1"/>
    <w:next w:val="1"/>
    <w:qFormat/>
    <w:uiPriority w:val="39"/>
    <w:pPr>
      <w:widowControl/>
      <w:overflowPunct w:val="0"/>
      <w:autoSpaceDE w:val="0"/>
      <w:autoSpaceDN w:val="0"/>
      <w:adjustRightInd w:val="0"/>
      <w:ind w:left="2520" w:leftChars="1200"/>
      <w:jc w:val="left"/>
      <w:textAlignment w:val="baseline"/>
    </w:pPr>
    <w:rPr>
      <w:rFonts w:eastAsia="方正书宋简体"/>
      <w:kern w:val="0"/>
      <w:sz w:val="28"/>
      <w:szCs w:val="20"/>
    </w:rPr>
  </w:style>
  <w:style w:type="paragraph" w:styleId="14">
    <w:name w:val="List Number 2"/>
    <w:basedOn w:val="1"/>
    <w:qFormat/>
    <w:uiPriority w:val="0"/>
    <w:pPr>
      <w:widowControl/>
      <w:tabs>
        <w:tab w:val="left" w:pos="780"/>
      </w:tabs>
      <w:adjustRightInd w:val="0"/>
      <w:snapToGrid w:val="0"/>
      <w:spacing w:line="360" w:lineRule="auto"/>
      <w:ind w:left="780" w:leftChars="200" w:hanging="360" w:hangingChars="200"/>
    </w:pPr>
    <w:rPr>
      <w:kern w:val="0"/>
      <w:sz w:val="24"/>
      <w:szCs w:val="28"/>
    </w:rPr>
  </w:style>
  <w:style w:type="paragraph" w:styleId="15">
    <w:name w:val="table of authorities"/>
    <w:basedOn w:val="1"/>
    <w:next w:val="1"/>
    <w:qFormat/>
    <w:uiPriority w:val="0"/>
    <w:pPr>
      <w:ind w:left="420" w:leftChars="200"/>
    </w:pPr>
    <w:rPr>
      <w:szCs w:val="20"/>
    </w:rPr>
  </w:style>
  <w:style w:type="paragraph" w:styleId="16">
    <w:name w:val="Note Heading"/>
    <w:basedOn w:val="1"/>
    <w:next w:val="1"/>
    <w:link w:val="672"/>
    <w:qFormat/>
    <w:uiPriority w:val="0"/>
    <w:pPr>
      <w:spacing w:line="500" w:lineRule="atLeast"/>
      <w:ind w:firstLine="560" w:firstLineChars="200"/>
      <w:jc w:val="center"/>
    </w:pPr>
    <w:rPr>
      <w:snapToGrid w:val="0"/>
      <w:kern w:val="21"/>
    </w:rPr>
  </w:style>
  <w:style w:type="paragraph" w:styleId="17">
    <w:name w:val="List Bullet 4"/>
    <w:basedOn w:val="1"/>
    <w:qFormat/>
    <w:uiPriority w:val="0"/>
    <w:pPr>
      <w:widowControl/>
      <w:tabs>
        <w:tab w:val="left" w:pos="1620"/>
      </w:tabs>
      <w:adjustRightInd w:val="0"/>
      <w:snapToGrid w:val="0"/>
      <w:spacing w:line="360" w:lineRule="auto"/>
      <w:ind w:left="1620" w:leftChars="600" w:hanging="360" w:hangingChars="200"/>
    </w:pPr>
    <w:rPr>
      <w:kern w:val="0"/>
      <w:sz w:val="24"/>
      <w:szCs w:val="28"/>
    </w:rPr>
  </w:style>
  <w:style w:type="paragraph" w:styleId="18">
    <w:name w:val="index 8"/>
    <w:basedOn w:val="1"/>
    <w:next w:val="1"/>
    <w:uiPriority w:val="0"/>
    <w:pPr>
      <w:adjustRightInd w:val="0"/>
      <w:snapToGrid w:val="0"/>
      <w:ind w:left="1400" w:leftChars="1400"/>
    </w:pPr>
    <w:rPr>
      <w:rFonts w:ascii="宋体"/>
      <w:sz w:val="28"/>
      <w:szCs w:val="20"/>
    </w:rPr>
  </w:style>
  <w:style w:type="paragraph" w:styleId="19">
    <w:name w:val="E-mail Signature"/>
    <w:basedOn w:val="1"/>
    <w:link w:val="560"/>
    <w:qFormat/>
    <w:uiPriority w:val="0"/>
    <w:pPr>
      <w:widowControl/>
      <w:adjustRightInd w:val="0"/>
      <w:snapToGrid w:val="0"/>
      <w:spacing w:line="360" w:lineRule="auto"/>
      <w:ind w:firstLine="560" w:firstLineChars="200"/>
    </w:pPr>
    <w:rPr>
      <w:kern w:val="0"/>
      <w:sz w:val="24"/>
      <w:szCs w:val="28"/>
    </w:rPr>
  </w:style>
  <w:style w:type="paragraph" w:styleId="20">
    <w:name w:val="List Number"/>
    <w:basedOn w:val="1"/>
    <w:link w:val="2232"/>
    <w:qFormat/>
    <w:uiPriority w:val="0"/>
    <w:pPr>
      <w:widowControl/>
      <w:tabs>
        <w:tab w:val="left" w:pos="360"/>
      </w:tabs>
      <w:adjustRightInd w:val="0"/>
      <w:snapToGrid w:val="0"/>
      <w:spacing w:line="360" w:lineRule="auto"/>
      <w:ind w:left="360" w:hanging="360" w:hangingChars="200"/>
    </w:pPr>
    <w:rPr>
      <w:kern w:val="0"/>
      <w:sz w:val="24"/>
      <w:szCs w:val="28"/>
    </w:rPr>
  </w:style>
  <w:style w:type="paragraph" w:styleId="21">
    <w:name w:val="Normal Indent"/>
    <w:basedOn w:val="1"/>
    <w:link w:val="166"/>
    <w:qFormat/>
    <w:uiPriority w:val="0"/>
    <w:pPr>
      <w:ind w:firstLine="420"/>
    </w:pPr>
    <w:rPr>
      <w:szCs w:val="20"/>
    </w:rPr>
  </w:style>
  <w:style w:type="paragraph" w:styleId="22">
    <w:name w:val="caption"/>
    <w:next w:val="1"/>
    <w:link w:val="267"/>
    <w:unhideWhenUsed/>
    <w:qFormat/>
    <w:uiPriority w:val="0"/>
    <w:pPr>
      <w:spacing w:line="320" w:lineRule="exact"/>
      <w:jc w:val="center"/>
    </w:pPr>
    <w:rPr>
      <w:rFonts w:ascii="Times New Roman" w:hAnsi="Times New Roman" w:eastAsia="黑体" w:cstheme="majorBidi"/>
      <w:bCs/>
      <w:sz w:val="21"/>
      <w:lang w:val="en-US" w:eastAsia="zh-CN" w:bidi="ar-SA"/>
    </w:rPr>
  </w:style>
  <w:style w:type="paragraph" w:styleId="23">
    <w:name w:val="index 5"/>
    <w:basedOn w:val="1"/>
    <w:next w:val="1"/>
    <w:uiPriority w:val="0"/>
    <w:pPr>
      <w:adjustRightInd w:val="0"/>
      <w:snapToGrid w:val="0"/>
      <w:ind w:left="800" w:leftChars="800"/>
    </w:pPr>
    <w:rPr>
      <w:rFonts w:ascii="宋体"/>
      <w:sz w:val="28"/>
      <w:szCs w:val="20"/>
    </w:rPr>
  </w:style>
  <w:style w:type="paragraph" w:styleId="24">
    <w:name w:val="List Bullet"/>
    <w:basedOn w:val="1"/>
    <w:qFormat/>
    <w:uiPriority w:val="0"/>
    <w:pPr>
      <w:tabs>
        <w:tab w:val="left" w:pos="360"/>
      </w:tabs>
      <w:ind w:left="360" w:hanging="360"/>
    </w:pPr>
  </w:style>
  <w:style w:type="paragraph" w:styleId="25">
    <w:name w:val="envelope address"/>
    <w:basedOn w:val="1"/>
    <w:qFormat/>
    <w:uiPriority w:val="0"/>
    <w:pPr>
      <w:widowControl/>
      <w:adjustRightInd w:val="0"/>
      <w:snapToGrid w:val="0"/>
      <w:spacing w:line="360" w:lineRule="auto"/>
      <w:ind w:left="100" w:leftChars="1400" w:firstLine="560" w:firstLineChars="200"/>
    </w:pPr>
    <w:rPr>
      <w:rFonts w:ascii="Arial" w:hAnsi="Arial" w:cs="Arial"/>
      <w:kern w:val="0"/>
      <w:sz w:val="24"/>
    </w:rPr>
  </w:style>
  <w:style w:type="paragraph" w:styleId="26">
    <w:name w:val="Document Map"/>
    <w:basedOn w:val="1"/>
    <w:link w:val="162"/>
    <w:qFormat/>
    <w:uiPriority w:val="0"/>
    <w:pPr>
      <w:shd w:val="clear" w:color="auto" w:fill="000080"/>
    </w:pPr>
    <w:rPr>
      <w:szCs w:val="20"/>
    </w:rPr>
  </w:style>
  <w:style w:type="paragraph" w:styleId="27">
    <w:name w:val="toa heading"/>
    <w:basedOn w:val="1"/>
    <w:next w:val="1"/>
    <w:qFormat/>
    <w:uiPriority w:val="0"/>
    <w:pPr>
      <w:spacing w:before="120" w:line="360" w:lineRule="auto"/>
      <w:ind w:firstLine="200" w:firstLineChars="200"/>
    </w:pPr>
    <w:rPr>
      <w:rFonts w:ascii="Arial" w:hAnsi="Arial" w:cs="Arial"/>
      <w:sz w:val="24"/>
    </w:rPr>
  </w:style>
  <w:style w:type="paragraph" w:styleId="28">
    <w:name w:val="annotation text"/>
    <w:basedOn w:val="1"/>
    <w:link w:val="126"/>
    <w:qFormat/>
    <w:uiPriority w:val="99"/>
    <w:pPr>
      <w:jc w:val="left"/>
    </w:pPr>
  </w:style>
  <w:style w:type="paragraph" w:styleId="29">
    <w:name w:val="index 6"/>
    <w:basedOn w:val="1"/>
    <w:next w:val="1"/>
    <w:uiPriority w:val="0"/>
    <w:pPr>
      <w:adjustRightInd w:val="0"/>
      <w:snapToGrid w:val="0"/>
      <w:ind w:left="1000" w:leftChars="1000"/>
    </w:pPr>
    <w:rPr>
      <w:rFonts w:ascii="宋体"/>
      <w:sz w:val="28"/>
      <w:szCs w:val="20"/>
    </w:rPr>
  </w:style>
  <w:style w:type="paragraph" w:styleId="30">
    <w:name w:val="Salutation"/>
    <w:basedOn w:val="1"/>
    <w:next w:val="1"/>
    <w:link w:val="557"/>
    <w:qFormat/>
    <w:uiPriority w:val="0"/>
    <w:pPr>
      <w:widowControl/>
      <w:adjustRightInd w:val="0"/>
      <w:snapToGrid w:val="0"/>
      <w:spacing w:line="360" w:lineRule="auto"/>
      <w:ind w:firstLine="560" w:firstLineChars="200"/>
    </w:pPr>
    <w:rPr>
      <w:kern w:val="0"/>
      <w:sz w:val="24"/>
      <w:szCs w:val="28"/>
    </w:rPr>
  </w:style>
  <w:style w:type="paragraph" w:styleId="31">
    <w:name w:val="Body Text 3"/>
    <w:basedOn w:val="1"/>
    <w:link w:val="176"/>
    <w:qFormat/>
    <w:uiPriority w:val="0"/>
    <w:rPr>
      <w:rFonts w:ascii="仿宋_GB2312" w:eastAsia="仿宋_GB2312"/>
      <w:sz w:val="24"/>
    </w:rPr>
  </w:style>
  <w:style w:type="paragraph" w:styleId="32">
    <w:name w:val="Closing"/>
    <w:basedOn w:val="1"/>
    <w:link w:val="706"/>
    <w:qFormat/>
    <w:uiPriority w:val="0"/>
    <w:pPr>
      <w:ind w:left="100" w:leftChars="2100"/>
    </w:pPr>
  </w:style>
  <w:style w:type="paragraph" w:styleId="33">
    <w:name w:val="List Bullet 3"/>
    <w:basedOn w:val="1"/>
    <w:qFormat/>
    <w:uiPriority w:val="0"/>
    <w:pPr>
      <w:widowControl/>
      <w:tabs>
        <w:tab w:val="left" w:pos="1200"/>
      </w:tabs>
      <w:adjustRightInd w:val="0"/>
      <w:snapToGrid w:val="0"/>
      <w:spacing w:line="360" w:lineRule="auto"/>
      <w:ind w:left="1200" w:leftChars="400" w:hanging="360" w:hangingChars="200"/>
    </w:pPr>
    <w:rPr>
      <w:kern w:val="0"/>
      <w:sz w:val="24"/>
      <w:szCs w:val="28"/>
    </w:rPr>
  </w:style>
  <w:style w:type="paragraph" w:styleId="34">
    <w:name w:val="Body Text"/>
    <w:basedOn w:val="1"/>
    <w:link w:val="122"/>
    <w:qFormat/>
    <w:uiPriority w:val="0"/>
    <w:rPr>
      <w:rFonts w:eastAsia="楷体_GB2312"/>
      <w:sz w:val="32"/>
      <w:szCs w:val="20"/>
    </w:rPr>
  </w:style>
  <w:style w:type="paragraph" w:styleId="35">
    <w:name w:val="Body Text Indent"/>
    <w:basedOn w:val="1"/>
    <w:link w:val="330"/>
    <w:qFormat/>
    <w:uiPriority w:val="0"/>
    <w:pPr>
      <w:spacing w:line="400" w:lineRule="exact"/>
      <w:ind w:firstLine="420"/>
    </w:pPr>
  </w:style>
  <w:style w:type="paragraph" w:styleId="36">
    <w:name w:val="List Number 3"/>
    <w:basedOn w:val="1"/>
    <w:qFormat/>
    <w:uiPriority w:val="0"/>
    <w:pPr>
      <w:widowControl/>
      <w:tabs>
        <w:tab w:val="left" w:pos="1200"/>
      </w:tabs>
      <w:adjustRightInd w:val="0"/>
      <w:snapToGrid w:val="0"/>
      <w:spacing w:line="360" w:lineRule="auto"/>
      <w:ind w:left="1200" w:leftChars="400" w:hanging="360" w:hangingChars="200"/>
    </w:pPr>
    <w:rPr>
      <w:kern w:val="0"/>
      <w:sz w:val="24"/>
      <w:szCs w:val="28"/>
    </w:rPr>
  </w:style>
  <w:style w:type="paragraph" w:styleId="37">
    <w:name w:val="List 2"/>
    <w:basedOn w:val="1"/>
    <w:qFormat/>
    <w:uiPriority w:val="0"/>
    <w:pPr>
      <w:widowControl/>
      <w:adjustRightInd w:val="0"/>
      <w:snapToGrid w:val="0"/>
      <w:spacing w:line="360" w:lineRule="auto"/>
      <w:ind w:left="100" w:leftChars="200" w:hanging="200" w:hangingChars="200"/>
    </w:pPr>
    <w:rPr>
      <w:kern w:val="0"/>
      <w:sz w:val="24"/>
      <w:szCs w:val="28"/>
    </w:rPr>
  </w:style>
  <w:style w:type="paragraph" w:styleId="38">
    <w:name w:val="List Continue"/>
    <w:basedOn w:val="1"/>
    <w:qFormat/>
    <w:uiPriority w:val="0"/>
    <w:pPr>
      <w:widowControl/>
      <w:adjustRightInd w:val="0"/>
      <w:snapToGrid w:val="0"/>
      <w:spacing w:after="120" w:line="360" w:lineRule="auto"/>
      <w:ind w:left="420" w:leftChars="200" w:firstLine="560" w:firstLineChars="200"/>
    </w:pPr>
    <w:rPr>
      <w:kern w:val="0"/>
      <w:sz w:val="24"/>
      <w:szCs w:val="28"/>
    </w:rPr>
  </w:style>
  <w:style w:type="paragraph" w:styleId="39">
    <w:name w:val="Block Text"/>
    <w:basedOn w:val="1"/>
    <w:qFormat/>
    <w:uiPriority w:val="0"/>
    <w:pPr>
      <w:spacing w:line="460" w:lineRule="atLeast"/>
      <w:ind w:left="108" w:right="170" w:firstLine="499"/>
    </w:pPr>
    <w:rPr>
      <w:sz w:val="24"/>
      <w:szCs w:val="20"/>
    </w:rPr>
  </w:style>
  <w:style w:type="paragraph" w:styleId="40">
    <w:name w:val="List Bullet 2"/>
    <w:basedOn w:val="1"/>
    <w:qFormat/>
    <w:uiPriority w:val="0"/>
    <w:pPr>
      <w:tabs>
        <w:tab w:val="left" w:pos="780"/>
      </w:tabs>
      <w:spacing w:line="560" w:lineRule="exact"/>
      <w:ind w:left="780" w:hanging="360"/>
    </w:pPr>
    <w:rPr>
      <w:sz w:val="24"/>
    </w:rPr>
  </w:style>
  <w:style w:type="paragraph" w:styleId="41">
    <w:name w:val="HTML Address"/>
    <w:basedOn w:val="1"/>
    <w:link w:val="372"/>
    <w:qFormat/>
    <w:uiPriority w:val="0"/>
    <w:pPr>
      <w:widowControl/>
      <w:adjustRightInd w:val="0"/>
      <w:snapToGrid w:val="0"/>
      <w:spacing w:line="360" w:lineRule="auto"/>
      <w:ind w:firstLine="560" w:firstLineChars="200"/>
    </w:pPr>
    <w:rPr>
      <w:i/>
      <w:iCs/>
      <w:kern w:val="0"/>
      <w:sz w:val="24"/>
      <w:szCs w:val="28"/>
    </w:rPr>
  </w:style>
  <w:style w:type="paragraph" w:styleId="42">
    <w:name w:val="index 4"/>
    <w:basedOn w:val="1"/>
    <w:next w:val="1"/>
    <w:uiPriority w:val="0"/>
    <w:pPr>
      <w:adjustRightInd w:val="0"/>
      <w:snapToGrid w:val="0"/>
      <w:ind w:left="600" w:leftChars="600"/>
    </w:pPr>
    <w:rPr>
      <w:rFonts w:ascii="宋体"/>
      <w:sz w:val="28"/>
      <w:szCs w:val="20"/>
    </w:rPr>
  </w:style>
  <w:style w:type="paragraph" w:styleId="43">
    <w:name w:val="toc 5"/>
    <w:basedOn w:val="1"/>
    <w:next w:val="1"/>
    <w:unhideWhenUsed/>
    <w:uiPriority w:val="39"/>
    <w:pPr>
      <w:spacing w:after="200"/>
      <w:ind w:left="1680" w:leftChars="800"/>
    </w:pPr>
    <w:rPr>
      <w:rFonts w:ascii="Calibri" w:hAnsi="Calibri"/>
      <w:szCs w:val="22"/>
    </w:rPr>
  </w:style>
  <w:style w:type="paragraph" w:styleId="44">
    <w:name w:val="toc 3"/>
    <w:basedOn w:val="1"/>
    <w:next w:val="1"/>
    <w:unhideWhenUsed/>
    <w:uiPriority w:val="39"/>
    <w:pPr>
      <w:widowControl/>
      <w:adjustRightInd w:val="0"/>
      <w:snapToGrid w:val="0"/>
      <w:spacing w:beforeLines="50" w:afterLines="50" w:line="336" w:lineRule="auto"/>
      <w:ind w:left="840" w:leftChars="400" w:firstLine="200" w:firstLineChars="200"/>
    </w:pPr>
    <w:rPr>
      <w:kern w:val="0"/>
      <w:sz w:val="24"/>
      <w:szCs w:val="22"/>
    </w:rPr>
  </w:style>
  <w:style w:type="paragraph" w:styleId="45">
    <w:name w:val="Plain Text"/>
    <w:basedOn w:val="1"/>
    <w:link w:val="124"/>
    <w:qFormat/>
    <w:uiPriority w:val="0"/>
    <w:rPr>
      <w:rFonts w:ascii="宋体" w:hAnsi="Courier New"/>
    </w:rPr>
  </w:style>
  <w:style w:type="paragraph" w:styleId="46">
    <w:name w:val="List Bullet 5"/>
    <w:basedOn w:val="1"/>
    <w:qFormat/>
    <w:uiPriority w:val="0"/>
    <w:pPr>
      <w:tabs>
        <w:tab w:val="left" w:pos="2040"/>
      </w:tabs>
      <w:ind w:left="2040" w:leftChars="800" w:hanging="360" w:hangingChars="200"/>
    </w:pPr>
    <w:rPr>
      <w:rFonts w:hint="eastAsia" w:ascii="宋体" w:hAnsi="宋体"/>
      <w:sz w:val="24"/>
    </w:rPr>
  </w:style>
  <w:style w:type="paragraph" w:styleId="47">
    <w:name w:val="List Number 4"/>
    <w:basedOn w:val="1"/>
    <w:qFormat/>
    <w:uiPriority w:val="0"/>
    <w:pPr>
      <w:widowControl/>
      <w:tabs>
        <w:tab w:val="left" w:pos="1620"/>
      </w:tabs>
      <w:adjustRightInd w:val="0"/>
      <w:snapToGrid w:val="0"/>
      <w:spacing w:line="360" w:lineRule="auto"/>
      <w:ind w:left="1620" w:leftChars="600" w:hanging="360" w:hangingChars="200"/>
    </w:pPr>
    <w:rPr>
      <w:kern w:val="0"/>
      <w:sz w:val="24"/>
      <w:szCs w:val="28"/>
    </w:rPr>
  </w:style>
  <w:style w:type="paragraph" w:styleId="48">
    <w:name w:val="toc 8"/>
    <w:basedOn w:val="1"/>
    <w:next w:val="1"/>
    <w:unhideWhenUsed/>
    <w:qFormat/>
    <w:uiPriority w:val="39"/>
    <w:pPr>
      <w:spacing w:after="200"/>
      <w:ind w:left="2940" w:leftChars="1400"/>
    </w:pPr>
    <w:rPr>
      <w:rFonts w:ascii="Calibri" w:hAnsi="Calibri"/>
      <w:szCs w:val="22"/>
    </w:rPr>
  </w:style>
  <w:style w:type="paragraph" w:styleId="49">
    <w:name w:val="index 3"/>
    <w:basedOn w:val="1"/>
    <w:next w:val="1"/>
    <w:qFormat/>
    <w:uiPriority w:val="0"/>
    <w:pPr>
      <w:ind w:left="400" w:leftChars="400"/>
      <w:jc w:val="left"/>
    </w:pPr>
  </w:style>
  <w:style w:type="paragraph" w:styleId="50">
    <w:name w:val="Date"/>
    <w:basedOn w:val="1"/>
    <w:next w:val="1"/>
    <w:link w:val="375"/>
    <w:qFormat/>
    <w:uiPriority w:val="0"/>
    <w:pPr>
      <w:adjustRightInd w:val="0"/>
      <w:snapToGrid w:val="0"/>
      <w:spacing w:line="360" w:lineRule="auto"/>
      <w:ind w:left="100" w:leftChars="2500" w:firstLine="200" w:firstLineChars="200"/>
    </w:pPr>
    <w:rPr>
      <w:kern w:val="0"/>
      <w:sz w:val="24"/>
    </w:rPr>
  </w:style>
  <w:style w:type="paragraph" w:styleId="51">
    <w:name w:val="Body Text Indent 2"/>
    <w:basedOn w:val="1"/>
    <w:link w:val="191"/>
    <w:qFormat/>
    <w:uiPriority w:val="0"/>
    <w:pPr>
      <w:spacing w:line="480" w:lineRule="exact"/>
      <w:ind w:firstLine="430" w:firstLineChars="205"/>
    </w:pPr>
    <w:rPr>
      <w:rFonts w:ascii="宋体" w:hAnsi="宋体"/>
    </w:rPr>
  </w:style>
  <w:style w:type="paragraph" w:styleId="52">
    <w:name w:val="endnote text"/>
    <w:basedOn w:val="1"/>
    <w:link w:val="541"/>
    <w:unhideWhenUsed/>
    <w:qFormat/>
    <w:uiPriority w:val="0"/>
    <w:pPr>
      <w:snapToGrid w:val="0"/>
      <w:jc w:val="left"/>
    </w:pPr>
    <w:rPr>
      <w:kern w:val="0"/>
      <w:sz w:val="24"/>
    </w:rPr>
  </w:style>
  <w:style w:type="paragraph" w:styleId="53">
    <w:name w:val="List Continue 5"/>
    <w:basedOn w:val="1"/>
    <w:qFormat/>
    <w:uiPriority w:val="0"/>
    <w:pPr>
      <w:widowControl/>
      <w:adjustRightInd w:val="0"/>
      <w:snapToGrid w:val="0"/>
      <w:spacing w:after="120" w:line="360" w:lineRule="auto"/>
      <w:ind w:left="2100" w:leftChars="1000" w:firstLine="560" w:firstLineChars="200"/>
    </w:pPr>
    <w:rPr>
      <w:kern w:val="0"/>
      <w:sz w:val="24"/>
      <w:szCs w:val="28"/>
    </w:rPr>
  </w:style>
  <w:style w:type="paragraph" w:styleId="54">
    <w:name w:val="Balloon Text"/>
    <w:basedOn w:val="1"/>
    <w:link w:val="130"/>
    <w:qFormat/>
    <w:uiPriority w:val="0"/>
    <w:rPr>
      <w:sz w:val="18"/>
      <w:szCs w:val="18"/>
    </w:rPr>
  </w:style>
  <w:style w:type="paragraph" w:styleId="55">
    <w:name w:val="footer"/>
    <w:basedOn w:val="1"/>
    <w:link w:val="132"/>
    <w:qFormat/>
    <w:uiPriority w:val="0"/>
    <w:pPr>
      <w:tabs>
        <w:tab w:val="center" w:pos="4153"/>
        <w:tab w:val="right" w:pos="8306"/>
      </w:tabs>
      <w:snapToGrid w:val="0"/>
      <w:jc w:val="left"/>
    </w:pPr>
    <w:rPr>
      <w:sz w:val="18"/>
      <w:szCs w:val="20"/>
    </w:rPr>
  </w:style>
  <w:style w:type="paragraph" w:styleId="56">
    <w:name w:val="envelope return"/>
    <w:basedOn w:val="1"/>
    <w:qFormat/>
    <w:uiPriority w:val="0"/>
    <w:pPr>
      <w:widowControl/>
      <w:adjustRightInd w:val="0"/>
      <w:snapToGrid w:val="0"/>
      <w:spacing w:line="360" w:lineRule="auto"/>
      <w:ind w:firstLine="560" w:firstLineChars="200"/>
    </w:pPr>
    <w:rPr>
      <w:rFonts w:ascii="Arial" w:hAnsi="Arial" w:cs="Arial"/>
      <w:kern w:val="0"/>
      <w:sz w:val="24"/>
      <w:szCs w:val="28"/>
    </w:rPr>
  </w:style>
  <w:style w:type="paragraph" w:styleId="57">
    <w:name w:val="header"/>
    <w:basedOn w:val="1"/>
    <w:link w:val="177"/>
    <w:qFormat/>
    <w:uiPriority w:val="0"/>
    <w:pPr>
      <w:pBdr>
        <w:bottom w:val="single" w:color="auto" w:sz="6" w:space="1"/>
      </w:pBdr>
      <w:tabs>
        <w:tab w:val="center" w:pos="4153"/>
        <w:tab w:val="right" w:pos="8306"/>
      </w:tabs>
      <w:snapToGrid w:val="0"/>
      <w:jc w:val="center"/>
    </w:pPr>
    <w:rPr>
      <w:sz w:val="18"/>
      <w:szCs w:val="18"/>
    </w:rPr>
  </w:style>
  <w:style w:type="paragraph" w:styleId="58">
    <w:name w:val="Signature"/>
    <w:basedOn w:val="1"/>
    <w:link w:val="563"/>
    <w:qFormat/>
    <w:uiPriority w:val="0"/>
    <w:pPr>
      <w:widowControl/>
      <w:adjustRightInd w:val="0"/>
      <w:snapToGrid w:val="0"/>
      <w:spacing w:line="360" w:lineRule="auto"/>
      <w:ind w:left="100" w:leftChars="2100" w:firstLine="560" w:firstLineChars="200"/>
    </w:pPr>
    <w:rPr>
      <w:kern w:val="0"/>
      <w:sz w:val="24"/>
      <w:szCs w:val="28"/>
    </w:rPr>
  </w:style>
  <w:style w:type="paragraph" w:styleId="59">
    <w:name w:val="toc 1"/>
    <w:basedOn w:val="1"/>
    <w:next w:val="1"/>
    <w:unhideWhenUsed/>
    <w:qFormat/>
    <w:uiPriority w:val="39"/>
    <w:pPr>
      <w:widowControl/>
      <w:tabs>
        <w:tab w:val="right" w:leader="dot" w:pos="8296"/>
      </w:tabs>
      <w:adjustRightInd w:val="0"/>
      <w:snapToGrid w:val="0"/>
      <w:spacing w:beforeLines="50" w:afterLines="50" w:line="336" w:lineRule="auto"/>
      <w:ind w:firstLine="480" w:firstLineChars="200"/>
    </w:pPr>
    <w:rPr>
      <w:kern w:val="0"/>
      <w:sz w:val="24"/>
      <w:szCs w:val="22"/>
    </w:rPr>
  </w:style>
  <w:style w:type="paragraph" w:styleId="60">
    <w:name w:val="List Continue 4"/>
    <w:basedOn w:val="1"/>
    <w:qFormat/>
    <w:uiPriority w:val="0"/>
    <w:pPr>
      <w:widowControl/>
      <w:adjustRightInd w:val="0"/>
      <w:snapToGrid w:val="0"/>
      <w:spacing w:after="120" w:line="360" w:lineRule="auto"/>
      <w:ind w:left="1680" w:leftChars="800" w:firstLine="560" w:firstLineChars="200"/>
    </w:pPr>
    <w:rPr>
      <w:kern w:val="0"/>
      <w:sz w:val="24"/>
      <w:szCs w:val="28"/>
    </w:rPr>
  </w:style>
  <w:style w:type="paragraph" w:styleId="61">
    <w:name w:val="toc 4"/>
    <w:basedOn w:val="1"/>
    <w:next w:val="1"/>
    <w:unhideWhenUsed/>
    <w:qFormat/>
    <w:uiPriority w:val="39"/>
    <w:pPr>
      <w:spacing w:after="200"/>
      <w:ind w:left="1260" w:leftChars="600"/>
    </w:pPr>
    <w:rPr>
      <w:rFonts w:ascii="Calibri" w:hAnsi="Calibri"/>
      <w:szCs w:val="22"/>
    </w:rPr>
  </w:style>
  <w:style w:type="paragraph" w:styleId="62">
    <w:name w:val="index heading"/>
    <w:basedOn w:val="1"/>
    <w:next w:val="63"/>
    <w:qFormat/>
    <w:uiPriority w:val="0"/>
    <w:pPr>
      <w:widowControl/>
      <w:autoSpaceDE w:val="0"/>
      <w:autoSpaceDN w:val="0"/>
      <w:adjustRightInd w:val="0"/>
      <w:spacing w:before="120" w:after="120" w:line="360" w:lineRule="exact"/>
      <w:ind w:firstLine="200"/>
      <w:textAlignment w:val="bottom"/>
    </w:pPr>
    <w:rPr>
      <w:rFonts w:ascii="Arial" w:hAnsi="Arial" w:eastAsia="仿宋_GB2312" w:cs="Arial"/>
      <w:b/>
      <w:bCs/>
      <w:kern w:val="0"/>
      <w:sz w:val="24"/>
      <w:szCs w:val="20"/>
    </w:rPr>
  </w:style>
  <w:style w:type="paragraph" w:styleId="63">
    <w:name w:val="index 1"/>
    <w:basedOn w:val="1"/>
    <w:next w:val="1"/>
    <w:unhideWhenUsed/>
    <w:qFormat/>
    <w:uiPriority w:val="0"/>
    <w:rPr>
      <w:rFonts w:ascii="Calibri" w:hAnsi="Calibri"/>
      <w:szCs w:val="22"/>
    </w:rPr>
  </w:style>
  <w:style w:type="paragraph" w:styleId="64">
    <w:name w:val="Subtitle"/>
    <w:basedOn w:val="1"/>
    <w:link w:val="311"/>
    <w:qFormat/>
    <w:uiPriority w:val="0"/>
    <w:pPr>
      <w:tabs>
        <w:tab w:val="left" w:pos="425"/>
      </w:tabs>
      <w:spacing w:before="240" w:after="60" w:line="312" w:lineRule="auto"/>
      <w:ind w:left="425" w:hanging="425"/>
      <w:jc w:val="center"/>
      <w:outlineLvl w:val="1"/>
    </w:pPr>
    <w:rPr>
      <w:rFonts w:ascii="Arial" w:hAnsi="Arial"/>
      <w:b/>
      <w:bCs/>
      <w:kern w:val="28"/>
      <w:sz w:val="32"/>
      <w:szCs w:val="32"/>
    </w:rPr>
  </w:style>
  <w:style w:type="paragraph" w:styleId="65">
    <w:name w:val="List Number 5"/>
    <w:basedOn w:val="1"/>
    <w:link w:val="354"/>
    <w:qFormat/>
    <w:uiPriority w:val="0"/>
    <w:pPr>
      <w:widowControl/>
      <w:tabs>
        <w:tab w:val="left" w:pos="2040"/>
      </w:tabs>
      <w:adjustRightInd w:val="0"/>
      <w:snapToGrid w:val="0"/>
      <w:spacing w:line="360" w:lineRule="auto"/>
      <w:ind w:left="2040" w:leftChars="800" w:hanging="360" w:hangingChars="200"/>
    </w:pPr>
    <w:rPr>
      <w:kern w:val="0"/>
      <w:sz w:val="18"/>
      <w:szCs w:val="18"/>
    </w:rPr>
  </w:style>
  <w:style w:type="paragraph" w:styleId="66">
    <w:name w:val="List"/>
    <w:basedOn w:val="1"/>
    <w:next w:val="34"/>
    <w:link w:val="2670"/>
    <w:qFormat/>
    <w:uiPriority w:val="0"/>
    <w:pPr>
      <w:tabs>
        <w:tab w:val="left" w:pos="283"/>
      </w:tabs>
      <w:adjustRightInd w:val="0"/>
      <w:snapToGrid w:val="0"/>
      <w:spacing w:beforeLines="50" w:line="500" w:lineRule="atLeast"/>
      <w:jc w:val="left"/>
    </w:pPr>
    <w:rPr>
      <w:b/>
      <w:sz w:val="28"/>
      <w:szCs w:val="20"/>
    </w:rPr>
  </w:style>
  <w:style w:type="paragraph" w:styleId="67">
    <w:name w:val="footnote text"/>
    <w:basedOn w:val="1"/>
    <w:link w:val="789"/>
    <w:qFormat/>
    <w:uiPriority w:val="0"/>
    <w:pPr>
      <w:snapToGrid w:val="0"/>
      <w:jc w:val="left"/>
    </w:pPr>
    <w:rPr>
      <w:sz w:val="18"/>
      <w:szCs w:val="18"/>
    </w:rPr>
  </w:style>
  <w:style w:type="paragraph" w:styleId="68">
    <w:name w:val="toc 6"/>
    <w:basedOn w:val="1"/>
    <w:next w:val="1"/>
    <w:unhideWhenUsed/>
    <w:qFormat/>
    <w:uiPriority w:val="39"/>
    <w:pPr>
      <w:spacing w:after="200"/>
      <w:ind w:left="2100" w:leftChars="1000"/>
    </w:pPr>
    <w:rPr>
      <w:rFonts w:ascii="Calibri" w:hAnsi="Calibri"/>
      <w:szCs w:val="22"/>
    </w:rPr>
  </w:style>
  <w:style w:type="paragraph" w:styleId="69">
    <w:name w:val="List 5"/>
    <w:basedOn w:val="1"/>
    <w:qFormat/>
    <w:uiPriority w:val="0"/>
    <w:pPr>
      <w:widowControl/>
      <w:adjustRightInd w:val="0"/>
      <w:snapToGrid w:val="0"/>
      <w:spacing w:line="360" w:lineRule="auto"/>
      <w:ind w:left="100" w:leftChars="800" w:hanging="200" w:hangingChars="200"/>
    </w:pPr>
    <w:rPr>
      <w:kern w:val="0"/>
      <w:sz w:val="24"/>
      <w:szCs w:val="28"/>
    </w:rPr>
  </w:style>
  <w:style w:type="paragraph" w:styleId="70">
    <w:name w:val="Body Text Indent 3"/>
    <w:basedOn w:val="1"/>
    <w:link w:val="262"/>
    <w:qFormat/>
    <w:uiPriority w:val="0"/>
    <w:pPr>
      <w:spacing w:line="280" w:lineRule="exact"/>
      <w:ind w:left="602" w:hanging="602"/>
    </w:pPr>
    <w:rPr>
      <w:szCs w:val="20"/>
    </w:rPr>
  </w:style>
  <w:style w:type="paragraph" w:styleId="71">
    <w:name w:val="index 7"/>
    <w:basedOn w:val="1"/>
    <w:next w:val="1"/>
    <w:qFormat/>
    <w:uiPriority w:val="0"/>
    <w:pPr>
      <w:adjustRightInd w:val="0"/>
      <w:snapToGrid w:val="0"/>
      <w:ind w:left="1200" w:leftChars="1200"/>
    </w:pPr>
    <w:rPr>
      <w:rFonts w:ascii="宋体"/>
      <w:sz w:val="28"/>
      <w:szCs w:val="20"/>
    </w:rPr>
  </w:style>
  <w:style w:type="paragraph" w:styleId="72">
    <w:name w:val="index 9"/>
    <w:basedOn w:val="1"/>
    <w:next w:val="1"/>
    <w:qFormat/>
    <w:uiPriority w:val="0"/>
    <w:pPr>
      <w:spacing w:line="360" w:lineRule="auto"/>
      <w:ind w:left="3360"/>
    </w:pPr>
    <w:rPr>
      <w:sz w:val="24"/>
      <w:szCs w:val="20"/>
    </w:rPr>
  </w:style>
  <w:style w:type="paragraph" w:styleId="73">
    <w:name w:val="table of figures"/>
    <w:basedOn w:val="1"/>
    <w:next w:val="1"/>
    <w:qFormat/>
    <w:uiPriority w:val="0"/>
    <w:pPr>
      <w:ind w:left="840" w:leftChars="200" w:hanging="420" w:hangingChars="200"/>
    </w:pPr>
  </w:style>
  <w:style w:type="paragraph" w:styleId="74">
    <w:name w:val="toc 2"/>
    <w:basedOn w:val="1"/>
    <w:next w:val="1"/>
    <w:unhideWhenUsed/>
    <w:qFormat/>
    <w:uiPriority w:val="39"/>
    <w:pPr>
      <w:widowControl/>
      <w:tabs>
        <w:tab w:val="right" w:leader="dot" w:pos="8296"/>
      </w:tabs>
      <w:adjustRightInd w:val="0"/>
      <w:snapToGrid w:val="0"/>
      <w:spacing w:beforeLines="50" w:afterLines="50" w:line="336" w:lineRule="auto"/>
      <w:ind w:left="480" w:leftChars="200" w:firstLine="480" w:firstLineChars="200"/>
    </w:pPr>
    <w:rPr>
      <w:bCs/>
      <w:kern w:val="0"/>
      <w:sz w:val="24"/>
      <w:szCs w:val="22"/>
    </w:rPr>
  </w:style>
  <w:style w:type="paragraph" w:styleId="75">
    <w:name w:val="toc 9"/>
    <w:basedOn w:val="1"/>
    <w:next w:val="1"/>
    <w:unhideWhenUsed/>
    <w:qFormat/>
    <w:uiPriority w:val="39"/>
    <w:pPr>
      <w:spacing w:after="200"/>
      <w:ind w:left="3360" w:leftChars="1600"/>
    </w:pPr>
    <w:rPr>
      <w:rFonts w:ascii="Calibri" w:hAnsi="Calibri"/>
      <w:szCs w:val="22"/>
    </w:rPr>
  </w:style>
  <w:style w:type="paragraph" w:styleId="76">
    <w:name w:val="Body Text 2"/>
    <w:basedOn w:val="1"/>
    <w:link w:val="470"/>
    <w:qFormat/>
    <w:uiPriority w:val="0"/>
    <w:pPr>
      <w:spacing w:line="420" w:lineRule="auto"/>
      <w:jc w:val="center"/>
    </w:pPr>
    <w:rPr>
      <w:rFonts w:ascii="楷体_GB2312" w:eastAsia="楷体_GB2312"/>
      <w:szCs w:val="20"/>
    </w:rPr>
  </w:style>
  <w:style w:type="paragraph" w:styleId="77">
    <w:name w:val="List 4"/>
    <w:basedOn w:val="1"/>
    <w:qFormat/>
    <w:uiPriority w:val="0"/>
    <w:pPr>
      <w:ind w:left="100" w:leftChars="600" w:hanging="200" w:hangingChars="200"/>
    </w:pPr>
  </w:style>
  <w:style w:type="paragraph" w:styleId="78">
    <w:name w:val="List Continue 2"/>
    <w:basedOn w:val="1"/>
    <w:qFormat/>
    <w:uiPriority w:val="0"/>
    <w:pPr>
      <w:spacing w:after="120"/>
      <w:ind w:left="840" w:leftChars="400"/>
    </w:pPr>
  </w:style>
  <w:style w:type="paragraph" w:styleId="79">
    <w:name w:val="Message Header"/>
    <w:basedOn w:val="1"/>
    <w:link w:val="566"/>
    <w:qFormat/>
    <w:uiPriority w:val="0"/>
    <w:pPr>
      <w:widowControl/>
      <w:pBdr>
        <w:top w:val="single" w:color="auto" w:sz="6" w:space="1"/>
        <w:left w:val="single" w:color="auto" w:sz="6" w:space="1"/>
        <w:bottom w:val="single" w:color="auto" w:sz="6" w:space="1"/>
        <w:right w:val="single" w:color="auto" w:sz="6" w:space="1"/>
      </w:pBdr>
      <w:shd w:val="pct20" w:color="auto" w:fill="auto"/>
      <w:adjustRightInd w:val="0"/>
      <w:snapToGrid w:val="0"/>
      <w:spacing w:line="360" w:lineRule="auto"/>
      <w:ind w:left="1080" w:leftChars="500" w:hanging="1080" w:hangingChars="500"/>
    </w:pPr>
    <w:rPr>
      <w:rFonts w:ascii="Arial" w:hAnsi="Arial"/>
      <w:kern w:val="0"/>
      <w:sz w:val="24"/>
      <w:shd w:val="pct20" w:color="auto" w:fill="auto"/>
    </w:rPr>
  </w:style>
  <w:style w:type="paragraph" w:styleId="80">
    <w:name w:val="HTML Preformatted"/>
    <w:basedOn w:val="1"/>
    <w:link w:val="810"/>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81">
    <w:name w:val="Normal (Web)"/>
    <w:basedOn w:val="1"/>
    <w:qFormat/>
    <w:uiPriority w:val="0"/>
    <w:pPr>
      <w:widowControl/>
      <w:spacing w:before="100" w:beforeAutospacing="1" w:after="100" w:afterAutospacing="1"/>
      <w:jc w:val="left"/>
    </w:pPr>
    <w:rPr>
      <w:rFonts w:ascii="宋体" w:hAnsi="宋体"/>
      <w:kern w:val="0"/>
      <w:sz w:val="24"/>
    </w:rPr>
  </w:style>
  <w:style w:type="paragraph" w:styleId="82">
    <w:name w:val="List Continue 3"/>
    <w:basedOn w:val="1"/>
    <w:qFormat/>
    <w:uiPriority w:val="0"/>
    <w:pPr>
      <w:spacing w:after="120"/>
      <w:ind w:left="1260" w:leftChars="600"/>
    </w:pPr>
  </w:style>
  <w:style w:type="paragraph" w:styleId="83">
    <w:name w:val="index 2"/>
    <w:basedOn w:val="1"/>
    <w:next w:val="1"/>
    <w:qFormat/>
    <w:uiPriority w:val="0"/>
    <w:pPr>
      <w:ind w:left="200" w:leftChars="200"/>
      <w:jc w:val="left"/>
    </w:pPr>
  </w:style>
  <w:style w:type="paragraph" w:styleId="84">
    <w:name w:val="Title"/>
    <w:basedOn w:val="1"/>
    <w:next w:val="1"/>
    <w:link w:val="123"/>
    <w:qFormat/>
    <w:uiPriority w:val="0"/>
    <w:pPr>
      <w:widowControl/>
      <w:spacing w:before="240" w:after="60"/>
      <w:jc w:val="center"/>
      <w:outlineLvl w:val="0"/>
    </w:pPr>
    <w:rPr>
      <w:rFonts w:ascii="Cambria" w:hAnsi="Cambria"/>
      <w:b/>
      <w:kern w:val="28"/>
      <w:sz w:val="32"/>
      <w:lang w:eastAsia="en-US"/>
    </w:rPr>
  </w:style>
  <w:style w:type="paragraph" w:styleId="85">
    <w:name w:val="annotation subject"/>
    <w:basedOn w:val="28"/>
    <w:next w:val="28"/>
    <w:link w:val="127"/>
    <w:qFormat/>
    <w:uiPriority w:val="0"/>
    <w:rPr>
      <w:b/>
      <w:bCs/>
    </w:rPr>
  </w:style>
  <w:style w:type="paragraph" w:styleId="86">
    <w:name w:val="Body Text First Indent"/>
    <w:basedOn w:val="34"/>
    <w:qFormat/>
    <w:uiPriority w:val="0"/>
    <w:pPr>
      <w:spacing w:after="120"/>
      <w:ind w:firstLine="420" w:firstLineChars="100"/>
    </w:pPr>
    <w:rPr>
      <w:rFonts w:eastAsia="宋体"/>
      <w:sz w:val="21"/>
      <w:szCs w:val="24"/>
    </w:rPr>
  </w:style>
  <w:style w:type="paragraph" w:styleId="87">
    <w:name w:val="Body Text First Indent 2"/>
    <w:basedOn w:val="35"/>
    <w:link w:val="329"/>
    <w:qFormat/>
    <w:uiPriority w:val="0"/>
    <w:pPr>
      <w:spacing w:after="120" w:line="240" w:lineRule="auto"/>
      <w:ind w:left="420" w:leftChars="200" w:firstLine="200" w:firstLineChars="200"/>
    </w:pPr>
  </w:style>
  <w:style w:type="table" w:styleId="89">
    <w:name w:val="Table Grid"/>
    <w:basedOn w:val="8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styleId="90">
    <w:name w:val="Table Theme"/>
    <w:basedOn w:val="88"/>
    <w:qFormat/>
    <w:uiPriority w:val="0"/>
    <w:pPr>
      <w:widowControl w:val="0"/>
      <w:spacing w:after="200" w:line="276" w:lineRule="auto"/>
      <w:jc w:val="center"/>
    </w:pPr>
    <w:rPr>
      <w:szCs w:val="21"/>
      <w:lang w:eastAsia="en-US" w:bidi="en-US"/>
    </w:rPr>
    <w:tblPr>
      <w:tblBorders>
        <w:top w:val="single" w:color="auto" w:sz="12" w:space="0"/>
        <w:bottom w:val="single" w:color="auto" w:sz="12" w:space="0"/>
        <w:insideH w:val="single" w:color="auto" w:sz="6" w:space="0"/>
        <w:insideV w:val="single" w:color="auto" w:sz="6" w:space="0"/>
      </w:tblBorders>
      <w:tblLayout w:type="fixed"/>
      <w:tblCellMar>
        <w:top w:w="0" w:type="dxa"/>
        <w:left w:w="108" w:type="dxa"/>
        <w:bottom w:w="0" w:type="dxa"/>
        <w:right w:w="108" w:type="dxa"/>
      </w:tblCellMar>
    </w:tblPr>
    <w:tcPr>
      <w:tcMar>
        <w:left w:w="57" w:type="dxa"/>
        <w:right w:w="57" w:type="dxa"/>
      </w:tcMar>
      <w:vAlign w:val="center"/>
    </w:tcPr>
  </w:style>
  <w:style w:type="table" w:styleId="91">
    <w:name w:val="Table Elegant"/>
    <w:basedOn w:val="88"/>
    <w:qFormat/>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blPr>
        <w:tblLayout w:type="fixed"/>
      </w:tblPr>
      <w:tcPr>
        <w:tcBorders>
          <w:tl2br w:val="nil"/>
          <w:tr2bl w:val="nil"/>
        </w:tcBorders>
      </w:tcPr>
    </w:tblStylePr>
  </w:style>
  <w:style w:type="table" w:styleId="92">
    <w:name w:val="Table Simple 1"/>
    <w:basedOn w:val="88"/>
    <w:qFormat/>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blPr>
        <w:tblLayout w:type="fixed"/>
      </w:tblPr>
      <w:tcPr>
        <w:tcBorders>
          <w:bottom w:val="single" w:color="008000" w:sz="6" w:space="0"/>
          <w:tl2br w:val="nil"/>
          <w:tr2bl w:val="nil"/>
        </w:tcBorders>
      </w:tcPr>
    </w:tblStylePr>
    <w:tblStylePr w:type="lastRow">
      <w:tblPr>
        <w:tblLayout w:type="fixed"/>
      </w:tblPr>
      <w:tcPr>
        <w:tcBorders>
          <w:top w:val="single" w:color="008000" w:sz="6" w:space="0"/>
          <w:tl2br w:val="nil"/>
          <w:tr2bl w:val="nil"/>
        </w:tcBorders>
      </w:tcPr>
    </w:tblStylePr>
  </w:style>
  <w:style w:type="table" w:styleId="93">
    <w:name w:val="Table Grid 1"/>
    <w:basedOn w:val="88"/>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blPr>
        <w:tblLayout w:type="fixed"/>
      </w:tblPr>
      <w:tcPr>
        <w:tcBorders>
          <w:tl2br w:val="nil"/>
          <w:tr2bl w:val="nil"/>
        </w:tcBorders>
      </w:tcPr>
    </w:tblStylePr>
    <w:tblStylePr w:type="lastCol">
      <w:rPr>
        <w:i/>
        <w:iCs/>
      </w:rPr>
      <w:tblPr>
        <w:tblLayout w:type="fixed"/>
      </w:tblPr>
      <w:tcPr>
        <w:tcBorders>
          <w:tl2br w:val="nil"/>
          <w:tr2bl w:val="nil"/>
        </w:tcBorders>
      </w:tcPr>
    </w:tblStylePr>
    <w:tblStylePr w:type="nwCell">
      <w:tblPr>
        <w:tblLayout w:type="fixed"/>
      </w:tblPr>
      <w:tcPr>
        <w:tcBorders>
          <w:tl2br w:val="single" w:color="000000" w:sz="6" w:space="0"/>
          <w:tr2bl w:val="nil"/>
        </w:tcBorders>
      </w:tcPr>
    </w:tblStylePr>
  </w:style>
  <w:style w:type="table" w:styleId="94">
    <w:name w:val="Table Grid 5"/>
    <w:basedOn w:val="88"/>
    <w:qFormat/>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blPr>
        <w:tblLayout w:type="fixed"/>
      </w:tblPr>
      <w:tcPr>
        <w:tcBorders>
          <w:bottom w:val="single" w:color="000000" w:sz="12" w:space="0"/>
          <w:tl2br w:val="nil"/>
          <w:tr2bl w:val="nil"/>
        </w:tcBorders>
      </w:tcPr>
    </w:tblStylePr>
    <w:tblStylePr w:type="lastRow">
      <w:rPr>
        <w:b/>
        <w:bCs/>
      </w:rPr>
      <w:tblPr>
        <w:tblLayout w:type="fixed"/>
      </w:tblPr>
      <w:tcPr>
        <w:tcBorders>
          <w:tl2br w:val="nil"/>
          <w:tr2bl w:val="nil"/>
        </w:tcBorders>
      </w:tcPr>
    </w:tblStylePr>
    <w:tblStylePr w:type="lastCol">
      <w:rPr>
        <w:b/>
        <w:bCs/>
      </w:rPr>
      <w:tblPr>
        <w:tblLayout w:type="fixed"/>
      </w:tblPr>
      <w:tcPr>
        <w:tcBorders>
          <w:tl2br w:val="nil"/>
          <w:tr2bl w:val="nil"/>
        </w:tcBorders>
      </w:tcPr>
    </w:tblStylePr>
    <w:tblStylePr w:type="nwCell">
      <w:tblPr>
        <w:tblLayout w:type="fixed"/>
      </w:tblPr>
      <w:tcPr>
        <w:tcBorders>
          <w:tl2br w:val="single" w:color="000000" w:sz="6" w:space="0"/>
          <w:tr2bl w:val="nil"/>
        </w:tcBorders>
      </w:tcPr>
    </w:tblStylePr>
  </w:style>
  <w:style w:type="table" w:styleId="95">
    <w:name w:val="Table Grid 7"/>
    <w:basedOn w:val="88"/>
    <w:qFormat/>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blPr>
        <w:tblLayout w:type="fixed"/>
      </w:tblPr>
      <w:tcPr>
        <w:tcBorders>
          <w:bottom w:val="single" w:color="000000" w:sz="12" w:space="0"/>
          <w:tl2br w:val="nil"/>
          <w:tr2bl w:val="nil"/>
        </w:tcBorders>
      </w:tcPr>
    </w:tblStylePr>
    <w:tblStylePr w:type="lastRow">
      <w:rPr>
        <w:b w:val="0"/>
        <w:bCs w:val="0"/>
      </w:rPr>
      <w:tblPr>
        <w:tblLayout w:type="fixed"/>
      </w:tblPr>
      <w:tcPr>
        <w:tcBorders>
          <w:top w:val="single" w:color="000000" w:sz="6" w:space="0"/>
          <w:tl2br w:val="nil"/>
          <w:tr2bl w:val="nil"/>
        </w:tcBorders>
      </w:tcPr>
    </w:tblStylePr>
    <w:tblStylePr w:type="firstCol">
      <w:rPr>
        <w:b w:val="0"/>
        <w:bCs w:val="0"/>
      </w:rPr>
      <w:tblPr>
        <w:tblLayout w:type="fixed"/>
      </w:tblPr>
      <w:tcPr>
        <w:tcBorders>
          <w:tl2br w:val="nil"/>
          <w:tr2bl w:val="nil"/>
        </w:tcBorders>
      </w:tcPr>
    </w:tblStylePr>
    <w:tblStylePr w:type="lastCol">
      <w:rPr>
        <w:b w:val="0"/>
        <w:bCs w:val="0"/>
      </w:rPr>
      <w:tblPr>
        <w:tblLayout w:type="fixed"/>
      </w:tblPr>
      <w:tcPr>
        <w:tcBorders>
          <w:tl2br w:val="nil"/>
          <w:tr2bl w:val="nil"/>
        </w:tcBorders>
      </w:tcPr>
    </w:tblStylePr>
    <w:tblStylePr w:type="nwCell">
      <w:tblPr>
        <w:tblLayout w:type="fixed"/>
      </w:tblPr>
      <w:tcPr>
        <w:tcBorders>
          <w:tl2br w:val="single" w:color="000000" w:sz="6" w:space="0"/>
          <w:tr2bl w:val="nil"/>
        </w:tcBorders>
      </w:tcPr>
    </w:tblStylePr>
  </w:style>
  <w:style w:type="table" w:styleId="96">
    <w:name w:val="Table Grid 8"/>
    <w:basedOn w:val="88"/>
    <w:qFormat/>
    <w:uiPriority w:val="0"/>
    <w:pPr>
      <w:widowControl w:val="0"/>
      <w:spacing w:after="200" w:line="276" w:lineRule="auto"/>
      <w:jc w:val="center"/>
    </w:pPr>
    <w:rPr>
      <w:lang w:eastAsia="en-US" w:bidi="en-US"/>
    </w:rPr>
    <w:tblPr>
      <w:tblBorders>
        <w:top w:val="single" w:color="auto" w:sz="4" w:space="0"/>
        <w:bottom w:val="single" w:color="auto" w:sz="4" w:space="0"/>
        <w:insideH w:val="single" w:color="auto" w:sz="4" w:space="0"/>
        <w:insideV w:val="single" w:color="auto" w:sz="4" w:space="0"/>
      </w:tblBorders>
      <w:tblLayout w:type="fixed"/>
      <w:tblCellMar>
        <w:top w:w="0" w:type="dxa"/>
        <w:left w:w="108" w:type="dxa"/>
        <w:bottom w:w="0" w:type="dxa"/>
        <w:right w:w="108" w:type="dxa"/>
      </w:tblCellMar>
    </w:tblPr>
    <w:tcPr>
      <w:shd w:val="clear" w:color="auto" w:fill="auto"/>
    </w:tcPr>
    <w:tblStylePr w:type="firstRow">
      <w:rPr>
        <w:b/>
        <w:bCs/>
        <w:color w:val="FFFFFF"/>
      </w:rPr>
      <w:tblPr>
        <w:tblLayout w:type="fixed"/>
      </w:tblPr>
      <w:tcPr>
        <w:tcBorders>
          <w:tl2br w:val="nil"/>
          <w:tr2bl w:val="nil"/>
        </w:tcBorders>
        <w:shd w:val="solid" w:color="000080" w:fill="FFFFFF"/>
      </w:tcPr>
    </w:tblStylePr>
    <w:tblStylePr w:type="lastRow">
      <w:rPr>
        <w:b/>
        <w:bCs/>
        <w:color w:val="auto"/>
      </w:rPr>
      <w:tblPr>
        <w:tblLayout w:type="fixed"/>
      </w:tblPr>
      <w:tcPr>
        <w:tcBorders>
          <w:tl2br w:val="nil"/>
          <w:tr2bl w:val="nil"/>
        </w:tcBorders>
      </w:tcPr>
    </w:tblStylePr>
    <w:tblStylePr w:type="lastCol">
      <w:rPr>
        <w:b/>
        <w:bCs/>
        <w:color w:val="auto"/>
      </w:rPr>
      <w:tblPr>
        <w:tblLayout w:type="fixed"/>
      </w:tblPr>
      <w:tcPr>
        <w:tcBorders>
          <w:tl2br w:val="nil"/>
          <w:tr2bl w:val="nil"/>
        </w:tcBorders>
      </w:tcPr>
    </w:tblStylePr>
  </w:style>
  <w:style w:type="character" w:styleId="98">
    <w:name w:val="Strong"/>
    <w:basedOn w:val="97"/>
    <w:qFormat/>
    <w:uiPriority w:val="22"/>
    <w:rPr>
      <w:b/>
      <w:bCs/>
    </w:rPr>
  </w:style>
  <w:style w:type="character" w:styleId="99">
    <w:name w:val="endnote reference"/>
    <w:unhideWhenUsed/>
    <w:qFormat/>
    <w:uiPriority w:val="0"/>
    <w:rPr>
      <w:vertAlign w:val="superscript"/>
    </w:rPr>
  </w:style>
  <w:style w:type="character" w:styleId="100">
    <w:name w:val="page number"/>
    <w:basedOn w:val="97"/>
    <w:qFormat/>
    <w:uiPriority w:val="0"/>
  </w:style>
  <w:style w:type="character" w:styleId="101">
    <w:name w:val="FollowedHyperlink"/>
    <w:basedOn w:val="97"/>
    <w:qFormat/>
    <w:uiPriority w:val="0"/>
    <w:rPr>
      <w:color w:val="333333"/>
      <w:sz w:val="21"/>
      <w:szCs w:val="21"/>
      <w:u w:val="none"/>
    </w:rPr>
  </w:style>
  <w:style w:type="character" w:styleId="102">
    <w:name w:val="Emphasis"/>
    <w:qFormat/>
    <w:uiPriority w:val="0"/>
    <w:rPr>
      <w:rFonts w:eastAsia="宋体"/>
      <w:i/>
      <w:iCs/>
      <w:kern w:val="2"/>
      <w:sz w:val="24"/>
      <w:szCs w:val="24"/>
      <w:lang w:val="en-US" w:eastAsia="zh-CN" w:bidi="ar-SA"/>
    </w:rPr>
  </w:style>
  <w:style w:type="character" w:styleId="103">
    <w:name w:val="line number"/>
    <w:qFormat/>
    <w:uiPriority w:val="0"/>
    <w:rPr>
      <w:rFonts w:ascii="宋体" w:hAnsi="宋体" w:eastAsia="宋体" w:cs="宋体"/>
      <w:kern w:val="2"/>
      <w:sz w:val="24"/>
      <w:szCs w:val="24"/>
      <w:lang w:val="en-US" w:eastAsia="zh-CN" w:bidi="ar-SA"/>
    </w:rPr>
  </w:style>
  <w:style w:type="character" w:styleId="104">
    <w:name w:val="HTML Definition"/>
    <w:qFormat/>
    <w:uiPriority w:val="0"/>
    <w:rPr>
      <w:rFonts w:ascii="宋体" w:hAnsi="宋体" w:eastAsia="宋体" w:cs="宋体"/>
      <w:i/>
      <w:iCs/>
      <w:kern w:val="2"/>
      <w:sz w:val="24"/>
      <w:szCs w:val="24"/>
      <w:lang w:val="en-US" w:eastAsia="zh-CN" w:bidi="ar-SA"/>
    </w:rPr>
  </w:style>
  <w:style w:type="character" w:styleId="105">
    <w:name w:val="HTML Typewriter"/>
    <w:qFormat/>
    <w:uiPriority w:val="0"/>
    <w:rPr>
      <w:rFonts w:ascii="Courier New" w:hAnsi="Courier New" w:eastAsia="宋体" w:cs="Courier New"/>
      <w:kern w:val="2"/>
      <w:sz w:val="20"/>
      <w:szCs w:val="20"/>
      <w:lang w:val="en-US" w:eastAsia="zh-CN" w:bidi="ar-SA"/>
    </w:rPr>
  </w:style>
  <w:style w:type="character" w:styleId="106">
    <w:name w:val="HTML Acronym"/>
    <w:qFormat/>
    <w:uiPriority w:val="0"/>
    <w:rPr>
      <w:rFonts w:ascii="宋体" w:hAnsi="宋体" w:eastAsia="宋体" w:cs="宋体"/>
      <w:kern w:val="2"/>
      <w:sz w:val="24"/>
      <w:szCs w:val="24"/>
      <w:lang w:val="en-US" w:eastAsia="zh-CN" w:bidi="ar-SA"/>
    </w:rPr>
  </w:style>
  <w:style w:type="character" w:styleId="107">
    <w:name w:val="HTML Variable"/>
    <w:qFormat/>
    <w:uiPriority w:val="0"/>
    <w:rPr>
      <w:rFonts w:ascii="宋体" w:hAnsi="宋体" w:eastAsia="宋体" w:cs="宋体"/>
      <w:i/>
      <w:iCs/>
      <w:kern w:val="2"/>
      <w:sz w:val="24"/>
      <w:szCs w:val="24"/>
      <w:lang w:val="en-US" w:eastAsia="zh-CN" w:bidi="ar-SA"/>
    </w:rPr>
  </w:style>
  <w:style w:type="character" w:styleId="108">
    <w:name w:val="Hyperlink"/>
    <w:basedOn w:val="97"/>
    <w:qFormat/>
    <w:uiPriority w:val="0"/>
    <w:rPr>
      <w:color w:val="333333"/>
      <w:sz w:val="21"/>
      <w:szCs w:val="21"/>
      <w:u w:val="none"/>
    </w:rPr>
  </w:style>
  <w:style w:type="character" w:styleId="109">
    <w:name w:val="HTML Code"/>
    <w:qFormat/>
    <w:uiPriority w:val="0"/>
    <w:rPr>
      <w:rFonts w:ascii="Courier New" w:hAnsi="Courier New" w:eastAsia="宋体" w:cs="Courier New"/>
      <w:kern w:val="2"/>
      <w:sz w:val="20"/>
      <w:szCs w:val="20"/>
      <w:lang w:val="en-US" w:eastAsia="zh-CN" w:bidi="ar-SA"/>
    </w:rPr>
  </w:style>
  <w:style w:type="character" w:styleId="110">
    <w:name w:val="annotation reference"/>
    <w:basedOn w:val="97"/>
    <w:qFormat/>
    <w:uiPriority w:val="99"/>
    <w:rPr>
      <w:sz w:val="21"/>
    </w:rPr>
  </w:style>
  <w:style w:type="character" w:styleId="111">
    <w:name w:val="HTML Cite"/>
    <w:qFormat/>
    <w:uiPriority w:val="0"/>
    <w:rPr>
      <w:rFonts w:ascii="宋体" w:hAnsi="宋体" w:eastAsia="宋体" w:cs="宋体"/>
      <w:i/>
      <w:iCs/>
      <w:kern w:val="2"/>
      <w:sz w:val="24"/>
      <w:szCs w:val="24"/>
      <w:lang w:val="en-US" w:eastAsia="zh-CN" w:bidi="ar-SA"/>
    </w:rPr>
  </w:style>
  <w:style w:type="character" w:styleId="112">
    <w:name w:val="footnote reference"/>
    <w:qFormat/>
    <w:uiPriority w:val="0"/>
    <w:rPr>
      <w:vertAlign w:val="superscript"/>
    </w:rPr>
  </w:style>
  <w:style w:type="character" w:styleId="113">
    <w:name w:val="HTML Keyboard"/>
    <w:qFormat/>
    <w:uiPriority w:val="0"/>
    <w:rPr>
      <w:rFonts w:ascii="Courier New" w:hAnsi="Courier New" w:eastAsia="宋体" w:cs="Courier New"/>
      <w:kern w:val="2"/>
      <w:sz w:val="20"/>
      <w:szCs w:val="20"/>
      <w:lang w:val="en-US" w:eastAsia="zh-CN" w:bidi="ar-SA"/>
    </w:rPr>
  </w:style>
  <w:style w:type="character" w:styleId="114">
    <w:name w:val="HTML Sample"/>
    <w:qFormat/>
    <w:uiPriority w:val="0"/>
    <w:rPr>
      <w:rFonts w:ascii="Courier New" w:hAnsi="Courier New" w:eastAsia="宋体" w:cs="Courier New"/>
      <w:kern w:val="2"/>
      <w:sz w:val="24"/>
      <w:szCs w:val="24"/>
      <w:lang w:val="en-US" w:eastAsia="zh-CN" w:bidi="ar-SA"/>
    </w:rPr>
  </w:style>
  <w:style w:type="character" w:customStyle="1" w:styleId="115">
    <w:name w:val="标题 2 Char3"/>
    <w:basedOn w:val="97"/>
    <w:link w:val="4"/>
    <w:qFormat/>
    <w:uiPriority w:val="0"/>
    <w:rPr>
      <w:rFonts w:ascii="Arial" w:hAnsi="Arial" w:eastAsia="黑体"/>
      <w:b/>
      <w:bCs/>
      <w:kern w:val="2"/>
      <w:sz w:val="32"/>
      <w:szCs w:val="32"/>
    </w:rPr>
  </w:style>
  <w:style w:type="character" w:customStyle="1" w:styleId="116">
    <w:name w:val="+列表1 Char"/>
    <w:basedOn w:val="97"/>
    <w:link w:val="117"/>
    <w:qFormat/>
    <w:uiPriority w:val="0"/>
    <w:rPr>
      <w:rFonts w:eastAsia="宋体"/>
      <w:kern w:val="2"/>
      <w:sz w:val="21"/>
      <w:szCs w:val="24"/>
      <w:lang w:val="en-US" w:eastAsia="zh-CN" w:bidi="ar-SA"/>
    </w:rPr>
  </w:style>
  <w:style w:type="paragraph" w:customStyle="1" w:styleId="117">
    <w:name w:val="+列表1"/>
    <w:basedOn w:val="1"/>
    <w:link w:val="116"/>
    <w:qFormat/>
    <w:uiPriority w:val="0"/>
    <w:pPr>
      <w:jc w:val="center"/>
    </w:pPr>
  </w:style>
  <w:style w:type="character" w:customStyle="1" w:styleId="118">
    <w:name w:val="hangju"/>
    <w:basedOn w:val="97"/>
    <w:qFormat/>
    <w:uiPriority w:val="0"/>
  </w:style>
  <w:style w:type="character" w:customStyle="1" w:styleId="119">
    <w:name w:val="普通文字 Char5"/>
    <w:basedOn w:val="97"/>
    <w:qFormat/>
    <w:uiPriority w:val="0"/>
    <w:rPr>
      <w:rFonts w:eastAsia="方正宋三简体" w:cs="Courier New"/>
      <w:kern w:val="2"/>
      <w:sz w:val="24"/>
      <w:szCs w:val="24"/>
      <w:lang w:val="en-US" w:eastAsia="zh-CN" w:bidi="ar-SA"/>
    </w:rPr>
  </w:style>
  <w:style w:type="character" w:customStyle="1" w:styleId="120">
    <w:name w:val="样式 正文文本 + 首行缩进:  2 字符 Char"/>
    <w:basedOn w:val="97"/>
    <w:link w:val="121"/>
    <w:qFormat/>
    <w:uiPriority w:val="0"/>
    <w:rPr>
      <w:rFonts w:eastAsia="宋体"/>
      <w:spacing w:val="-12"/>
      <w:kern w:val="2"/>
      <w:sz w:val="24"/>
      <w:szCs w:val="24"/>
      <w:lang w:val="en-US" w:eastAsia="zh-CN" w:bidi="ar-SA"/>
    </w:rPr>
  </w:style>
  <w:style w:type="paragraph" w:customStyle="1" w:styleId="121">
    <w:name w:val="样式 正文文本 + 首行缩进:  2 字符"/>
    <w:basedOn w:val="34"/>
    <w:link w:val="120"/>
    <w:qFormat/>
    <w:uiPriority w:val="0"/>
    <w:pPr>
      <w:adjustRightInd w:val="0"/>
      <w:snapToGrid w:val="0"/>
      <w:spacing w:line="360" w:lineRule="auto"/>
      <w:jc w:val="center"/>
    </w:pPr>
    <w:rPr>
      <w:rFonts w:eastAsia="宋体"/>
      <w:spacing w:val="-12"/>
      <w:sz w:val="24"/>
      <w:szCs w:val="24"/>
    </w:rPr>
  </w:style>
  <w:style w:type="character" w:customStyle="1" w:styleId="122">
    <w:name w:val="正文文本 Char6"/>
    <w:basedOn w:val="97"/>
    <w:link w:val="34"/>
    <w:qFormat/>
    <w:uiPriority w:val="0"/>
    <w:rPr>
      <w:rFonts w:eastAsia="楷体_GB2312"/>
      <w:kern w:val="2"/>
      <w:sz w:val="32"/>
    </w:rPr>
  </w:style>
  <w:style w:type="character" w:customStyle="1" w:styleId="123">
    <w:name w:val="标题 Char4"/>
    <w:basedOn w:val="97"/>
    <w:link w:val="84"/>
    <w:qFormat/>
    <w:uiPriority w:val="10"/>
    <w:rPr>
      <w:rFonts w:ascii="Cambria" w:hAnsi="Cambria" w:eastAsia="宋体"/>
      <w:b/>
      <w:kern w:val="28"/>
      <w:sz w:val="32"/>
      <w:lang w:val="en-US" w:eastAsia="en-US" w:bidi="ar-SA"/>
    </w:rPr>
  </w:style>
  <w:style w:type="character" w:customStyle="1" w:styleId="124">
    <w:name w:val="纯文本 Char4"/>
    <w:basedOn w:val="97"/>
    <w:link w:val="45"/>
    <w:qFormat/>
    <w:uiPriority w:val="0"/>
    <w:rPr>
      <w:rFonts w:ascii="宋体" w:hAnsi="Courier New" w:eastAsia="宋体"/>
      <w:kern w:val="2"/>
      <w:sz w:val="21"/>
      <w:lang w:val="en-US" w:eastAsia="zh-CN" w:bidi="ar-SA"/>
    </w:rPr>
  </w:style>
  <w:style w:type="character" w:customStyle="1" w:styleId="125">
    <w:name w:val="表格 Char Char"/>
    <w:basedOn w:val="97"/>
    <w:qFormat/>
    <w:uiPriority w:val="0"/>
    <w:rPr>
      <w:rFonts w:eastAsia="方正宋三简体" w:cs="Courier New"/>
      <w:kern w:val="2"/>
      <w:sz w:val="24"/>
      <w:szCs w:val="24"/>
      <w:lang w:val="en-US" w:eastAsia="zh-CN" w:bidi="ar-SA"/>
    </w:rPr>
  </w:style>
  <w:style w:type="character" w:customStyle="1" w:styleId="126">
    <w:name w:val="批注文字 Char3"/>
    <w:basedOn w:val="97"/>
    <w:link w:val="28"/>
    <w:qFormat/>
    <w:uiPriority w:val="99"/>
    <w:rPr>
      <w:kern w:val="2"/>
      <w:sz w:val="21"/>
      <w:szCs w:val="24"/>
    </w:rPr>
  </w:style>
  <w:style w:type="character" w:customStyle="1" w:styleId="127">
    <w:name w:val="批注主题 Char4"/>
    <w:basedOn w:val="126"/>
    <w:link w:val="85"/>
    <w:qFormat/>
    <w:uiPriority w:val="99"/>
    <w:rPr>
      <w:b/>
      <w:bCs/>
      <w:kern w:val="2"/>
      <w:sz w:val="21"/>
      <w:szCs w:val="24"/>
    </w:rPr>
  </w:style>
  <w:style w:type="paragraph" w:customStyle="1" w:styleId="128">
    <w:name w:val="DTITULO2"/>
    <w:basedOn w:val="1"/>
    <w:qFormat/>
    <w:uiPriority w:val="0"/>
    <w:pPr>
      <w:widowControl/>
      <w:tabs>
        <w:tab w:val="left" w:pos="1304"/>
      </w:tabs>
      <w:ind w:left="737"/>
    </w:pPr>
    <w:rPr>
      <w:rFonts w:ascii="Trebuchet MS" w:hAnsi="Trebuchet MS"/>
      <w:kern w:val="0"/>
      <w:sz w:val="22"/>
      <w:szCs w:val="20"/>
      <w:lang w:val="en-GB" w:eastAsia="en-US"/>
    </w:rPr>
  </w:style>
  <w:style w:type="paragraph" w:customStyle="1" w:styleId="129">
    <w:name w:val="t1"/>
    <w:basedOn w:val="1"/>
    <w:qFormat/>
    <w:uiPriority w:val="0"/>
    <w:pPr>
      <w:autoSpaceDE w:val="0"/>
      <w:autoSpaceDN w:val="0"/>
      <w:adjustRightInd w:val="0"/>
      <w:spacing w:line="440" w:lineRule="atLeast"/>
      <w:jc w:val="left"/>
    </w:pPr>
    <w:rPr>
      <w:rFonts w:eastAsia="PMingLiU"/>
      <w:kern w:val="0"/>
      <w:sz w:val="24"/>
      <w:szCs w:val="20"/>
      <w:lang w:eastAsia="zh-TW"/>
    </w:rPr>
  </w:style>
  <w:style w:type="character" w:customStyle="1" w:styleId="130">
    <w:name w:val="批注框文本 Char4"/>
    <w:basedOn w:val="97"/>
    <w:link w:val="54"/>
    <w:qFormat/>
    <w:uiPriority w:val="99"/>
    <w:rPr>
      <w:kern w:val="2"/>
      <w:sz w:val="18"/>
      <w:szCs w:val="18"/>
    </w:rPr>
  </w:style>
  <w:style w:type="paragraph" w:customStyle="1" w:styleId="131">
    <w:name w:val="Char Char Char Char"/>
    <w:basedOn w:val="1"/>
    <w:qFormat/>
    <w:uiPriority w:val="0"/>
    <w:pPr>
      <w:ind w:firstLine="480" w:firstLineChars="200"/>
    </w:pPr>
    <w:rPr>
      <w:rFonts w:ascii="宋体"/>
      <w:sz w:val="28"/>
    </w:rPr>
  </w:style>
  <w:style w:type="character" w:customStyle="1" w:styleId="132">
    <w:name w:val="页脚 Char6"/>
    <w:link w:val="55"/>
    <w:qFormat/>
    <w:uiPriority w:val="99"/>
    <w:rPr>
      <w:kern w:val="2"/>
      <w:sz w:val="18"/>
    </w:rPr>
  </w:style>
  <w:style w:type="paragraph" w:customStyle="1" w:styleId="133">
    <w:name w:val="Char1"/>
    <w:basedOn w:val="1"/>
    <w:qFormat/>
    <w:uiPriority w:val="0"/>
    <w:pPr>
      <w:spacing w:line="360" w:lineRule="auto"/>
      <w:ind w:firstLine="200" w:firstLineChars="200"/>
    </w:pPr>
    <w:rPr>
      <w:rFonts w:ascii="宋体" w:hAnsi="宋体" w:cs="宋体"/>
      <w:sz w:val="24"/>
    </w:rPr>
  </w:style>
  <w:style w:type="paragraph" w:customStyle="1" w:styleId="134">
    <w:name w:val="封面正文"/>
    <w:qFormat/>
    <w:uiPriority w:val="0"/>
    <w:pPr>
      <w:jc w:val="both"/>
    </w:pPr>
    <w:rPr>
      <w:rFonts w:ascii="Times New Roman" w:hAnsi="Times New Roman" w:eastAsia="宋体" w:cs="Times New Roman"/>
      <w:lang w:val="en-US" w:eastAsia="zh-CN" w:bidi="ar-SA"/>
    </w:rPr>
  </w:style>
  <w:style w:type="paragraph" w:customStyle="1" w:styleId="135">
    <w:name w:val="正文文本 21"/>
    <w:basedOn w:val="1"/>
    <w:qFormat/>
    <w:uiPriority w:val="0"/>
    <w:pPr>
      <w:adjustRightInd w:val="0"/>
      <w:spacing w:after="120"/>
      <w:ind w:left="420"/>
      <w:textAlignment w:val="baseline"/>
    </w:pPr>
    <w:rPr>
      <w:rFonts w:hint="eastAsia" w:ascii="宋体" w:hAnsi="宋体"/>
      <w:sz w:val="24"/>
      <w:szCs w:val="20"/>
    </w:rPr>
  </w:style>
  <w:style w:type="paragraph" w:customStyle="1" w:styleId="136">
    <w:name w:val="默认段落字体 Para Char Char Char Char"/>
    <w:basedOn w:val="1"/>
    <w:qFormat/>
    <w:uiPriority w:val="0"/>
    <w:rPr>
      <w:sz w:val="24"/>
    </w:rPr>
  </w:style>
  <w:style w:type="paragraph" w:customStyle="1" w:styleId="137">
    <w:name w:val="2"/>
    <w:basedOn w:val="1"/>
    <w:next w:val="45"/>
    <w:qFormat/>
    <w:uiPriority w:val="0"/>
    <w:rPr>
      <w:rFonts w:eastAsia="方正宋三简体" w:cs="Courier New"/>
      <w:sz w:val="24"/>
    </w:rPr>
  </w:style>
  <w:style w:type="paragraph" w:customStyle="1" w:styleId="138">
    <w:name w:val="图表文字"/>
    <w:basedOn w:val="1"/>
    <w:qFormat/>
    <w:uiPriority w:val="0"/>
    <w:pPr>
      <w:tabs>
        <w:tab w:val="left" w:pos="240"/>
        <w:tab w:val="center" w:pos="727"/>
      </w:tabs>
      <w:snapToGrid w:val="0"/>
      <w:spacing w:line="360" w:lineRule="atLeast"/>
      <w:jc w:val="center"/>
    </w:pPr>
    <w:rPr>
      <w:bCs/>
      <w:kern w:val="0"/>
      <w:szCs w:val="21"/>
    </w:rPr>
  </w:style>
  <w:style w:type="paragraph" w:customStyle="1" w:styleId="139">
    <w:name w:val="样式5"/>
    <w:basedOn w:val="21"/>
    <w:link w:val="165"/>
    <w:qFormat/>
    <w:uiPriority w:val="0"/>
    <w:pPr>
      <w:snapToGrid w:val="0"/>
      <w:spacing w:line="360" w:lineRule="auto"/>
      <w:ind w:firstLine="510"/>
    </w:pPr>
    <w:rPr>
      <w:sz w:val="24"/>
    </w:rPr>
  </w:style>
  <w:style w:type="paragraph" w:customStyle="1" w:styleId="140">
    <w:name w:val="正文文本2"/>
    <w:basedOn w:val="34"/>
    <w:qFormat/>
    <w:uiPriority w:val="0"/>
    <w:pPr>
      <w:spacing w:line="360" w:lineRule="auto"/>
      <w:ind w:firstLine="480" w:firstLineChars="200"/>
    </w:pPr>
    <w:rPr>
      <w:rFonts w:ascii="宋体" w:eastAsia="宋体" w:cs="宋体"/>
      <w:sz w:val="24"/>
    </w:rPr>
  </w:style>
  <w:style w:type="paragraph" w:customStyle="1" w:styleId="141">
    <w:name w:val="Char"/>
    <w:basedOn w:val="3"/>
    <w:next w:val="87"/>
    <w:qFormat/>
    <w:uiPriority w:val="0"/>
    <w:pPr>
      <w:keepLines/>
      <w:spacing w:line="360" w:lineRule="auto"/>
      <w:ind w:firstLine="200" w:firstLineChars="200"/>
      <w:jc w:val="both"/>
    </w:pPr>
    <w:rPr>
      <w:rFonts w:ascii="宋体" w:hAnsi="宋体" w:eastAsia="宋体" w:cs="宋体"/>
      <w:bCs/>
      <w:kern w:val="44"/>
      <w:sz w:val="28"/>
      <w:szCs w:val="44"/>
    </w:rPr>
  </w:style>
  <w:style w:type="paragraph" w:customStyle="1" w:styleId="142">
    <w:name w:val="xl2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 w:val="24"/>
    </w:rPr>
  </w:style>
  <w:style w:type="paragraph" w:customStyle="1" w:styleId="143">
    <w:name w:val="Char Char Char1 Char"/>
    <w:basedOn w:val="1"/>
    <w:qFormat/>
    <w:uiPriority w:val="0"/>
  </w:style>
  <w:style w:type="paragraph" w:customStyle="1" w:styleId="144">
    <w:name w:val="Char Char1 Char Char Char Char Char Char Char Char Char Char Char Char Char Char Char Char Char Char Char Char1 Char"/>
    <w:basedOn w:val="1"/>
    <w:qFormat/>
    <w:uiPriority w:val="0"/>
    <w:pPr>
      <w:spacing w:line="360" w:lineRule="auto"/>
      <w:ind w:firstLine="200" w:firstLineChars="200"/>
    </w:pPr>
    <w:rPr>
      <w:rFonts w:ascii="宋体" w:hAnsi="宋体" w:cs="宋体"/>
      <w:sz w:val="24"/>
    </w:rPr>
  </w:style>
  <w:style w:type="paragraph" w:customStyle="1" w:styleId="145">
    <w:name w:val="Char2"/>
    <w:basedOn w:val="1"/>
    <w:qFormat/>
    <w:uiPriority w:val="0"/>
    <w:pPr>
      <w:spacing w:line="360" w:lineRule="auto"/>
      <w:ind w:firstLine="200" w:firstLineChars="200"/>
    </w:pPr>
    <w:rPr>
      <w:rFonts w:ascii="宋体" w:hAnsi="宋体" w:cs="宋体"/>
      <w:sz w:val="24"/>
    </w:rPr>
  </w:style>
  <w:style w:type="paragraph" w:customStyle="1" w:styleId="146">
    <w:name w:val="样式 首行缩进:  0.85 厘米"/>
    <w:basedOn w:val="1"/>
    <w:qFormat/>
    <w:uiPriority w:val="0"/>
    <w:pPr>
      <w:snapToGrid w:val="0"/>
      <w:spacing w:line="360" w:lineRule="auto"/>
      <w:ind w:firstLine="482"/>
    </w:pPr>
    <w:rPr>
      <w:rFonts w:cs="宋体"/>
      <w:sz w:val="28"/>
      <w:szCs w:val="20"/>
    </w:rPr>
  </w:style>
  <w:style w:type="paragraph" w:customStyle="1" w:styleId="147">
    <w:name w:val="Char Char Char Char Char Char Char Char Char Char Char Char Char"/>
    <w:basedOn w:val="1"/>
    <w:qFormat/>
    <w:uiPriority w:val="0"/>
  </w:style>
  <w:style w:type="paragraph" w:styleId="148">
    <w:name w:val="List Paragraph"/>
    <w:basedOn w:val="1"/>
    <w:link w:val="1352"/>
    <w:qFormat/>
    <w:uiPriority w:val="34"/>
    <w:pPr>
      <w:ind w:firstLine="420" w:firstLineChars="200"/>
    </w:pPr>
  </w:style>
  <w:style w:type="character" w:customStyle="1" w:styleId="149">
    <w:name w:val="纯文本 Char2"/>
    <w:basedOn w:val="97"/>
    <w:qFormat/>
    <w:uiPriority w:val="0"/>
    <w:rPr>
      <w:rFonts w:ascii="宋体" w:hAnsi="Courier New" w:eastAsia="宋体"/>
      <w:kern w:val="2"/>
      <w:sz w:val="21"/>
      <w:lang w:val="en-US" w:eastAsia="zh-CN" w:bidi="ar-SA"/>
    </w:rPr>
  </w:style>
  <w:style w:type="paragraph" w:customStyle="1" w:styleId="150">
    <w:name w:val="样式1"/>
    <w:basedOn w:val="1"/>
    <w:link w:val="212"/>
    <w:qFormat/>
    <w:uiPriority w:val="0"/>
    <w:pPr>
      <w:numPr>
        <w:ilvl w:val="0"/>
        <w:numId w:val="1"/>
      </w:numPr>
      <w:adjustRightInd w:val="0"/>
      <w:snapToGrid w:val="0"/>
      <w:spacing w:after="100" w:afterAutospacing="1" w:line="360" w:lineRule="auto"/>
      <w:jc w:val="left"/>
      <w:outlineLvl w:val="0"/>
    </w:pPr>
    <w:rPr>
      <w:rFonts w:ascii="黑体" w:eastAsia="黑体"/>
      <w:b/>
      <w:sz w:val="28"/>
    </w:rPr>
  </w:style>
  <w:style w:type="paragraph" w:customStyle="1" w:styleId="151">
    <w:name w:val="样式4"/>
    <w:basedOn w:val="1"/>
    <w:link w:val="2208"/>
    <w:qFormat/>
    <w:uiPriority w:val="0"/>
    <w:pPr>
      <w:numPr>
        <w:ilvl w:val="1"/>
        <w:numId w:val="1"/>
      </w:numPr>
      <w:tabs>
        <w:tab w:val="left" w:pos="987"/>
      </w:tabs>
      <w:adjustRightInd w:val="0"/>
      <w:snapToGrid w:val="0"/>
      <w:spacing w:beforeLines="50" w:afterLines="50" w:line="360" w:lineRule="auto"/>
      <w:jc w:val="left"/>
      <w:outlineLvl w:val="1"/>
    </w:pPr>
    <w:rPr>
      <w:rFonts w:eastAsia="黑体"/>
      <w:b/>
      <w:sz w:val="24"/>
    </w:rPr>
  </w:style>
  <w:style w:type="paragraph" w:customStyle="1" w:styleId="152">
    <w:name w:val="表名"/>
    <w:basedOn w:val="1"/>
    <w:link w:val="345"/>
    <w:qFormat/>
    <w:uiPriority w:val="0"/>
    <w:pPr>
      <w:tabs>
        <w:tab w:val="left" w:pos="1350"/>
      </w:tabs>
      <w:autoSpaceDE w:val="0"/>
      <w:autoSpaceDN w:val="0"/>
      <w:adjustRightInd w:val="0"/>
      <w:snapToGrid w:val="0"/>
      <w:spacing w:before="234" w:after="78" w:line="320" w:lineRule="exact"/>
      <w:ind w:firstLine="241" w:firstLineChars="100"/>
      <w:jc w:val="center"/>
    </w:pPr>
    <w:rPr>
      <w:rFonts w:ascii="Arial" w:hAnsi="Arial" w:eastAsia="楷体_GB2312" w:cs="Arial"/>
      <w:b/>
      <w:sz w:val="24"/>
      <w:shd w:val="clear" w:color="auto" w:fill="FFFFFF"/>
    </w:rPr>
  </w:style>
  <w:style w:type="paragraph" w:customStyle="1" w:styleId="153">
    <w:name w:val="样式 样式 标题 2 + (西文) 宋体 + 非加粗"/>
    <w:basedOn w:val="1"/>
    <w:link w:val="154"/>
    <w:qFormat/>
    <w:uiPriority w:val="0"/>
    <w:pPr>
      <w:keepNext/>
      <w:keepLines/>
      <w:tabs>
        <w:tab w:val="left" w:pos="840"/>
      </w:tabs>
      <w:spacing w:line="360" w:lineRule="auto"/>
      <w:ind w:left="840" w:hanging="420"/>
      <w:outlineLvl w:val="1"/>
    </w:pPr>
    <w:rPr>
      <w:rFonts w:ascii="宋体" w:hAnsi="宋体"/>
      <w:b/>
      <w:sz w:val="28"/>
      <w:szCs w:val="32"/>
    </w:rPr>
  </w:style>
  <w:style w:type="character" w:customStyle="1" w:styleId="154">
    <w:name w:val="样式 样式 标题 2 + (西文) 宋体 + 非加粗 Char"/>
    <w:basedOn w:val="97"/>
    <w:link w:val="153"/>
    <w:qFormat/>
    <w:uiPriority w:val="0"/>
    <w:rPr>
      <w:rFonts w:ascii="宋体" w:hAnsi="宋体"/>
      <w:b/>
      <w:kern w:val="2"/>
      <w:sz w:val="28"/>
      <w:szCs w:val="32"/>
    </w:rPr>
  </w:style>
  <w:style w:type="paragraph" w:customStyle="1" w:styleId="155">
    <w:name w:val="报告内容"/>
    <w:link w:val="156"/>
    <w:qFormat/>
    <w:uiPriority w:val="0"/>
    <w:pPr>
      <w:spacing w:line="440" w:lineRule="exact"/>
      <w:ind w:firstLine="200" w:firstLineChars="200"/>
      <w:jc w:val="both"/>
    </w:pPr>
    <w:rPr>
      <w:rFonts w:ascii="Times New Roman" w:hAnsi="Times New Roman" w:eastAsia="宋体" w:cs="Times New Roman"/>
      <w:kern w:val="2"/>
      <w:sz w:val="24"/>
      <w:lang w:val="en-US" w:eastAsia="zh-CN" w:bidi="ar-SA"/>
    </w:rPr>
  </w:style>
  <w:style w:type="character" w:customStyle="1" w:styleId="156">
    <w:name w:val="报告内容 字符"/>
    <w:basedOn w:val="122"/>
    <w:link w:val="155"/>
    <w:qFormat/>
    <w:uiPriority w:val="0"/>
    <w:rPr>
      <w:rFonts w:eastAsia="楷体_GB2312"/>
      <w:kern w:val="2"/>
      <w:sz w:val="24"/>
    </w:rPr>
  </w:style>
  <w:style w:type="table" w:customStyle="1" w:styleId="157">
    <w:name w:val="Table Normal"/>
    <w:semiHidden/>
    <w:unhideWhenUsed/>
    <w:qFormat/>
    <w:uiPriority w:val="2"/>
    <w:pPr>
      <w:widowControl w:val="0"/>
      <w:autoSpaceDE w:val="0"/>
      <w:autoSpaceDN w:val="0"/>
    </w:pPr>
    <w:rPr>
      <w:rFonts w:asciiTheme="minorHAnsi" w:hAnsiTheme="minorHAnsi" w:eastAsiaTheme="minorEastAsia" w:cstheme="minorBidi"/>
      <w:sz w:val="22"/>
      <w:szCs w:val="22"/>
      <w:lang w:eastAsia="en-US"/>
    </w:rPr>
    <w:tblPr>
      <w:tblLayout w:type="fixed"/>
      <w:tblCellMar>
        <w:top w:w="0" w:type="dxa"/>
        <w:left w:w="0" w:type="dxa"/>
        <w:bottom w:w="0" w:type="dxa"/>
        <w:right w:w="0" w:type="dxa"/>
      </w:tblCellMar>
    </w:tblPr>
  </w:style>
  <w:style w:type="paragraph" w:customStyle="1" w:styleId="158">
    <w:name w:val="Table Paragraph"/>
    <w:basedOn w:val="1"/>
    <w:qFormat/>
    <w:uiPriority w:val="1"/>
    <w:pPr>
      <w:autoSpaceDE w:val="0"/>
      <w:autoSpaceDN w:val="0"/>
      <w:jc w:val="center"/>
    </w:pPr>
    <w:rPr>
      <w:rFonts w:eastAsia="Times New Roman"/>
      <w:kern w:val="0"/>
      <w:sz w:val="22"/>
      <w:szCs w:val="22"/>
      <w:lang w:eastAsia="en-US"/>
    </w:rPr>
  </w:style>
  <w:style w:type="character" w:customStyle="1" w:styleId="159">
    <w:name w:val="标题1"/>
    <w:basedOn w:val="97"/>
    <w:qFormat/>
    <w:uiPriority w:val="0"/>
  </w:style>
  <w:style w:type="character" w:customStyle="1" w:styleId="160">
    <w:name w:val="纯文本 字符"/>
    <w:qFormat/>
    <w:uiPriority w:val="0"/>
    <w:rPr>
      <w:rFonts w:eastAsia="方正宋三简体" w:cs="Courier New"/>
      <w:kern w:val="2"/>
      <w:sz w:val="24"/>
      <w:szCs w:val="24"/>
      <w:lang w:val="en-US" w:eastAsia="zh-CN" w:bidi="ar-SA"/>
    </w:rPr>
  </w:style>
  <w:style w:type="paragraph" w:customStyle="1" w:styleId="161">
    <w:name w:val="样式 表格正文 + 段前: 7.8 磅"/>
    <w:basedOn w:val="1"/>
    <w:qFormat/>
    <w:uiPriority w:val="0"/>
    <w:pPr>
      <w:spacing w:line="240" w:lineRule="atLeast"/>
      <w:jc w:val="center"/>
    </w:pPr>
    <w:rPr>
      <w:rFonts w:cs="宋体"/>
      <w:sz w:val="24"/>
      <w:szCs w:val="20"/>
    </w:rPr>
  </w:style>
  <w:style w:type="character" w:customStyle="1" w:styleId="162">
    <w:name w:val="文档结构图 Char5"/>
    <w:basedOn w:val="97"/>
    <w:link w:val="26"/>
    <w:semiHidden/>
    <w:qFormat/>
    <w:uiPriority w:val="99"/>
    <w:rPr>
      <w:kern w:val="2"/>
      <w:sz w:val="21"/>
      <w:shd w:val="clear" w:color="auto" w:fill="000080"/>
    </w:rPr>
  </w:style>
  <w:style w:type="paragraph" w:customStyle="1" w:styleId="163">
    <w:name w:val="BY 表文字"/>
    <w:basedOn w:val="1"/>
    <w:link w:val="164"/>
    <w:qFormat/>
    <w:uiPriority w:val="0"/>
    <w:pPr>
      <w:jc w:val="center"/>
    </w:pPr>
    <w:rPr>
      <w:kern w:val="0"/>
      <w:sz w:val="24"/>
      <w:szCs w:val="21"/>
    </w:rPr>
  </w:style>
  <w:style w:type="character" w:customStyle="1" w:styleId="164">
    <w:name w:val="BY 表文字 Char"/>
    <w:link w:val="163"/>
    <w:qFormat/>
    <w:locked/>
    <w:uiPriority w:val="0"/>
    <w:rPr>
      <w:sz w:val="24"/>
      <w:szCs w:val="21"/>
    </w:rPr>
  </w:style>
  <w:style w:type="character" w:customStyle="1" w:styleId="165">
    <w:name w:val="样式5 Char3"/>
    <w:link w:val="139"/>
    <w:qFormat/>
    <w:uiPriority w:val="0"/>
    <w:rPr>
      <w:kern w:val="2"/>
      <w:sz w:val="24"/>
      <w:szCs w:val="24"/>
    </w:rPr>
  </w:style>
  <w:style w:type="character" w:customStyle="1" w:styleId="166">
    <w:name w:val="正文缩进 Char1"/>
    <w:link w:val="21"/>
    <w:qFormat/>
    <w:uiPriority w:val="0"/>
    <w:rPr>
      <w:kern w:val="2"/>
      <w:sz w:val="21"/>
    </w:rPr>
  </w:style>
  <w:style w:type="paragraph" w:customStyle="1" w:styleId="167">
    <w:name w:val="样式 谏壁统稿表格内文字 + 左  0 字符"/>
    <w:basedOn w:val="1"/>
    <w:qFormat/>
    <w:uiPriority w:val="0"/>
    <w:pPr>
      <w:snapToGrid w:val="0"/>
      <w:spacing w:line="0" w:lineRule="atLeast"/>
      <w:jc w:val="center"/>
    </w:pPr>
    <w:rPr>
      <w:rFonts w:cs="宋体"/>
      <w:szCs w:val="21"/>
    </w:rPr>
  </w:style>
  <w:style w:type="paragraph" w:customStyle="1" w:styleId="168">
    <w:name w:val="p0"/>
    <w:basedOn w:val="1"/>
    <w:qFormat/>
    <w:uiPriority w:val="0"/>
    <w:pPr>
      <w:widowControl/>
    </w:pPr>
    <w:rPr>
      <w:kern w:val="0"/>
      <w:szCs w:val="21"/>
    </w:rPr>
  </w:style>
  <w:style w:type="paragraph" w:customStyle="1" w:styleId="169">
    <w:name w:val="表格内小表格"/>
    <w:basedOn w:val="1"/>
    <w:link w:val="170"/>
    <w:qFormat/>
    <w:uiPriority w:val="0"/>
    <w:pPr>
      <w:adjustRightInd w:val="0"/>
      <w:snapToGrid w:val="0"/>
      <w:jc w:val="center"/>
    </w:pPr>
    <w:rPr>
      <w:rFonts w:cstheme="minorBidi"/>
      <w:sz w:val="24"/>
      <w:szCs w:val="22"/>
    </w:rPr>
  </w:style>
  <w:style w:type="character" w:customStyle="1" w:styleId="170">
    <w:name w:val="表格内小表格 字符"/>
    <w:basedOn w:val="97"/>
    <w:link w:val="169"/>
    <w:qFormat/>
    <w:uiPriority w:val="0"/>
    <w:rPr>
      <w:rFonts w:cstheme="minorBidi"/>
      <w:kern w:val="2"/>
      <w:sz w:val="24"/>
      <w:szCs w:val="22"/>
    </w:rPr>
  </w:style>
  <w:style w:type="paragraph" w:customStyle="1" w:styleId="171">
    <w:name w:val="表格内表格"/>
    <w:basedOn w:val="1"/>
    <w:link w:val="172"/>
    <w:qFormat/>
    <w:uiPriority w:val="0"/>
    <w:pPr>
      <w:adjustRightInd w:val="0"/>
      <w:snapToGrid w:val="0"/>
      <w:jc w:val="center"/>
    </w:pPr>
    <w:rPr>
      <w:sz w:val="24"/>
      <w:szCs w:val="22"/>
    </w:rPr>
  </w:style>
  <w:style w:type="character" w:customStyle="1" w:styleId="172">
    <w:name w:val="表格内表格 字符"/>
    <w:basedOn w:val="97"/>
    <w:link w:val="171"/>
    <w:qFormat/>
    <w:uiPriority w:val="0"/>
    <w:rPr>
      <w:kern w:val="2"/>
      <w:sz w:val="24"/>
      <w:szCs w:val="22"/>
    </w:rPr>
  </w:style>
  <w:style w:type="character" w:customStyle="1" w:styleId="173">
    <w:name w:val="标题 3 Char2"/>
    <w:basedOn w:val="97"/>
    <w:link w:val="5"/>
    <w:qFormat/>
    <w:uiPriority w:val="0"/>
    <w:rPr>
      <w:rFonts w:ascii="Arial" w:hAnsi="Arial" w:eastAsia="等线"/>
      <w:bCs/>
      <w:kern w:val="2"/>
      <w:sz w:val="24"/>
      <w:szCs w:val="24"/>
    </w:rPr>
  </w:style>
  <w:style w:type="character" w:customStyle="1" w:styleId="174">
    <w:name w:val="标题 1 Char2"/>
    <w:basedOn w:val="97"/>
    <w:link w:val="3"/>
    <w:qFormat/>
    <w:uiPriority w:val="9"/>
    <w:rPr>
      <w:rFonts w:eastAsia="楷体_GB2312"/>
      <w:kern w:val="2"/>
      <w:sz w:val="30"/>
      <w:szCs w:val="24"/>
    </w:rPr>
  </w:style>
  <w:style w:type="character" w:customStyle="1" w:styleId="175">
    <w:name w:val="标题 4 Char3"/>
    <w:basedOn w:val="97"/>
    <w:link w:val="6"/>
    <w:qFormat/>
    <w:uiPriority w:val="0"/>
    <w:rPr>
      <w:rFonts w:hAnsi="Cambria"/>
      <w:b/>
      <w:bCs/>
      <w:kern w:val="2"/>
      <w:sz w:val="21"/>
      <w:szCs w:val="28"/>
    </w:rPr>
  </w:style>
  <w:style w:type="character" w:customStyle="1" w:styleId="176">
    <w:name w:val="正文文本 3 Char3"/>
    <w:basedOn w:val="97"/>
    <w:link w:val="31"/>
    <w:qFormat/>
    <w:uiPriority w:val="0"/>
    <w:rPr>
      <w:rFonts w:ascii="仿宋_GB2312" w:eastAsia="仿宋_GB2312"/>
      <w:kern w:val="2"/>
      <w:sz w:val="24"/>
      <w:szCs w:val="24"/>
    </w:rPr>
  </w:style>
  <w:style w:type="character" w:customStyle="1" w:styleId="177">
    <w:name w:val="页眉 Char5"/>
    <w:basedOn w:val="97"/>
    <w:link w:val="57"/>
    <w:qFormat/>
    <w:uiPriority w:val="99"/>
    <w:rPr>
      <w:kern w:val="2"/>
      <w:sz w:val="18"/>
      <w:szCs w:val="18"/>
    </w:rPr>
  </w:style>
  <w:style w:type="paragraph" w:customStyle="1" w:styleId="178">
    <w:name w:val="1  正文"/>
    <w:link w:val="179"/>
    <w:qFormat/>
    <w:uiPriority w:val="0"/>
    <w:pPr>
      <w:adjustRightInd w:val="0"/>
      <w:snapToGrid w:val="0"/>
      <w:spacing w:line="360" w:lineRule="auto"/>
      <w:ind w:firstLine="480" w:firstLineChars="200"/>
      <w:jc w:val="both"/>
    </w:pPr>
    <w:rPr>
      <w:rFonts w:ascii="Times New Roman" w:hAnsi="Times New Roman" w:cs="Times New Roman" w:eastAsiaTheme="minorEastAsia"/>
      <w:bCs/>
      <w:kern w:val="2"/>
      <w:sz w:val="24"/>
      <w:lang w:val="en-US" w:eastAsia="zh-CN" w:bidi="ar-SA"/>
    </w:rPr>
  </w:style>
  <w:style w:type="character" w:customStyle="1" w:styleId="179">
    <w:name w:val="1  正文 字符"/>
    <w:link w:val="178"/>
    <w:qFormat/>
    <w:locked/>
    <w:uiPriority w:val="0"/>
    <w:rPr>
      <w:rFonts w:eastAsiaTheme="minorEastAsia"/>
      <w:bCs/>
      <w:kern w:val="2"/>
      <w:sz w:val="24"/>
    </w:rPr>
  </w:style>
  <w:style w:type="paragraph" w:customStyle="1" w:styleId="180">
    <w:name w:val="表、图标题"/>
    <w:basedOn w:val="1"/>
    <w:link w:val="181"/>
    <w:qFormat/>
    <w:uiPriority w:val="0"/>
    <w:pPr>
      <w:adjustRightInd w:val="0"/>
      <w:snapToGrid w:val="0"/>
      <w:spacing w:line="360" w:lineRule="auto"/>
      <w:jc w:val="center"/>
    </w:pPr>
    <w:rPr>
      <w:b/>
      <w:bCs/>
      <w:kern w:val="0"/>
      <w:sz w:val="24"/>
      <w:szCs w:val="18"/>
    </w:rPr>
  </w:style>
  <w:style w:type="character" w:customStyle="1" w:styleId="181">
    <w:name w:val="表、图标题 Char Char"/>
    <w:link w:val="180"/>
    <w:qFormat/>
    <w:uiPriority w:val="0"/>
    <w:rPr>
      <w:b/>
      <w:bCs/>
      <w:sz w:val="24"/>
      <w:szCs w:val="18"/>
    </w:rPr>
  </w:style>
  <w:style w:type="paragraph" w:customStyle="1" w:styleId="182">
    <w:name w:val="表格格式"/>
    <w:basedOn w:val="1"/>
    <w:link w:val="183"/>
    <w:qFormat/>
    <w:uiPriority w:val="0"/>
    <w:pPr>
      <w:adjustRightInd w:val="0"/>
      <w:snapToGrid w:val="0"/>
      <w:spacing w:line="360" w:lineRule="auto"/>
      <w:jc w:val="center"/>
    </w:pPr>
    <w:rPr>
      <w:rFonts w:asciiTheme="minorHAnsi" w:hAnsiTheme="minorHAnsi" w:eastAsiaTheme="minorEastAsia" w:cstheme="minorBidi"/>
      <w:kern w:val="0"/>
      <w:sz w:val="24"/>
      <w:szCs w:val="22"/>
    </w:rPr>
  </w:style>
  <w:style w:type="character" w:customStyle="1" w:styleId="183">
    <w:name w:val="表格格式 字符"/>
    <w:link w:val="182"/>
    <w:qFormat/>
    <w:uiPriority w:val="0"/>
    <w:rPr>
      <w:rFonts w:asciiTheme="minorHAnsi" w:hAnsiTheme="minorHAnsi" w:eastAsiaTheme="minorEastAsia" w:cstheme="minorBidi"/>
      <w:sz w:val="24"/>
      <w:szCs w:val="22"/>
    </w:rPr>
  </w:style>
  <w:style w:type="paragraph" w:customStyle="1" w:styleId="184">
    <w:name w:val="段落小标题"/>
    <w:basedOn w:val="182"/>
    <w:link w:val="185"/>
    <w:qFormat/>
    <w:uiPriority w:val="0"/>
    <w:pPr>
      <w:widowControl/>
      <w:ind w:firstLine="480" w:firstLineChars="200"/>
      <w:jc w:val="both"/>
    </w:pPr>
    <w:rPr>
      <w:snapToGrid w:val="0"/>
    </w:rPr>
  </w:style>
  <w:style w:type="character" w:customStyle="1" w:styleId="185">
    <w:name w:val="段落小标题 字符"/>
    <w:basedOn w:val="183"/>
    <w:link w:val="184"/>
    <w:qFormat/>
    <w:uiPriority w:val="0"/>
    <w:rPr>
      <w:rFonts w:asciiTheme="minorHAnsi" w:hAnsiTheme="minorHAnsi" w:eastAsiaTheme="minorEastAsia" w:cstheme="minorBidi"/>
      <w:snapToGrid w:val="0"/>
      <w:sz w:val="24"/>
      <w:szCs w:val="22"/>
    </w:rPr>
  </w:style>
  <w:style w:type="paragraph" w:customStyle="1" w:styleId="186">
    <w:name w:val="1-表内容"/>
    <w:basedOn w:val="1"/>
    <w:link w:val="187"/>
    <w:qFormat/>
    <w:uiPriority w:val="0"/>
    <w:pPr>
      <w:autoSpaceDE w:val="0"/>
      <w:autoSpaceDN w:val="0"/>
      <w:adjustRightInd w:val="0"/>
      <w:snapToGrid w:val="0"/>
      <w:jc w:val="center"/>
    </w:pPr>
    <w:rPr>
      <w:color w:val="000000"/>
      <w:kern w:val="0"/>
      <w:szCs w:val="21"/>
    </w:rPr>
  </w:style>
  <w:style w:type="character" w:customStyle="1" w:styleId="187">
    <w:name w:val="1-表内容 Char"/>
    <w:link w:val="186"/>
    <w:qFormat/>
    <w:uiPriority w:val="0"/>
    <w:rPr>
      <w:color w:val="000000"/>
      <w:sz w:val="21"/>
      <w:szCs w:val="21"/>
    </w:rPr>
  </w:style>
  <w:style w:type="character" w:customStyle="1" w:styleId="188">
    <w:name w:val="标题 字符1"/>
    <w:basedOn w:val="97"/>
    <w:qFormat/>
    <w:uiPriority w:val="10"/>
    <w:rPr>
      <w:rFonts w:ascii="等线 Light" w:hAnsi="等线 Light" w:eastAsia="等线 Light" w:cs="Times New Roman"/>
      <w:b/>
      <w:bCs/>
      <w:kern w:val="2"/>
      <w:sz w:val="32"/>
      <w:szCs w:val="32"/>
    </w:rPr>
  </w:style>
  <w:style w:type="character" w:customStyle="1" w:styleId="189">
    <w:name w:val="表格 Char2"/>
    <w:link w:val="190"/>
    <w:qFormat/>
    <w:locked/>
    <w:uiPriority w:val="0"/>
    <w:rPr>
      <w:szCs w:val="21"/>
    </w:rPr>
  </w:style>
  <w:style w:type="paragraph" w:customStyle="1" w:styleId="190">
    <w:name w:val="表格"/>
    <w:basedOn w:val="1"/>
    <w:link w:val="189"/>
    <w:qFormat/>
    <w:uiPriority w:val="0"/>
    <w:pPr>
      <w:framePr w:hSpace="180" w:wrap="around" w:vAnchor="text" w:hAnchor="text" w:xAlign="center" w:y="1"/>
      <w:adjustRightInd w:val="0"/>
      <w:snapToGrid w:val="0"/>
      <w:jc w:val="center"/>
    </w:pPr>
    <w:rPr>
      <w:kern w:val="0"/>
      <w:sz w:val="20"/>
      <w:szCs w:val="21"/>
    </w:rPr>
  </w:style>
  <w:style w:type="character" w:customStyle="1" w:styleId="191">
    <w:name w:val="正文文本缩进 2 Char6"/>
    <w:basedOn w:val="97"/>
    <w:link w:val="51"/>
    <w:qFormat/>
    <w:uiPriority w:val="0"/>
    <w:rPr>
      <w:rFonts w:ascii="宋体" w:hAnsi="宋体"/>
      <w:kern w:val="2"/>
      <w:sz w:val="21"/>
      <w:szCs w:val="24"/>
    </w:rPr>
  </w:style>
  <w:style w:type="character" w:customStyle="1" w:styleId="192">
    <w:name w:val="标题 2 Char"/>
    <w:qFormat/>
    <w:uiPriority w:val="0"/>
    <w:rPr>
      <w:b/>
      <w:sz w:val="28"/>
      <w:lang w:val="zh-CN" w:eastAsia="zh-CN"/>
    </w:rPr>
  </w:style>
  <w:style w:type="table" w:customStyle="1" w:styleId="193">
    <w:name w:val="网格型1"/>
    <w:basedOn w:val="8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194">
    <w:name w:val="网格型11"/>
    <w:basedOn w:val="88"/>
    <w:qFormat/>
    <w:uiPriority w:val="0"/>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195">
    <w:name w:val="网格型2"/>
    <w:basedOn w:val="88"/>
    <w:qFormat/>
    <w:uiPriority w:val="0"/>
    <w:rPr>
      <w:rFonts w:ascii="Calibri" w:hAnsi="Calibri" w:eastAsia="Times New Roman"/>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196">
    <w:name w:val="网格型3"/>
    <w:basedOn w:val="88"/>
    <w:qFormat/>
    <w:uiPriority w:val="0"/>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197">
    <w:name w:val="Table Normal4"/>
    <w:semiHidden/>
    <w:unhideWhenUsed/>
    <w:qFormat/>
    <w:uiPriority w:val="2"/>
    <w:pPr>
      <w:widowControl w:val="0"/>
      <w:autoSpaceDE w:val="0"/>
      <w:autoSpaceDN w:val="0"/>
    </w:pPr>
    <w:rPr>
      <w:rFonts w:ascii="等线" w:hAnsi="等线" w:eastAsia="等线"/>
      <w:sz w:val="22"/>
      <w:szCs w:val="22"/>
      <w:lang w:eastAsia="en-US"/>
    </w:rPr>
    <w:tblPr>
      <w:tblLayout w:type="fixed"/>
      <w:tblCellMar>
        <w:top w:w="0" w:type="dxa"/>
        <w:left w:w="0" w:type="dxa"/>
        <w:bottom w:w="0" w:type="dxa"/>
        <w:right w:w="0" w:type="dxa"/>
      </w:tblCellMar>
    </w:tblPr>
  </w:style>
  <w:style w:type="table" w:customStyle="1" w:styleId="198">
    <w:name w:val="Table Normal1"/>
    <w:semiHidden/>
    <w:unhideWhenUsed/>
    <w:qFormat/>
    <w:uiPriority w:val="2"/>
    <w:pPr>
      <w:widowControl w:val="0"/>
      <w:autoSpaceDE w:val="0"/>
      <w:autoSpaceDN w:val="0"/>
    </w:pPr>
    <w:rPr>
      <w:rFonts w:ascii="等线" w:hAnsi="等线" w:eastAsia="等线"/>
      <w:sz w:val="22"/>
      <w:szCs w:val="22"/>
      <w:lang w:eastAsia="en-US"/>
    </w:rPr>
    <w:tblPr>
      <w:tblLayout w:type="fixed"/>
      <w:tblCellMar>
        <w:top w:w="0" w:type="dxa"/>
        <w:left w:w="0" w:type="dxa"/>
        <w:bottom w:w="0" w:type="dxa"/>
        <w:right w:w="0" w:type="dxa"/>
      </w:tblCellMar>
    </w:tblPr>
  </w:style>
  <w:style w:type="table" w:customStyle="1" w:styleId="199">
    <w:name w:val="Table Normal11"/>
    <w:semiHidden/>
    <w:qFormat/>
    <w:uiPriority w:val="2"/>
    <w:pPr>
      <w:widowControl w:val="0"/>
      <w:autoSpaceDE w:val="0"/>
      <w:autoSpaceDN w:val="0"/>
    </w:pPr>
    <w:rPr>
      <w:rFonts w:ascii="Calibri" w:hAnsi="Calibri" w:eastAsia="Times New Roman"/>
      <w:sz w:val="22"/>
      <w:szCs w:val="22"/>
      <w:lang w:eastAsia="en-US"/>
    </w:rPr>
    <w:tblPr>
      <w:tblLayout w:type="fixed"/>
      <w:tblCellMar>
        <w:top w:w="0" w:type="dxa"/>
        <w:left w:w="0" w:type="dxa"/>
        <w:bottom w:w="0" w:type="dxa"/>
        <w:right w:w="0" w:type="dxa"/>
      </w:tblCellMar>
    </w:tblPr>
  </w:style>
  <w:style w:type="table" w:customStyle="1" w:styleId="200">
    <w:name w:val="Table Normal2"/>
    <w:semiHidden/>
    <w:qFormat/>
    <w:uiPriority w:val="2"/>
    <w:pPr>
      <w:widowControl w:val="0"/>
      <w:autoSpaceDE w:val="0"/>
      <w:autoSpaceDN w:val="0"/>
    </w:pPr>
    <w:rPr>
      <w:rFonts w:ascii="Calibri" w:hAnsi="Calibri" w:eastAsia="Times New Roman"/>
      <w:sz w:val="22"/>
      <w:szCs w:val="22"/>
      <w:lang w:eastAsia="en-US"/>
    </w:rPr>
    <w:tblPr>
      <w:tblLayout w:type="fixed"/>
      <w:tblCellMar>
        <w:top w:w="0" w:type="dxa"/>
        <w:left w:w="0" w:type="dxa"/>
        <w:bottom w:w="0" w:type="dxa"/>
        <w:right w:w="0" w:type="dxa"/>
      </w:tblCellMar>
    </w:tblPr>
  </w:style>
  <w:style w:type="table" w:customStyle="1" w:styleId="201">
    <w:name w:val="Table Normal5"/>
    <w:semiHidden/>
    <w:unhideWhenUsed/>
    <w:qFormat/>
    <w:uiPriority w:val="2"/>
    <w:pPr>
      <w:widowControl w:val="0"/>
      <w:autoSpaceDE w:val="0"/>
      <w:autoSpaceDN w:val="0"/>
    </w:pPr>
    <w:rPr>
      <w:rFonts w:ascii="等线" w:hAnsi="等线" w:eastAsia="等线"/>
      <w:sz w:val="22"/>
      <w:szCs w:val="22"/>
      <w:lang w:eastAsia="en-US"/>
    </w:rPr>
    <w:tblPr>
      <w:tblLayout w:type="fixed"/>
      <w:tblCellMar>
        <w:top w:w="0" w:type="dxa"/>
        <w:left w:w="0" w:type="dxa"/>
        <w:bottom w:w="0" w:type="dxa"/>
        <w:right w:w="0" w:type="dxa"/>
      </w:tblCellMar>
    </w:tblPr>
  </w:style>
  <w:style w:type="table" w:customStyle="1" w:styleId="202">
    <w:name w:val="网格型111"/>
    <w:basedOn w:val="88"/>
    <w:qFormat/>
    <w:uiPriority w:val="0"/>
    <w:pPr>
      <w:widowControl w:val="0"/>
      <w:jc w:val="both"/>
    </w:pPr>
    <w:rPr>
      <w:rFonts w:ascii="等线" w:hAnsi="等线" w:eastAsia="等线"/>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203">
    <w:name w:val="标题1-表内容"/>
    <w:basedOn w:val="1"/>
    <w:qFormat/>
    <w:uiPriority w:val="0"/>
    <w:pPr>
      <w:adjustRightInd w:val="0"/>
      <w:snapToGrid w:val="0"/>
      <w:jc w:val="center"/>
    </w:pPr>
  </w:style>
  <w:style w:type="table" w:customStyle="1" w:styleId="204">
    <w:name w:val="网格型4"/>
    <w:basedOn w:val="88"/>
    <w:qFormat/>
    <w:uiPriority w:val="0"/>
    <w:pPr>
      <w:widowControl w:val="0"/>
      <w:jc w:val="both"/>
    </w:pPr>
    <w:rPr>
      <w:rFonts w:ascii="Calibri" w:hAnsi="Calibri"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05">
    <w:name w:val="网格型5"/>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06">
    <w:name w:val="网格型6"/>
    <w:basedOn w:val="88"/>
    <w:qFormat/>
    <w:uiPriority w:val="0"/>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07">
    <w:name w:val="标题 5 Char3"/>
    <w:basedOn w:val="97"/>
    <w:link w:val="7"/>
    <w:qFormat/>
    <w:uiPriority w:val="0"/>
    <w:rPr>
      <w:rFonts w:ascii="Tahoma" w:hAnsi="Tahoma" w:eastAsia="微软雅黑"/>
      <w:b/>
      <w:bCs/>
      <w:sz w:val="28"/>
      <w:szCs w:val="28"/>
    </w:rPr>
  </w:style>
  <w:style w:type="character" w:customStyle="1" w:styleId="208">
    <w:name w:val="标题 6 Char2"/>
    <w:basedOn w:val="97"/>
    <w:link w:val="8"/>
    <w:qFormat/>
    <w:uiPriority w:val="0"/>
    <w:rPr>
      <w:rFonts w:ascii="Cambria" w:hAnsi="Cambria"/>
      <w:b/>
      <w:bCs/>
      <w:sz w:val="24"/>
      <w:szCs w:val="24"/>
    </w:rPr>
  </w:style>
  <w:style w:type="character" w:customStyle="1" w:styleId="209">
    <w:name w:val="标题 7 Char3"/>
    <w:basedOn w:val="97"/>
    <w:link w:val="9"/>
    <w:qFormat/>
    <w:uiPriority w:val="0"/>
    <w:rPr>
      <w:rFonts w:ascii="Tahoma" w:hAnsi="Tahoma" w:eastAsia="微软雅黑"/>
      <w:b/>
      <w:bCs/>
      <w:sz w:val="24"/>
      <w:szCs w:val="24"/>
    </w:rPr>
  </w:style>
  <w:style w:type="character" w:customStyle="1" w:styleId="210">
    <w:name w:val="标题 8 Char3"/>
    <w:basedOn w:val="97"/>
    <w:link w:val="10"/>
    <w:qFormat/>
    <w:uiPriority w:val="0"/>
    <w:rPr>
      <w:rFonts w:ascii="Cambria" w:hAnsi="Cambria"/>
      <w:sz w:val="24"/>
      <w:szCs w:val="24"/>
    </w:rPr>
  </w:style>
  <w:style w:type="character" w:customStyle="1" w:styleId="211">
    <w:name w:val="标题 9 Char3"/>
    <w:basedOn w:val="97"/>
    <w:link w:val="11"/>
    <w:qFormat/>
    <w:uiPriority w:val="0"/>
    <w:rPr>
      <w:rFonts w:ascii="Cambria" w:hAnsi="Cambria"/>
      <w:sz w:val="21"/>
      <w:szCs w:val="21"/>
    </w:rPr>
  </w:style>
  <w:style w:type="character" w:customStyle="1" w:styleId="212">
    <w:name w:val="样式1 Char"/>
    <w:link w:val="150"/>
    <w:qFormat/>
    <w:uiPriority w:val="0"/>
    <w:rPr>
      <w:rFonts w:ascii="黑体" w:eastAsia="黑体"/>
      <w:b/>
      <w:kern w:val="2"/>
      <w:sz w:val="28"/>
      <w:szCs w:val="24"/>
    </w:rPr>
  </w:style>
  <w:style w:type="paragraph" w:customStyle="1" w:styleId="213">
    <w:name w:val="TOC Heading"/>
    <w:basedOn w:val="3"/>
    <w:next w:val="1"/>
    <w:unhideWhenUsed/>
    <w:qFormat/>
    <w:uiPriority w:val="39"/>
    <w:pPr>
      <w:keepLines/>
      <w:widowControl/>
      <w:spacing w:beforeLines="100" w:afterLines="100" w:line="276" w:lineRule="auto"/>
      <w:outlineLvl w:val="9"/>
    </w:pPr>
    <w:rPr>
      <w:rFonts w:ascii="Cambria" w:hAnsi="Cambria" w:eastAsia="宋体"/>
      <w:b/>
      <w:bCs/>
      <w:color w:val="365F91"/>
      <w:kern w:val="0"/>
      <w:sz w:val="28"/>
      <w:szCs w:val="28"/>
    </w:rPr>
  </w:style>
  <w:style w:type="paragraph" w:customStyle="1" w:styleId="214">
    <w:name w:val="20090730正文"/>
    <w:basedOn w:val="1"/>
    <w:qFormat/>
    <w:uiPriority w:val="0"/>
    <w:pPr>
      <w:spacing w:afterLines="50" w:line="500" w:lineRule="exact"/>
      <w:ind w:firstLine="200" w:firstLineChars="200"/>
    </w:pPr>
    <w:rPr>
      <w:rFonts w:cs="宋体"/>
      <w:sz w:val="28"/>
      <w:szCs w:val="20"/>
    </w:rPr>
  </w:style>
  <w:style w:type="character" w:customStyle="1" w:styleId="215">
    <w:name w:val="报告正文 Char Char"/>
    <w:link w:val="216"/>
    <w:qFormat/>
    <w:uiPriority w:val="0"/>
    <w:rPr>
      <w:sz w:val="28"/>
      <w:szCs w:val="28"/>
    </w:rPr>
  </w:style>
  <w:style w:type="paragraph" w:customStyle="1" w:styleId="216">
    <w:name w:val="报告正文"/>
    <w:basedOn w:val="1"/>
    <w:link w:val="215"/>
    <w:qFormat/>
    <w:uiPriority w:val="0"/>
    <w:pPr>
      <w:spacing w:after="200" w:line="460" w:lineRule="exact"/>
      <w:ind w:firstLine="200" w:firstLineChars="200"/>
    </w:pPr>
    <w:rPr>
      <w:kern w:val="0"/>
      <w:sz w:val="28"/>
      <w:szCs w:val="28"/>
    </w:rPr>
  </w:style>
  <w:style w:type="paragraph" w:customStyle="1" w:styleId="217">
    <w:name w:val="图标标题"/>
    <w:basedOn w:val="1"/>
    <w:qFormat/>
    <w:uiPriority w:val="0"/>
    <w:pPr>
      <w:spacing w:beforeLines="50" w:afterLines="50" w:line="312" w:lineRule="auto"/>
      <w:jc w:val="center"/>
    </w:pPr>
    <w:rPr>
      <w:szCs w:val="21"/>
    </w:rPr>
  </w:style>
  <w:style w:type="paragraph" w:customStyle="1" w:styleId="218">
    <w:name w:val="正文样式"/>
    <w:basedOn w:val="1"/>
    <w:link w:val="1736"/>
    <w:qFormat/>
    <w:uiPriority w:val="0"/>
    <w:pPr>
      <w:spacing w:after="200" w:line="480" w:lineRule="exact"/>
      <w:ind w:firstLine="200" w:firstLineChars="200"/>
    </w:pPr>
    <w:rPr>
      <w:sz w:val="28"/>
      <w:szCs w:val="28"/>
    </w:rPr>
  </w:style>
  <w:style w:type="table" w:customStyle="1" w:styleId="219">
    <w:name w:val="网格型21"/>
    <w:basedOn w:val="8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20">
    <w:name w:val="网格型7"/>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21">
    <w:name w:val="网格型31"/>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22">
    <w:name w:val="网格型12"/>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23">
    <w:name w:val="图表标注 Char Char"/>
    <w:link w:val="224"/>
    <w:qFormat/>
    <w:uiPriority w:val="0"/>
    <w:rPr>
      <w:sz w:val="24"/>
      <w:szCs w:val="24"/>
    </w:rPr>
  </w:style>
  <w:style w:type="paragraph" w:customStyle="1" w:styleId="224">
    <w:name w:val="图表标注"/>
    <w:basedOn w:val="216"/>
    <w:link w:val="223"/>
    <w:qFormat/>
    <w:uiPriority w:val="0"/>
    <w:pPr>
      <w:spacing w:line="240" w:lineRule="auto"/>
      <w:ind w:firstLine="0" w:firstLineChars="0"/>
      <w:jc w:val="center"/>
    </w:pPr>
    <w:rPr>
      <w:sz w:val="24"/>
      <w:szCs w:val="24"/>
    </w:rPr>
  </w:style>
  <w:style w:type="character" w:customStyle="1" w:styleId="225">
    <w:name w:val="正文文本缩进 Char Char"/>
    <w:link w:val="226"/>
    <w:qFormat/>
    <w:uiPriority w:val="0"/>
    <w:rPr>
      <w:sz w:val="28"/>
    </w:rPr>
  </w:style>
  <w:style w:type="paragraph" w:customStyle="1" w:styleId="226">
    <w:name w:val="正文文本缩进1"/>
    <w:basedOn w:val="1"/>
    <w:link w:val="225"/>
    <w:qFormat/>
    <w:uiPriority w:val="0"/>
    <w:pPr>
      <w:spacing w:after="200" w:line="400" w:lineRule="exact"/>
      <w:ind w:firstLine="570"/>
    </w:pPr>
    <w:rPr>
      <w:kern w:val="0"/>
      <w:sz w:val="28"/>
      <w:szCs w:val="20"/>
    </w:rPr>
  </w:style>
  <w:style w:type="table" w:customStyle="1" w:styleId="227">
    <w:name w:val="网格型41"/>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28">
    <w:name w:val="网格型51"/>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29">
    <w:name w:val="网格型61"/>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0">
    <w:name w:val="网格型32"/>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1">
    <w:name w:val="网格型22"/>
    <w:basedOn w:val="8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2">
    <w:name w:val="网格型33"/>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3">
    <w:name w:val="网格型211"/>
    <w:basedOn w:val="8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4">
    <w:name w:val="网格型112"/>
    <w:basedOn w:val="88"/>
    <w:qFormat/>
    <w:uiPriority w:val="59"/>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5">
    <w:name w:val="网格型311"/>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6">
    <w:name w:val="网格型321"/>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7">
    <w:name w:val="网格型8"/>
    <w:basedOn w:val="88"/>
    <w:qFormat/>
    <w:uiPriority w:val="59"/>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8">
    <w:name w:val="网格型34"/>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39">
    <w:name w:val="网格型42"/>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0">
    <w:name w:val="网格型23"/>
    <w:basedOn w:val="8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1">
    <w:name w:val="网格型9"/>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2">
    <w:name w:val="网格型35"/>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3">
    <w:name w:val="网格型212"/>
    <w:basedOn w:val="8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4">
    <w:name w:val="网格型312"/>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5">
    <w:name w:val="网格型43"/>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6">
    <w:name w:val="网格型52"/>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7">
    <w:name w:val="网格型62"/>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8">
    <w:name w:val="网格型322"/>
    <w:basedOn w:val="8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49">
    <w:name w:val="网格型63"/>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0">
    <w:name w:val="网格型24"/>
    <w:basedOn w:val="8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1">
    <w:name w:val="网格型10"/>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2">
    <w:name w:val="网格型36"/>
    <w:basedOn w:val="88"/>
    <w:qFormat/>
    <w:uiPriority w:val="3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3">
    <w:name w:val="网格型213"/>
    <w:basedOn w:val="8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4">
    <w:name w:val="网格型13"/>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5">
    <w:name w:val="网格型313"/>
    <w:basedOn w:val="88"/>
    <w:qFormat/>
    <w:uiPriority w:val="3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6">
    <w:name w:val="网格型44"/>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7">
    <w:name w:val="网格型53"/>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8">
    <w:name w:val="网格型64"/>
    <w:basedOn w:val="88"/>
    <w:qFormat/>
    <w:uiPriority w:val="0"/>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9">
    <w:name w:val="网格型323"/>
    <w:basedOn w:val="88"/>
    <w:qFormat/>
    <w:uiPriority w:val="3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60">
    <w:name w:val="网格型14"/>
    <w:basedOn w:val="88"/>
    <w:qFormat/>
    <w:uiPriority w:val="0"/>
    <w:rPr>
      <w:rFonts w:ascii="Calibri" w:hAnsi="Calibri" w:eastAsia="微软雅黑"/>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61">
    <w:name w:val="网格型15"/>
    <w:basedOn w:val="8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62">
    <w:name w:val="正文文本缩进 3 Char4"/>
    <w:link w:val="70"/>
    <w:qFormat/>
    <w:uiPriority w:val="0"/>
    <w:rPr>
      <w:kern w:val="2"/>
      <w:sz w:val="21"/>
    </w:rPr>
  </w:style>
  <w:style w:type="paragraph" w:customStyle="1" w:styleId="263">
    <w:name w:val="Revision"/>
    <w:hidden/>
    <w:qFormat/>
    <w:uiPriority w:val="0"/>
    <w:rPr>
      <w:rFonts w:ascii="Times New Roman" w:hAnsi="Times New Roman" w:eastAsia="宋体" w:cs="Times New Roman"/>
      <w:sz w:val="24"/>
      <w:szCs w:val="22"/>
      <w:lang w:val="en-US" w:eastAsia="zh-CN" w:bidi="ar-SA"/>
    </w:rPr>
  </w:style>
  <w:style w:type="table" w:customStyle="1" w:styleId="264">
    <w:name w:val="网格型16"/>
    <w:basedOn w:val="8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65">
    <w:name w:val="apple-style-span"/>
    <w:basedOn w:val="97"/>
    <w:qFormat/>
    <w:uiPriority w:val="0"/>
  </w:style>
  <w:style w:type="paragraph" w:customStyle="1" w:styleId="266">
    <w:name w:val="Default"/>
    <w:link w:val="2565"/>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67">
    <w:name w:val="题注 Char"/>
    <w:link w:val="22"/>
    <w:qFormat/>
    <w:uiPriority w:val="0"/>
    <w:rPr>
      <w:rFonts w:eastAsia="黑体" w:cstheme="majorBidi"/>
      <w:bCs/>
      <w:sz w:val="21"/>
    </w:rPr>
  </w:style>
  <w:style w:type="character" w:customStyle="1" w:styleId="268">
    <w:name w:val="正文内容 Char"/>
    <w:link w:val="269"/>
    <w:qFormat/>
    <w:uiPriority w:val="0"/>
    <w:rPr>
      <w:sz w:val="24"/>
      <w:szCs w:val="24"/>
    </w:rPr>
  </w:style>
  <w:style w:type="paragraph" w:customStyle="1" w:styleId="269">
    <w:name w:val="正文内容"/>
    <w:basedOn w:val="1"/>
    <w:link w:val="268"/>
    <w:qFormat/>
    <w:uiPriority w:val="0"/>
    <w:pPr>
      <w:adjustRightInd w:val="0"/>
      <w:snapToGrid w:val="0"/>
      <w:spacing w:line="360" w:lineRule="auto"/>
      <w:ind w:firstLine="480" w:firstLineChars="200"/>
    </w:pPr>
    <w:rPr>
      <w:kern w:val="0"/>
      <w:sz w:val="24"/>
    </w:rPr>
  </w:style>
  <w:style w:type="character" w:customStyle="1" w:styleId="270">
    <w:name w:val="纯文本 Char1"/>
    <w:qFormat/>
    <w:uiPriority w:val="0"/>
    <w:rPr>
      <w:rFonts w:ascii="宋体" w:hAnsi="Courier New" w:eastAsia="宋体"/>
      <w:kern w:val="2"/>
      <w:sz w:val="21"/>
      <w:lang w:val="en-US" w:eastAsia="zh-CN" w:bidi="ar-SA"/>
    </w:rPr>
  </w:style>
  <w:style w:type="character" w:customStyle="1" w:styleId="271">
    <w:name w:val="标题 4 Char2"/>
    <w:qFormat/>
    <w:uiPriority w:val="0"/>
    <w:rPr>
      <w:rFonts w:ascii="Arial" w:hAnsi="Arial" w:eastAsia="黑体"/>
      <w:b/>
      <w:bCs/>
      <w:kern w:val="2"/>
      <w:sz w:val="28"/>
      <w:szCs w:val="28"/>
      <w:lang w:val="en-US" w:eastAsia="zh-CN" w:bidi="ar-SA"/>
    </w:rPr>
  </w:style>
  <w:style w:type="character" w:customStyle="1" w:styleId="272">
    <w:name w:val="图表名 Char"/>
    <w:link w:val="273"/>
    <w:qFormat/>
    <w:uiPriority w:val="0"/>
    <w:rPr>
      <w:rFonts w:ascii="黑体" w:eastAsia="黑体"/>
      <w:bCs/>
      <w:kern w:val="2"/>
      <w:sz w:val="24"/>
      <w:szCs w:val="24"/>
    </w:rPr>
  </w:style>
  <w:style w:type="paragraph" w:customStyle="1" w:styleId="273">
    <w:name w:val="图表名"/>
    <w:basedOn w:val="1"/>
    <w:link w:val="272"/>
    <w:qFormat/>
    <w:uiPriority w:val="0"/>
    <w:pPr>
      <w:adjustRightInd w:val="0"/>
      <w:snapToGrid w:val="0"/>
      <w:spacing w:beforeLines="50" w:line="360" w:lineRule="auto"/>
      <w:jc w:val="center"/>
    </w:pPr>
    <w:rPr>
      <w:rFonts w:ascii="黑体" w:eastAsia="黑体"/>
      <w:bCs/>
      <w:sz w:val="24"/>
    </w:rPr>
  </w:style>
  <w:style w:type="character" w:customStyle="1" w:styleId="274">
    <w:name w:val="文字缩进 Char1"/>
    <w:qFormat/>
    <w:uiPriority w:val="0"/>
    <w:rPr>
      <w:rFonts w:ascii="宋体" w:hAnsi="Courier New" w:eastAsia="宋体" w:cs="Courier New"/>
      <w:bCs/>
      <w:kern w:val="2"/>
      <w:sz w:val="24"/>
      <w:szCs w:val="21"/>
      <w:lang w:val="en-US" w:eastAsia="zh-CN" w:bidi="ar-SA"/>
    </w:rPr>
  </w:style>
  <w:style w:type="paragraph" w:customStyle="1" w:styleId="275">
    <w:name w:val="Char Char Char Char Char Char Char Char Char1 Char Char Char Char Char Char Char Char Char Char Char Char Char"/>
    <w:basedOn w:val="3"/>
    <w:qFormat/>
    <w:uiPriority w:val="0"/>
    <w:pPr>
      <w:keepLines/>
      <w:snapToGrid w:val="0"/>
      <w:spacing w:before="240" w:after="240" w:line="348" w:lineRule="auto"/>
      <w:ind w:left="360" w:hanging="360" w:hangingChars="200"/>
      <w:jc w:val="both"/>
    </w:pPr>
    <w:rPr>
      <w:rFonts w:ascii="Tahoma" w:hAnsi="Tahoma" w:eastAsia="宋体"/>
      <w:b/>
      <w:sz w:val="24"/>
      <w:szCs w:val="20"/>
    </w:rPr>
  </w:style>
  <w:style w:type="paragraph" w:customStyle="1" w:styleId="276">
    <w:name w:val="报告书表格"/>
    <w:basedOn w:val="1"/>
    <w:qFormat/>
    <w:uiPriority w:val="0"/>
    <w:pPr>
      <w:adjustRightInd w:val="0"/>
      <w:spacing w:before="60" w:after="60" w:line="240" w:lineRule="atLeast"/>
      <w:jc w:val="center"/>
      <w:textAlignment w:val="baseline"/>
    </w:pPr>
    <w:rPr>
      <w:kern w:val="0"/>
      <w:szCs w:val="20"/>
    </w:rPr>
  </w:style>
  <w:style w:type="paragraph" w:customStyle="1" w:styleId="277">
    <w:name w:val="样式表"/>
    <w:basedOn w:val="1"/>
    <w:qFormat/>
    <w:uiPriority w:val="0"/>
    <w:pPr>
      <w:adjustRightInd w:val="0"/>
      <w:snapToGrid w:val="0"/>
      <w:spacing w:before="60" w:after="60"/>
      <w:ind w:firstLine="126" w:firstLineChars="50"/>
      <w:jc w:val="center"/>
    </w:pPr>
    <w:rPr>
      <w:rFonts w:ascii="宋体" w:hAnsi="宋体"/>
      <w:spacing w:val="6"/>
      <w:sz w:val="24"/>
    </w:rPr>
  </w:style>
  <w:style w:type="paragraph" w:customStyle="1" w:styleId="278">
    <w:name w:val="正文5号"/>
    <w:basedOn w:val="1"/>
    <w:next w:val="1"/>
    <w:link w:val="674"/>
    <w:qFormat/>
    <w:uiPriority w:val="0"/>
    <w:pPr>
      <w:spacing w:before="120" w:after="120"/>
      <w:jc w:val="left"/>
    </w:pPr>
    <w:rPr>
      <w:color w:val="FF00FF"/>
      <w:kern w:val="0"/>
      <w:sz w:val="24"/>
      <w:szCs w:val="28"/>
    </w:rPr>
  </w:style>
  <w:style w:type="paragraph" w:customStyle="1" w:styleId="279">
    <w:name w:val="表题"/>
    <w:basedOn w:val="1"/>
    <w:link w:val="1353"/>
    <w:qFormat/>
    <w:uiPriority w:val="0"/>
    <w:pPr>
      <w:autoSpaceDE w:val="0"/>
      <w:autoSpaceDN w:val="0"/>
      <w:adjustRightInd w:val="0"/>
      <w:spacing w:line="480" w:lineRule="atLeast"/>
      <w:jc w:val="center"/>
      <w:textAlignment w:val="baseline"/>
    </w:pPr>
    <w:rPr>
      <w:rFonts w:ascii="黑体" w:eastAsia="黑体"/>
      <w:kern w:val="16"/>
      <w:szCs w:val="20"/>
    </w:rPr>
  </w:style>
  <w:style w:type="paragraph" w:customStyle="1" w:styleId="280">
    <w:name w:val="Char Char Char Char Char Char Char Char Char1 Char Char Char1 Char Char Char Char Char Char"/>
    <w:basedOn w:val="1"/>
    <w:qFormat/>
    <w:uiPriority w:val="0"/>
    <w:pPr>
      <w:spacing w:line="360" w:lineRule="auto"/>
      <w:ind w:firstLine="200" w:firstLineChars="200"/>
    </w:pPr>
    <w:rPr>
      <w:rFonts w:ascii="宋体" w:hAnsi="宋体" w:cs="宋体"/>
      <w:sz w:val="24"/>
    </w:rPr>
  </w:style>
  <w:style w:type="paragraph" w:customStyle="1" w:styleId="281">
    <w:name w:val="表内式样"/>
    <w:qFormat/>
    <w:uiPriority w:val="0"/>
    <w:pPr>
      <w:widowControl w:val="0"/>
      <w:kinsoku w:val="0"/>
      <w:adjustRightInd w:val="0"/>
      <w:spacing w:line="360" w:lineRule="atLeast"/>
      <w:jc w:val="both"/>
      <w:textAlignment w:val="baseline"/>
    </w:pPr>
    <w:rPr>
      <w:rFonts w:ascii="宋体" w:hAnsi="Times New Roman" w:eastAsia="宋体" w:cs="Times New Roman"/>
      <w:snapToGrid w:val="0"/>
      <w:sz w:val="21"/>
      <w:lang w:val="en-US" w:eastAsia="zh-CN" w:bidi="ar-SA"/>
    </w:rPr>
  </w:style>
  <w:style w:type="paragraph" w:customStyle="1" w:styleId="282">
    <w:name w:val="Char311"/>
    <w:basedOn w:val="1"/>
    <w:qFormat/>
    <w:uiPriority w:val="0"/>
    <w:pPr>
      <w:spacing w:line="360" w:lineRule="auto"/>
      <w:ind w:firstLine="200" w:firstLineChars="200"/>
    </w:pPr>
    <w:rPr>
      <w:rFonts w:ascii="宋体" w:hAnsi="宋体" w:cs="宋体"/>
      <w:sz w:val="24"/>
    </w:rPr>
  </w:style>
  <w:style w:type="paragraph" w:customStyle="1" w:styleId="283">
    <w:name w:val="样式 正文首行缩进 2 + 首行缩进:  2 字符"/>
    <w:basedOn w:val="87"/>
    <w:qFormat/>
    <w:uiPriority w:val="0"/>
    <w:pPr>
      <w:widowControl/>
      <w:spacing w:after="0" w:line="480" w:lineRule="exact"/>
      <w:ind w:left="0" w:leftChars="0" w:firstLine="482" w:firstLineChars="0"/>
    </w:pPr>
    <w:rPr>
      <w:rFonts w:cs="宋体"/>
      <w:bCs/>
      <w:kern w:val="0"/>
      <w:position w:val="-40"/>
      <w:sz w:val="24"/>
    </w:rPr>
  </w:style>
  <w:style w:type="paragraph" w:customStyle="1" w:styleId="284">
    <w:name w:val="表1"/>
    <w:basedOn w:val="1"/>
    <w:qFormat/>
    <w:uiPriority w:val="0"/>
    <w:pPr>
      <w:adjustRightInd w:val="0"/>
      <w:snapToGrid w:val="0"/>
      <w:spacing w:line="0" w:lineRule="atLeast"/>
      <w:jc w:val="center"/>
    </w:pPr>
    <w:rPr>
      <w:szCs w:val="20"/>
    </w:rPr>
  </w:style>
  <w:style w:type="paragraph" w:customStyle="1" w:styleId="285">
    <w:name w:val="样式 首行缩进:  2 字符"/>
    <w:basedOn w:val="1"/>
    <w:link w:val="322"/>
    <w:qFormat/>
    <w:uiPriority w:val="0"/>
    <w:pPr>
      <w:adjustRightInd w:val="0"/>
      <w:snapToGrid w:val="0"/>
      <w:spacing w:line="360" w:lineRule="auto"/>
      <w:ind w:firstLine="200" w:firstLineChars="200"/>
      <w:jc w:val="left"/>
    </w:pPr>
    <w:rPr>
      <w:rFonts w:ascii="宋体"/>
      <w:sz w:val="24"/>
      <w:szCs w:val="48"/>
    </w:rPr>
  </w:style>
  <w:style w:type="paragraph" w:customStyle="1" w:styleId="286">
    <w:name w:val="表格文字"/>
    <w:basedOn w:val="1"/>
    <w:link w:val="321"/>
    <w:qFormat/>
    <w:uiPriority w:val="0"/>
    <w:pPr>
      <w:adjustRightInd w:val="0"/>
      <w:snapToGrid w:val="0"/>
      <w:jc w:val="center"/>
    </w:pPr>
    <w:rPr>
      <w:kern w:val="0"/>
      <w:szCs w:val="21"/>
    </w:rPr>
  </w:style>
  <w:style w:type="paragraph" w:customStyle="1" w:styleId="287">
    <w:name w:val="样式表头"/>
    <w:basedOn w:val="1"/>
    <w:qFormat/>
    <w:uiPriority w:val="0"/>
    <w:pPr>
      <w:adjustRightInd w:val="0"/>
      <w:snapToGrid w:val="0"/>
      <w:spacing w:line="312" w:lineRule="auto"/>
      <w:jc w:val="center"/>
      <w:textAlignment w:val="baseline"/>
    </w:pPr>
    <w:rPr>
      <w:rFonts w:eastAsia="黑体"/>
      <w:b/>
      <w:kern w:val="0"/>
      <w:sz w:val="32"/>
      <w:szCs w:val="20"/>
    </w:rPr>
  </w:style>
  <w:style w:type="paragraph" w:customStyle="1" w:styleId="288">
    <w:name w:val="表格内容"/>
    <w:basedOn w:val="1"/>
    <w:link w:val="617"/>
    <w:qFormat/>
    <w:uiPriority w:val="0"/>
    <w:pPr>
      <w:spacing w:line="320" w:lineRule="exact"/>
      <w:jc w:val="center"/>
    </w:pPr>
    <w:rPr>
      <w:rFonts w:ascii="宋体" w:hAnsi="宋体"/>
      <w:szCs w:val="21"/>
    </w:rPr>
  </w:style>
  <w:style w:type="paragraph" w:customStyle="1" w:styleId="289">
    <w:name w:val="监测方案正文"/>
    <w:basedOn w:val="1"/>
    <w:qFormat/>
    <w:uiPriority w:val="0"/>
    <w:pPr>
      <w:spacing w:line="500" w:lineRule="exact"/>
      <w:ind w:firstLine="480" w:firstLineChars="200"/>
    </w:pPr>
    <w:rPr>
      <w:rFonts w:ascii="宋体" w:hAnsi="宋体" w:cs="宋体"/>
      <w:sz w:val="24"/>
    </w:rPr>
  </w:style>
  <w:style w:type="character" w:customStyle="1" w:styleId="290">
    <w:name w:val="font01"/>
    <w:qFormat/>
    <w:uiPriority w:val="0"/>
    <w:rPr>
      <w:rFonts w:hint="default" w:ascii="Times New Roman" w:hAnsi="Times New Roman" w:cs="Times New Roman"/>
      <w:color w:val="000000"/>
      <w:sz w:val="21"/>
      <w:szCs w:val="21"/>
      <w:u w:val="none"/>
      <w:vertAlign w:val="superscript"/>
    </w:rPr>
  </w:style>
  <w:style w:type="character" w:customStyle="1" w:styleId="291">
    <w:name w:val="页脚 Char4"/>
    <w:qFormat/>
    <w:uiPriority w:val="0"/>
    <w:rPr>
      <w:rFonts w:eastAsia="宋体"/>
      <w:kern w:val="2"/>
      <w:sz w:val="18"/>
      <w:szCs w:val="18"/>
      <w:lang w:val="en-US" w:eastAsia="zh-CN" w:bidi="ar-SA"/>
    </w:rPr>
  </w:style>
  <w:style w:type="character" w:customStyle="1" w:styleId="292">
    <w:name w:val="批注框文本 Char2"/>
    <w:qFormat/>
    <w:uiPriority w:val="0"/>
    <w:rPr>
      <w:rFonts w:eastAsia="宋体"/>
      <w:kern w:val="2"/>
      <w:sz w:val="18"/>
      <w:szCs w:val="18"/>
      <w:lang w:val="en-US" w:eastAsia="zh-CN" w:bidi="ar-SA"/>
    </w:rPr>
  </w:style>
  <w:style w:type="character" w:customStyle="1" w:styleId="293">
    <w:name w:val="标题 1 Char1"/>
    <w:qFormat/>
    <w:uiPriority w:val="9"/>
    <w:rPr>
      <w:b/>
      <w:kern w:val="44"/>
      <w:sz w:val="44"/>
    </w:rPr>
  </w:style>
  <w:style w:type="character" w:customStyle="1" w:styleId="294">
    <w:name w:val="标题 2 Char1"/>
    <w:qFormat/>
    <w:uiPriority w:val="99"/>
    <w:rPr>
      <w:rFonts w:ascii="Arial" w:hAnsi="Arial" w:eastAsia="黑体"/>
      <w:b/>
      <w:bCs/>
      <w:sz w:val="32"/>
      <w:szCs w:val="32"/>
      <w:lang w:val="en-US" w:eastAsia="zh-CN" w:bidi="ar-SA"/>
    </w:rPr>
  </w:style>
  <w:style w:type="character" w:customStyle="1" w:styleId="295">
    <w:name w:val="标题 3 Char1"/>
    <w:qFormat/>
    <w:uiPriority w:val="9"/>
    <w:rPr>
      <w:rFonts w:ascii="宋体" w:hAnsi="宋体" w:eastAsia="宋体"/>
      <w:b/>
      <w:bCs/>
      <w:sz w:val="32"/>
      <w:szCs w:val="32"/>
      <w:lang w:val="en-US" w:eastAsia="zh-CN" w:bidi="ar-SA"/>
    </w:rPr>
  </w:style>
  <w:style w:type="character" w:customStyle="1" w:styleId="296">
    <w:name w:val="H4 Char"/>
    <w:qFormat/>
    <w:uiPriority w:val="0"/>
    <w:rPr>
      <w:rFonts w:ascii="Times New Roman" w:hAnsi="Times New Roman" w:eastAsia="宋体" w:cs="Times New Roman"/>
      <w:b/>
      <w:bCs/>
      <w:sz w:val="24"/>
      <w:szCs w:val="28"/>
    </w:rPr>
  </w:style>
  <w:style w:type="character" w:styleId="297">
    <w:name w:val="Placeholder Text"/>
    <w:qFormat/>
    <w:uiPriority w:val="0"/>
    <w:rPr>
      <w:color w:val="808080"/>
    </w:rPr>
  </w:style>
  <w:style w:type="paragraph" w:customStyle="1" w:styleId="298">
    <w:name w:val="Char Char3 Char Char Char Char Char Char Char Char"/>
    <w:basedOn w:val="1"/>
    <w:semiHidden/>
    <w:qFormat/>
    <w:uiPriority w:val="0"/>
    <w:rPr>
      <w:rFonts w:ascii="宋体" w:hAnsi="宋体" w:cs="宋体"/>
      <w:sz w:val="24"/>
    </w:rPr>
  </w:style>
  <w:style w:type="character" w:customStyle="1" w:styleId="299">
    <w:name w:val="正文缩进 Char"/>
    <w:qFormat/>
    <w:uiPriority w:val="0"/>
    <w:rPr>
      <w:sz w:val="24"/>
      <w:lang w:bidi="ar-SA"/>
    </w:rPr>
  </w:style>
  <w:style w:type="character" w:customStyle="1" w:styleId="300">
    <w:name w:val="标题 5 Char"/>
    <w:qFormat/>
    <w:uiPriority w:val="0"/>
    <w:rPr>
      <w:b/>
      <w:bCs/>
      <w:sz w:val="28"/>
      <w:szCs w:val="28"/>
    </w:rPr>
  </w:style>
  <w:style w:type="character" w:customStyle="1" w:styleId="301">
    <w:name w:val="标题 6 Char"/>
    <w:qFormat/>
    <w:uiPriority w:val="0"/>
    <w:rPr>
      <w:rFonts w:ascii="Cambria" w:hAnsi="Cambria" w:eastAsia="宋体" w:cs="Times New Roman"/>
      <w:b/>
      <w:bCs/>
      <w:sz w:val="24"/>
      <w:szCs w:val="24"/>
    </w:rPr>
  </w:style>
  <w:style w:type="character" w:customStyle="1" w:styleId="302">
    <w:name w:val="标题 7 Char"/>
    <w:qFormat/>
    <w:uiPriority w:val="0"/>
    <w:rPr>
      <w:b/>
      <w:bCs/>
      <w:sz w:val="24"/>
      <w:szCs w:val="24"/>
    </w:rPr>
  </w:style>
  <w:style w:type="character" w:customStyle="1" w:styleId="303">
    <w:name w:val="标题 8 Char"/>
    <w:qFormat/>
    <w:uiPriority w:val="0"/>
    <w:rPr>
      <w:rFonts w:ascii="Cambria" w:hAnsi="Cambria" w:eastAsia="宋体" w:cs="Times New Roman"/>
      <w:sz w:val="24"/>
      <w:szCs w:val="24"/>
    </w:rPr>
  </w:style>
  <w:style w:type="character" w:customStyle="1" w:styleId="304">
    <w:name w:val="标题 9 Char"/>
    <w:qFormat/>
    <w:uiPriority w:val="0"/>
    <w:rPr>
      <w:rFonts w:ascii="Cambria" w:hAnsi="Cambria" w:eastAsia="宋体" w:cs="Times New Roman"/>
      <w:szCs w:val="21"/>
    </w:rPr>
  </w:style>
  <w:style w:type="character" w:customStyle="1" w:styleId="305">
    <w:name w:val="标题 4 Char1"/>
    <w:qFormat/>
    <w:uiPriority w:val="0"/>
    <w:rPr>
      <w:b/>
      <w:bCs/>
      <w:sz w:val="24"/>
      <w:szCs w:val="24"/>
    </w:rPr>
  </w:style>
  <w:style w:type="character" w:customStyle="1" w:styleId="306">
    <w:name w:val="标题 5 Char2"/>
    <w:qFormat/>
    <w:uiPriority w:val="0"/>
    <w:rPr>
      <w:rFonts w:eastAsia="宋体"/>
      <w:b/>
      <w:bCs/>
      <w:kern w:val="2"/>
      <w:sz w:val="28"/>
      <w:szCs w:val="28"/>
      <w:lang w:val="en-US" w:eastAsia="zh-CN" w:bidi="ar-SA"/>
    </w:rPr>
  </w:style>
  <w:style w:type="character" w:customStyle="1" w:styleId="307">
    <w:name w:val="标题 6 Char1"/>
    <w:qFormat/>
    <w:uiPriority w:val="0"/>
    <w:rPr>
      <w:rFonts w:ascii="宋体" w:hAnsi="Arial" w:eastAsia="宋体"/>
      <w:iCs/>
      <w:snapToGrid w:val="0"/>
      <w:kern w:val="28"/>
      <w:sz w:val="30"/>
      <w:lang w:bidi="ar-SA"/>
    </w:rPr>
  </w:style>
  <w:style w:type="character" w:customStyle="1" w:styleId="308">
    <w:name w:val="标题 7 Char1"/>
    <w:qFormat/>
    <w:uiPriority w:val="0"/>
    <w:rPr>
      <w:rFonts w:ascii="宋体" w:hAnsi="Univers" w:eastAsia="宋体"/>
      <w:iCs/>
      <w:snapToGrid w:val="0"/>
      <w:kern w:val="28"/>
      <w:sz w:val="30"/>
      <w:lang w:bidi="ar-SA"/>
    </w:rPr>
  </w:style>
  <w:style w:type="character" w:customStyle="1" w:styleId="309">
    <w:name w:val="标题 8 Char1"/>
    <w:qFormat/>
    <w:uiPriority w:val="0"/>
    <w:rPr>
      <w:rFonts w:ascii="宋体" w:hAnsi="Arial" w:eastAsia="宋体"/>
      <w:iCs/>
      <w:snapToGrid w:val="0"/>
      <w:kern w:val="28"/>
      <w:sz w:val="30"/>
      <w:lang w:bidi="ar-SA"/>
    </w:rPr>
  </w:style>
  <w:style w:type="character" w:customStyle="1" w:styleId="310">
    <w:name w:val="标题 9 Char1"/>
    <w:qFormat/>
    <w:uiPriority w:val="0"/>
    <w:rPr>
      <w:rFonts w:ascii="宋体" w:hAnsi="Arial" w:eastAsia="宋体"/>
      <w:iCs/>
      <w:snapToGrid w:val="0"/>
      <w:kern w:val="28"/>
      <w:sz w:val="30"/>
      <w:lang w:bidi="ar-SA"/>
    </w:rPr>
  </w:style>
  <w:style w:type="character" w:customStyle="1" w:styleId="311">
    <w:name w:val="副标题 Char3"/>
    <w:link w:val="64"/>
    <w:qFormat/>
    <w:uiPriority w:val="0"/>
    <w:rPr>
      <w:rFonts w:ascii="Arial" w:hAnsi="Arial"/>
      <w:b/>
      <w:bCs/>
      <w:kern w:val="28"/>
      <w:sz w:val="32"/>
      <w:szCs w:val="32"/>
    </w:rPr>
  </w:style>
  <w:style w:type="character" w:customStyle="1" w:styleId="312">
    <w:name w:val="副标题 字符"/>
    <w:basedOn w:val="97"/>
    <w:qFormat/>
    <w:uiPriority w:val="0"/>
    <w:rPr>
      <w:rFonts w:asciiTheme="minorHAnsi" w:hAnsiTheme="minorHAnsi" w:eastAsiaTheme="minorEastAsia" w:cstheme="minorBidi"/>
      <w:b/>
      <w:bCs/>
      <w:kern w:val="28"/>
      <w:sz w:val="32"/>
      <w:szCs w:val="32"/>
    </w:rPr>
  </w:style>
  <w:style w:type="character" w:customStyle="1" w:styleId="313">
    <w:name w:val="副标题 Char1"/>
    <w:qFormat/>
    <w:uiPriority w:val="11"/>
    <w:rPr>
      <w:rFonts w:ascii="Cambria" w:hAnsi="Cambria" w:eastAsia="宋体" w:cs="Times New Roman"/>
      <w:b/>
      <w:bCs/>
      <w:kern w:val="28"/>
      <w:sz w:val="32"/>
      <w:szCs w:val="32"/>
    </w:rPr>
  </w:style>
  <w:style w:type="character" w:customStyle="1" w:styleId="314">
    <w:name w:val="标准正文 Char"/>
    <w:link w:val="315"/>
    <w:qFormat/>
    <w:uiPriority w:val="0"/>
    <w:rPr>
      <w:rFonts w:eastAsia="Times New Roman"/>
      <w:kern w:val="2"/>
      <w:sz w:val="24"/>
      <w:szCs w:val="24"/>
    </w:rPr>
  </w:style>
  <w:style w:type="paragraph" w:customStyle="1" w:styleId="315">
    <w:name w:val="标准正文"/>
    <w:link w:val="314"/>
    <w:qFormat/>
    <w:uiPriority w:val="0"/>
    <w:pPr>
      <w:spacing w:line="360" w:lineRule="auto"/>
      <w:ind w:firstLine="200" w:firstLineChars="200"/>
      <w:jc w:val="both"/>
    </w:pPr>
    <w:rPr>
      <w:rFonts w:ascii="Times New Roman" w:hAnsi="Times New Roman" w:eastAsia="Times New Roman" w:cs="Times New Roman"/>
      <w:kern w:val="2"/>
      <w:sz w:val="24"/>
      <w:szCs w:val="24"/>
      <w:lang w:val="en-US" w:eastAsia="zh-CN" w:bidi="ar-SA"/>
    </w:rPr>
  </w:style>
  <w:style w:type="character" w:customStyle="1" w:styleId="316">
    <w:name w:val="段落文字 Char Char1 Char"/>
    <w:qFormat/>
    <w:uiPriority w:val="0"/>
    <w:rPr>
      <w:rFonts w:eastAsia="仿宋_GB2312"/>
      <w:kern w:val="2"/>
      <w:sz w:val="28"/>
      <w:szCs w:val="28"/>
      <w:lang w:val="en-US" w:eastAsia="zh-CN" w:bidi="ar-SA"/>
    </w:rPr>
  </w:style>
  <w:style w:type="character" w:customStyle="1" w:styleId="317">
    <w:name w:val="正文文本 Char"/>
    <w:qFormat/>
    <w:uiPriority w:val="0"/>
    <w:rPr>
      <w:rFonts w:eastAsia="宋体"/>
      <w:color w:val="FF00FF"/>
      <w:sz w:val="28"/>
      <w:szCs w:val="24"/>
      <w:lang w:val="en-US" w:eastAsia="zh-CN" w:bidi="ar-SA"/>
    </w:rPr>
  </w:style>
  <w:style w:type="character" w:customStyle="1" w:styleId="318">
    <w:name w:val="项标题(1) Char Char"/>
    <w:qFormat/>
    <w:uiPriority w:val="0"/>
    <w:rPr>
      <w:rFonts w:ascii="宋体" w:hAnsi="Univers" w:eastAsia="宋体"/>
      <w:kern w:val="28"/>
      <w:sz w:val="28"/>
      <w:lang w:val="en-US" w:eastAsia="zh-CN" w:bidi="ar-SA"/>
    </w:rPr>
  </w:style>
  <w:style w:type="character" w:customStyle="1" w:styleId="319">
    <w:name w:val="生物名 Char"/>
    <w:link w:val="320"/>
    <w:qFormat/>
    <w:uiPriority w:val="0"/>
    <w:rPr>
      <w:i/>
      <w:w w:val="94"/>
      <w:szCs w:val="21"/>
    </w:rPr>
  </w:style>
  <w:style w:type="paragraph" w:customStyle="1" w:styleId="320">
    <w:name w:val="生物名"/>
    <w:basedOn w:val="286"/>
    <w:link w:val="319"/>
    <w:qFormat/>
    <w:uiPriority w:val="0"/>
    <w:rPr>
      <w:i/>
      <w:w w:val="94"/>
      <w:sz w:val="20"/>
    </w:rPr>
  </w:style>
  <w:style w:type="character" w:customStyle="1" w:styleId="321">
    <w:name w:val="表格文字 Char"/>
    <w:link w:val="286"/>
    <w:qFormat/>
    <w:uiPriority w:val="0"/>
    <w:rPr>
      <w:sz w:val="21"/>
      <w:szCs w:val="21"/>
    </w:rPr>
  </w:style>
  <w:style w:type="character" w:customStyle="1" w:styleId="322">
    <w:name w:val="样式 首行缩进:  2 字符 Char"/>
    <w:link w:val="285"/>
    <w:qFormat/>
    <w:uiPriority w:val="0"/>
    <w:rPr>
      <w:rFonts w:ascii="宋体"/>
      <w:kern w:val="2"/>
      <w:sz w:val="24"/>
      <w:szCs w:val="48"/>
    </w:rPr>
  </w:style>
  <w:style w:type="character" w:customStyle="1" w:styleId="323">
    <w:name w:val="本文图表标题 Char"/>
    <w:link w:val="324"/>
    <w:qFormat/>
    <w:uiPriority w:val="0"/>
    <w:rPr>
      <w:rFonts w:ascii="仿宋_GB2312" w:eastAsia="仿宋_GB2312"/>
      <w:b/>
      <w:color w:val="000000"/>
      <w:sz w:val="24"/>
      <w:szCs w:val="24"/>
    </w:rPr>
  </w:style>
  <w:style w:type="paragraph" w:customStyle="1" w:styleId="324">
    <w:name w:val="本文图表标题"/>
    <w:basedOn w:val="1"/>
    <w:link w:val="323"/>
    <w:qFormat/>
    <w:uiPriority w:val="0"/>
    <w:pPr>
      <w:spacing w:line="360" w:lineRule="auto"/>
      <w:jc w:val="center"/>
    </w:pPr>
    <w:rPr>
      <w:rFonts w:ascii="仿宋_GB2312" w:eastAsia="仿宋_GB2312"/>
      <w:b/>
      <w:color w:val="000000"/>
      <w:kern w:val="0"/>
      <w:sz w:val="24"/>
    </w:rPr>
  </w:style>
  <w:style w:type="character" w:customStyle="1" w:styleId="325">
    <w:name w:val="style101"/>
    <w:qFormat/>
    <w:uiPriority w:val="0"/>
    <w:rPr>
      <w:color w:val="11305E"/>
    </w:rPr>
  </w:style>
  <w:style w:type="character" w:customStyle="1" w:styleId="326">
    <w:name w:val="apple-converted-space"/>
    <w:basedOn w:val="97"/>
    <w:qFormat/>
    <w:uiPriority w:val="0"/>
  </w:style>
  <w:style w:type="character" w:customStyle="1" w:styleId="327">
    <w:name w:val="标题四 Char"/>
    <w:link w:val="328"/>
    <w:qFormat/>
    <w:uiPriority w:val="0"/>
    <w:rPr>
      <w:bCs/>
      <w:sz w:val="24"/>
      <w:szCs w:val="24"/>
    </w:rPr>
  </w:style>
  <w:style w:type="paragraph" w:customStyle="1" w:styleId="328">
    <w:name w:val="标题四"/>
    <w:basedOn w:val="6"/>
    <w:link w:val="327"/>
    <w:qFormat/>
    <w:uiPriority w:val="0"/>
    <w:pPr>
      <w:keepLines w:val="0"/>
      <w:tabs>
        <w:tab w:val="clear" w:pos="360"/>
      </w:tabs>
      <w:adjustRightInd w:val="0"/>
      <w:snapToGrid w:val="0"/>
      <w:spacing w:line="360" w:lineRule="auto"/>
      <w:ind w:left="0" w:firstLine="0" w:firstLineChars="0"/>
    </w:pPr>
    <w:rPr>
      <w:rFonts w:hAnsi="Times New Roman"/>
      <w:b w:val="0"/>
      <w:kern w:val="0"/>
      <w:sz w:val="24"/>
      <w:szCs w:val="24"/>
    </w:rPr>
  </w:style>
  <w:style w:type="character" w:customStyle="1" w:styleId="329">
    <w:name w:val="正文首行缩进 2 Char4"/>
    <w:link w:val="87"/>
    <w:qFormat/>
    <w:uiPriority w:val="0"/>
    <w:rPr>
      <w:kern w:val="2"/>
      <w:sz w:val="21"/>
      <w:szCs w:val="24"/>
    </w:rPr>
  </w:style>
  <w:style w:type="character" w:customStyle="1" w:styleId="330">
    <w:name w:val="正文文本缩进 Char5"/>
    <w:link w:val="35"/>
    <w:qFormat/>
    <w:uiPriority w:val="0"/>
    <w:rPr>
      <w:kern w:val="2"/>
      <w:sz w:val="21"/>
      <w:szCs w:val="24"/>
    </w:rPr>
  </w:style>
  <w:style w:type="character" w:customStyle="1" w:styleId="331">
    <w:name w:val="正文文本缩进 Char"/>
    <w:basedOn w:val="97"/>
    <w:qFormat/>
    <w:uiPriority w:val="0"/>
  </w:style>
  <w:style w:type="character" w:customStyle="1" w:styleId="332">
    <w:name w:val="正文首行缩进 2 Char"/>
    <w:basedOn w:val="331"/>
    <w:link w:val="333"/>
    <w:qFormat/>
    <w:uiPriority w:val="0"/>
  </w:style>
  <w:style w:type="paragraph" w:customStyle="1" w:styleId="333">
    <w:name w:val="目录2"/>
    <w:basedOn w:val="34"/>
    <w:next w:val="86"/>
    <w:link w:val="332"/>
    <w:uiPriority w:val="0"/>
    <w:pPr>
      <w:widowControl/>
      <w:spacing w:after="120" w:line="360" w:lineRule="auto"/>
      <w:ind w:firstLine="420" w:firstLineChars="100"/>
      <w:jc w:val="left"/>
    </w:pPr>
    <w:rPr>
      <w:rFonts w:eastAsia="宋体"/>
      <w:kern w:val="0"/>
      <w:sz w:val="20"/>
    </w:rPr>
  </w:style>
  <w:style w:type="character" w:customStyle="1" w:styleId="334">
    <w:name w:val="标题 3霍 Char"/>
    <w:qFormat/>
    <w:uiPriority w:val="0"/>
    <w:rPr>
      <w:rFonts w:ascii="宋体" w:hAnsi="宋体" w:eastAsia="宋体"/>
      <w:b/>
      <w:sz w:val="28"/>
      <w:szCs w:val="28"/>
      <w:lang w:val="en-US" w:eastAsia="zh-CN" w:bidi="ar-SA"/>
    </w:rPr>
  </w:style>
  <w:style w:type="character" w:customStyle="1" w:styleId="335">
    <w:name w:val="正文文本缩进 3 Char"/>
    <w:qFormat/>
    <w:uiPriority w:val="0"/>
    <w:rPr>
      <w:rFonts w:eastAsia="宋体"/>
      <w:kern w:val="2"/>
      <w:sz w:val="16"/>
      <w:szCs w:val="16"/>
      <w:lang w:val="en-US" w:eastAsia="zh-CN" w:bidi="ar-SA"/>
    </w:rPr>
  </w:style>
  <w:style w:type="character" w:customStyle="1" w:styleId="336">
    <w:name w:val="正文文本缩进 3 Char1"/>
    <w:qFormat/>
    <w:uiPriority w:val="0"/>
    <w:rPr>
      <w:sz w:val="16"/>
      <w:szCs w:val="16"/>
    </w:rPr>
  </w:style>
  <w:style w:type="character" w:customStyle="1" w:styleId="337">
    <w:name w:val="nw1"/>
    <w:qFormat/>
    <w:uiPriority w:val="0"/>
    <w:rPr>
      <w:sz w:val="21"/>
      <w:szCs w:val="21"/>
    </w:rPr>
  </w:style>
  <w:style w:type="character" w:customStyle="1" w:styleId="338">
    <w:name w:val="正文文字 Char"/>
    <w:qFormat/>
    <w:uiPriority w:val="0"/>
    <w:rPr>
      <w:rFonts w:eastAsia="宋体"/>
      <w:kern w:val="2"/>
      <w:sz w:val="24"/>
      <w:szCs w:val="24"/>
      <w:lang w:val="en-US" w:eastAsia="zh-CN" w:bidi="ar-SA"/>
    </w:rPr>
  </w:style>
  <w:style w:type="character" w:customStyle="1" w:styleId="339">
    <w:name w:val="干标题(a) Char Char"/>
    <w:qFormat/>
    <w:uiPriority w:val="0"/>
    <w:rPr>
      <w:rFonts w:ascii="宋体" w:hAnsi="Arial"/>
      <w:color w:val="0000FF"/>
      <w:kern w:val="28"/>
      <w:sz w:val="28"/>
    </w:rPr>
  </w:style>
  <w:style w:type="character" w:customStyle="1" w:styleId="340">
    <w:name w:val="blue31"/>
    <w:qFormat/>
    <w:uiPriority w:val="0"/>
    <w:rPr>
      <w:rFonts w:hint="eastAsia" w:ascii="宋体" w:hAnsi="宋体" w:eastAsia="宋体"/>
      <w:b/>
      <w:color w:val="1164CA"/>
      <w:sz w:val="18"/>
      <w:u w:val="none"/>
    </w:rPr>
  </w:style>
  <w:style w:type="character" w:customStyle="1" w:styleId="341">
    <w:name w:val="四号 正文 Char1"/>
    <w:link w:val="342"/>
    <w:qFormat/>
    <w:uiPriority w:val="0"/>
    <w:rPr>
      <w:rFonts w:ascii="黑体" w:hAnsi="宋体" w:eastAsia="黑体"/>
      <w:b/>
      <w:spacing w:val="6"/>
      <w:sz w:val="24"/>
      <w:szCs w:val="24"/>
    </w:rPr>
  </w:style>
  <w:style w:type="paragraph" w:customStyle="1" w:styleId="342">
    <w:name w:val="四号 正文"/>
    <w:basedOn w:val="1"/>
    <w:link w:val="341"/>
    <w:qFormat/>
    <w:uiPriority w:val="0"/>
    <w:pPr>
      <w:ind w:firstLine="506" w:firstLineChars="200"/>
    </w:pPr>
    <w:rPr>
      <w:rFonts w:ascii="黑体" w:hAnsi="宋体" w:eastAsia="黑体"/>
      <w:b/>
      <w:spacing w:val="6"/>
      <w:kern w:val="0"/>
      <w:sz w:val="24"/>
    </w:rPr>
  </w:style>
  <w:style w:type="character" w:customStyle="1" w:styleId="343">
    <w:name w:val="样式 (中文) 黑体 12 磅 加粗 黑色"/>
    <w:qFormat/>
    <w:uiPriority w:val="0"/>
    <w:rPr>
      <w:rFonts w:eastAsia="黑体"/>
      <w:bCs/>
      <w:color w:val="000000"/>
      <w:kern w:val="0"/>
      <w:sz w:val="28"/>
    </w:rPr>
  </w:style>
  <w:style w:type="character" w:customStyle="1" w:styleId="344">
    <w:name w:val="Chapter Heading Char1"/>
    <w:qFormat/>
    <w:uiPriority w:val="0"/>
    <w:rPr>
      <w:rFonts w:ascii="Arial" w:hAnsi="Arial" w:eastAsia="黑体"/>
      <w:b/>
      <w:bCs/>
      <w:kern w:val="2"/>
      <w:sz w:val="32"/>
      <w:szCs w:val="32"/>
      <w:lang w:val="en-US" w:eastAsia="zh-CN" w:bidi="ar-SA"/>
    </w:rPr>
  </w:style>
  <w:style w:type="character" w:customStyle="1" w:styleId="345">
    <w:name w:val="表名 Char1"/>
    <w:link w:val="152"/>
    <w:qFormat/>
    <w:uiPriority w:val="0"/>
    <w:rPr>
      <w:rFonts w:ascii="Arial" w:hAnsi="Arial" w:eastAsia="楷体_GB2312" w:cs="Arial"/>
      <w:b/>
      <w:kern w:val="2"/>
      <w:sz w:val="24"/>
      <w:szCs w:val="24"/>
    </w:rPr>
  </w:style>
  <w:style w:type="character" w:customStyle="1" w:styleId="346">
    <w:name w:val="123YJ Char Char"/>
    <w:qFormat/>
    <w:uiPriority w:val="0"/>
    <w:rPr>
      <w:rFonts w:ascii="Times New Roman" w:hAnsi="Times New Roman" w:eastAsia="宋体" w:cs="Times New Roman"/>
      <w:kern w:val="0"/>
      <w:sz w:val="18"/>
      <w:szCs w:val="18"/>
      <w:lang w:val="en-US" w:eastAsia="zh-CN" w:bidi="ar-SA"/>
    </w:rPr>
  </w:style>
  <w:style w:type="character" w:customStyle="1" w:styleId="347">
    <w:name w:val="正文文本缩进 Char1"/>
    <w:qFormat/>
    <w:uiPriority w:val="0"/>
    <w:rPr>
      <w:rFonts w:eastAsia="宋体"/>
      <w:sz w:val="24"/>
      <w:szCs w:val="24"/>
      <w:lang w:val="en-US" w:eastAsia="zh-CN" w:bidi="ar-SA"/>
    </w:rPr>
  </w:style>
  <w:style w:type="character" w:customStyle="1" w:styleId="348">
    <w:name w:val="页眉 Char2"/>
    <w:qFormat/>
    <w:uiPriority w:val="0"/>
    <w:rPr>
      <w:rFonts w:eastAsia="宋体"/>
      <w:kern w:val="2"/>
      <w:sz w:val="18"/>
      <w:szCs w:val="18"/>
      <w:lang w:val="en-US" w:eastAsia="zh-CN" w:bidi="ar-SA"/>
    </w:rPr>
  </w:style>
  <w:style w:type="character" w:customStyle="1" w:styleId="349">
    <w:name w:val="页眉 Char"/>
    <w:qFormat/>
    <w:uiPriority w:val="0"/>
    <w:rPr>
      <w:sz w:val="18"/>
      <w:szCs w:val="18"/>
    </w:rPr>
  </w:style>
  <w:style w:type="character" w:customStyle="1" w:styleId="350">
    <w:name w:val="t11"/>
    <w:qFormat/>
    <w:uiPriority w:val="0"/>
    <w:rPr>
      <w:rFonts w:hint="eastAsia" w:ascii="宋体" w:hAnsi="宋体" w:eastAsia="宋体"/>
      <w:color w:val="008080"/>
      <w:sz w:val="18"/>
      <w:szCs w:val="18"/>
    </w:rPr>
  </w:style>
  <w:style w:type="character" w:customStyle="1" w:styleId="351">
    <w:name w:val="表头东晓 Char"/>
    <w:link w:val="352"/>
    <w:qFormat/>
    <w:uiPriority w:val="0"/>
    <w:rPr>
      <w:szCs w:val="21"/>
    </w:rPr>
  </w:style>
  <w:style w:type="paragraph" w:customStyle="1" w:styleId="352">
    <w:name w:val="表头东晓"/>
    <w:basedOn w:val="1"/>
    <w:link w:val="351"/>
    <w:qFormat/>
    <w:uiPriority w:val="0"/>
    <w:pPr>
      <w:widowControl/>
      <w:adjustRightInd w:val="0"/>
      <w:snapToGrid w:val="0"/>
      <w:jc w:val="center"/>
    </w:pPr>
    <w:rPr>
      <w:kern w:val="0"/>
      <w:sz w:val="20"/>
      <w:szCs w:val="21"/>
    </w:rPr>
  </w:style>
  <w:style w:type="character" w:customStyle="1" w:styleId="353">
    <w:name w:val="样式 宋体 黑色"/>
    <w:qFormat/>
    <w:uiPriority w:val="0"/>
    <w:rPr>
      <w:rFonts w:ascii="Times New Roman" w:hAnsi="Times New Roman" w:eastAsia="宋体"/>
      <w:color w:val="000000"/>
      <w:kern w:val="0"/>
      <w:sz w:val="24"/>
    </w:rPr>
  </w:style>
  <w:style w:type="character" w:customStyle="1" w:styleId="354">
    <w:name w:val="列表编号 5 Char1"/>
    <w:link w:val="65"/>
    <w:qFormat/>
    <w:uiPriority w:val="0"/>
    <w:rPr>
      <w:sz w:val="18"/>
      <w:szCs w:val="18"/>
    </w:rPr>
  </w:style>
  <w:style w:type="character" w:customStyle="1" w:styleId="355">
    <w:name w:val="正文文本 Char1"/>
    <w:qFormat/>
    <w:uiPriority w:val="0"/>
    <w:rPr>
      <w:color w:val="FF00FF"/>
      <w:sz w:val="28"/>
      <w:szCs w:val="24"/>
    </w:rPr>
  </w:style>
  <w:style w:type="character" w:customStyle="1" w:styleId="356">
    <w:name w:val="一级标题 Char"/>
    <w:link w:val="357"/>
    <w:qFormat/>
    <w:uiPriority w:val="0"/>
    <w:rPr>
      <w:rFonts w:eastAsia="仿宋_GB2312"/>
      <w:b/>
      <w:bCs/>
      <w:color w:val="000000"/>
      <w:kern w:val="44"/>
      <w:sz w:val="30"/>
      <w:szCs w:val="30"/>
    </w:rPr>
  </w:style>
  <w:style w:type="paragraph" w:customStyle="1" w:styleId="357">
    <w:name w:val="一级标题"/>
    <w:basedOn w:val="1"/>
    <w:link w:val="356"/>
    <w:qFormat/>
    <w:uiPriority w:val="0"/>
    <w:pPr>
      <w:keepNext/>
      <w:keepLines/>
      <w:adjustRightInd w:val="0"/>
      <w:snapToGrid w:val="0"/>
      <w:spacing w:before="240" w:after="240" w:line="360" w:lineRule="auto"/>
      <w:jc w:val="center"/>
      <w:outlineLvl w:val="0"/>
    </w:pPr>
    <w:rPr>
      <w:rFonts w:eastAsia="仿宋_GB2312"/>
      <w:b/>
      <w:bCs/>
      <w:color w:val="000000"/>
      <w:kern w:val="44"/>
      <w:sz w:val="30"/>
      <w:szCs w:val="30"/>
    </w:rPr>
  </w:style>
  <w:style w:type="character" w:customStyle="1" w:styleId="358">
    <w:name w:val="Char Char7"/>
    <w:qFormat/>
    <w:uiPriority w:val="0"/>
    <w:rPr>
      <w:sz w:val="28"/>
      <w:szCs w:val="28"/>
    </w:rPr>
  </w:style>
  <w:style w:type="character" w:customStyle="1" w:styleId="359">
    <w:name w:val="正文尹东晓 Char"/>
    <w:link w:val="360"/>
    <w:qFormat/>
    <w:uiPriority w:val="0"/>
    <w:rPr>
      <w:snapToGrid w:val="0"/>
      <w:color w:val="000000"/>
      <w:sz w:val="24"/>
      <w:szCs w:val="24"/>
    </w:rPr>
  </w:style>
  <w:style w:type="paragraph" w:customStyle="1" w:styleId="360">
    <w:name w:val="正文尹东晓"/>
    <w:basedOn w:val="1"/>
    <w:link w:val="359"/>
    <w:qFormat/>
    <w:uiPriority w:val="0"/>
    <w:pPr>
      <w:adjustRightInd w:val="0"/>
      <w:snapToGrid w:val="0"/>
      <w:spacing w:line="360" w:lineRule="auto"/>
      <w:ind w:firstLine="200" w:firstLineChars="200"/>
    </w:pPr>
    <w:rPr>
      <w:snapToGrid w:val="0"/>
      <w:color w:val="000000"/>
      <w:kern w:val="0"/>
      <w:sz w:val="24"/>
    </w:rPr>
  </w:style>
  <w:style w:type="character" w:customStyle="1" w:styleId="361">
    <w:name w:val="4级标题 Char"/>
    <w:link w:val="362"/>
    <w:qFormat/>
    <w:uiPriority w:val="0"/>
    <w:rPr>
      <w:rFonts w:ascii="Arial" w:hAnsi="Arial"/>
      <w:b/>
      <w:bCs/>
      <w:sz w:val="24"/>
      <w:szCs w:val="24"/>
    </w:rPr>
  </w:style>
  <w:style w:type="paragraph" w:customStyle="1" w:styleId="362">
    <w:name w:val="4级标题"/>
    <w:basedOn w:val="6"/>
    <w:link w:val="361"/>
    <w:uiPriority w:val="0"/>
    <w:pPr>
      <w:tabs>
        <w:tab w:val="clear" w:pos="360"/>
      </w:tabs>
      <w:adjustRightInd w:val="0"/>
      <w:snapToGrid w:val="0"/>
      <w:spacing w:before="280" w:after="290" w:line="372" w:lineRule="auto"/>
      <w:ind w:left="0" w:firstLine="620"/>
      <w:jc w:val="both"/>
    </w:pPr>
    <w:rPr>
      <w:rFonts w:ascii="Arial" w:hAnsi="Arial"/>
      <w:kern w:val="0"/>
      <w:sz w:val="24"/>
      <w:szCs w:val="24"/>
    </w:rPr>
  </w:style>
  <w:style w:type="character" w:customStyle="1" w:styleId="363">
    <w:name w:val="Char Char11"/>
    <w:uiPriority w:val="0"/>
    <w:rPr>
      <w:rFonts w:ascii="Arial" w:hAnsi="Arial" w:eastAsia="黑体"/>
      <w:kern w:val="2"/>
      <w:sz w:val="21"/>
    </w:rPr>
  </w:style>
  <w:style w:type="character" w:customStyle="1" w:styleId="364">
    <w:name w:val="样式 标题 3ReHead 3 WSAh3标题 3 Char标题 32标题 311Re11Head 3 WSA1... Char"/>
    <w:link w:val="365"/>
    <w:uiPriority w:val="0"/>
    <w:rPr>
      <w:color w:val="0000FF"/>
      <w:sz w:val="24"/>
      <w:szCs w:val="32"/>
      <w:lang w:val="en-GB"/>
    </w:rPr>
  </w:style>
  <w:style w:type="paragraph" w:customStyle="1" w:styleId="365">
    <w:name w:val="样式 标题 3ReHead 3 WSAh3标题 3 Char标题 32标题 311Re11Head 3 WSA1..."/>
    <w:basedOn w:val="5"/>
    <w:link w:val="364"/>
    <w:uiPriority w:val="0"/>
    <w:pPr>
      <w:keepLines/>
      <w:tabs>
        <w:tab w:val="clear" w:pos="360"/>
      </w:tabs>
      <w:ind w:left="0" w:firstLine="0" w:firstLineChars="0"/>
    </w:pPr>
    <w:rPr>
      <w:rFonts w:ascii="Times New Roman" w:hAnsi="Times New Roman" w:eastAsia="宋体"/>
      <w:bCs w:val="0"/>
      <w:color w:val="0000FF"/>
      <w:kern w:val="0"/>
      <w:szCs w:val="32"/>
      <w:lang w:val="en-GB"/>
    </w:rPr>
  </w:style>
  <w:style w:type="character" w:customStyle="1" w:styleId="366">
    <w:name w:val="无间隔 Char1"/>
    <w:link w:val="367"/>
    <w:uiPriority w:val="0"/>
    <w:rPr>
      <w:rFonts w:ascii="Calibri" w:hAnsi="Calibri" w:eastAsia="Times New Roman"/>
      <w:kern w:val="2"/>
      <w:sz w:val="22"/>
      <w:szCs w:val="22"/>
    </w:rPr>
  </w:style>
  <w:style w:type="paragraph" w:styleId="367">
    <w:name w:val="No Spacing"/>
    <w:link w:val="366"/>
    <w:qFormat/>
    <w:uiPriority w:val="1"/>
    <w:rPr>
      <w:rFonts w:ascii="Calibri" w:hAnsi="Calibri" w:eastAsia="Times New Roman" w:cs="Times New Roman"/>
      <w:kern w:val="2"/>
      <w:sz w:val="22"/>
      <w:szCs w:val="22"/>
      <w:lang w:val="en-US" w:eastAsia="zh-CN" w:bidi="ar-SA"/>
    </w:rPr>
  </w:style>
  <w:style w:type="character" w:customStyle="1" w:styleId="368">
    <w:name w:val="表名炜烨 Char"/>
    <w:link w:val="369"/>
    <w:uiPriority w:val="0"/>
    <w:rPr>
      <w:color w:val="0000FF"/>
      <w:szCs w:val="21"/>
    </w:rPr>
  </w:style>
  <w:style w:type="paragraph" w:customStyle="1" w:styleId="369">
    <w:name w:val="表名炜烨"/>
    <w:basedOn w:val="273"/>
    <w:link w:val="368"/>
    <w:semiHidden/>
    <w:uiPriority w:val="0"/>
    <w:pPr>
      <w:spacing w:beforeLines="0" w:line="240" w:lineRule="auto"/>
    </w:pPr>
    <w:rPr>
      <w:rFonts w:ascii="Times New Roman" w:eastAsia="宋体"/>
      <w:bCs w:val="0"/>
      <w:color w:val="0000FF"/>
      <w:kern w:val="0"/>
      <w:sz w:val="20"/>
      <w:szCs w:val="21"/>
    </w:rPr>
  </w:style>
  <w:style w:type="character" w:customStyle="1" w:styleId="370">
    <w:name w:val="xiaobiaoti1"/>
    <w:uiPriority w:val="0"/>
    <w:rPr>
      <w:rFonts w:hint="eastAsia" w:ascii="宋体" w:hAnsi="宋体" w:eastAsia="宋体"/>
      <w:b/>
      <w:bCs/>
      <w:color w:val="000000"/>
      <w:kern w:val="2"/>
      <w:sz w:val="24"/>
      <w:szCs w:val="24"/>
      <w:lang w:val="en-US" w:eastAsia="zh-CN" w:bidi="ar-SA"/>
    </w:rPr>
  </w:style>
  <w:style w:type="character" w:customStyle="1" w:styleId="371">
    <w:name w:val="页脚 Char"/>
    <w:uiPriority w:val="0"/>
    <w:rPr>
      <w:sz w:val="18"/>
      <w:szCs w:val="18"/>
    </w:rPr>
  </w:style>
  <w:style w:type="character" w:customStyle="1" w:styleId="372">
    <w:name w:val="HTML 地址 Char3"/>
    <w:link w:val="41"/>
    <w:uiPriority w:val="0"/>
    <w:rPr>
      <w:i/>
      <w:iCs/>
      <w:sz w:val="24"/>
      <w:szCs w:val="28"/>
    </w:rPr>
  </w:style>
  <w:style w:type="character" w:customStyle="1" w:styleId="373">
    <w:name w:val="HTML 地址 字符"/>
    <w:basedOn w:val="97"/>
    <w:semiHidden/>
    <w:uiPriority w:val="0"/>
    <w:rPr>
      <w:i/>
      <w:iCs/>
      <w:kern w:val="2"/>
      <w:sz w:val="21"/>
      <w:szCs w:val="24"/>
    </w:rPr>
  </w:style>
  <w:style w:type="character" w:customStyle="1" w:styleId="374">
    <w:name w:val="HTML 地址 Char1"/>
    <w:uiPriority w:val="0"/>
    <w:rPr>
      <w:i/>
      <w:iCs/>
    </w:rPr>
  </w:style>
  <w:style w:type="character" w:customStyle="1" w:styleId="375">
    <w:name w:val="日期 Char5"/>
    <w:link w:val="50"/>
    <w:uiPriority w:val="0"/>
    <w:rPr>
      <w:sz w:val="24"/>
      <w:szCs w:val="24"/>
    </w:rPr>
  </w:style>
  <w:style w:type="character" w:customStyle="1" w:styleId="376">
    <w:name w:val="日期 字符"/>
    <w:basedOn w:val="97"/>
    <w:semiHidden/>
    <w:qFormat/>
    <w:uiPriority w:val="0"/>
    <w:rPr>
      <w:kern w:val="2"/>
      <w:sz w:val="21"/>
      <w:szCs w:val="24"/>
    </w:rPr>
  </w:style>
  <w:style w:type="character" w:customStyle="1" w:styleId="377">
    <w:name w:val="日期 Char1"/>
    <w:basedOn w:val="97"/>
    <w:qFormat/>
    <w:uiPriority w:val="0"/>
  </w:style>
  <w:style w:type="character" w:customStyle="1" w:styleId="378">
    <w:name w:val="正文ye Char"/>
    <w:link w:val="379"/>
    <w:qFormat/>
    <w:uiPriority w:val="0"/>
    <w:rPr>
      <w:rFonts w:hAnsi="华文中宋" w:eastAsia="华文中宋"/>
      <w:sz w:val="24"/>
      <w:szCs w:val="24"/>
    </w:rPr>
  </w:style>
  <w:style w:type="paragraph" w:customStyle="1" w:styleId="379">
    <w:name w:val="正文ye"/>
    <w:basedOn w:val="1"/>
    <w:link w:val="378"/>
    <w:qFormat/>
    <w:uiPriority w:val="0"/>
    <w:pPr>
      <w:spacing w:beforeLines="50" w:afterLines="50" w:line="400" w:lineRule="exact"/>
      <w:ind w:firstLine="454"/>
    </w:pPr>
    <w:rPr>
      <w:rFonts w:hAnsi="华文中宋" w:eastAsia="华文中宋"/>
      <w:kern w:val="0"/>
      <w:sz w:val="24"/>
    </w:rPr>
  </w:style>
  <w:style w:type="character" w:customStyle="1" w:styleId="380">
    <w:name w:val="Char Char10"/>
    <w:qFormat/>
    <w:uiPriority w:val="0"/>
    <w:rPr>
      <w:rFonts w:ascii="宋体"/>
      <w:sz w:val="18"/>
      <w:szCs w:val="18"/>
    </w:rPr>
  </w:style>
  <w:style w:type="character" w:customStyle="1" w:styleId="381">
    <w:name w:val="本文二级标题 Char"/>
    <w:link w:val="382"/>
    <w:qFormat/>
    <w:uiPriority w:val="0"/>
    <w:rPr>
      <w:rFonts w:eastAsia="仿宋_GB2312"/>
      <w:b/>
      <w:sz w:val="28"/>
      <w:szCs w:val="28"/>
    </w:rPr>
  </w:style>
  <w:style w:type="paragraph" w:customStyle="1" w:styleId="382">
    <w:name w:val="本文二级标题"/>
    <w:basedOn w:val="1"/>
    <w:link w:val="381"/>
    <w:qFormat/>
    <w:uiPriority w:val="0"/>
    <w:pPr>
      <w:keepNext/>
      <w:keepLines/>
      <w:adjustRightInd w:val="0"/>
      <w:snapToGrid w:val="0"/>
      <w:spacing w:before="48" w:line="360" w:lineRule="auto"/>
      <w:outlineLvl w:val="1"/>
    </w:pPr>
    <w:rPr>
      <w:rFonts w:eastAsia="仿宋_GB2312"/>
      <w:b/>
      <w:kern w:val="0"/>
      <w:sz w:val="28"/>
      <w:szCs w:val="28"/>
    </w:rPr>
  </w:style>
  <w:style w:type="character" w:customStyle="1" w:styleId="383">
    <w:name w:val="干标题(a) Char Char1"/>
    <w:qFormat/>
    <w:uiPriority w:val="0"/>
    <w:rPr>
      <w:rFonts w:ascii="宋体" w:hAnsi="Arial" w:eastAsia="宋体"/>
      <w:kern w:val="28"/>
      <w:sz w:val="28"/>
      <w:lang w:val="en-US" w:eastAsia="zh-CN" w:bidi="ar-SA"/>
    </w:rPr>
  </w:style>
  <w:style w:type="character" w:customStyle="1" w:styleId="384">
    <w:name w:val="style471"/>
    <w:qFormat/>
    <w:uiPriority w:val="0"/>
    <w:rPr>
      <w:sz w:val="20"/>
      <w:szCs w:val="20"/>
    </w:rPr>
  </w:style>
  <w:style w:type="character" w:customStyle="1" w:styleId="385">
    <w:name w:val="Char Char15"/>
    <w:qFormat/>
    <w:uiPriority w:val="0"/>
    <w:rPr>
      <w:kern w:val="2"/>
      <w:sz w:val="18"/>
      <w:szCs w:val="18"/>
    </w:rPr>
  </w:style>
  <w:style w:type="character" w:customStyle="1" w:styleId="386">
    <w:name w:val="正文首行缩进 2 Char1"/>
    <w:qFormat/>
    <w:uiPriority w:val="0"/>
    <w:rPr>
      <w:rFonts w:eastAsia="宋体"/>
      <w:kern w:val="2"/>
      <w:sz w:val="24"/>
      <w:szCs w:val="24"/>
      <w:lang w:val="en-US" w:eastAsia="zh-CN" w:bidi="ar-SA"/>
    </w:rPr>
  </w:style>
  <w:style w:type="character" w:customStyle="1" w:styleId="387">
    <w:name w:val="正文首行缩进 Char"/>
    <w:qFormat/>
    <w:uiPriority w:val="0"/>
    <w:rPr>
      <w:color w:val="FF00FF"/>
      <w:kern w:val="2"/>
      <w:sz w:val="28"/>
      <w:szCs w:val="24"/>
    </w:rPr>
  </w:style>
  <w:style w:type="character" w:customStyle="1" w:styleId="388">
    <w:name w:val="页脚 Char1"/>
    <w:qFormat/>
    <w:uiPriority w:val="0"/>
    <w:rPr>
      <w:sz w:val="18"/>
      <w:szCs w:val="18"/>
    </w:rPr>
  </w:style>
  <w:style w:type="character" w:customStyle="1" w:styleId="389">
    <w:name w:val="Re Char1"/>
    <w:qFormat/>
    <w:uiPriority w:val="0"/>
    <w:rPr>
      <w:rFonts w:eastAsia="宋体"/>
      <w:b/>
      <w:sz w:val="24"/>
      <w:szCs w:val="24"/>
      <w:lang w:val="en-US" w:eastAsia="zh-CN" w:bidi="ar-SA"/>
    </w:rPr>
  </w:style>
  <w:style w:type="character" w:customStyle="1" w:styleId="390">
    <w:name w:val="正文文本缩进 2 Char"/>
    <w:qFormat/>
    <w:uiPriority w:val="0"/>
    <w:rPr>
      <w:rFonts w:eastAsia="宋体"/>
      <w:kern w:val="2"/>
      <w:sz w:val="28"/>
      <w:szCs w:val="24"/>
      <w:lang w:val="en-US" w:eastAsia="zh-CN" w:bidi="ar-SA"/>
    </w:rPr>
  </w:style>
  <w:style w:type="character" w:customStyle="1" w:styleId="391">
    <w:name w:val="正文文本缩进 2 Char1"/>
    <w:basedOn w:val="97"/>
    <w:qFormat/>
    <w:uiPriority w:val="0"/>
  </w:style>
  <w:style w:type="character" w:customStyle="1" w:styleId="392">
    <w:name w:val="表格尹东晓 Char"/>
    <w:link w:val="393"/>
    <w:qFormat/>
    <w:uiPriority w:val="0"/>
    <w:rPr>
      <w:bCs/>
      <w:snapToGrid w:val="0"/>
      <w:spacing w:val="6"/>
      <w:szCs w:val="30"/>
    </w:rPr>
  </w:style>
  <w:style w:type="paragraph" w:customStyle="1" w:styleId="393">
    <w:name w:val="表格尹东晓"/>
    <w:basedOn w:val="1"/>
    <w:link w:val="392"/>
    <w:qFormat/>
    <w:uiPriority w:val="0"/>
    <w:pPr>
      <w:adjustRightInd w:val="0"/>
      <w:snapToGrid w:val="0"/>
      <w:spacing w:line="240" w:lineRule="atLeast"/>
      <w:jc w:val="center"/>
    </w:pPr>
    <w:rPr>
      <w:bCs/>
      <w:snapToGrid w:val="0"/>
      <w:spacing w:val="6"/>
      <w:kern w:val="0"/>
      <w:sz w:val="20"/>
      <w:szCs w:val="30"/>
    </w:rPr>
  </w:style>
  <w:style w:type="character" w:customStyle="1" w:styleId="394">
    <w:name w:val="表格正文 Char"/>
    <w:link w:val="395"/>
    <w:qFormat/>
    <w:uiPriority w:val="0"/>
    <w:rPr>
      <w:sz w:val="24"/>
      <w:szCs w:val="24"/>
    </w:rPr>
  </w:style>
  <w:style w:type="paragraph" w:customStyle="1" w:styleId="395">
    <w:name w:val="表格正文"/>
    <w:basedOn w:val="1"/>
    <w:link w:val="394"/>
    <w:qFormat/>
    <w:uiPriority w:val="0"/>
    <w:pPr>
      <w:jc w:val="center"/>
    </w:pPr>
    <w:rPr>
      <w:kern w:val="0"/>
      <w:sz w:val="24"/>
    </w:rPr>
  </w:style>
  <w:style w:type="character" w:customStyle="1" w:styleId="396">
    <w:name w:val="文档结构图 Char3"/>
    <w:qFormat/>
    <w:uiPriority w:val="0"/>
    <w:rPr>
      <w:rFonts w:eastAsia="宋体"/>
      <w:kern w:val="2"/>
      <w:sz w:val="21"/>
      <w:szCs w:val="24"/>
      <w:lang w:val="en-US" w:eastAsia="zh-CN" w:bidi="ar-SA"/>
    </w:rPr>
  </w:style>
  <w:style w:type="character" w:customStyle="1" w:styleId="397">
    <w:name w:val="文档结构图 Char"/>
    <w:qFormat/>
    <w:uiPriority w:val="0"/>
    <w:rPr>
      <w:rFonts w:ascii="宋体" w:eastAsia="宋体"/>
      <w:sz w:val="18"/>
      <w:szCs w:val="18"/>
    </w:rPr>
  </w:style>
  <w:style w:type="character" w:customStyle="1" w:styleId="398">
    <w:name w:val="正文缩进2字符 Char Char"/>
    <w:qFormat/>
    <w:uiPriority w:val="0"/>
    <w:rPr>
      <w:rFonts w:eastAsia="宋体"/>
      <w:kern w:val="2"/>
      <w:sz w:val="21"/>
      <w:szCs w:val="24"/>
      <w:lang w:val="en-US" w:eastAsia="zh-CN" w:bidi="ar-SA"/>
    </w:rPr>
  </w:style>
  <w:style w:type="character" w:customStyle="1" w:styleId="399">
    <w:name w:val="Char Char9"/>
    <w:basedOn w:val="400"/>
    <w:qFormat/>
    <w:uiPriority w:val="0"/>
    <w:rPr>
      <w:rFonts w:ascii="宋体" w:hAnsi="宋体" w:eastAsia="宋体"/>
      <w:sz w:val="24"/>
      <w:szCs w:val="24"/>
      <w:lang w:val="en-US" w:eastAsia="zh-CN" w:bidi="ar-SA"/>
    </w:rPr>
  </w:style>
  <w:style w:type="character" w:customStyle="1" w:styleId="400">
    <w:name w:val="特点标题 Char Char"/>
    <w:qFormat/>
    <w:uiPriority w:val="0"/>
    <w:rPr>
      <w:rFonts w:ascii="宋体" w:hAnsi="宋体" w:eastAsia="宋体"/>
      <w:sz w:val="24"/>
      <w:szCs w:val="24"/>
      <w:lang w:val="en-US" w:eastAsia="zh-CN" w:bidi="ar-SA"/>
    </w:rPr>
  </w:style>
  <w:style w:type="character" w:customStyle="1" w:styleId="401">
    <w:name w:val="样式 4级标题 Char + 非加粗 Char"/>
    <w:link w:val="402"/>
    <w:qFormat/>
    <w:uiPriority w:val="0"/>
    <w:rPr>
      <w:sz w:val="24"/>
    </w:rPr>
  </w:style>
  <w:style w:type="paragraph" w:customStyle="1" w:styleId="402">
    <w:name w:val="样式 4级标题 Char + 非加粗"/>
    <w:basedOn w:val="34"/>
    <w:link w:val="401"/>
    <w:qFormat/>
    <w:uiPriority w:val="0"/>
    <w:pPr>
      <w:adjustRightInd w:val="0"/>
      <w:snapToGrid w:val="0"/>
      <w:spacing w:line="360" w:lineRule="auto"/>
      <w:outlineLvl w:val="3"/>
    </w:pPr>
    <w:rPr>
      <w:rFonts w:eastAsia="宋体"/>
      <w:kern w:val="0"/>
      <w:sz w:val="24"/>
    </w:rPr>
  </w:style>
  <w:style w:type="character" w:customStyle="1" w:styleId="403">
    <w:name w:val="正文文本 Char2"/>
    <w:qFormat/>
    <w:uiPriority w:val="0"/>
    <w:rPr>
      <w:rFonts w:eastAsia="宋体"/>
      <w:color w:val="FF00FF"/>
      <w:sz w:val="24"/>
      <w:szCs w:val="24"/>
      <w:lang w:val="en-US" w:eastAsia="zh-CN" w:bidi="ar-SA"/>
    </w:rPr>
  </w:style>
  <w:style w:type="character" w:customStyle="1" w:styleId="404">
    <w:name w:val="正文东营 Char Char"/>
    <w:link w:val="405"/>
    <w:qFormat/>
    <w:uiPriority w:val="0"/>
    <w:rPr>
      <w:sz w:val="24"/>
      <w:szCs w:val="24"/>
    </w:rPr>
  </w:style>
  <w:style w:type="paragraph" w:customStyle="1" w:styleId="405">
    <w:name w:val="正文东营"/>
    <w:basedOn w:val="34"/>
    <w:link w:val="404"/>
    <w:qFormat/>
    <w:uiPriority w:val="0"/>
    <w:pPr>
      <w:adjustRightInd w:val="0"/>
      <w:snapToGrid w:val="0"/>
      <w:spacing w:line="360" w:lineRule="auto"/>
      <w:ind w:firstLine="200" w:firstLineChars="200"/>
    </w:pPr>
    <w:rPr>
      <w:rFonts w:eastAsia="宋体"/>
      <w:kern w:val="0"/>
      <w:sz w:val="24"/>
      <w:szCs w:val="24"/>
    </w:rPr>
  </w:style>
  <w:style w:type="character" w:customStyle="1" w:styleId="406">
    <w:name w:val="干标题(a) Char Char2"/>
    <w:qFormat/>
    <w:uiPriority w:val="0"/>
    <w:rPr>
      <w:rFonts w:ascii="Arial" w:hAnsi="Arial" w:eastAsia="黑体"/>
      <w:kern w:val="2"/>
      <w:sz w:val="21"/>
    </w:rPr>
  </w:style>
  <w:style w:type="character" w:customStyle="1" w:styleId="407">
    <w:name w:val="页脚 Char2"/>
    <w:qFormat/>
    <w:uiPriority w:val="0"/>
    <w:rPr>
      <w:rFonts w:ascii="宋体" w:hAnsi="宋体" w:eastAsia="宋体" w:cs="宋体"/>
      <w:kern w:val="2"/>
      <w:sz w:val="18"/>
      <w:szCs w:val="18"/>
      <w:lang w:val="en-US" w:eastAsia="zh-CN" w:bidi="ar-SA"/>
    </w:rPr>
  </w:style>
  <w:style w:type="character" w:customStyle="1" w:styleId="408">
    <w:name w:val="标题 2 Char2 Char"/>
    <w:qFormat/>
    <w:uiPriority w:val="0"/>
    <w:rPr>
      <w:rFonts w:ascii="宋体" w:hAnsi="宋体" w:eastAsia="宋体" w:cs="宋体"/>
      <w:kern w:val="2"/>
      <w:sz w:val="24"/>
      <w:szCs w:val="24"/>
      <w:lang w:val="en-US" w:eastAsia="zh-CN" w:bidi="ar-SA"/>
    </w:rPr>
  </w:style>
  <w:style w:type="character" w:customStyle="1" w:styleId="409">
    <w:name w:val="Char Char14"/>
    <w:qFormat/>
    <w:uiPriority w:val="0"/>
    <w:rPr>
      <w:kern w:val="2"/>
      <w:sz w:val="18"/>
      <w:szCs w:val="18"/>
    </w:rPr>
  </w:style>
  <w:style w:type="character" w:customStyle="1" w:styleId="410">
    <w:name w:val="emailstyle595"/>
    <w:qFormat/>
    <w:uiPriority w:val="0"/>
    <w:rPr>
      <w:rFonts w:hint="default" w:ascii="Arial" w:hAnsi="Arial" w:eastAsia="宋体" w:cs="Arial"/>
      <w:color w:val="auto"/>
      <w:sz w:val="20"/>
    </w:rPr>
  </w:style>
  <w:style w:type="character" w:customStyle="1" w:styleId="411">
    <w:name w:val="Char Char Char1"/>
    <w:qFormat/>
    <w:uiPriority w:val="0"/>
    <w:rPr>
      <w:rFonts w:hint="default" w:ascii="Arial" w:hAnsi="Arial" w:eastAsia="黑体" w:cs="宋体"/>
      <w:b/>
      <w:kern w:val="2"/>
      <w:sz w:val="28"/>
      <w:szCs w:val="24"/>
      <w:lang w:val="en-US" w:eastAsia="zh-CN" w:bidi="ar-SA"/>
    </w:rPr>
  </w:style>
  <w:style w:type="character" w:customStyle="1" w:styleId="412">
    <w:name w:val="Char Char101"/>
    <w:qFormat/>
    <w:uiPriority w:val="0"/>
    <w:rPr>
      <w:sz w:val="24"/>
      <w:szCs w:val="24"/>
    </w:rPr>
  </w:style>
  <w:style w:type="character" w:customStyle="1" w:styleId="413">
    <w:name w:val="表格头 Char Char"/>
    <w:link w:val="414"/>
    <w:qFormat/>
    <w:uiPriority w:val="0"/>
    <w:rPr>
      <w:rFonts w:eastAsia="华文中宋"/>
      <w:kern w:val="2"/>
      <w:sz w:val="21"/>
      <w:szCs w:val="22"/>
    </w:rPr>
  </w:style>
  <w:style w:type="paragraph" w:customStyle="1" w:styleId="414">
    <w:name w:val="表格头"/>
    <w:next w:val="1"/>
    <w:link w:val="413"/>
    <w:qFormat/>
    <w:uiPriority w:val="0"/>
    <w:pPr>
      <w:widowControl w:val="0"/>
      <w:tabs>
        <w:tab w:val="center" w:pos="4620"/>
      </w:tabs>
      <w:ind w:left="420" w:hanging="420" w:hangingChars="200"/>
    </w:pPr>
    <w:rPr>
      <w:rFonts w:ascii="Times New Roman" w:hAnsi="Times New Roman" w:eastAsia="华文中宋" w:cs="Times New Roman"/>
      <w:kern w:val="2"/>
      <w:sz w:val="21"/>
      <w:szCs w:val="22"/>
      <w:lang w:val="en-US" w:eastAsia="zh-CN" w:bidi="ar-SA"/>
    </w:rPr>
  </w:style>
  <w:style w:type="character" w:customStyle="1" w:styleId="415">
    <w:name w:val="Char Char13"/>
    <w:qFormat/>
    <w:uiPriority w:val="0"/>
    <w:rPr>
      <w:sz w:val="24"/>
      <w:szCs w:val="24"/>
      <w:shd w:val="clear" w:color="auto" w:fill="000080"/>
    </w:rPr>
  </w:style>
  <w:style w:type="character" w:customStyle="1" w:styleId="416">
    <w:name w:val="Char Char151"/>
    <w:qFormat/>
    <w:uiPriority w:val="0"/>
    <w:rPr>
      <w:kern w:val="2"/>
      <w:sz w:val="18"/>
      <w:szCs w:val="18"/>
    </w:rPr>
  </w:style>
  <w:style w:type="character" w:customStyle="1" w:styleId="417">
    <w:name w:val="图表名 Char Char"/>
    <w:qFormat/>
    <w:uiPriority w:val="0"/>
    <w:rPr>
      <w:rFonts w:eastAsia="宋体" w:cs="宋体"/>
      <w:kern w:val="2"/>
      <w:sz w:val="21"/>
      <w:szCs w:val="21"/>
      <w:lang w:val="en-US" w:eastAsia="zh-CN" w:bidi="ar-SA"/>
    </w:rPr>
  </w:style>
  <w:style w:type="character" w:customStyle="1" w:styleId="418">
    <w:name w:val="正2小四 Char Char Char Char Char Char"/>
    <w:qFormat/>
    <w:uiPriority w:val="0"/>
    <w:rPr>
      <w:rFonts w:eastAsia="宋体"/>
      <w:kern w:val="2"/>
      <w:sz w:val="24"/>
      <w:lang w:val="en-US" w:eastAsia="zh-CN" w:bidi="ar-SA"/>
    </w:rPr>
  </w:style>
  <w:style w:type="character" w:customStyle="1" w:styleId="419">
    <w:name w:val="正文 + 小四 Char"/>
    <w:link w:val="420"/>
    <w:qFormat/>
    <w:uiPriority w:val="0"/>
    <w:rPr>
      <w:sz w:val="24"/>
    </w:rPr>
  </w:style>
  <w:style w:type="paragraph" w:customStyle="1" w:styleId="420">
    <w:name w:val="正文 + 小四"/>
    <w:basedOn w:val="1"/>
    <w:link w:val="419"/>
    <w:qFormat/>
    <w:uiPriority w:val="0"/>
    <w:pPr>
      <w:spacing w:line="360" w:lineRule="exact"/>
      <w:jc w:val="center"/>
    </w:pPr>
    <w:rPr>
      <w:kern w:val="0"/>
      <w:sz w:val="24"/>
      <w:szCs w:val="20"/>
    </w:rPr>
  </w:style>
  <w:style w:type="character" w:customStyle="1" w:styleId="421">
    <w:name w:val="孙普文字 Char Char"/>
    <w:qFormat/>
    <w:uiPriority w:val="0"/>
    <w:rPr>
      <w:rFonts w:ascii="宋体" w:hAnsi="Courier New" w:eastAsia="宋体"/>
      <w:kern w:val="2"/>
      <w:sz w:val="21"/>
      <w:lang w:val="en-US" w:eastAsia="zh-CN" w:bidi="ar-SA"/>
    </w:rPr>
  </w:style>
  <w:style w:type="character" w:customStyle="1" w:styleId="422">
    <w:name w:val="正2小四 Char Char Char"/>
    <w:qFormat/>
    <w:uiPriority w:val="0"/>
    <w:rPr>
      <w:rFonts w:eastAsia="宋体"/>
      <w:kern w:val="2"/>
      <w:sz w:val="24"/>
      <w:lang w:val="en-US" w:eastAsia="zh-CN" w:bidi="ar-SA"/>
    </w:rPr>
  </w:style>
  <w:style w:type="character" w:customStyle="1" w:styleId="423">
    <w:name w:val="Char Char4"/>
    <w:qFormat/>
    <w:uiPriority w:val="0"/>
    <w:rPr>
      <w:rFonts w:ascii="黑体" w:hAnsi="Times New Roman" w:eastAsia="黑体" w:cs="Times New Roman"/>
      <w:sz w:val="28"/>
      <w:szCs w:val="20"/>
    </w:rPr>
  </w:style>
  <w:style w:type="character" w:customStyle="1" w:styleId="424">
    <w:name w:val="封里3 Char"/>
    <w:link w:val="425"/>
    <w:qFormat/>
    <w:uiPriority w:val="0"/>
    <w:rPr>
      <w:bCs/>
      <w:spacing w:val="10"/>
      <w:sz w:val="24"/>
      <w:szCs w:val="32"/>
    </w:rPr>
  </w:style>
  <w:style w:type="paragraph" w:customStyle="1" w:styleId="425">
    <w:name w:val="封里3"/>
    <w:basedOn w:val="1"/>
    <w:link w:val="424"/>
    <w:qFormat/>
    <w:uiPriority w:val="0"/>
    <w:pPr>
      <w:adjustRightInd w:val="0"/>
      <w:snapToGrid w:val="0"/>
      <w:spacing w:line="360" w:lineRule="auto"/>
      <w:ind w:firstLine="600" w:firstLineChars="200"/>
    </w:pPr>
    <w:rPr>
      <w:bCs/>
      <w:spacing w:val="10"/>
      <w:kern w:val="0"/>
      <w:sz w:val="24"/>
      <w:szCs w:val="32"/>
    </w:rPr>
  </w:style>
  <w:style w:type="character" w:customStyle="1" w:styleId="426">
    <w:name w:val="标题 Char1"/>
    <w:qFormat/>
    <w:uiPriority w:val="0"/>
    <w:rPr>
      <w:rFonts w:ascii="Cambria" w:hAnsi="Cambria" w:eastAsia="宋体" w:cs="Times New Roman"/>
      <w:b/>
      <w:bCs/>
      <w:sz w:val="32"/>
      <w:szCs w:val="32"/>
    </w:rPr>
  </w:style>
  <w:style w:type="character" w:customStyle="1" w:styleId="427">
    <w:name w:val="目标题 1) Char Char2"/>
    <w:qFormat/>
    <w:uiPriority w:val="0"/>
    <w:rPr>
      <w:rFonts w:ascii="楷体_GB2312" w:eastAsia="楷体_GB2312"/>
      <w:color w:val="000000"/>
      <w:kern w:val="28"/>
      <w:sz w:val="28"/>
      <w:lang w:val="en-US" w:eastAsia="zh-CN" w:bidi="ar-SA"/>
    </w:rPr>
  </w:style>
  <w:style w:type="character" w:customStyle="1" w:styleId="428">
    <w:name w:val="批注文字 Char2"/>
    <w:qFormat/>
    <w:uiPriority w:val="0"/>
    <w:rPr>
      <w:rFonts w:eastAsia="宋体"/>
      <w:sz w:val="24"/>
      <w:szCs w:val="24"/>
      <w:lang w:bidi="ar-SA"/>
    </w:rPr>
  </w:style>
  <w:style w:type="character" w:customStyle="1" w:styleId="429">
    <w:name w:val="批注文字 Char1"/>
    <w:basedOn w:val="97"/>
    <w:qFormat/>
    <w:uiPriority w:val="0"/>
  </w:style>
  <w:style w:type="character" w:customStyle="1" w:styleId="430">
    <w:name w:val="项标题(1) Char Char2"/>
    <w:qFormat/>
    <w:uiPriority w:val="0"/>
    <w:rPr>
      <w:rFonts w:ascii="楷体_GB2312" w:eastAsia="楷体_GB2312"/>
      <w:color w:val="000000"/>
      <w:kern w:val="28"/>
      <w:sz w:val="28"/>
      <w:lang w:val="en-US" w:eastAsia="zh-CN" w:bidi="ar-SA"/>
    </w:rPr>
  </w:style>
  <w:style w:type="character" w:customStyle="1" w:styleId="431">
    <w:name w:val="123YJ Char Char2"/>
    <w:qFormat/>
    <w:uiPriority w:val="0"/>
    <w:rPr>
      <w:kern w:val="2"/>
      <w:sz w:val="18"/>
    </w:rPr>
  </w:style>
  <w:style w:type="character" w:customStyle="1" w:styleId="432">
    <w:name w:val="首行缩进两字 Char2"/>
    <w:qFormat/>
    <w:uiPriority w:val="0"/>
    <w:rPr>
      <w:kern w:val="2"/>
      <w:sz w:val="24"/>
    </w:rPr>
  </w:style>
  <w:style w:type="character" w:customStyle="1" w:styleId="433">
    <w:name w:val="CZL-表格标题 Char"/>
    <w:link w:val="434"/>
    <w:qFormat/>
    <w:uiPriority w:val="0"/>
    <w:rPr>
      <w:rFonts w:ascii="华文中宋" w:hAnsi="华文中宋" w:eastAsia="华文中宋"/>
      <w:b/>
      <w:sz w:val="24"/>
    </w:rPr>
  </w:style>
  <w:style w:type="paragraph" w:customStyle="1" w:styleId="434">
    <w:name w:val="CZL-表格标题"/>
    <w:basedOn w:val="435"/>
    <w:link w:val="433"/>
    <w:semiHidden/>
    <w:qFormat/>
    <w:uiPriority w:val="0"/>
    <w:pPr>
      <w:ind w:firstLine="0" w:firstLineChars="0"/>
    </w:pPr>
    <w:rPr>
      <w:b/>
    </w:rPr>
  </w:style>
  <w:style w:type="paragraph" w:customStyle="1" w:styleId="435">
    <w:name w:val="czl-正文"/>
    <w:basedOn w:val="1"/>
    <w:link w:val="436"/>
    <w:semiHidden/>
    <w:qFormat/>
    <w:uiPriority w:val="0"/>
    <w:pPr>
      <w:adjustRightInd w:val="0"/>
      <w:snapToGrid w:val="0"/>
      <w:ind w:firstLine="200" w:firstLineChars="200"/>
    </w:pPr>
    <w:rPr>
      <w:rFonts w:ascii="华文中宋" w:hAnsi="华文中宋" w:eastAsia="华文中宋"/>
      <w:kern w:val="0"/>
      <w:sz w:val="24"/>
      <w:szCs w:val="20"/>
    </w:rPr>
  </w:style>
  <w:style w:type="character" w:customStyle="1" w:styleId="436">
    <w:name w:val="czl-正文 Char"/>
    <w:link w:val="435"/>
    <w:qFormat/>
    <w:uiPriority w:val="0"/>
    <w:rPr>
      <w:rFonts w:ascii="华文中宋" w:hAnsi="华文中宋" w:eastAsia="华文中宋"/>
      <w:sz w:val="24"/>
    </w:rPr>
  </w:style>
  <w:style w:type="character" w:customStyle="1" w:styleId="437">
    <w:name w:val="3级标题 Char"/>
    <w:link w:val="438"/>
    <w:qFormat/>
    <w:uiPriority w:val="0"/>
    <w:rPr>
      <w:b/>
      <w:bCs/>
      <w:sz w:val="32"/>
      <w:szCs w:val="32"/>
    </w:rPr>
  </w:style>
  <w:style w:type="paragraph" w:customStyle="1" w:styleId="438">
    <w:name w:val="3级标题"/>
    <w:basedOn w:val="5"/>
    <w:link w:val="437"/>
    <w:qFormat/>
    <w:uiPriority w:val="0"/>
    <w:pPr>
      <w:keepLines/>
      <w:tabs>
        <w:tab w:val="clear" w:pos="360"/>
      </w:tabs>
      <w:spacing w:line="413" w:lineRule="auto"/>
      <w:ind w:left="0" w:firstLine="620"/>
    </w:pPr>
    <w:rPr>
      <w:rFonts w:ascii="Times New Roman" w:hAnsi="Times New Roman" w:eastAsia="宋体"/>
      <w:b/>
      <w:kern w:val="0"/>
      <w:sz w:val="32"/>
      <w:szCs w:val="32"/>
    </w:rPr>
  </w:style>
  <w:style w:type="character" w:customStyle="1" w:styleId="439">
    <w:name w:val="1正文 Char"/>
    <w:link w:val="440"/>
    <w:qFormat/>
    <w:uiPriority w:val="0"/>
    <w:rPr>
      <w:rFonts w:ascii="宋体" w:hAnsi="华文中宋"/>
      <w:sz w:val="24"/>
      <w:szCs w:val="24"/>
    </w:rPr>
  </w:style>
  <w:style w:type="paragraph" w:customStyle="1" w:styleId="440">
    <w:name w:val="1正文"/>
    <w:basedOn w:val="1"/>
    <w:link w:val="439"/>
    <w:semiHidden/>
    <w:qFormat/>
    <w:uiPriority w:val="0"/>
    <w:pPr>
      <w:adjustRightInd w:val="0"/>
      <w:snapToGrid w:val="0"/>
      <w:spacing w:line="360" w:lineRule="auto"/>
      <w:ind w:firstLine="561"/>
    </w:pPr>
    <w:rPr>
      <w:rFonts w:ascii="宋体" w:hAnsi="华文中宋"/>
      <w:kern w:val="0"/>
      <w:sz w:val="24"/>
    </w:rPr>
  </w:style>
  <w:style w:type="character" w:customStyle="1" w:styleId="441">
    <w:name w:val="表头 Char1"/>
    <w:qFormat/>
    <w:uiPriority w:val="0"/>
    <w:rPr>
      <w:rFonts w:ascii="宋体" w:hAnsi="宋体"/>
      <w:b/>
      <w:kern w:val="2"/>
      <w:sz w:val="24"/>
      <w:lang w:bidi="ar-SA"/>
    </w:rPr>
  </w:style>
  <w:style w:type="character" w:customStyle="1" w:styleId="442">
    <w:name w:val="bcf3"/>
    <w:qFormat/>
    <w:uiPriority w:val="0"/>
    <w:rPr>
      <w:sz w:val="18"/>
    </w:rPr>
  </w:style>
  <w:style w:type="character" w:customStyle="1" w:styleId="443">
    <w:name w:val="样式 (西文) 仿宋_GB2312 (中文) 仿宋_GB2312 三号"/>
    <w:qFormat/>
    <w:uiPriority w:val="0"/>
    <w:rPr>
      <w:rFonts w:ascii="仿宋_GB2312" w:hAnsi="仿宋_GB2312" w:eastAsia="仿宋_GB2312"/>
      <w:sz w:val="32"/>
    </w:rPr>
  </w:style>
  <w:style w:type="character" w:customStyle="1" w:styleId="444">
    <w:name w:val="段落文字 Char Char"/>
    <w:qFormat/>
    <w:uiPriority w:val="0"/>
    <w:rPr>
      <w:rFonts w:hAnsi="宋体" w:eastAsia="宋体"/>
      <w:sz w:val="24"/>
      <w:lang w:val="en-US" w:eastAsia="zh-CN" w:bidi="ar-SA"/>
    </w:rPr>
  </w:style>
  <w:style w:type="character" w:customStyle="1" w:styleId="445">
    <w:name w:val="unnamed11"/>
    <w:qFormat/>
    <w:uiPriority w:val="0"/>
    <w:rPr>
      <w:rFonts w:hint="eastAsia" w:ascii="宋体" w:hAnsi="宋体" w:eastAsia="宋体"/>
      <w:spacing w:val="0"/>
      <w:sz w:val="24"/>
    </w:rPr>
  </w:style>
  <w:style w:type="character" w:customStyle="1" w:styleId="446">
    <w:name w:val="款标题1.1.1.1 Char2"/>
    <w:qFormat/>
    <w:uiPriority w:val="0"/>
    <w:rPr>
      <w:rFonts w:ascii="Arial" w:hAnsi="Arial" w:eastAsia="黑体"/>
      <w:b/>
      <w:bCs/>
      <w:kern w:val="2"/>
      <w:sz w:val="28"/>
      <w:szCs w:val="28"/>
      <w:lang w:val="en-US" w:eastAsia="zh-CN" w:bidi="ar-SA"/>
    </w:rPr>
  </w:style>
  <w:style w:type="character" w:customStyle="1" w:styleId="447">
    <w:name w:val="表头尹东晓 Char"/>
    <w:link w:val="448"/>
    <w:qFormat/>
    <w:uiPriority w:val="0"/>
    <w:rPr>
      <w:b/>
      <w:snapToGrid w:val="0"/>
      <w:szCs w:val="21"/>
    </w:rPr>
  </w:style>
  <w:style w:type="paragraph" w:customStyle="1" w:styleId="448">
    <w:name w:val="表头尹东晓"/>
    <w:basedOn w:val="11"/>
    <w:link w:val="447"/>
    <w:qFormat/>
    <w:uiPriority w:val="0"/>
    <w:pPr>
      <w:keepNext w:val="0"/>
      <w:keepLines w:val="0"/>
      <w:widowControl w:val="0"/>
      <w:tabs>
        <w:tab w:val="clear" w:pos="360"/>
      </w:tabs>
      <w:spacing w:beforeLines="0" w:afterLines="0" w:line="240" w:lineRule="auto"/>
      <w:ind w:left="0" w:firstLine="0" w:firstLineChars="0"/>
      <w:jc w:val="center"/>
      <w:outlineLvl w:val="9"/>
    </w:pPr>
    <w:rPr>
      <w:rFonts w:ascii="Times New Roman" w:hAnsi="Times New Roman"/>
      <w:b/>
      <w:snapToGrid w:val="0"/>
      <w:sz w:val="20"/>
    </w:rPr>
  </w:style>
  <w:style w:type="character" w:customStyle="1" w:styleId="449">
    <w:name w:val="a141"/>
    <w:qFormat/>
    <w:uiPriority w:val="0"/>
    <w:rPr>
      <w:sz w:val="19"/>
    </w:rPr>
  </w:style>
  <w:style w:type="character" w:customStyle="1" w:styleId="450">
    <w:name w:val="样式 (符号) 宋体 四号 黑色"/>
    <w:qFormat/>
    <w:uiPriority w:val="0"/>
    <w:rPr>
      <w:rFonts w:ascii="Times New Roman" w:hAnsi="Times New Roman" w:eastAsia="宋体"/>
      <w:color w:val="000000"/>
      <w:kern w:val="0"/>
      <w:sz w:val="28"/>
    </w:rPr>
  </w:style>
  <w:style w:type="character" w:customStyle="1" w:styleId="451">
    <w:name w:val="05 表格标题 Char"/>
    <w:link w:val="452"/>
    <w:qFormat/>
    <w:uiPriority w:val="0"/>
    <w:rPr>
      <w:rFonts w:ascii="宋体" w:hAnsi="宋体"/>
      <w:kern w:val="2"/>
      <w:sz w:val="24"/>
      <w:szCs w:val="24"/>
    </w:rPr>
  </w:style>
  <w:style w:type="paragraph" w:customStyle="1" w:styleId="452">
    <w:name w:val="05 表格标题"/>
    <w:link w:val="451"/>
    <w:qFormat/>
    <w:uiPriority w:val="0"/>
    <w:pPr>
      <w:spacing w:beforeLines="50" w:afterLines="50" w:line="360" w:lineRule="auto"/>
      <w:jc w:val="center"/>
    </w:pPr>
    <w:rPr>
      <w:rFonts w:ascii="宋体" w:hAnsi="宋体" w:eastAsia="宋体" w:cs="Times New Roman"/>
      <w:kern w:val="2"/>
      <w:sz w:val="24"/>
      <w:szCs w:val="24"/>
      <w:lang w:val="en-US" w:eastAsia="zh-CN" w:bidi="ar-SA"/>
    </w:rPr>
  </w:style>
  <w:style w:type="character" w:customStyle="1" w:styleId="453">
    <w:name w:val="正文1 Char"/>
    <w:qFormat/>
    <w:uiPriority w:val="0"/>
    <w:rPr>
      <w:rFonts w:eastAsia="宋体"/>
      <w:kern w:val="2"/>
      <w:sz w:val="28"/>
      <w:lang w:val="en-US" w:eastAsia="zh-CN"/>
    </w:rPr>
  </w:style>
  <w:style w:type="character" w:customStyle="1" w:styleId="454">
    <w:name w:val="03 一级标题 Char"/>
    <w:link w:val="455"/>
    <w:qFormat/>
    <w:uiPriority w:val="0"/>
    <w:rPr>
      <w:b/>
      <w:snapToGrid w:val="0"/>
      <w:kern w:val="44"/>
      <w:sz w:val="32"/>
      <w:szCs w:val="32"/>
    </w:rPr>
  </w:style>
  <w:style w:type="paragraph" w:customStyle="1" w:styleId="455">
    <w:name w:val="03 一级标题"/>
    <w:next w:val="456"/>
    <w:link w:val="454"/>
    <w:qFormat/>
    <w:uiPriority w:val="0"/>
    <w:pPr>
      <w:spacing w:before="100" w:beforeAutospacing="1" w:after="100" w:afterAutospacing="1"/>
      <w:jc w:val="center"/>
      <w:outlineLvl w:val="0"/>
    </w:pPr>
    <w:rPr>
      <w:rFonts w:ascii="Times New Roman" w:hAnsi="Times New Roman" w:eastAsia="宋体" w:cs="Times New Roman"/>
      <w:b/>
      <w:snapToGrid w:val="0"/>
      <w:kern w:val="44"/>
      <w:sz w:val="32"/>
      <w:szCs w:val="32"/>
      <w:lang w:val="en-US" w:eastAsia="zh-CN" w:bidi="ar-SA"/>
    </w:rPr>
  </w:style>
  <w:style w:type="paragraph" w:customStyle="1" w:styleId="456">
    <w:name w:val="00 正文"/>
    <w:link w:val="457"/>
    <w:qFormat/>
    <w:uiPriority w:val="0"/>
    <w:pPr>
      <w:tabs>
        <w:tab w:val="left" w:pos="0"/>
        <w:tab w:val="left" w:pos="540"/>
      </w:tabs>
      <w:snapToGrid w:val="0"/>
      <w:spacing w:line="520" w:lineRule="exact"/>
      <w:ind w:firstLine="365" w:firstLineChars="152"/>
      <w:jc w:val="both"/>
    </w:pPr>
    <w:rPr>
      <w:rFonts w:ascii="Times New Roman" w:hAnsi="宋体" w:eastAsia="宋体" w:cs="Times New Roman"/>
      <w:bCs/>
      <w:color w:val="008000"/>
      <w:sz w:val="24"/>
      <w:szCs w:val="24"/>
      <w:lang w:val="en-US" w:eastAsia="zh-CN" w:bidi="ar-SA"/>
    </w:rPr>
  </w:style>
  <w:style w:type="character" w:customStyle="1" w:styleId="457">
    <w:name w:val="00 正文 Char"/>
    <w:link w:val="456"/>
    <w:qFormat/>
    <w:uiPriority w:val="0"/>
    <w:rPr>
      <w:rFonts w:hAnsi="宋体"/>
      <w:bCs/>
      <w:color w:val="008000"/>
      <w:sz w:val="24"/>
      <w:szCs w:val="24"/>
    </w:rPr>
  </w:style>
  <w:style w:type="character" w:customStyle="1" w:styleId="458">
    <w:name w:val="正文+蓝色 Char"/>
    <w:link w:val="459"/>
    <w:qFormat/>
    <w:uiPriority w:val="0"/>
    <w:rPr>
      <w:color w:val="0000FF"/>
      <w:sz w:val="24"/>
      <w:szCs w:val="24"/>
    </w:rPr>
  </w:style>
  <w:style w:type="paragraph" w:customStyle="1" w:styleId="459">
    <w:name w:val="正文+蓝色"/>
    <w:basedOn w:val="1"/>
    <w:next w:val="1"/>
    <w:link w:val="458"/>
    <w:semiHidden/>
    <w:qFormat/>
    <w:uiPriority w:val="0"/>
    <w:pPr>
      <w:adjustRightInd w:val="0"/>
      <w:snapToGrid w:val="0"/>
      <w:spacing w:line="360" w:lineRule="auto"/>
      <w:ind w:firstLine="480" w:firstLineChars="200"/>
    </w:pPr>
    <w:rPr>
      <w:color w:val="0000FF"/>
      <w:kern w:val="0"/>
      <w:sz w:val="24"/>
    </w:rPr>
  </w:style>
  <w:style w:type="character" w:customStyle="1" w:styleId="460">
    <w:name w:val="kait"/>
    <w:basedOn w:val="97"/>
    <w:qFormat/>
    <w:uiPriority w:val="0"/>
  </w:style>
  <w:style w:type="character" w:customStyle="1" w:styleId="461">
    <w:name w:val="06 图像标题 Char"/>
    <w:basedOn w:val="451"/>
    <w:link w:val="462"/>
    <w:qFormat/>
    <w:uiPriority w:val="0"/>
    <w:rPr>
      <w:rFonts w:ascii="宋体" w:hAnsi="宋体"/>
      <w:kern w:val="2"/>
      <w:sz w:val="24"/>
      <w:szCs w:val="24"/>
    </w:rPr>
  </w:style>
  <w:style w:type="paragraph" w:customStyle="1" w:styleId="462">
    <w:name w:val="06 图像标题"/>
    <w:basedOn w:val="452"/>
    <w:next w:val="1"/>
    <w:link w:val="461"/>
    <w:qFormat/>
    <w:uiPriority w:val="0"/>
    <w:pPr>
      <w:spacing w:beforeLines="0" w:afterLines="0" w:line="240" w:lineRule="auto"/>
    </w:pPr>
  </w:style>
  <w:style w:type="character" w:customStyle="1" w:styleId="463">
    <w:name w:val="Char Char2"/>
    <w:qFormat/>
    <w:uiPriority w:val="0"/>
    <w:rPr>
      <w:rFonts w:eastAsia="宋体"/>
      <w:kern w:val="2"/>
      <w:sz w:val="18"/>
      <w:szCs w:val="18"/>
      <w:lang w:val="en-US" w:eastAsia="zh-CN" w:bidi="ar-SA"/>
    </w:rPr>
  </w:style>
  <w:style w:type="character" w:customStyle="1" w:styleId="464">
    <w:name w:val="段落文字 Char"/>
    <w:link w:val="465"/>
    <w:qFormat/>
    <w:uiPriority w:val="0"/>
    <w:rPr>
      <w:sz w:val="24"/>
      <w:szCs w:val="24"/>
    </w:rPr>
  </w:style>
  <w:style w:type="paragraph" w:customStyle="1" w:styleId="465">
    <w:name w:val="段落文字"/>
    <w:basedOn w:val="1"/>
    <w:link w:val="464"/>
    <w:qFormat/>
    <w:uiPriority w:val="0"/>
    <w:pPr>
      <w:tabs>
        <w:tab w:val="left" w:pos="567"/>
      </w:tabs>
      <w:adjustRightInd w:val="0"/>
      <w:snapToGrid w:val="0"/>
      <w:spacing w:line="360" w:lineRule="auto"/>
    </w:pPr>
    <w:rPr>
      <w:kern w:val="0"/>
      <w:sz w:val="24"/>
    </w:rPr>
  </w:style>
  <w:style w:type="character" w:customStyle="1" w:styleId="466">
    <w:name w:val="文本正文 Char"/>
    <w:link w:val="467"/>
    <w:qFormat/>
    <w:uiPriority w:val="0"/>
    <w:rPr>
      <w:rFonts w:ascii="宋体" w:hAnsi="宋体"/>
      <w:sz w:val="24"/>
      <w:szCs w:val="28"/>
    </w:rPr>
  </w:style>
  <w:style w:type="paragraph" w:customStyle="1" w:styleId="467">
    <w:name w:val="文本正文"/>
    <w:basedOn w:val="1"/>
    <w:link w:val="466"/>
    <w:qFormat/>
    <w:uiPriority w:val="0"/>
    <w:pPr>
      <w:adjustRightInd w:val="0"/>
      <w:spacing w:line="360" w:lineRule="auto"/>
      <w:ind w:firstLine="514" w:firstLineChars="214"/>
      <w:jc w:val="left"/>
      <w:textAlignment w:val="baseline"/>
    </w:pPr>
    <w:rPr>
      <w:rFonts w:ascii="宋体" w:hAnsi="宋体"/>
      <w:kern w:val="0"/>
      <w:sz w:val="24"/>
      <w:szCs w:val="28"/>
    </w:rPr>
  </w:style>
  <w:style w:type="character" w:customStyle="1" w:styleId="468">
    <w:name w:val="(一) Char"/>
    <w:qFormat/>
    <w:uiPriority w:val="0"/>
    <w:rPr>
      <w:rFonts w:ascii="宋体" w:hAnsi="宋体" w:eastAsia="宋体"/>
      <w:snapToGrid w:val="0"/>
      <w:color w:val="000000"/>
      <w:sz w:val="24"/>
      <w:szCs w:val="24"/>
      <w:lang w:val="en-US" w:eastAsia="zh-CN" w:bidi="ar-SA"/>
    </w:rPr>
  </w:style>
  <w:style w:type="character" w:customStyle="1" w:styleId="469">
    <w:name w:val="Char Char91"/>
    <w:qFormat/>
    <w:uiPriority w:val="0"/>
    <w:rPr>
      <w:rFonts w:ascii="宋体" w:hAnsi="宋体"/>
      <w:sz w:val="28"/>
    </w:rPr>
  </w:style>
  <w:style w:type="character" w:customStyle="1" w:styleId="470">
    <w:name w:val="正文文本 2 Char4"/>
    <w:link w:val="76"/>
    <w:qFormat/>
    <w:uiPriority w:val="0"/>
    <w:rPr>
      <w:rFonts w:ascii="楷体_GB2312" w:eastAsia="楷体_GB2312"/>
      <w:kern w:val="2"/>
      <w:sz w:val="21"/>
    </w:rPr>
  </w:style>
  <w:style w:type="character" w:customStyle="1" w:styleId="471">
    <w:name w:val="正文文本 2 Char1"/>
    <w:basedOn w:val="97"/>
    <w:qFormat/>
    <w:uiPriority w:val="99"/>
  </w:style>
  <w:style w:type="character" w:customStyle="1" w:styleId="472">
    <w:name w:val="Char Char Char"/>
    <w:qFormat/>
    <w:uiPriority w:val="0"/>
    <w:rPr>
      <w:rFonts w:ascii="Arial" w:hAnsi="Arial" w:eastAsia="黑体"/>
      <w:b/>
      <w:kern w:val="2"/>
      <w:sz w:val="28"/>
      <w:lang w:val="en-US" w:eastAsia="zh-CN" w:bidi="ar-SA"/>
    </w:rPr>
  </w:style>
  <w:style w:type="character" w:customStyle="1" w:styleId="473">
    <w:name w:val="表名 Char"/>
    <w:qFormat/>
    <w:uiPriority w:val="0"/>
    <w:rPr>
      <w:rFonts w:eastAsia="宋体" w:cs="宋体"/>
      <w:b/>
      <w:kern w:val="2"/>
      <w:sz w:val="24"/>
      <w:szCs w:val="24"/>
      <w:lang w:val="en-US" w:eastAsia="zh-CN" w:bidi="ar-SA"/>
    </w:rPr>
  </w:style>
  <w:style w:type="character" w:customStyle="1" w:styleId="474">
    <w:name w:val="content"/>
    <w:basedOn w:val="97"/>
    <w:qFormat/>
    <w:uiPriority w:val="0"/>
  </w:style>
  <w:style w:type="character" w:customStyle="1" w:styleId="475">
    <w:name w:val="表头 Char"/>
    <w:link w:val="476"/>
    <w:qFormat/>
    <w:uiPriority w:val="0"/>
    <w:rPr>
      <w:sz w:val="24"/>
      <w:szCs w:val="28"/>
    </w:rPr>
  </w:style>
  <w:style w:type="paragraph" w:customStyle="1" w:styleId="476">
    <w:name w:val="表头"/>
    <w:basedOn w:val="1"/>
    <w:link w:val="475"/>
    <w:qFormat/>
    <w:uiPriority w:val="0"/>
    <w:pPr>
      <w:spacing w:line="360" w:lineRule="auto"/>
      <w:jc w:val="left"/>
    </w:pPr>
    <w:rPr>
      <w:kern w:val="0"/>
      <w:sz w:val="24"/>
      <w:szCs w:val="28"/>
    </w:rPr>
  </w:style>
  <w:style w:type="character" w:customStyle="1" w:styleId="477">
    <w:name w:val="darkblue"/>
    <w:basedOn w:val="97"/>
    <w:qFormat/>
    <w:uiPriority w:val="0"/>
  </w:style>
  <w:style w:type="character" w:customStyle="1" w:styleId="478">
    <w:name w:val="目标题 1) Char Char"/>
    <w:qFormat/>
    <w:uiPriority w:val="0"/>
    <w:rPr>
      <w:rFonts w:ascii="宋体" w:hAnsi="Arial" w:eastAsia="宋体"/>
      <w:kern w:val="28"/>
      <w:sz w:val="28"/>
      <w:lang w:val="en-US" w:eastAsia="zh-CN" w:bidi="ar-SA"/>
    </w:rPr>
  </w:style>
  <w:style w:type="character" w:customStyle="1" w:styleId="479">
    <w:name w:val="页眉 Char1"/>
    <w:qFormat/>
    <w:uiPriority w:val="99"/>
    <w:rPr>
      <w:bCs/>
      <w:kern w:val="2"/>
      <w:sz w:val="18"/>
      <w:szCs w:val="18"/>
    </w:rPr>
  </w:style>
  <w:style w:type="character" w:customStyle="1" w:styleId="480">
    <w:name w:val="段落正文 Char"/>
    <w:link w:val="481"/>
    <w:qFormat/>
    <w:uiPriority w:val="0"/>
    <w:rPr>
      <w:rFonts w:ascii="宋体" w:hAnsi="宋体"/>
      <w:sz w:val="28"/>
      <w:szCs w:val="24"/>
    </w:rPr>
  </w:style>
  <w:style w:type="paragraph" w:customStyle="1" w:styleId="481">
    <w:name w:val="段落正文"/>
    <w:basedOn w:val="87"/>
    <w:next w:val="87"/>
    <w:link w:val="480"/>
    <w:qFormat/>
    <w:uiPriority w:val="0"/>
    <w:pPr>
      <w:spacing w:after="0" w:line="360" w:lineRule="auto"/>
      <w:ind w:left="0" w:leftChars="0" w:firstLine="560"/>
    </w:pPr>
    <w:rPr>
      <w:rFonts w:ascii="宋体" w:hAnsi="宋体"/>
      <w:kern w:val="0"/>
      <w:sz w:val="28"/>
    </w:rPr>
  </w:style>
  <w:style w:type="character" w:customStyle="1" w:styleId="482">
    <w:name w:val="样式 图表名 + (符号) 宋体 Char"/>
    <w:link w:val="483"/>
    <w:qFormat/>
    <w:uiPriority w:val="0"/>
    <w:rPr>
      <w:rFonts w:ascii="宋体" w:hAnsi="Courier New"/>
      <w:bCs/>
      <w:color w:val="FF0000"/>
      <w:kern w:val="24"/>
      <w:sz w:val="24"/>
      <w:szCs w:val="24"/>
    </w:rPr>
  </w:style>
  <w:style w:type="paragraph" w:customStyle="1" w:styleId="483">
    <w:name w:val="样式 图表名 + (符号) 宋体"/>
    <w:basedOn w:val="273"/>
    <w:link w:val="482"/>
    <w:qFormat/>
    <w:uiPriority w:val="0"/>
    <w:pPr>
      <w:spacing w:beforeLines="0"/>
    </w:pPr>
    <w:rPr>
      <w:rFonts w:ascii="宋体" w:hAnsi="Courier New" w:eastAsia="宋体"/>
      <w:color w:val="FF0000"/>
      <w:kern w:val="24"/>
    </w:rPr>
  </w:style>
  <w:style w:type="character" w:customStyle="1" w:styleId="484">
    <w:name w:val="段落文字 Char1"/>
    <w:qFormat/>
    <w:uiPriority w:val="0"/>
    <w:rPr>
      <w:rFonts w:eastAsia="仿宋_GB2312" w:cs="宋体"/>
      <w:kern w:val="2"/>
      <w:sz w:val="28"/>
      <w:lang w:val="en-US" w:eastAsia="zh-CN" w:bidi="ar-SA"/>
    </w:rPr>
  </w:style>
  <w:style w:type="character" w:customStyle="1" w:styleId="485">
    <w:name w:val="章标题 Char1"/>
    <w:qFormat/>
    <w:uiPriority w:val="0"/>
    <w:rPr>
      <w:rFonts w:ascii="ˎ̥" w:hAnsi="ˎ̥" w:eastAsia="宋体"/>
      <w:b/>
      <w:bCs/>
      <w:color w:val="000000"/>
      <w:kern w:val="44"/>
      <w:sz w:val="28"/>
      <w:szCs w:val="28"/>
      <w:lang w:val="en-US" w:eastAsia="zh-CN" w:bidi="ar-SA"/>
    </w:rPr>
  </w:style>
  <w:style w:type="character" w:customStyle="1" w:styleId="486">
    <w:name w:val="页眉1 Char"/>
    <w:qFormat/>
    <w:uiPriority w:val="0"/>
    <w:rPr>
      <w:rFonts w:ascii="宋体" w:eastAsia="宋体"/>
      <w:sz w:val="18"/>
      <w:szCs w:val="18"/>
      <w:lang w:val="en-US" w:eastAsia="zh-CN" w:bidi="ar-SA"/>
    </w:rPr>
  </w:style>
  <w:style w:type="character" w:customStyle="1" w:styleId="487">
    <w:name w:val="9dpi1"/>
    <w:qFormat/>
    <w:uiPriority w:val="0"/>
    <w:rPr>
      <w:sz w:val="18"/>
      <w:szCs w:val="18"/>
    </w:rPr>
  </w:style>
  <w:style w:type="character" w:customStyle="1" w:styleId="488">
    <w:name w:val="样式 标题 3标题 3 Char Char条标题1.1.1SectionH3BOD 0h3sect1.2.3He... Char"/>
    <w:link w:val="489"/>
    <w:qFormat/>
    <w:uiPriority w:val="0"/>
    <w:rPr>
      <w:bCs/>
      <w:sz w:val="28"/>
      <w:szCs w:val="24"/>
    </w:rPr>
  </w:style>
  <w:style w:type="paragraph" w:customStyle="1" w:styleId="489">
    <w:name w:val="样式 标题 3标题 3 Char Char条标题1.1.1SectionH3BOD 0h3sect1.2.3He..."/>
    <w:basedOn w:val="5"/>
    <w:link w:val="488"/>
    <w:qFormat/>
    <w:uiPriority w:val="0"/>
    <w:pPr>
      <w:keepNext w:val="0"/>
      <w:tabs>
        <w:tab w:val="clear" w:pos="360"/>
      </w:tabs>
      <w:spacing w:beforeLines="30" w:afterLines="20"/>
      <w:ind w:left="-1" w:leftChars="-7" w:hanging="14" w:hangingChars="5"/>
    </w:pPr>
    <w:rPr>
      <w:rFonts w:ascii="Times New Roman" w:hAnsi="Times New Roman" w:eastAsia="宋体"/>
      <w:kern w:val="0"/>
      <w:sz w:val="28"/>
    </w:rPr>
  </w:style>
  <w:style w:type="character" w:customStyle="1" w:styleId="490">
    <w:name w:val="01 三级标题 Char"/>
    <w:qFormat/>
    <w:uiPriority w:val="0"/>
    <w:rPr>
      <w:rFonts w:ascii="宋体" w:hAnsi="宋体"/>
      <w:spacing w:val="-2"/>
      <w:sz w:val="28"/>
      <w:szCs w:val="28"/>
    </w:rPr>
  </w:style>
  <w:style w:type="character" w:customStyle="1" w:styleId="491">
    <w:name w:val="04 四级标题 Char"/>
    <w:qFormat/>
    <w:uiPriority w:val="0"/>
    <w:rPr>
      <w:rFonts w:ascii="宋体" w:hAnsi="宋体" w:eastAsia="宋体"/>
      <w:b/>
      <w:spacing w:val="-2"/>
      <w:kern w:val="2"/>
      <w:sz w:val="26"/>
      <w:szCs w:val="28"/>
      <w:lang w:val="en-US" w:eastAsia="zh-CN" w:bidi="ar-SA"/>
    </w:rPr>
  </w:style>
  <w:style w:type="character" w:customStyle="1" w:styleId="492">
    <w:name w:val="章标题 1 Char"/>
    <w:qFormat/>
    <w:uiPriority w:val="0"/>
    <w:rPr>
      <w:rFonts w:eastAsia="宋体"/>
      <w:b/>
      <w:bCs/>
      <w:kern w:val="44"/>
      <w:sz w:val="36"/>
      <w:szCs w:val="44"/>
      <w:lang w:val="en-US" w:eastAsia="zh-CN" w:bidi="ar-SA"/>
    </w:rPr>
  </w:style>
  <w:style w:type="character" w:customStyle="1" w:styleId="493">
    <w:name w:val="00 正文 Char Char"/>
    <w:qFormat/>
    <w:uiPriority w:val="0"/>
    <w:rPr>
      <w:rFonts w:eastAsia="宋体"/>
      <w:spacing w:val="-2"/>
      <w:kern w:val="2"/>
      <w:sz w:val="24"/>
      <w:szCs w:val="24"/>
      <w:lang w:val="en-US" w:eastAsia="zh-CN" w:bidi="ar-SA"/>
    </w:rPr>
  </w:style>
  <w:style w:type="character" w:customStyle="1" w:styleId="494">
    <w:name w:val="style131"/>
    <w:qFormat/>
    <w:uiPriority w:val="0"/>
    <w:rPr>
      <w:rFonts w:hint="eastAsia" w:ascii="宋体" w:hAnsi="宋体" w:eastAsia="宋体"/>
      <w:sz w:val="24"/>
      <w:szCs w:val="24"/>
    </w:rPr>
  </w:style>
  <w:style w:type="character" w:customStyle="1" w:styleId="495">
    <w:name w:val="s"/>
    <w:basedOn w:val="97"/>
    <w:qFormat/>
    <w:uiPriority w:val="0"/>
  </w:style>
  <w:style w:type="character" w:customStyle="1" w:styleId="496">
    <w:name w:val="0031"/>
    <w:qFormat/>
    <w:uiPriority w:val="0"/>
    <w:rPr>
      <w:sz w:val="21"/>
      <w:szCs w:val="21"/>
    </w:rPr>
  </w:style>
  <w:style w:type="character" w:customStyle="1" w:styleId="497">
    <w:name w:val="bodyfont1"/>
    <w:qFormat/>
    <w:uiPriority w:val="0"/>
    <w:rPr>
      <w:color w:val="000000"/>
      <w:sz w:val="18"/>
      <w:szCs w:val="18"/>
    </w:rPr>
  </w:style>
  <w:style w:type="character" w:customStyle="1" w:styleId="498">
    <w:name w:val="news-021"/>
    <w:qFormat/>
    <w:uiPriority w:val="0"/>
    <w:rPr>
      <w:sz w:val="18"/>
      <w:szCs w:val="18"/>
    </w:rPr>
  </w:style>
  <w:style w:type="character" w:customStyle="1" w:styleId="499">
    <w:name w:val="wen11"/>
    <w:qFormat/>
    <w:uiPriority w:val="0"/>
    <w:rPr>
      <w:rFonts w:hint="eastAsia" w:ascii="宋体" w:hAnsi="宋体" w:eastAsia="宋体"/>
      <w:color w:val="000099"/>
      <w:sz w:val="20"/>
      <w:szCs w:val="20"/>
    </w:rPr>
  </w:style>
  <w:style w:type="character" w:customStyle="1" w:styleId="500">
    <w:name w:val="个人答复风格"/>
    <w:qFormat/>
    <w:uiPriority w:val="0"/>
    <w:rPr>
      <w:rFonts w:ascii="Arial" w:hAnsi="Arial" w:eastAsia="宋体" w:cs="Arial"/>
      <w:color w:val="auto"/>
      <w:sz w:val="20"/>
    </w:rPr>
  </w:style>
  <w:style w:type="character" w:customStyle="1" w:styleId="501">
    <w:name w:val="f241"/>
    <w:qFormat/>
    <w:uiPriority w:val="0"/>
    <w:rPr>
      <w:sz w:val="36"/>
      <w:szCs w:val="36"/>
    </w:rPr>
  </w:style>
  <w:style w:type="character" w:customStyle="1" w:styleId="502">
    <w:name w:val="04 小标题（仅粗体） Char"/>
    <w:qFormat/>
    <w:uiPriority w:val="0"/>
    <w:rPr>
      <w:rFonts w:eastAsia="宋体"/>
      <w:b/>
      <w:spacing w:val="-2"/>
      <w:kern w:val="2"/>
      <w:sz w:val="24"/>
      <w:szCs w:val="28"/>
      <w:lang w:val="en-US" w:eastAsia="zh-CN" w:bidi="ar-SA"/>
    </w:rPr>
  </w:style>
  <w:style w:type="character" w:customStyle="1" w:styleId="503">
    <w:name w:val="zrf正文 Char"/>
    <w:link w:val="504"/>
    <w:qFormat/>
    <w:uiPriority w:val="0"/>
    <w:rPr>
      <w:snapToGrid w:val="0"/>
      <w:sz w:val="24"/>
    </w:rPr>
  </w:style>
  <w:style w:type="paragraph" w:customStyle="1" w:styleId="504">
    <w:name w:val="zrf正文"/>
    <w:basedOn w:val="1"/>
    <w:link w:val="503"/>
    <w:qFormat/>
    <w:uiPriority w:val="0"/>
    <w:pPr>
      <w:spacing w:line="480" w:lineRule="exact"/>
      <w:ind w:firstLine="200" w:firstLineChars="200"/>
    </w:pPr>
    <w:rPr>
      <w:snapToGrid w:val="0"/>
      <w:kern w:val="0"/>
      <w:sz w:val="24"/>
      <w:szCs w:val="20"/>
    </w:rPr>
  </w:style>
  <w:style w:type="character" w:customStyle="1" w:styleId="505">
    <w:name w:val="zrf表头 Char"/>
    <w:link w:val="506"/>
    <w:qFormat/>
    <w:uiPriority w:val="0"/>
    <w:rPr>
      <w:snapToGrid w:val="0"/>
      <w:color w:val="000000"/>
    </w:rPr>
  </w:style>
  <w:style w:type="paragraph" w:customStyle="1" w:styleId="506">
    <w:name w:val="zrf表头"/>
    <w:basedOn w:val="1"/>
    <w:link w:val="505"/>
    <w:qFormat/>
    <w:uiPriority w:val="0"/>
    <w:pPr>
      <w:spacing w:line="480" w:lineRule="exact"/>
      <w:jc w:val="center"/>
    </w:pPr>
    <w:rPr>
      <w:snapToGrid w:val="0"/>
      <w:color w:val="000000"/>
      <w:kern w:val="0"/>
      <w:sz w:val="20"/>
      <w:szCs w:val="20"/>
    </w:rPr>
  </w:style>
  <w:style w:type="character" w:customStyle="1" w:styleId="507">
    <w:name w:val="zrf标题3 Char"/>
    <w:link w:val="508"/>
    <w:qFormat/>
    <w:uiPriority w:val="0"/>
    <w:rPr>
      <w:rFonts w:hAnsi="宋体"/>
      <w:b/>
      <w:bCs/>
      <w:snapToGrid w:val="0"/>
      <w:color w:val="000000"/>
      <w:sz w:val="24"/>
    </w:rPr>
  </w:style>
  <w:style w:type="paragraph" w:customStyle="1" w:styleId="508">
    <w:name w:val="zrf标题3"/>
    <w:basedOn w:val="1"/>
    <w:link w:val="507"/>
    <w:qFormat/>
    <w:uiPriority w:val="0"/>
    <w:pPr>
      <w:spacing w:line="480" w:lineRule="exact"/>
      <w:jc w:val="left"/>
      <w:outlineLvl w:val="2"/>
    </w:pPr>
    <w:rPr>
      <w:rFonts w:hAnsi="宋体"/>
      <w:b/>
      <w:bCs/>
      <w:snapToGrid w:val="0"/>
      <w:color w:val="000000"/>
      <w:kern w:val="0"/>
      <w:sz w:val="24"/>
      <w:szCs w:val="20"/>
    </w:rPr>
  </w:style>
  <w:style w:type="character" w:customStyle="1" w:styleId="509">
    <w:name w:val="我的正文 Char"/>
    <w:link w:val="510"/>
    <w:qFormat/>
    <w:uiPriority w:val="0"/>
    <w:rPr>
      <w:rFonts w:ascii="宋体" w:hAnsi="宋体"/>
      <w:color w:val="000000"/>
      <w:sz w:val="24"/>
    </w:rPr>
  </w:style>
  <w:style w:type="paragraph" w:customStyle="1" w:styleId="510">
    <w:name w:val="我的正文"/>
    <w:basedOn w:val="1"/>
    <w:link w:val="509"/>
    <w:qFormat/>
    <w:uiPriority w:val="0"/>
    <w:pPr>
      <w:spacing w:line="360" w:lineRule="auto"/>
      <w:ind w:firstLine="480" w:firstLineChars="200"/>
    </w:pPr>
    <w:rPr>
      <w:rFonts w:ascii="宋体" w:hAnsi="宋体"/>
      <w:color w:val="000000"/>
      <w:kern w:val="0"/>
      <w:sz w:val="24"/>
      <w:szCs w:val="20"/>
    </w:rPr>
  </w:style>
  <w:style w:type="character" w:customStyle="1" w:styleId="511">
    <w:name w:val="我的图表 Char"/>
    <w:link w:val="512"/>
    <w:qFormat/>
    <w:uiPriority w:val="0"/>
    <w:rPr>
      <w:rFonts w:ascii="黑体" w:hAnsi="Calibri" w:eastAsia="黑体"/>
      <w:szCs w:val="21"/>
    </w:rPr>
  </w:style>
  <w:style w:type="paragraph" w:customStyle="1" w:styleId="512">
    <w:name w:val="我的图表"/>
    <w:basedOn w:val="1"/>
    <w:link w:val="511"/>
    <w:qFormat/>
    <w:uiPriority w:val="0"/>
    <w:pPr>
      <w:spacing w:line="360" w:lineRule="auto"/>
      <w:jc w:val="center"/>
    </w:pPr>
    <w:rPr>
      <w:rFonts w:ascii="黑体" w:hAnsi="Calibri" w:eastAsia="黑体"/>
      <w:kern w:val="0"/>
      <w:sz w:val="20"/>
      <w:szCs w:val="21"/>
    </w:rPr>
  </w:style>
  <w:style w:type="character" w:customStyle="1" w:styleId="513">
    <w:name w:val="图表名zw Char"/>
    <w:link w:val="514"/>
    <w:qFormat/>
    <w:uiPriority w:val="0"/>
    <w:rPr>
      <w:rFonts w:ascii="宋体" w:hAnsi="Courier New"/>
      <w:szCs w:val="24"/>
    </w:rPr>
  </w:style>
  <w:style w:type="paragraph" w:customStyle="1" w:styleId="514">
    <w:name w:val="图表名zw"/>
    <w:basedOn w:val="1"/>
    <w:link w:val="513"/>
    <w:qFormat/>
    <w:uiPriority w:val="0"/>
    <w:pPr>
      <w:snapToGrid w:val="0"/>
      <w:spacing w:line="360" w:lineRule="auto"/>
      <w:jc w:val="center"/>
    </w:pPr>
    <w:rPr>
      <w:rFonts w:ascii="宋体" w:hAnsi="Courier New"/>
      <w:kern w:val="0"/>
      <w:sz w:val="20"/>
    </w:rPr>
  </w:style>
  <w:style w:type="character" w:customStyle="1" w:styleId="515">
    <w:name w:val="图标题样式 Char"/>
    <w:link w:val="516"/>
    <w:qFormat/>
    <w:uiPriority w:val="0"/>
    <w:rPr>
      <w:rFonts w:ascii="宋体" w:hAnsi="Courier New"/>
      <w:bCs/>
      <w:kern w:val="24"/>
      <w:szCs w:val="21"/>
    </w:rPr>
  </w:style>
  <w:style w:type="paragraph" w:customStyle="1" w:styleId="516">
    <w:name w:val="图标题样式"/>
    <w:basedOn w:val="273"/>
    <w:link w:val="515"/>
    <w:qFormat/>
    <w:uiPriority w:val="0"/>
    <w:pPr>
      <w:spacing w:beforeLines="0"/>
      <w:ind w:firstLine="620" w:firstLineChars="200"/>
      <w:jc w:val="left"/>
    </w:pPr>
    <w:rPr>
      <w:rFonts w:ascii="宋体" w:hAnsi="Courier New" w:eastAsia="宋体"/>
      <w:kern w:val="24"/>
      <w:sz w:val="20"/>
      <w:szCs w:val="21"/>
    </w:rPr>
  </w:style>
  <w:style w:type="character" w:customStyle="1" w:styleId="517">
    <w:name w:val="表中内容 Char"/>
    <w:link w:val="518"/>
    <w:qFormat/>
    <w:uiPriority w:val="0"/>
    <w:rPr>
      <w:rFonts w:ascii="宋体" w:hAnsi="宋体"/>
      <w:snapToGrid w:val="0"/>
      <w:color w:val="000000"/>
      <w:spacing w:val="6"/>
      <w:sz w:val="28"/>
      <w:szCs w:val="21"/>
    </w:rPr>
  </w:style>
  <w:style w:type="paragraph" w:customStyle="1" w:styleId="518">
    <w:name w:val="表中内容"/>
    <w:basedOn w:val="519"/>
    <w:link w:val="517"/>
    <w:qFormat/>
    <w:uiPriority w:val="0"/>
    <w:pPr>
      <w:spacing w:line="240" w:lineRule="atLeast"/>
    </w:pPr>
    <w:rPr>
      <w:rFonts w:hAnsi="宋体"/>
      <w:snapToGrid w:val="0"/>
      <w:color w:val="000000"/>
      <w:spacing w:val="6"/>
      <w:sz w:val="28"/>
    </w:rPr>
  </w:style>
  <w:style w:type="paragraph" w:customStyle="1" w:styleId="519">
    <w:name w:val="表"/>
    <w:basedOn w:val="285"/>
    <w:link w:val="520"/>
    <w:qFormat/>
    <w:uiPriority w:val="0"/>
    <w:pPr>
      <w:spacing w:line="240" w:lineRule="auto"/>
      <w:ind w:firstLine="0" w:firstLineChars="0"/>
      <w:jc w:val="center"/>
    </w:pPr>
    <w:rPr>
      <w:rFonts w:hAnsi="Calibri"/>
      <w:kern w:val="0"/>
      <w:sz w:val="20"/>
      <w:szCs w:val="21"/>
    </w:rPr>
  </w:style>
  <w:style w:type="character" w:customStyle="1" w:styleId="520">
    <w:name w:val="表 Char"/>
    <w:link w:val="519"/>
    <w:qFormat/>
    <w:uiPriority w:val="0"/>
    <w:rPr>
      <w:rFonts w:ascii="宋体" w:hAnsi="Calibri"/>
      <w:szCs w:val="21"/>
    </w:rPr>
  </w:style>
  <w:style w:type="character" w:customStyle="1" w:styleId="521">
    <w:name w:val="段 Char"/>
    <w:link w:val="522"/>
    <w:qFormat/>
    <w:uiPriority w:val="0"/>
    <w:rPr>
      <w:rFonts w:ascii="宋体" w:eastAsia="Times New Roman"/>
      <w:kern w:val="2"/>
      <w:sz w:val="21"/>
      <w:szCs w:val="22"/>
    </w:rPr>
  </w:style>
  <w:style w:type="paragraph" w:customStyle="1" w:styleId="522">
    <w:name w:val="段"/>
    <w:link w:val="521"/>
    <w:qFormat/>
    <w:uiPriority w:val="0"/>
    <w:pPr>
      <w:autoSpaceDE w:val="0"/>
      <w:autoSpaceDN w:val="0"/>
      <w:ind w:firstLine="200" w:firstLineChars="200"/>
      <w:jc w:val="both"/>
    </w:pPr>
    <w:rPr>
      <w:rFonts w:ascii="宋体" w:hAnsi="Times New Roman" w:eastAsia="Times New Roman" w:cs="Times New Roman"/>
      <w:kern w:val="2"/>
      <w:sz w:val="21"/>
      <w:szCs w:val="22"/>
      <w:lang w:val="en-US" w:eastAsia="zh-CN" w:bidi="ar-SA"/>
    </w:rPr>
  </w:style>
  <w:style w:type="character" w:customStyle="1" w:styleId="523">
    <w:name w:val="正文无缩进 Char"/>
    <w:qFormat/>
    <w:uiPriority w:val="0"/>
    <w:rPr>
      <w:rFonts w:ascii="Times New Roman" w:hAnsi="Times New Roman" w:eastAsia="宋体" w:cs="Times New Roman"/>
      <w:szCs w:val="24"/>
    </w:rPr>
  </w:style>
  <w:style w:type="character" w:customStyle="1" w:styleId="524">
    <w:name w:val="文档结构图 Char2"/>
    <w:qFormat/>
    <w:uiPriority w:val="0"/>
    <w:rPr>
      <w:rFonts w:eastAsia="宋体"/>
      <w:sz w:val="24"/>
      <w:szCs w:val="24"/>
      <w:lang w:val="en-US" w:eastAsia="zh-CN" w:bidi="ar-SA"/>
    </w:rPr>
  </w:style>
  <w:style w:type="character" w:customStyle="1" w:styleId="525">
    <w:name w:val="正文 Char1"/>
    <w:link w:val="526"/>
    <w:qFormat/>
    <w:uiPriority w:val="0"/>
    <w:rPr>
      <w:sz w:val="24"/>
      <w:szCs w:val="24"/>
    </w:rPr>
  </w:style>
  <w:style w:type="paragraph" w:customStyle="1" w:styleId="526">
    <w:name w:val="正文4"/>
    <w:basedOn w:val="527"/>
    <w:link w:val="525"/>
    <w:qFormat/>
    <w:uiPriority w:val="0"/>
    <w:pPr>
      <w:overflowPunct/>
      <w:autoSpaceDE/>
      <w:snapToGrid w:val="0"/>
      <w:spacing w:after="0" w:line="360" w:lineRule="auto"/>
      <w:ind w:firstLine="480" w:firstLineChars="200"/>
      <w:textAlignment w:val="auto"/>
    </w:pPr>
    <w:rPr>
      <w:szCs w:val="24"/>
    </w:rPr>
  </w:style>
  <w:style w:type="paragraph" w:customStyle="1" w:styleId="527">
    <w:name w:val="正文1"/>
    <w:basedOn w:val="1"/>
    <w:link w:val="528"/>
    <w:qFormat/>
    <w:uiPriority w:val="0"/>
    <w:pPr>
      <w:overflowPunct w:val="0"/>
      <w:autoSpaceDE w:val="0"/>
      <w:adjustRightInd w:val="0"/>
      <w:spacing w:after="120" w:line="288" w:lineRule="auto"/>
      <w:ind w:firstLine="510"/>
      <w:textAlignment w:val="center"/>
    </w:pPr>
    <w:rPr>
      <w:kern w:val="0"/>
      <w:sz w:val="24"/>
      <w:szCs w:val="20"/>
    </w:rPr>
  </w:style>
  <w:style w:type="character" w:customStyle="1" w:styleId="528">
    <w:name w:val="正文 Char"/>
    <w:link w:val="527"/>
    <w:qFormat/>
    <w:uiPriority w:val="0"/>
    <w:rPr>
      <w:sz w:val="24"/>
    </w:rPr>
  </w:style>
  <w:style w:type="character" w:customStyle="1" w:styleId="529">
    <w:name w:val="图名 Char"/>
    <w:link w:val="530"/>
    <w:qFormat/>
    <w:uiPriority w:val="0"/>
    <w:rPr>
      <w:rFonts w:ascii="宋体" w:hAnsi="宋体"/>
      <w:bCs/>
      <w:szCs w:val="21"/>
    </w:rPr>
  </w:style>
  <w:style w:type="paragraph" w:customStyle="1" w:styleId="530">
    <w:name w:val="图名"/>
    <w:basedOn w:val="1"/>
    <w:link w:val="529"/>
    <w:qFormat/>
    <w:uiPriority w:val="0"/>
    <w:pPr>
      <w:tabs>
        <w:tab w:val="left" w:pos="6980"/>
      </w:tabs>
      <w:adjustRightInd w:val="0"/>
      <w:snapToGrid w:val="0"/>
      <w:jc w:val="center"/>
    </w:pPr>
    <w:rPr>
      <w:rFonts w:ascii="宋体" w:hAnsi="宋体"/>
      <w:bCs/>
      <w:kern w:val="0"/>
      <w:sz w:val="20"/>
      <w:szCs w:val="21"/>
    </w:rPr>
  </w:style>
  <w:style w:type="character" w:customStyle="1" w:styleId="531">
    <w:name w:val="图 Char"/>
    <w:link w:val="532"/>
    <w:qFormat/>
    <w:uiPriority w:val="0"/>
    <w:rPr>
      <w:rFonts w:ascii="宋体" w:hAnsi="Courier New"/>
      <w:sz w:val="24"/>
      <w:szCs w:val="24"/>
    </w:rPr>
  </w:style>
  <w:style w:type="paragraph" w:customStyle="1" w:styleId="532">
    <w:name w:val="图"/>
    <w:basedOn w:val="273"/>
    <w:link w:val="531"/>
    <w:qFormat/>
    <w:uiPriority w:val="0"/>
    <w:pPr>
      <w:spacing w:beforeLines="0" w:line="240" w:lineRule="auto"/>
    </w:pPr>
    <w:rPr>
      <w:rFonts w:ascii="宋体" w:hAnsi="Courier New" w:eastAsia="宋体"/>
      <w:bCs w:val="0"/>
      <w:kern w:val="0"/>
    </w:rPr>
  </w:style>
  <w:style w:type="character" w:customStyle="1" w:styleId="533">
    <w:name w:val="正文（张） Char"/>
    <w:link w:val="534"/>
    <w:qFormat/>
    <w:uiPriority w:val="0"/>
    <w:rPr>
      <w:sz w:val="28"/>
      <w:szCs w:val="28"/>
    </w:rPr>
  </w:style>
  <w:style w:type="paragraph" w:customStyle="1" w:styleId="534">
    <w:name w:val="正文（张）"/>
    <w:basedOn w:val="21"/>
    <w:next w:val="1"/>
    <w:link w:val="533"/>
    <w:qFormat/>
    <w:uiPriority w:val="0"/>
    <w:pPr>
      <w:spacing w:line="360" w:lineRule="auto"/>
      <w:ind w:firstLine="200" w:firstLineChars="200"/>
    </w:pPr>
    <w:rPr>
      <w:kern w:val="0"/>
      <w:sz w:val="28"/>
      <w:szCs w:val="28"/>
    </w:rPr>
  </w:style>
  <w:style w:type="character" w:customStyle="1" w:styleId="535">
    <w:name w:val="3级 Char"/>
    <w:link w:val="536"/>
    <w:qFormat/>
    <w:uiPriority w:val="0"/>
    <w:rPr>
      <w:sz w:val="24"/>
      <w:szCs w:val="24"/>
    </w:rPr>
  </w:style>
  <w:style w:type="paragraph" w:customStyle="1" w:styleId="536">
    <w:name w:val="3级"/>
    <w:basedOn w:val="1"/>
    <w:link w:val="535"/>
    <w:qFormat/>
    <w:uiPriority w:val="0"/>
    <w:pPr>
      <w:keepLines/>
      <w:adjustRightInd w:val="0"/>
      <w:snapToGrid w:val="0"/>
      <w:spacing w:line="360" w:lineRule="auto"/>
      <w:jc w:val="left"/>
      <w:outlineLvl w:val="2"/>
    </w:pPr>
    <w:rPr>
      <w:kern w:val="0"/>
      <w:sz w:val="24"/>
    </w:rPr>
  </w:style>
  <w:style w:type="character" w:customStyle="1" w:styleId="537">
    <w:name w:val="Char Char141"/>
    <w:qFormat/>
    <w:uiPriority w:val="0"/>
    <w:rPr>
      <w:kern w:val="2"/>
      <w:sz w:val="18"/>
      <w:szCs w:val="18"/>
    </w:rPr>
  </w:style>
  <w:style w:type="character" w:customStyle="1" w:styleId="538">
    <w:name w:val="表格 Char"/>
    <w:qFormat/>
    <w:uiPriority w:val="0"/>
    <w:rPr>
      <w:rFonts w:ascii="宋体"/>
      <w:color w:val="000000"/>
      <w:sz w:val="24"/>
      <w:szCs w:val="28"/>
      <w:lang w:bidi="ar-SA"/>
    </w:rPr>
  </w:style>
  <w:style w:type="character" w:customStyle="1" w:styleId="539">
    <w:name w:val="H1 Char"/>
    <w:qFormat/>
    <w:uiPriority w:val="0"/>
    <w:rPr>
      <w:rFonts w:ascii="Times New Roman" w:hAnsi="Times New Roman" w:eastAsia="宋体" w:cs="Times New Roman"/>
      <w:b/>
      <w:bCs/>
      <w:kern w:val="44"/>
      <w:sz w:val="44"/>
      <w:szCs w:val="44"/>
    </w:rPr>
  </w:style>
  <w:style w:type="character" w:customStyle="1" w:styleId="540">
    <w:name w:val="Char Char131"/>
    <w:qFormat/>
    <w:uiPriority w:val="0"/>
    <w:rPr>
      <w:sz w:val="24"/>
      <w:szCs w:val="24"/>
      <w:shd w:val="clear" w:color="auto" w:fill="000080"/>
    </w:rPr>
  </w:style>
  <w:style w:type="character" w:customStyle="1" w:styleId="541">
    <w:name w:val="尾注文本 Char3"/>
    <w:link w:val="52"/>
    <w:qFormat/>
    <w:uiPriority w:val="0"/>
    <w:rPr>
      <w:sz w:val="24"/>
      <w:szCs w:val="24"/>
    </w:rPr>
  </w:style>
  <w:style w:type="character" w:customStyle="1" w:styleId="542">
    <w:name w:val="尾注文本 字符"/>
    <w:basedOn w:val="97"/>
    <w:semiHidden/>
    <w:qFormat/>
    <w:uiPriority w:val="0"/>
    <w:rPr>
      <w:kern w:val="2"/>
      <w:sz w:val="21"/>
      <w:szCs w:val="24"/>
    </w:rPr>
  </w:style>
  <w:style w:type="character" w:customStyle="1" w:styleId="543">
    <w:name w:val="尾注文本 Char1"/>
    <w:basedOn w:val="97"/>
    <w:qFormat/>
    <w:uiPriority w:val="0"/>
  </w:style>
  <w:style w:type="character" w:customStyle="1" w:styleId="544">
    <w:name w:val="页脚 Char3"/>
    <w:qFormat/>
    <w:uiPriority w:val="0"/>
    <w:rPr>
      <w:rFonts w:eastAsia="宋体"/>
      <w:sz w:val="18"/>
      <w:szCs w:val="18"/>
      <w:lang w:val="en-US" w:eastAsia="zh-CN" w:bidi="ar-SA"/>
    </w:rPr>
  </w:style>
  <w:style w:type="character" w:customStyle="1" w:styleId="545">
    <w:name w:val="报告正文文本 Char"/>
    <w:link w:val="546"/>
    <w:qFormat/>
    <w:uiPriority w:val="0"/>
    <w:rPr>
      <w:sz w:val="24"/>
      <w:szCs w:val="24"/>
    </w:rPr>
  </w:style>
  <w:style w:type="paragraph" w:customStyle="1" w:styleId="546">
    <w:name w:val="报告正文文本"/>
    <w:basedOn w:val="1"/>
    <w:next w:val="39"/>
    <w:link w:val="545"/>
    <w:qFormat/>
    <w:uiPriority w:val="0"/>
    <w:pPr>
      <w:spacing w:line="360" w:lineRule="auto"/>
      <w:ind w:firstLine="480" w:firstLineChars="200"/>
    </w:pPr>
    <w:rPr>
      <w:kern w:val="0"/>
      <w:sz w:val="24"/>
    </w:rPr>
  </w:style>
  <w:style w:type="character" w:customStyle="1" w:styleId="547">
    <w:name w:val="图表中内容 Char"/>
    <w:link w:val="548"/>
    <w:qFormat/>
    <w:uiPriority w:val="0"/>
    <w:rPr>
      <w:rFonts w:ascii="宋体" w:hAnsi="宋体"/>
      <w:bCs/>
      <w:spacing w:val="10"/>
      <w:szCs w:val="21"/>
    </w:rPr>
  </w:style>
  <w:style w:type="paragraph" w:customStyle="1" w:styleId="548">
    <w:name w:val="图表中内容"/>
    <w:basedOn w:val="1"/>
    <w:link w:val="547"/>
    <w:qFormat/>
    <w:uiPriority w:val="0"/>
    <w:pPr>
      <w:widowControl/>
    </w:pPr>
    <w:rPr>
      <w:rFonts w:ascii="宋体" w:hAnsi="宋体"/>
      <w:bCs/>
      <w:spacing w:val="10"/>
      <w:kern w:val="0"/>
      <w:sz w:val="20"/>
      <w:szCs w:val="21"/>
    </w:rPr>
  </w:style>
  <w:style w:type="character" w:customStyle="1" w:styleId="549">
    <w:name w:val="表头样式 Char"/>
    <w:link w:val="550"/>
    <w:qFormat/>
    <w:uiPriority w:val="0"/>
    <w:rPr>
      <w:szCs w:val="21"/>
    </w:rPr>
  </w:style>
  <w:style w:type="paragraph" w:customStyle="1" w:styleId="550">
    <w:name w:val="表头样式"/>
    <w:basedOn w:val="1"/>
    <w:link w:val="549"/>
    <w:qFormat/>
    <w:uiPriority w:val="0"/>
    <w:pPr>
      <w:adjustRightInd w:val="0"/>
      <w:snapToGrid w:val="0"/>
      <w:spacing w:line="360" w:lineRule="auto"/>
      <w:jc w:val="center"/>
    </w:pPr>
    <w:rPr>
      <w:kern w:val="0"/>
      <w:sz w:val="20"/>
      <w:szCs w:val="21"/>
    </w:rPr>
  </w:style>
  <w:style w:type="character" w:customStyle="1" w:styleId="551">
    <w:name w:val="图表标题 Char"/>
    <w:link w:val="552"/>
    <w:qFormat/>
    <w:uiPriority w:val="0"/>
    <w:rPr>
      <w:rFonts w:ascii="宋体" w:hAnsi="宋体"/>
      <w:szCs w:val="24"/>
    </w:rPr>
  </w:style>
  <w:style w:type="paragraph" w:customStyle="1" w:styleId="552">
    <w:name w:val="图表标题"/>
    <w:basedOn w:val="1"/>
    <w:next w:val="553"/>
    <w:link w:val="551"/>
    <w:qFormat/>
    <w:uiPriority w:val="0"/>
    <w:pPr>
      <w:snapToGrid w:val="0"/>
      <w:jc w:val="center"/>
      <w:textAlignment w:val="baseline"/>
    </w:pPr>
    <w:rPr>
      <w:rFonts w:ascii="宋体" w:hAnsi="宋体"/>
      <w:kern w:val="0"/>
      <w:sz w:val="20"/>
    </w:rPr>
  </w:style>
  <w:style w:type="paragraph" w:customStyle="1" w:styleId="553">
    <w:name w:val="报告表格"/>
    <w:basedOn w:val="1"/>
    <w:qFormat/>
    <w:uiPriority w:val="0"/>
    <w:pPr>
      <w:autoSpaceDE w:val="0"/>
      <w:autoSpaceDN w:val="0"/>
      <w:adjustRightInd w:val="0"/>
      <w:spacing w:before="40" w:after="40"/>
      <w:jc w:val="center"/>
      <w:textAlignment w:val="bottom"/>
    </w:pPr>
    <w:rPr>
      <w:kern w:val="0"/>
      <w:szCs w:val="20"/>
    </w:rPr>
  </w:style>
  <w:style w:type="character" w:customStyle="1" w:styleId="554">
    <w:name w:val="正文文字缩进 3 Char Char"/>
    <w:qFormat/>
    <w:uiPriority w:val="0"/>
    <w:rPr>
      <w:rFonts w:eastAsia="宋体"/>
      <w:kern w:val="2"/>
      <w:sz w:val="24"/>
      <w:szCs w:val="24"/>
      <w:lang w:val="en-US" w:eastAsia="zh-CN" w:bidi="ar-SA"/>
    </w:rPr>
  </w:style>
  <w:style w:type="character" w:customStyle="1" w:styleId="555">
    <w:name w:val="表名xin Char"/>
    <w:link w:val="556"/>
    <w:qFormat/>
    <w:uiPriority w:val="0"/>
    <w:rPr>
      <w:szCs w:val="21"/>
    </w:rPr>
  </w:style>
  <w:style w:type="paragraph" w:customStyle="1" w:styleId="556">
    <w:name w:val="表名xin"/>
    <w:basedOn w:val="1"/>
    <w:link w:val="555"/>
    <w:qFormat/>
    <w:uiPriority w:val="0"/>
    <w:pPr>
      <w:adjustRightInd w:val="0"/>
      <w:snapToGrid w:val="0"/>
      <w:jc w:val="center"/>
    </w:pPr>
    <w:rPr>
      <w:kern w:val="0"/>
      <w:sz w:val="20"/>
      <w:szCs w:val="21"/>
    </w:rPr>
  </w:style>
  <w:style w:type="character" w:customStyle="1" w:styleId="557">
    <w:name w:val="称呼 Char3"/>
    <w:link w:val="30"/>
    <w:qFormat/>
    <w:uiPriority w:val="0"/>
    <w:rPr>
      <w:sz w:val="24"/>
      <w:szCs w:val="28"/>
    </w:rPr>
  </w:style>
  <w:style w:type="character" w:customStyle="1" w:styleId="558">
    <w:name w:val="称呼 字符"/>
    <w:basedOn w:val="97"/>
    <w:semiHidden/>
    <w:qFormat/>
    <w:uiPriority w:val="0"/>
    <w:rPr>
      <w:kern w:val="2"/>
      <w:sz w:val="21"/>
      <w:szCs w:val="24"/>
    </w:rPr>
  </w:style>
  <w:style w:type="character" w:customStyle="1" w:styleId="559">
    <w:name w:val="称呼 Char1"/>
    <w:basedOn w:val="97"/>
    <w:qFormat/>
    <w:uiPriority w:val="0"/>
  </w:style>
  <w:style w:type="character" w:customStyle="1" w:styleId="560">
    <w:name w:val="电子邮件签名 Char3"/>
    <w:link w:val="19"/>
    <w:qFormat/>
    <w:uiPriority w:val="0"/>
    <w:rPr>
      <w:sz w:val="24"/>
      <w:szCs w:val="28"/>
    </w:rPr>
  </w:style>
  <w:style w:type="character" w:customStyle="1" w:styleId="561">
    <w:name w:val="电子邮件签名 字符"/>
    <w:basedOn w:val="97"/>
    <w:semiHidden/>
    <w:qFormat/>
    <w:uiPriority w:val="0"/>
    <w:rPr>
      <w:kern w:val="2"/>
      <w:sz w:val="21"/>
      <w:szCs w:val="24"/>
    </w:rPr>
  </w:style>
  <w:style w:type="character" w:customStyle="1" w:styleId="562">
    <w:name w:val="电子邮件签名 Char1"/>
    <w:basedOn w:val="97"/>
    <w:qFormat/>
    <w:uiPriority w:val="0"/>
  </w:style>
  <w:style w:type="character" w:customStyle="1" w:styleId="563">
    <w:name w:val="签名 Char3"/>
    <w:link w:val="58"/>
    <w:qFormat/>
    <w:uiPriority w:val="0"/>
    <w:rPr>
      <w:sz w:val="24"/>
      <w:szCs w:val="28"/>
    </w:rPr>
  </w:style>
  <w:style w:type="character" w:customStyle="1" w:styleId="564">
    <w:name w:val="签名 字符"/>
    <w:basedOn w:val="97"/>
    <w:semiHidden/>
    <w:qFormat/>
    <w:uiPriority w:val="0"/>
    <w:rPr>
      <w:kern w:val="2"/>
      <w:sz w:val="21"/>
      <w:szCs w:val="24"/>
    </w:rPr>
  </w:style>
  <w:style w:type="character" w:customStyle="1" w:styleId="565">
    <w:name w:val="签名 Char1"/>
    <w:basedOn w:val="97"/>
    <w:qFormat/>
    <w:uiPriority w:val="0"/>
  </w:style>
  <w:style w:type="character" w:customStyle="1" w:styleId="566">
    <w:name w:val="信息标题 Char3"/>
    <w:link w:val="79"/>
    <w:qFormat/>
    <w:uiPriority w:val="0"/>
    <w:rPr>
      <w:rFonts w:ascii="Arial" w:hAnsi="Arial"/>
      <w:sz w:val="24"/>
      <w:szCs w:val="24"/>
      <w:shd w:val="pct20" w:color="auto" w:fill="auto"/>
    </w:rPr>
  </w:style>
  <w:style w:type="character" w:customStyle="1" w:styleId="567">
    <w:name w:val="信息标题 字符"/>
    <w:basedOn w:val="97"/>
    <w:semiHidden/>
    <w:qFormat/>
    <w:uiPriority w:val="0"/>
    <w:rPr>
      <w:rFonts w:asciiTheme="majorHAnsi" w:hAnsiTheme="majorHAnsi" w:eastAsiaTheme="majorEastAsia" w:cstheme="majorBidi"/>
      <w:kern w:val="2"/>
      <w:sz w:val="24"/>
      <w:szCs w:val="24"/>
      <w:shd w:val="pct20" w:color="auto" w:fill="auto"/>
    </w:rPr>
  </w:style>
  <w:style w:type="character" w:customStyle="1" w:styleId="568">
    <w:name w:val="信息标题 Char1"/>
    <w:qFormat/>
    <w:uiPriority w:val="0"/>
    <w:rPr>
      <w:rFonts w:ascii="Cambria" w:hAnsi="Cambria" w:eastAsia="宋体" w:cs="Times New Roman"/>
      <w:sz w:val="24"/>
      <w:szCs w:val="24"/>
      <w:shd w:val="pct20" w:color="auto" w:fill="auto"/>
    </w:rPr>
  </w:style>
  <w:style w:type="character" w:customStyle="1" w:styleId="569">
    <w:name w:val="正文文字缩进 2 Char Char"/>
    <w:semiHidden/>
    <w:qFormat/>
    <w:uiPriority w:val="0"/>
    <w:rPr>
      <w:rFonts w:eastAsia="宋体"/>
      <w:sz w:val="24"/>
      <w:szCs w:val="24"/>
      <w:lang w:val="en-US" w:eastAsia="zh-CN" w:bidi="ar-SA"/>
    </w:rPr>
  </w:style>
  <w:style w:type="character" w:customStyle="1" w:styleId="570">
    <w:name w:val="Char Char12"/>
    <w:qFormat/>
    <w:uiPriority w:val="0"/>
    <w:rPr>
      <w:rFonts w:ascii="宋体" w:hAnsi="Arial" w:eastAsia="宋体"/>
      <w:iCs/>
      <w:kern w:val="28"/>
      <w:sz w:val="24"/>
      <w:lang w:val="en-US" w:eastAsia="zh-CN" w:bidi="ar-SA"/>
    </w:rPr>
  </w:style>
  <w:style w:type="character" w:customStyle="1" w:styleId="571">
    <w:name w:val="(一) Char2"/>
    <w:qFormat/>
    <w:uiPriority w:val="0"/>
    <w:rPr>
      <w:rFonts w:eastAsia="宋体"/>
      <w:bCs/>
      <w:sz w:val="24"/>
      <w:szCs w:val="28"/>
      <w:lang w:val="en-US" w:eastAsia="zh-CN" w:bidi="ar-SA"/>
    </w:rPr>
  </w:style>
  <w:style w:type="character" w:customStyle="1" w:styleId="572">
    <w:name w:val="headline-content"/>
    <w:basedOn w:val="97"/>
    <w:qFormat/>
    <w:uiPriority w:val="0"/>
  </w:style>
  <w:style w:type="character" w:customStyle="1" w:styleId="573">
    <w:name w:val="fu正文 Char"/>
    <w:link w:val="574"/>
    <w:qFormat/>
    <w:uiPriority w:val="0"/>
    <w:rPr>
      <w:rFonts w:ascii="宋体" w:hAnsi="宋体"/>
      <w:color w:val="000000"/>
      <w:sz w:val="24"/>
      <w:szCs w:val="24"/>
    </w:rPr>
  </w:style>
  <w:style w:type="paragraph" w:customStyle="1" w:styleId="574">
    <w:name w:val="fu正文"/>
    <w:basedOn w:val="1"/>
    <w:link w:val="573"/>
    <w:qFormat/>
    <w:uiPriority w:val="0"/>
    <w:pPr>
      <w:spacing w:line="460" w:lineRule="exact"/>
      <w:ind w:firstLine="200" w:firstLineChars="200"/>
    </w:pPr>
    <w:rPr>
      <w:rFonts w:ascii="宋体" w:hAnsi="宋体"/>
      <w:color w:val="000000"/>
      <w:kern w:val="0"/>
      <w:sz w:val="24"/>
    </w:rPr>
  </w:style>
  <w:style w:type="character" w:customStyle="1" w:styleId="575">
    <w:name w:val="正文111111111111 Char"/>
    <w:link w:val="576"/>
    <w:qFormat/>
    <w:uiPriority w:val="0"/>
    <w:rPr>
      <w:sz w:val="24"/>
      <w:szCs w:val="24"/>
    </w:rPr>
  </w:style>
  <w:style w:type="paragraph" w:customStyle="1" w:styleId="576">
    <w:name w:val="正文111111111111"/>
    <w:basedOn w:val="1"/>
    <w:next w:val="1"/>
    <w:link w:val="575"/>
    <w:qFormat/>
    <w:uiPriority w:val="0"/>
    <w:pPr>
      <w:adjustRightInd w:val="0"/>
      <w:snapToGrid w:val="0"/>
      <w:spacing w:line="360" w:lineRule="auto"/>
      <w:ind w:firstLine="200" w:firstLineChars="200"/>
    </w:pPr>
    <w:rPr>
      <w:kern w:val="0"/>
      <w:sz w:val="24"/>
    </w:rPr>
  </w:style>
  <w:style w:type="character" w:customStyle="1" w:styleId="577">
    <w:name w:val="正文内容 Char Char"/>
    <w:qFormat/>
    <w:uiPriority w:val="0"/>
    <w:rPr>
      <w:rFonts w:eastAsia="宋体"/>
      <w:sz w:val="24"/>
      <w:szCs w:val="24"/>
      <w:lang w:val="en-US" w:eastAsia="zh-CN" w:bidi="ar-SA"/>
    </w:rPr>
  </w:style>
  <w:style w:type="character" w:customStyle="1" w:styleId="578">
    <w:name w:val="标准表格 Char Char"/>
    <w:link w:val="579"/>
    <w:qFormat/>
    <w:uiPriority w:val="0"/>
    <w:rPr>
      <w:szCs w:val="21"/>
    </w:rPr>
  </w:style>
  <w:style w:type="paragraph" w:customStyle="1" w:styleId="579">
    <w:name w:val="标准表格"/>
    <w:basedOn w:val="1"/>
    <w:link w:val="578"/>
    <w:qFormat/>
    <w:uiPriority w:val="0"/>
    <w:pPr>
      <w:widowControl/>
      <w:adjustRightInd w:val="0"/>
      <w:snapToGrid w:val="0"/>
      <w:jc w:val="center"/>
    </w:pPr>
    <w:rPr>
      <w:kern w:val="0"/>
      <w:sz w:val="20"/>
      <w:szCs w:val="21"/>
    </w:rPr>
  </w:style>
  <w:style w:type="character" w:customStyle="1" w:styleId="580">
    <w:name w:val="正文东晓 Char"/>
    <w:link w:val="581"/>
    <w:qFormat/>
    <w:uiPriority w:val="0"/>
    <w:rPr>
      <w:color w:val="FF00FF"/>
      <w:sz w:val="24"/>
      <w:szCs w:val="24"/>
    </w:rPr>
  </w:style>
  <w:style w:type="paragraph" w:customStyle="1" w:styleId="581">
    <w:name w:val="正文东晓"/>
    <w:basedOn w:val="34"/>
    <w:link w:val="580"/>
    <w:qFormat/>
    <w:uiPriority w:val="0"/>
    <w:pPr>
      <w:widowControl/>
      <w:adjustRightInd w:val="0"/>
      <w:snapToGrid w:val="0"/>
      <w:spacing w:line="360" w:lineRule="auto"/>
      <w:ind w:firstLine="200" w:firstLineChars="200"/>
    </w:pPr>
    <w:rPr>
      <w:rFonts w:eastAsia="宋体"/>
      <w:color w:val="FF00FF"/>
      <w:kern w:val="0"/>
      <w:sz w:val="24"/>
      <w:szCs w:val="24"/>
    </w:rPr>
  </w:style>
  <w:style w:type="character" w:customStyle="1" w:styleId="582">
    <w:name w:val="正常 Char"/>
    <w:link w:val="583"/>
    <w:qFormat/>
    <w:uiPriority w:val="0"/>
    <w:rPr>
      <w:sz w:val="24"/>
      <w:szCs w:val="24"/>
    </w:rPr>
  </w:style>
  <w:style w:type="paragraph" w:customStyle="1" w:styleId="583">
    <w:name w:val="正常"/>
    <w:basedOn w:val="21"/>
    <w:link w:val="582"/>
    <w:qFormat/>
    <w:uiPriority w:val="0"/>
    <w:pPr>
      <w:adjustRightInd w:val="0"/>
      <w:snapToGrid w:val="0"/>
      <w:spacing w:line="360" w:lineRule="auto"/>
      <w:ind w:firstLine="200" w:firstLineChars="200"/>
    </w:pPr>
    <w:rPr>
      <w:kern w:val="0"/>
      <w:sz w:val="24"/>
      <w:szCs w:val="24"/>
    </w:rPr>
  </w:style>
  <w:style w:type="character" w:customStyle="1" w:styleId="584">
    <w:name w:val="本文三级标题 Char"/>
    <w:link w:val="585"/>
    <w:qFormat/>
    <w:uiPriority w:val="0"/>
    <w:rPr>
      <w:rFonts w:eastAsia="仿宋_GB2312"/>
      <w:b/>
      <w:sz w:val="24"/>
      <w:szCs w:val="24"/>
    </w:rPr>
  </w:style>
  <w:style w:type="paragraph" w:customStyle="1" w:styleId="585">
    <w:name w:val="本文三级标题"/>
    <w:basedOn w:val="1"/>
    <w:link w:val="584"/>
    <w:qFormat/>
    <w:uiPriority w:val="0"/>
    <w:pPr>
      <w:spacing w:line="360" w:lineRule="auto"/>
      <w:jc w:val="left"/>
    </w:pPr>
    <w:rPr>
      <w:rFonts w:eastAsia="仿宋_GB2312"/>
      <w:b/>
      <w:kern w:val="0"/>
      <w:sz w:val="24"/>
    </w:rPr>
  </w:style>
  <w:style w:type="character" w:customStyle="1" w:styleId="586">
    <w:name w:val="本文正文 Char"/>
    <w:link w:val="587"/>
    <w:qFormat/>
    <w:uiPriority w:val="0"/>
    <w:rPr>
      <w:rFonts w:ascii="仿宋_GB2312" w:eastAsia="仿宋_GB2312"/>
      <w:sz w:val="24"/>
      <w:szCs w:val="24"/>
    </w:rPr>
  </w:style>
  <w:style w:type="paragraph" w:customStyle="1" w:styleId="587">
    <w:name w:val="本文正文"/>
    <w:basedOn w:val="1"/>
    <w:link w:val="586"/>
    <w:qFormat/>
    <w:uiPriority w:val="0"/>
    <w:pPr>
      <w:spacing w:line="360" w:lineRule="auto"/>
      <w:ind w:firstLine="480" w:firstLineChars="200"/>
    </w:pPr>
    <w:rPr>
      <w:rFonts w:ascii="仿宋_GB2312" w:eastAsia="仿宋_GB2312"/>
      <w:kern w:val="0"/>
      <w:sz w:val="24"/>
    </w:rPr>
  </w:style>
  <w:style w:type="character" w:customStyle="1" w:styleId="588">
    <w:name w:val="本项目正文 Char"/>
    <w:basedOn w:val="586"/>
    <w:link w:val="589"/>
    <w:qFormat/>
    <w:uiPriority w:val="0"/>
    <w:rPr>
      <w:rFonts w:ascii="仿宋_GB2312" w:eastAsia="仿宋_GB2312"/>
      <w:sz w:val="24"/>
      <w:szCs w:val="24"/>
    </w:rPr>
  </w:style>
  <w:style w:type="paragraph" w:customStyle="1" w:styleId="589">
    <w:name w:val="本项目正文"/>
    <w:basedOn w:val="587"/>
    <w:link w:val="588"/>
    <w:qFormat/>
    <w:uiPriority w:val="0"/>
  </w:style>
  <w:style w:type="character" w:customStyle="1" w:styleId="590">
    <w:name w:val="表内容1 Char"/>
    <w:link w:val="591"/>
    <w:qFormat/>
    <w:uiPriority w:val="0"/>
    <w:rPr>
      <w:szCs w:val="21"/>
    </w:rPr>
  </w:style>
  <w:style w:type="paragraph" w:customStyle="1" w:styleId="591">
    <w:name w:val="表内容1"/>
    <w:basedOn w:val="1"/>
    <w:next w:val="1"/>
    <w:link w:val="590"/>
    <w:qFormat/>
    <w:uiPriority w:val="0"/>
    <w:pPr>
      <w:jc w:val="center"/>
    </w:pPr>
    <w:rPr>
      <w:kern w:val="0"/>
      <w:sz w:val="20"/>
      <w:szCs w:val="21"/>
    </w:rPr>
  </w:style>
  <w:style w:type="character" w:customStyle="1" w:styleId="592">
    <w:name w:val="表格文字job Char"/>
    <w:link w:val="593"/>
    <w:qFormat/>
    <w:uiPriority w:val="0"/>
    <w:rPr>
      <w:rFonts w:hAnsi="宋体"/>
      <w:kern w:val="2"/>
      <w:sz w:val="21"/>
      <w:szCs w:val="21"/>
    </w:rPr>
  </w:style>
  <w:style w:type="paragraph" w:customStyle="1" w:styleId="593">
    <w:name w:val="表格文字job"/>
    <w:link w:val="592"/>
    <w:qFormat/>
    <w:uiPriority w:val="0"/>
    <w:pPr>
      <w:jc w:val="center"/>
    </w:pPr>
    <w:rPr>
      <w:rFonts w:ascii="Times New Roman" w:hAnsi="宋体" w:eastAsia="宋体" w:cs="Times New Roman"/>
      <w:kern w:val="2"/>
      <w:sz w:val="21"/>
      <w:szCs w:val="21"/>
      <w:lang w:val="en-US" w:eastAsia="zh-CN" w:bidi="ar-SA"/>
    </w:rPr>
  </w:style>
  <w:style w:type="character" w:customStyle="1" w:styleId="594">
    <w:name w:val="正文job Char"/>
    <w:link w:val="595"/>
    <w:qFormat/>
    <w:uiPriority w:val="0"/>
    <w:rPr>
      <w:sz w:val="24"/>
      <w:szCs w:val="28"/>
    </w:rPr>
  </w:style>
  <w:style w:type="paragraph" w:customStyle="1" w:styleId="595">
    <w:name w:val="正文job"/>
    <w:basedOn w:val="1"/>
    <w:link w:val="594"/>
    <w:qFormat/>
    <w:uiPriority w:val="0"/>
    <w:pPr>
      <w:widowControl/>
      <w:spacing w:line="360" w:lineRule="auto"/>
      <w:ind w:firstLine="200" w:firstLineChars="200"/>
    </w:pPr>
    <w:rPr>
      <w:kern w:val="0"/>
      <w:sz w:val="24"/>
      <w:szCs w:val="28"/>
    </w:rPr>
  </w:style>
  <w:style w:type="character" w:customStyle="1" w:styleId="596">
    <w:name w:val="图表名job Char"/>
    <w:link w:val="597"/>
    <w:qFormat/>
    <w:uiPriority w:val="0"/>
    <w:rPr>
      <w:b/>
      <w:bCs/>
    </w:rPr>
  </w:style>
  <w:style w:type="paragraph" w:customStyle="1" w:styleId="597">
    <w:name w:val="图表名job"/>
    <w:basedOn w:val="34"/>
    <w:link w:val="596"/>
    <w:qFormat/>
    <w:uiPriority w:val="0"/>
    <w:pPr>
      <w:jc w:val="center"/>
    </w:pPr>
    <w:rPr>
      <w:rFonts w:eastAsia="宋体"/>
      <w:b/>
      <w:bCs/>
      <w:kern w:val="0"/>
      <w:sz w:val="20"/>
    </w:rPr>
  </w:style>
  <w:style w:type="character" w:customStyle="1" w:styleId="598">
    <w:name w:val="正文文本-zp Char"/>
    <w:link w:val="599"/>
    <w:qFormat/>
    <w:uiPriority w:val="0"/>
    <w:rPr>
      <w:rFonts w:ascii="宋体" w:hAnsi="宋体"/>
      <w:sz w:val="24"/>
      <w:szCs w:val="28"/>
    </w:rPr>
  </w:style>
  <w:style w:type="paragraph" w:customStyle="1" w:styleId="599">
    <w:name w:val="正文文本-zp"/>
    <w:basedOn w:val="467"/>
    <w:next w:val="150"/>
    <w:link w:val="598"/>
    <w:qFormat/>
    <w:uiPriority w:val="0"/>
    <w:pPr>
      <w:wordWrap w:val="0"/>
      <w:autoSpaceDE w:val="0"/>
      <w:ind w:firstLine="200" w:firstLineChars="200"/>
    </w:pPr>
  </w:style>
  <w:style w:type="character" w:customStyle="1" w:styleId="600">
    <w:name w:val="图表名-zp Char"/>
    <w:link w:val="601"/>
    <w:qFormat/>
    <w:uiPriority w:val="0"/>
    <w:rPr>
      <w:b/>
      <w:szCs w:val="24"/>
    </w:rPr>
  </w:style>
  <w:style w:type="paragraph" w:customStyle="1" w:styleId="601">
    <w:name w:val="图表名-zp"/>
    <w:basedOn w:val="1"/>
    <w:next w:val="1"/>
    <w:link w:val="600"/>
    <w:qFormat/>
    <w:uiPriority w:val="0"/>
    <w:pPr>
      <w:adjustRightInd w:val="0"/>
      <w:snapToGrid w:val="0"/>
      <w:jc w:val="center"/>
    </w:pPr>
    <w:rPr>
      <w:b/>
      <w:kern w:val="0"/>
      <w:sz w:val="20"/>
    </w:rPr>
  </w:style>
  <w:style w:type="character" w:customStyle="1" w:styleId="602">
    <w:name w:val="4级标题job Char"/>
    <w:link w:val="603"/>
    <w:qFormat/>
    <w:uiPriority w:val="0"/>
    <w:rPr>
      <w:szCs w:val="21"/>
    </w:rPr>
  </w:style>
  <w:style w:type="paragraph" w:customStyle="1" w:styleId="603">
    <w:name w:val="4级标题job"/>
    <w:basedOn w:val="34"/>
    <w:link w:val="602"/>
    <w:qFormat/>
    <w:uiPriority w:val="0"/>
    <w:pPr>
      <w:adjustRightInd w:val="0"/>
      <w:snapToGrid w:val="0"/>
      <w:spacing w:line="360" w:lineRule="auto"/>
    </w:pPr>
    <w:rPr>
      <w:rFonts w:eastAsia="宋体"/>
      <w:kern w:val="0"/>
      <w:sz w:val="20"/>
      <w:szCs w:val="21"/>
    </w:rPr>
  </w:style>
  <w:style w:type="character" w:customStyle="1" w:styleId="604">
    <w:name w:val="题注 Char Char Char Char Char"/>
    <w:qFormat/>
    <w:uiPriority w:val="0"/>
    <w:rPr>
      <w:rFonts w:ascii="Arial" w:hAnsi="Arial" w:eastAsia="黑体" w:cs="Arial"/>
      <w:kern w:val="2"/>
      <w:sz w:val="21"/>
      <w:lang w:val="en-US" w:eastAsia="zh-CN" w:bidi="ar-SA"/>
    </w:rPr>
  </w:style>
  <w:style w:type="character" w:customStyle="1" w:styleId="605">
    <w:name w:val="标题 1 Char Char Char"/>
    <w:qFormat/>
    <w:uiPriority w:val="0"/>
    <w:rPr>
      <w:rFonts w:eastAsia="宋体"/>
      <w:b/>
      <w:kern w:val="44"/>
      <w:sz w:val="44"/>
      <w:lang w:val="en-US" w:eastAsia="zh-CN"/>
    </w:rPr>
  </w:style>
  <w:style w:type="character" w:customStyle="1" w:styleId="606">
    <w:name w:val="题注 Char Char Char Char1"/>
    <w:qFormat/>
    <w:uiPriority w:val="0"/>
    <w:rPr>
      <w:rFonts w:ascii="Arial" w:hAnsi="Arial" w:eastAsia="黑体"/>
      <w:kern w:val="2"/>
      <w:lang w:val="en-US" w:eastAsia="zh-CN" w:bidi="ar-SA"/>
    </w:rPr>
  </w:style>
  <w:style w:type="character" w:customStyle="1" w:styleId="607">
    <w:name w:val="报告正文 Char1"/>
    <w:qFormat/>
    <w:uiPriority w:val="0"/>
    <w:rPr>
      <w:rFonts w:eastAsia="宋体"/>
      <w:sz w:val="24"/>
      <w:lang w:bidi="ar-SA"/>
    </w:rPr>
  </w:style>
  <w:style w:type="character" w:customStyle="1" w:styleId="608">
    <w:name w:val="black1"/>
    <w:basedOn w:val="97"/>
    <w:qFormat/>
    <w:uiPriority w:val="0"/>
  </w:style>
  <w:style w:type="character" w:customStyle="1" w:styleId="609">
    <w:name w:val="样式 GK样式1-1 + 段前: 0 磅 段后: 0 磅 行距: 1.5 倍行距 Char Char1 Char Char Char Char Char Char Char Char Char Char"/>
    <w:link w:val="610"/>
    <w:qFormat/>
    <w:uiPriority w:val="0"/>
    <w:rPr>
      <w:b/>
      <w:kern w:val="44"/>
      <w:sz w:val="30"/>
    </w:rPr>
  </w:style>
  <w:style w:type="paragraph" w:customStyle="1" w:styleId="610">
    <w:name w:val="样式 GK样式1-1 + 段前: 0 磅 段后: 0 磅 行距: 1.5 倍行距 Char Char1 Char Char Char Char Char Char Char Char Char"/>
    <w:basedOn w:val="611"/>
    <w:link w:val="609"/>
    <w:qFormat/>
    <w:uiPriority w:val="0"/>
    <w:pPr>
      <w:spacing w:before="0" w:after="0" w:line="360" w:lineRule="auto"/>
    </w:pPr>
  </w:style>
  <w:style w:type="paragraph" w:customStyle="1" w:styleId="611">
    <w:name w:val="GK样式1-1"/>
    <w:basedOn w:val="3"/>
    <w:link w:val="612"/>
    <w:qFormat/>
    <w:uiPriority w:val="0"/>
    <w:pPr>
      <w:keepLines/>
      <w:tabs>
        <w:tab w:val="clear" w:pos="360"/>
      </w:tabs>
      <w:spacing w:before="340" w:after="330"/>
      <w:ind w:left="0" w:firstLine="0" w:firstLineChars="0"/>
      <w:jc w:val="both"/>
      <w:outlineLvl w:val="1"/>
    </w:pPr>
    <w:rPr>
      <w:rFonts w:eastAsia="宋体"/>
      <w:b/>
      <w:kern w:val="44"/>
      <w:szCs w:val="20"/>
    </w:rPr>
  </w:style>
  <w:style w:type="character" w:customStyle="1" w:styleId="612">
    <w:name w:val="GK样式1-1 Char"/>
    <w:link w:val="611"/>
    <w:qFormat/>
    <w:uiPriority w:val="0"/>
    <w:rPr>
      <w:b/>
      <w:kern w:val="44"/>
      <w:sz w:val="30"/>
    </w:rPr>
  </w:style>
  <w:style w:type="character" w:customStyle="1" w:styleId="613">
    <w:name w:val="特点标题 Char3"/>
    <w:qFormat/>
    <w:uiPriority w:val="0"/>
    <w:rPr>
      <w:rFonts w:eastAsia="宋体"/>
      <w:kern w:val="2"/>
      <w:sz w:val="21"/>
      <w:szCs w:val="24"/>
      <w:lang w:val="en-US" w:eastAsia="zh-CN" w:bidi="ar-SA"/>
    </w:rPr>
  </w:style>
  <w:style w:type="character" w:customStyle="1" w:styleId="614">
    <w:name w:val="text1"/>
    <w:qFormat/>
    <w:uiPriority w:val="0"/>
    <w:rPr>
      <w:spacing w:val="10"/>
      <w:sz w:val="28"/>
    </w:rPr>
  </w:style>
  <w:style w:type="character" w:customStyle="1" w:styleId="615">
    <w:name w:val="样式 GK样式1-1 + 段前: 0 磅 段后: 0 磅 行距: 1.5 倍行距 Char Char"/>
    <w:link w:val="616"/>
    <w:qFormat/>
    <w:uiPriority w:val="0"/>
    <w:rPr>
      <w:b/>
      <w:bCs/>
      <w:kern w:val="44"/>
      <w:sz w:val="30"/>
    </w:rPr>
  </w:style>
  <w:style w:type="paragraph" w:customStyle="1" w:styleId="616">
    <w:name w:val="样式 GK样式1-1 + 段前: 0 磅 段后: 0 磅 行距: 1.5 倍行距 Char"/>
    <w:basedOn w:val="1"/>
    <w:link w:val="615"/>
    <w:qFormat/>
    <w:uiPriority w:val="0"/>
    <w:pPr>
      <w:keepNext/>
      <w:keepLines/>
      <w:spacing w:line="360" w:lineRule="auto"/>
      <w:outlineLvl w:val="1"/>
    </w:pPr>
    <w:rPr>
      <w:b/>
      <w:bCs/>
      <w:kern w:val="44"/>
      <w:sz w:val="30"/>
      <w:szCs w:val="20"/>
    </w:rPr>
  </w:style>
  <w:style w:type="character" w:customStyle="1" w:styleId="617">
    <w:name w:val="表格内容 Char"/>
    <w:link w:val="288"/>
    <w:qFormat/>
    <w:uiPriority w:val="0"/>
    <w:rPr>
      <w:rFonts w:ascii="宋体" w:hAnsi="宋体"/>
      <w:kern w:val="2"/>
      <w:sz w:val="21"/>
      <w:szCs w:val="21"/>
    </w:rPr>
  </w:style>
  <w:style w:type="character" w:customStyle="1" w:styleId="618">
    <w:name w:val="black_12_25hg1"/>
    <w:qFormat/>
    <w:uiPriority w:val="0"/>
    <w:rPr>
      <w:rFonts w:hint="default" w:ascii="ˎ̥" w:hAnsi="ˎ̥"/>
      <w:color w:val="000000"/>
      <w:sz w:val="18"/>
      <w:u w:val="none"/>
    </w:rPr>
  </w:style>
  <w:style w:type="character" w:customStyle="1" w:styleId="619">
    <w:name w:val="style_biaoge14_lan"/>
    <w:basedOn w:val="97"/>
    <w:qFormat/>
    <w:uiPriority w:val="0"/>
  </w:style>
  <w:style w:type="character" w:customStyle="1" w:styleId="620">
    <w:name w:val="bcf21"/>
    <w:qFormat/>
    <w:uiPriority w:val="0"/>
    <w:rPr>
      <w:sz w:val="18"/>
    </w:rPr>
  </w:style>
  <w:style w:type="character" w:customStyle="1" w:styleId="621">
    <w:name w:val="样式 报告正文 + 首行缩进:  2 字符 Char"/>
    <w:link w:val="622"/>
    <w:qFormat/>
    <w:uiPriority w:val="0"/>
    <w:rPr>
      <w:sz w:val="24"/>
    </w:rPr>
  </w:style>
  <w:style w:type="paragraph" w:customStyle="1" w:styleId="622">
    <w:name w:val="样式 报告正文 + 首行缩进:  2 字符"/>
    <w:basedOn w:val="1"/>
    <w:link w:val="621"/>
    <w:qFormat/>
    <w:uiPriority w:val="0"/>
    <w:pPr>
      <w:autoSpaceDE w:val="0"/>
      <w:autoSpaceDN w:val="0"/>
      <w:spacing w:line="360" w:lineRule="auto"/>
      <w:ind w:firstLine="200" w:firstLineChars="200"/>
    </w:pPr>
    <w:rPr>
      <w:kern w:val="0"/>
      <w:sz w:val="24"/>
      <w:szCs w:val="20"/>
    </w:rPr>
  </w:style>
  <w:style w:type="character" w:customStyle="1" w:styleId="623">
    <w:name w:val="表前文字 Char"/>
    <w:link w:val="624"/>
    <w:qFormat/>
    <w:uiPriority w:val="0"/>
    <w:rPr>
      <w:rFonts w:ascii="宋体" w:hAnsi="宋体"/>
    </w:rPr>
  </w:style>
  <w:style w:type="paragraph" w:customStyle="1" w:styleId="624">
    <w:name w:val="表前文字"/>
    <w:basedOn w:val="599"/>
    <w:link w:val="623"/>
    <w:qFormat/>
    <w:uiPriority w:val="0"/>
    <w:pPr>
      <w:wordWrap/>
      <w:autoSpaceDE/>
      <w:spacing w:beforeLines="50" w:line="240" w:lineRule="auto"/>
      <w:ind w:firstLine="0" w:firstLineChars="0"/>
      <w:jc w:val="center"/>
    </w:pPr>
    <w:rPr>
      <w:sz w:val="20"/>
      <w:szCs w:val="20"/>
    </w:rPr>
  </w:style>
  <w:style w:type="character" w:customStyle="1" w:styleId="625">
    <w:name w:val="4级标题 Char Char"/>
    <w:qFormat/>
    <w:uiPriority w:val="0"/>
    <w:rPr>
      <w:rFonts w:eastAsia="宋体"/>
      <w:sz w:val="24"/>
      <w:szCs w:val="28"/>
      <w:lang w:val="en-US" w:eastAsia="zh-CN" w:bidi="ar-SA"/>
    </w:rPr>
  </w:style>
  <w:style w:type="character" w:customStyle="1" w:styleId="626">
    <w:name w:val="图内容 Char"/>
    <w:link w:val="627"/>
    <w:qFormat/>
    <w:uiPriority w:val="0"/>
    <w:rPr>
      <w:rFonts w:ascii="Calibri" w:hAnsi="Calibri"/>
      <w:sz w:val="24"/>
    </w:rPr>
  </w:style>
  <w:style w:type="paragraph" w:customStyle="1" w:styleId="627">
    <w:name w:val="图内容"/>
    <w:basedOn w:val="510"/>
    <w:link w:val="626"/>
    <w:qFormat/>
    <w:uiPriority w:val="0"/>
    <w:pPr>
      <w:ind w:firstLine="0" w:firstLineChars="0"/>
      <w:jc w:val="center"/>
    </w:pPr>
    <w:rPr>
      <w:rFonts w:ascii="Calibri" w:hAnsi="Calibri"/>
      <w:color w:val="auto"/>
    </w:rPr>
  </w:style>
  <w:style w:type="character" w:customStyle="1" w:styleId="628">
    <w:name w:val="正文-ydx Char"/>
    <w:link w:val="629"/>
    <w:qFormat/>
    <w:uiPriority w:val="0"/>
    <w:rPr>
      <w:rFonts w:ascii="宋体" w:hAnsi="宋体"/>
      <w:sz w:val="24"/>
      <w:szCs w:val="24"/>
    </w:rPr>
  </w:style>
  <w:style w:type="paragraph" w:customStyle="1" w:styleId="629">
    <w:name w:val="正文-ydx"/>
    <w:basedOn w:val="1"/>
    <w:link w:val="628"/>
    <w:semiHidden/>
    <w:qFormat/>
    <w:uiPriority w:val="0"/>
    <w:pPr>
      <w:adjustRightInd w:val="0"/>
      <w:snapToGrid w:val="0"/>
      <w:spacing w:line="360" w:lineRule="auto"/>
      <w:ind w:firstLine="200" w:firstLineChars="200"/>
    </w:pPr>
    <w:rPr>
      <w:rFonts w:ascii="宋体" w:hAnsi="宋体"/>
      <w:kern w:val="0"/>
      <w:sz w:val="24"/>
    </w:rPr>
  </w:style>
  <w:style w:type="character" w:customStyle="1" w:styleId="630">
    <w:name w:val="表头烟台 Char Char"/>
    <w:link w:val="631"/>
    <w:qFormat/>
    <w:uiPriority w:val="0"/>
    <w:rPr>
      <w:szCs w:val="21"/>
    </w:rPr>
  </w:style>
  <w:style w:type="paragraph" w:customStyle="1" w:styleId="631">
    <w:name w:val="表头烟台"/>
    <w:basedOn w:val="1"/>
    <w:link w:val="630"/>
    <w:semiHidden/>
    <w:qFormat/>
    <w:uiPriority w:val="0"/>
    <w:pPr>
      <w:widowControl/>
      <w:adjustRightInd w:val="0"/>
      <w:snapToGrid w:val="0"/>
      <w:jc w:val="center"/>
    </w:pPr>
    <w:rPr>
      <w:kern w:val="0"/>
      <w:sz w:val="20"/>
      <w:szCs w:val="21"/>
    </w:rPr>
  </w:style>
  <w:style w:type="character" w:customStyle="1" w:styleId="632">
    <w:name w:val="图名 Char Char"/>
    <w:qFormat/>
    <w:uiPriority w:val="0"/>
    <w:rPr>
      <w:rFonts w:ascii="宋体" w:hAnsi="宋体" w:eastAsia="宋体" w:cs="宋体"/>
      <w:bCs/>
      <w:kern w:val="2"/>
      <w:sz w:val="21"/>
      <w:szCs w:val="21"/>
      <w:lang w:val="en-US" w:eastAsia="zh-CN" w:bidi="ar-SA"/>
    </w:rPr>
  </w:style>
  <w:style w:type="character" w:customStyle="1" w:styleId="633">
    <w:name w:val="文本正文 Char Char"/>
    <w:qFormat/>
    <w:uiPriority w:val="0"/>
    <w:rPr>
      <w:rFonts w:ascii="宋体" w:hAnsi="宋体" w:eastAsia="宋体" w:cs="宋体"/>
      <w:kern w:val="2"/>
      <w:sz w:val="24"/>
      <w:szCs w:val="28"/>
      <w:lang w:val="en-US" w:eastAsia="zh-CN" w:bidi="ar-SA"/>
    </w:rPr>
  </w:style>
  <w:style w:type="character" w:customStyle="1" w:styleId="634">
    <w:name w:val="正文+红色 Char"/>
    <w:link w:val="635"/>
    <w:qFormat/>
    <w:uiPriority w:val="0"/>
    <w:rPr>
      <w:color w:val="FF0000"/>
      <w:sz w:val="24"/>
      <w:szCs w:val="24"/>
    </w:rPr>
  </w:style>
  <w:style w:type="paragraph" w:customStyle="1" w:styleId="635">
    <w:name w:val="正文+红色"/>
    <w:basedOn w:val="1"/>
    <w:next w:val="1"/>
    <w:link w:val="634"/>
    <w:qFormat/>
    <w:uiPriority w:val="0"/>
    <w:pPr>
      <w:adjustRightInd w:val="0"/>
      <w:snapToGrid w:val="0"/>
      <w:spacing w:line="360" w:lineRule="auto"/>
      <w:ind w:firstLine="200" w:firstLineChars="200"/>
    </w:pPr>
    <w:rPr>
      <w:color w:val="FF0000"/>
      <w:kern w:val="0"/>
      <w:sz w:val="24"/>
    </w:rPr>
  </w:style>
  <w:style w:type="character" w:customStyle="1" w:styleId="636">
    <w:name w:val="正文烟台 Char Char"/>
    <w:link w:val="637"/>
    <w:qFormat/>
    <w:uiPriority w:val="0"/>
    <w:rPr>
      <w:sz w:val="24"/>
      <w:szCs w:val="24"/>
    </w:rPr>
  </w:style>
  <w:style w:type="paragraph" w:customStyle="1" w:styleId="637">
    <w:name w:val="正文烟台"/>
    <w:basedOn w:val="34"/>
    <w:link w:val="636"/>
    <w:qFormat/>
    <w:uiPriority w:val="0"/>
    <w:pPr>
      <w:widowControl/>
      <w:adjustRightInd w:val="0"/>
      <w:snapToGrid w:val="0"/>
      <w:spacing w:line="360" w:lineRule="auto"/>
      <w:ind w:firstLine="200" w:firstLineChars="200"/>
    </w:pPr>
    <w:rPr>
      <w:rFonts w:eastAsia="宋体"/>
      <w:kern w:val="0"/>
      <w:sz w:val="24"/>
      <w:szCs w:val="24"/>
    </w:rPr>
  </w:style>
  <w:style w:type="character" w:customStyle="1" w:styleId="638">
    <w:name w:val="H6 Char2"/>
    <w:qFormat/>
    <w:uiPriority w:val="0"/>
    <w:rPr>
      <w:rFonts w:ascii="楷体_GB2312" w:eastAsia="楷体_GB2312"/>
      <w:color w:val="000000"/>
      <w:kern w:val="28"/>
      <w:sz w:val="28"/>
      <w:lang w:val="en-US" w:eastAsia="zh-CN" w:bidi="ar-SA"/>
    </w:rPr>
  </w:style>
  <w:style w:type="character" w:customStyle="1" w:styleId="639">
    <w:name w:val="干标题(a) Char1"/>
    <w:qFormat/>
    <w:uiPriority w:val="0"/>
    <w:rPr>
      <w:rFonts w:eastAsia="宋体"/>
      <w:color w:val="000000"/>
      <w:kern w:val="28"/>
      <w:sz w:val="24"/>
      <w:lang w:val="en-US" w:eastAsia="zh-CN" w:bidi="ar-SA"/>
    </w:rPr>
  </w:style>
  <w:style w:type="character" w:customStyle="1" w:styleId="640">
    <w:name w:val="Char Char21"/>
    <w:qFormat/>
    <w:uiPriority w:val="0"/>
    <w:rPr>
      <w:rFonts w:ascii="宋体" w:hAnsi="Courier New" w:eastAsia="宋体"/>
      <w:kern w:val="2"/>
      <w:sz w:val="18"/>
      <w:lang w:val="en-US" w:eastAsia="zh-CN" w:bidi="ar-SA"/>
    </w:rPr>
  </w:style>
  <w:style w:type="character" w:customStyle="1" w:styleId="641">
    <w:name w:val="正文首行缩进 Char1"/>
    <w:qFormat/>
    <w:uiPriority w:val="0"/>
    <w:rPr>
      <w:rFonts w:ascii="Times New Roman" w:hAnsi="Times New Roman" w:eastAsia="宋体" w:cs="Times New Roman"/>
      <w:color w:val="FF00FF"/>
      <w:sz w:val="24"/>
      <w:szCs w:val="20"/>
      <w:lang w:val="en-US" w:eastAsia="zh-CN" w:bidi="ar-SA"/>
    </w:rPr>
  </w:style>
  <w:style w:type="character" w:customStyle="1" w:styleId="642">
    <w:name w:val="正文文字缩进 3 Char Char2"/>
    <w:qFormat/>
    <w:uiPriority w:val="0"/>
    <w:rPr>
      <w:rFonts w:eastAsia="宋体"/>
      <w:kern w:val="2"/>
      <w:sz w:val="16"/>
      <w:szCs w:val="16"/>
      <w:lang w:val="en-US" w:eastAsia="zh-CN" w:bidi="ar-SA"/>
    </w:rPr>
  </w:style>
  <w:style w:type="character" w:customStyle="1" w:styleId="643">
    <w:name w:val="正文文字 2 Char Char1"/>
    <w:qFormat/>
    <w:uiPriority w:val="0"/>
    <w:rPr>
      <w:rFonts w:eastAsia="宋体"/>
      <w:kern w:val="2"/>
      <w:sz w:val="24"/>
      <w:lang w:val="en-US" w:eastAsia="zh-CN" w:bidi="ar-SA"/>
    </w:rPr>
  </w:style>
  <w:style w:type="character" w:customStyle="1" w:styleId="644">
    <w:name w:val="text"/>
    <w:basedOn w:val="97"/>
    <w:semiHidden/>
    <w:qFormat/>
    <w:uiPriority w:val="0"/>
  </w:style>
  <w:style w:type="character" w:customStyle="1" w:styleId="645">
    <w:name w:val="表内5 Char Char Char"/>
    <w:qFormat/>
    <w:uiPriority w:val="0"/>
    <w:rPr>
      <w:rFonts w:eastAsia="宋体"/>
      <w:kern w:val="2"/>
      <w:sz w:val="21"/>
      <w:lang w:val="en-US" w:eastAsia="zh-CN" w:bidi="ar-SA"/>
    </w:rPr>
  </w:style>
  <w:style w:type="character" w:customStyle="1" w:styleId="646">
    <w:name w:val="表题 Char Char"/>
    <w:qFormat/>
    <w:uiPriority w:val="0"/>
    <w:rPr>
      <w:rFonts w:eastAsia="黑体"/>
      <w:kern w:val="2"/>
      <w:sz w:val="24"/>
      <w:lang w:val="en-US" w:eastAsia="zh-CN" w:bidi="ar-SA"/>
    </w:rPr>
  </w:style>
  <w:style w:type="character" w:customStyle="1" w:styleId="647">
    <w:name w:val="表题 Char Char Char"/>
    <w:qFormat/>
    <w:uiPriority w:val="0"/>
    <w:rPr>
      <w:rFonts w:eastAsia="黑体"/>
      <w:kern w:val="2"/>
      <w:sz w:val="21"/>
      <w:szCs w:val="24"/>
      <w:lang w:val="en-US" w:eastAsia="zh-CN" w:bidi="ar-SA"/>
    </w:rPr>
  </w:style>
  <w:style w:type="character" w:customStyle="1" w:styleId="648">
    <w:name w:val="文本正文 Char1"/>
    <w:qFormat/>
    <w:uiPriority w:val="0"/>
    <w:rPr>
      <w:rFonts w:eastAsia="宋体"/>
      <w:kern w:val="2"/>
      <w:sz w:val="24"/>
      <w:szCs w:val="24"/>
      <w:lang w:val="en-US" w:eastAsia="zh-CN" w:bidi="ar-SA"/>
    </w:rPr>
  </w:style>
  <w:style w:type="character" w:customStyle="1" w:styleId="649">
    <w:name w:val="文本正文 Char2"/>
    <w:qFormat/>
    <w:uiPriority w:val="0"/>
    <w:rPr>
      <w:rFonts w:eastAsia="宋体"/>
      <w:kern w:val="2"/>
      <w:sz w:val="24"/>
      <w:szCs w:val="24"/>
      <w:lang w:val="en-US" w:eastAsia="zh-CN" w:bidi="ar-SA"/>
    </w:rPr>
  </w:style>
  <w:style w:type="character" w:customStyle="1" w:styleId="650">
    <w:name w:val="样式 一级标题 + 小三 非加粗"/>
    <w:qFormat/>
    <w:uiPriority w:val="0"/>
    <w:rPr>
      <w:b/>
      <w:bCs/>
      <w:kern w:val="0"/>
      <w:sz w:val="30"/>
    </w:rPr>
  </w:style>
  <w:style w:type="character" w:customStyle="1" w:styleId="651">
    <w:name w:val="文档结构图 Char1"/>
    <w:qFormat/>
    <w:uiPriority w:val="0"/>
    <w:rPr>
      <w:rFonts w:ascii="宋体" w:hAnsi="宋体" w:eastAsia="宋体" w:cs="宋体"/>
      <w:kern w:val="2"/>
      <w:sz w:val="18"/>
      <w:szCs w:val="18"/>
      <w:lang w:val="en-US" w:eastAsia="zh-CN" w:bidi="ar-SA"/>
    </w:rPr>
  </w:style>
  <w:style w:type="character" w:customStyle="1" w:styleId="652">
    <w:name w:val="1级 Char"/>
    <w:link w:val="653"/>
    <w:qFormat/>
    <w:uiPriority w:val="0"/>
    <w:rPr>
      <w:rFonts w:ascii="宋体" w:hAnsi="宋体"/>
      <w:b/>
      <w:kern w:val="30"/>
      <w:sz w:val="30"/>
      <w:szCs w:val="32"/>
    </w:rPr>
  </w:style>
  <w:style w:type="paragraph" w:customStyle="1" w:styleId="653">
    <w:name w:val="1级"/>
    <w:basedOn w:val="3"/>
    <w:link w:val="652"/>
    <w:qFormat/>
    <w:uiPriority w:val="0"/>
    <w:pPr>
      <w:keepNext w:val="0"/>
      <w:pageBreakBefore/>
      <w:tabs>
        <w:tab w:val="clear" w:pos="360"/>
      </w:tabs>
      <w:adjustRightInd w:val="0"/>
      <w:snapToGrid w:val="0"/>
      <w:spacing w:line="360" w:lineRule="auto"/>
      <w:ind w:left="0" w:firstLine="0" w:firstLineChars="0"/>
      <w:jc w:val="left"/>
    </w:pPr>
    <w:rPr>
      <w:rFonts w:ascii="宋体" w:hAnsi="宋体" w:eastAsia="宋体"/>
      <w:b/>
      <w:kern w:val="30"/>
      <w:szCs w:val="32"/>
    </w:rPr>
  </w:style>
  <w:style w:type="character" w:customStyle="1" w:styleId="654">
    <w:name w:val="正文 首行缩进:  2 字符 Char"/>
    <w:link w:val="655"/>
    <w:qFormat/>
    <w:uiPriority w:val="0"/>
    <w:rPr>
      <w:sz w:val="24"/>
    </w:rPr>
  </w:style>
  <w:style w:type="paragraph" w:customStyle="1" w:styleId="655">
    <w:name w:val="正文 首行缩进:  2 字符"/>
    <w:basedOn w:val="1"/>
    <w:link w:val="654"/>
    <w:qFormat/>
    <w:uiPriority w:val="0"/>
    <w:pPr>
      <w:adjustRightInd w:val="0"/>
      <w:snapToGrid w:val="0"/>
      <w:spacing w:line="500" w:lineRule="exact"/>
      <w:ind w:firstLine="200" w:firstLineChars="200"/>
      <w:jc w:val="left"/>
    </w:pPr>
    <w:rPr>
      <w:kern w:val="0"/>
      <w:sz w:val="24"/>
      <w:szCs w:val="20"/>
    </w:rPr>
  </w:style>
  <w:style w:type="character" w:customStyle="1" w:styleId="656">
    <w:name w:val="Char Char71"/>
    <w:qFormat/>
    <w:uiPriority w:val="0"/>
    <w:rPr>
      <w:rFonts w:eastAsia="宋体"/>
      <w:sz w:val="24"/>
      <w:szCs w:val="24"/>
      <w:lang w:val="en-US" w:eastAsia="zh-CN" w:bidi="ar-SA"/>
    </w:rPr>
  </w:style>
  <w:style w:type="character" w:customStyle="1" w:styleId="657">
    <w:name w:val="Char Char121"/>
    <w:qFormat/>
    <w:uiPriority w:val="0"/>
    <w:rPr>
      <w:rFonts w:hint="eastAsia" w:ascii="宋体" w:hAnsi="Arial" w:eastAsia="宋体"/>
      <w:iCs/>
      <w:kern w:val="28"/>
      <w:sz w:val="24"/>
      <w:lang w:val="en-US" w:eastAsia="zh-CN" w:bidi="ar-SA"/>
    </w:rPr>
  </w:style>
  <w:style w:type="character" w:customStyle="1" w:styleId="658">
    <w:name w:val="Char Char111"/>
    <w:qFormat/>
    <w:uiPriority w:val="0"/>
    <w:rPr>
      <w:rFonts w:eastAsia="宋体"/>
      <w:kern w:val="2"/>
      <w:sz w:val="24"/>
      <w:szCs w:val="24"/>
      <w:lang w:val="en-US" w:eastAsia="zh-CN" w:bidi="ar-SA"/>
    </w:rPr>
  </w:style>
  <w:style w:type="character" w:customStyle="1" w:styleId="659">
    <w:name w:val="Char Char3"/>
    <w:qFormat/>
    <w:uiPriority w:val="0"/>
    <w:rPr>
      <w:rFonts w:ascii="宋体" w:hAnsi="宋体" w:eastAsia="宋体"/>
      <w:sz w:val="18"/>
      <w:szCs w:val="18"/>
      <w:lang w:val="en-US" w:eastAsia="zh-CN" w:bidi="ar-SA"/>
    </w:rPr>
  </w:style>
  <w:style w:type="character" w:customStyle="1" w:styleId="660">
    <w:name w:val="Char Char6"/>
    <w:qFormat/>
    <w:uiPriority w:val="0"/>
    <w:rPr>
      <w:rFonts w:eastAsia="宋体"/>
      <w:kern w:val="2"/>
      <w:sz w:val="21"/>
      <w:szCs w:val="24"/>
      <w:lang w:val="en-US" w:eastAsia="zh-CN" w:bidi="ar-SA"/>
    </w:rPr>
  </w:style>
  <w:style w:type="character" w:customStyle="1" w:styleId="661">
    <w:name w:val="样式 正文文字 + 红色 Char"/>
    <w:link w:val="662"/>
    <w:qFormat/>
    <w:uiPriority w:val="0"/>
    <w:rPr>
      <w:color w:val="FF0000"/>
      <w:sz w:val="24"/>
      <w:szCs w:val="24"/>
    </w:rPr>
  </w:style>
  <w:style w:type="paragraph" w:customStyle="1" w:styleId="662">
    <w:name w:val="样式 正文文字 + 红色"/>
    <w:basedOn w:val="34"/>
    <w:link w:val="661"/>
    <w:qFormat/>
    <w:uiPriority w:val="0"/>
    <w:pPr>
      <w:adjustRightInd w:val="0"/>
      <w:snapToGrid w:val="0"/>
      <w:spacing w:line="360" w:lineRule="auto"/>
      <w:ind w:firstLine="200" w:firstLineChars="200"/>
    </w:pPr>
    <w:rPr>
      <w:rFonts w:eastAsia="宋体"/>
      <w:color w:val="FF0000"/>
      <w:kern w:val="0"/>
      <w:sz w:val="24"/>
      <w:szCs w:val="24"/>
    </w:rPr>
  </w:style>
  <w:style w:type="character" w:customStyle="1" w:styleId="663">
    <w:name w:val="Char Char5"/>
    <w:qFormat/>
    <w:uiPriority w:val="0"/>
    <w:rPr>
      <w:rFonts w:ascii="宋体" w:hAnsi="宋体" w:eastAsia="宋体"/>
      <w:sz w:val="24"/>
      <w:szCs w:val="24"/>
      <w:lang w:val="en-US" w:eastAsia="zh-CN" w:bidi="ar-SA"/>
    </w:rPr>
  </w:style>
  <w:style w:type="character" w:customStyle="1" w:styleId="664">
    <w:name w:val="Char Char8"/>
    <w:qFormat/>
    <w:uiPriority w:val="0"/>
    <w:rPr>
      <w:rFonts w:ascii="宋体" w:hAnsi="宋体" w:eastAsia="宋体"/>
      <w:sz w:val="18"/>
      <w:szCs w:val="18"/>
      <w:lang w:val="en-US" w:eastAsia="zh-CN" w:bidi="ar-SA"/>
    </w:rPr>
  </w:style>
  <w:style w:type="character" w:customStyle="1" w:styleId="665">
    <w:name w:val="样式 正文文字 + 黑色 Char"/>
    <w:link w:val="666"/>
    <w:qFormat/>
    <w:uiPriority w:val="0"/>
    <w:rPr>
      <w:color w:val="0000FF"/>
      <w:sz w:val="24"/>
      <w:szCs w:val="24"/>
    </w:rPr>
  </w:style>
  <w:style w:type="paragraph" w:customStyle="1" w:styleId="666">
    <w:name w:val="样式 正文文字 + 黑色"/>
    <w:basedOn w:val="34"/>
    <w:link w:val="665"/>
    <w:qFormat/>
    <w:uiPriority w:val="0"/>
    <w:pPr>
      <w:widowControl/>
      <w:adjustRightInd w:val="0"/>
      <w:snapToGrid w:val="0"/>
      <w:spacing w:line="360" w:lineRule="auto"/>
      <w:ind w:firstLine="480" w:firstLineChars="200"/>
    </w:pPr>
    <w:rPr>
      <w:rFonts w:eastAsia="宋体"/>
      <w:color w:val="0000FF"/>
      <w:kern w:val="0"/>
      <w:sz w:val="24"/>
      <w:szCs w:val="24"/>
    </w:rPr>
  </w:style>
  <w:style w:type="character" w:customStyle="1" w:styleId="667">
    <w:name w:val="Char Char22"/>
    <w:qFormat/>
    <w:uiPriority w:val="0"/>
    <w:rPr>
      <w:rFonts w:eastAsia="宋体"/>
      <w:kern w:val="2"/>
      <w:sz w:val="18"/>
      <w:szCs w:val="18"/>
      <w:lang w:val="en-US" w:eastAsia="zh-CN" w:bidi="ar-SA"/>
    </w:rPr>
  </w:style>
  <w:style w:type="character" w:customStyle="1" w:styleId="668">
    <w:name w:val="123YJ Char Char3"/>
    <w:qFormat/>
    <w:uiPriority w:val="0"/>
    <w:rPr>
      <w:rFonts w:eastAsia="宋体"/>
      <w:kern w:val="2"/>
      <w:sz w:val="18"/>
      <w:szCs w:val="18"/>
      <w:lang w:val="en-US" w:eastAsia="zh-CN" w:bidi="ar-SA"/>
    </w:rPr>
  </w:style>
  <w:style w:type="character" w:customStyle="1" w:styleId="669">
    <w:name w:val="H8 Char2"/>
    <w:qFormat/>
    <w:uiPriority w:val="0"/>
    <w:rPr>
      <w:rFonts w:ascii="宋体" w:hAnsi="Arial" w:eastAsia="宋体"/>
      <w:kern w:val="28"/>
      <w:sz w:val="28"/>
      <w:lang w:val="en-US" w:eastAsia="zh-CN" w:bidi="ar-SA"/>
    </w:rPr>
  </w:style>
  <w:style w:type="paragraph" w:customStyle="1" w:styleId="670">
    <w:name w:val="Char Char Char Char Char Char Char"/>
    <w:basedOn w:val="1"/>
    <w:qFormat/>
    <w:uiPriority w:val="0"/>
    <w:pPr>
      <w:adjustRightInd w:val="0"/>
      <w:snapToGrid w:val="0"/>
      <w:spacing w:line="360" w:lineRule="auto"/>
      <w:ind w:firstLine="200" w:firstLineChars="200"/>
    </w:pPr>
    <w:rPr>
      <w:rFonts w:ascii="宋体" w:hAnsi="宋体" w:cs="宋体"/>
      <w:sz w:val="24"/>
      <w:szCs w:val="28"/>
    </w:rPr>
  </w:style>
  <w:style w:type="character" w:customStyle="1" w:styleId="671">
    <w:name w:val="注释标题 字符"/>
    <w:basedOn w:val="97"/>
    <w:semiHidden/>
    <w:qFormat/>
    <w:uiPriority w:val="0"/>
    <w:rPr>
      <w:kern w:val="2"/>
      <w:sz w:val="21"/>
      <w:szCs w:val="24"/>
    </w:rPr>
  </w:style>
  <w:style w:type="character" w:customStyle="1" w:styleId="672">
    <w:name w:val="注释标题 Char4"/>
    <w:link w:val="16"/>
    <w:qFormat/>
    <w:uiPriority w:val="0"/>
    <w:rPr>
      <w:snapToGrid w:val="0"/>
      <w:kern w:val="21"/>
      <w:sz w:val="21"/>
      <w:szCs w:val="24"/>
    </w:rPr>
  </w:style>
  <w:style w:type="character" w:customStyle="1" w:styleId="673">
    <w:name w:val="批注主题 Char1"/>
    <w:qFormat/>
    <w:uiPriority w:val="0"/>
    <w:rPr>
      <w:rFonts w:eastAsia="宋体"/>
      <w:b/>
      <w:bCs/>
      <w:sz w:val="24"/>
      <w:szCs w:val="24"/>
      <w:lang w:bidi="ar-SA"/>
    </w:rPr>
  </w:style>
  <w:style w:type="character" w:customStyle="1" w:styleId="674">
    <w:name w:val="正文首行缩进 Char2"/>
    <w:link w:val="278"/>
    <w:qFormat/>
    <w:uiPriority w:val="0"/>
    <w:rPr>
      <w:color w:val="FF00FF"/>
      <w:sz w:val="24"/>
      <w:szCs w:val="28"/>
    </w:rPr>
  </w:style>
  <w:style w:type="paragraph" w:customStyle="1" w:styleId="675">
    <w:name w:val="font14"/>
    <w:basedOn w:val="1"/>
    <w:qFormat/>
    <w:uiPriority w:val="0"/>
    <w:pPr>
      <w:widowControl/>
      <w:spacing w:before="100" w:beforeAutospacing="1" w:after="100" w:afterAutospacing="1"/>
      <w:jc w:val="left"/>
    </w:pPr>
    <w:rPr>
      <w:rFonts w:eastAsia="Arial Unicode MS"/>
      <w:kern w:val="0"/>
      <w:sz w:val="18"/>
      <w:szCs w:val="18"/>
    </w:rPr>
  </w:style>
  <w:style w:type="paragraph" w:customStyle="1" w:styleId="676">
    <w:name w:val="样式 样式 样式 标题 3条标题1.1.1Section标题 3 Char Char + 首行缩进:  2 字符 + 段前: 0..."/>
    <w:basedOn w:val="1"/>
    <w:qFormat/>
    <w:uiPriority w:val="0"/>
    <w:pPr>
      <w:keepNext/>
      <w:keepLines/>
      <w:snapToGrid w:val="0"/>
      <w:spacing w:beforeLines="30"/>
      <w:outlineLvl w:val="2"/>
    </w:pPr>
    <w:rPr>
      <w:rFonts w:ascii="仿宋_GB2312" w:eastAsia="仿宋_GB2312" w:cs="宋体"/>
      <w:b/>
      <w:bCs/>
      <w:sz w:val="28"/>
      <w:szCs w:val="20"/>
    </w:rPr>
  </w:style>
  <w:style w:type="paragraph" w:customStyle="1" w:styleId="677">
    <w:name w:val="xl75"/>
    <w:basedOn w:val="1"/>
    <w:qFormat/>
    <w:uiPriority w:val="0"/>
    <w:pPr>
      <w:widowControl/>
      <w:pBdr>
        <w:top w:val="single" w:color="auto" w:sz="8" w:space="0"/>
        <w:left w:val="single" w:color="auto" w:sz="4" w:space="0"/>
        <w:right w:val="single" w:color="auto" w:sz="4" w:space="0"/>
      </w:pBdr>
      <w:spacing w:before="100" w:beforeAutospacing="1" w:after="100" w:afterAutospacing="1"/>
      <w:jc w:val="center"/>
      <w:textAlignment w:val="center"/>
    </w:pPr>
    <w:rPr>
      <w:rFonts w:hint="eastAsia" w:ascii="宋体" w:hAnsi="宋体"/>
      <w:kern w:val="0"/>
      <w:sz w:val="32"/>
      <w:szCs w:val="32"/>
    </w:rPr>
  </w:style>
  <w:style w:type="paragraph" w:customStyle="1" w:styleId="678">
    <w:name w:val="xl49"/>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b/>
      <w:bCs/>
      <w:kern w:val="0"/>
      <w:sz w:val="24"/>
    </w:rPr>
  </w:style>
  <w:style w:type="paragraph" w:customStyle="1" w:styleId="679">
    <w:name w:val="表内样式"/>
    <w:basedOn w:val="1"/>
    <w:next w:val="1"/>
    <w:qFormat/>
    <w:uiPriority w:val="0"/>
    <w:pPr>
      <w:jc w:val="center"/>
    </w:pPr>
    <w:rPr>
      <w:kern w:val="0"/>
    </w:rPr>
  </w:style>
  <w:style w:type="paragraph" w:customStyle="1" w:styleId="680">
    <w:name w:val="样式 标题 3标题 3 Char Char条标题1.1.1Section + 行距: 固定值 26 磅"/>
    <w:basedOn w:val="5"/>
    <w:qFormat/>
    <w:uiPriority w:val="0"/>
    <w:pPr>
      <w:keepNext w:val="0"/>
      <w:tabs>
        <w:tab w:val="left" w:pos="130"/>
        <w:tab w:val="clear" w:pos="360"/>
      </w:tabs>
      <w:spacing w:beforeLines="30" w:afterLines="20" w:line="240" w:lineRule="auto"/>
      <w:ind w:left="0" w:firstLine="0" w:firstLineChars="0"/>
    </w:pPr>
    <w:rPr>
      <w:rFonts w:ascii="Times New Roman" w:hAnsi="Times New Roman" w:eastAsia="宋体" w:cs="宋体"/>
      <w:b/>
      <w:color w:val="000000"/>
      <w:sz w:val="28"/>
      <w:szCs w:val="20"/>
    </w:rPr>
  </w:style>
  <w:style w:type="paragraph" w:customStyle="1" w:styleId="681">
    <w:name w:val="三级标题尹东晓"/>
    <w:basedOn w:val="5"/>
    <w:qFormat/>
    <w:uiPriority w:val="0"/>
    <w:pPr>
      <w:keepNext w:val="0"/>
      <w:tabs>
        <w:tab w:val="clear" w:pos="360"/>
      </w:tabs>
      <w:spacing w:before="120" w:after="120"/>
      <w:ind w:left="0" w:firstLine="0" w:firstLineChars="0"/>
      <w:jc w:val="left"/>
    </w:pPr>
    <w:rPr>
      <w:rFonts w:ascii="Times New Roman" w:hAnsi="Times New Roman" w:eastAsia="宋体"/>
      <w:snapToGrid w:val="0"/>
      <w:kern w:val="0"/>
      <w:sz w:val="28"/>
      <w:szCs w:val="32"/>
    </w:rPr>
  </w:style>
  <w:style w:type="paragraph" w:customStyle="1" w:styleId="682">
    <w:name w:val="xl53"/>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kern w:val="0"/>
      <w:sz w:val="24"/>
    </w:rPr>
  </w:style>
  <w:style w:type="paragraph" w:customStyle="1" w:styleId="683">
    <w:name w:val="LNG－标题2"/>
    <w:basedOn w:val="1"/>
    <w:qFormat/>
    <w:uiPriority w:val="0"/>
    <w:pPr>
      <w:tabs>
        <w:tab w:val="left" w:pos="851"/>
      </w:tabs>
      <w:spacing w:line="360" w:lineRule="auto"/>
      <w:ind w:left="851" w:hanging="567"/>
    </w:pPr>
    <w:rPr>
      <w:b/>
      <w:kern w:val="0"/>
      <w:sz w:val="28"/>
      <w:szCs w:val="28"/>
    </w:rPr>
  </w:style>
  <w:style w:type="paragraph" w:customStyle="1" w:styleId="684">
    <w:name w:val="注："/>
    <w:next w:val="522"/>
    <w:qFormat/>
    <w:uiPriority w:val="0"/>
    <w:pPr>
      <w:widowControl w:val="0"/>
      <w:autoSpaceDE w:val="0"/>
      <w:autoSpaceDN w:val="0"/>
      <w:ind w:left="840" w:hanging="420"/>
      <w:jc w:val="both"/>
    </w:pPr>
    <w:rPr>
      <w:rFonts w:ascii="宋体" w:hAnsi="Times New Roman" w:eastAsia="宋体" w:cs="Times New Roman"/>
      <w:sz w:val="18"/>
      <w:lang w:val="en-US" w:eastAsia="zh-CN" w:bidi="ar-SA"/>
    </w:rPr>
  </w:style>
  <w:style w:type="paragraph" w:customStyle="1" w:styleId="685">
    <w:name w:val="图表名称"/>
    <w:basedOn w:val="1"/>
    <w:link w:val="2631"/>
    <w:qFormat/>
    <w:uiPriority w:val="0"/>
    <w:rPr>
      <w:sz w:val="24"/>
    </w:rPr>
  </w:style>
  <w:style w:type="paragraph" w:customStyle="1" w:styleId="686">
    <w:name w:val="00"/>
    <w:basedOn w:val="1"/>
    <w:qFormat/>
    <w:uiPriority w:val="0"/>
    <w:pPr>
      <w:spacing w:line="520" w:lineRule="exact"/>
      <w:ind w:firstLine="437"/>
    </w:pPr>
    <w:rPr>
      <w:sz w:val="24"/>
    </w:rPr>
  </w:style>
  <w:style w:type="paragraph" w:customStyle="1" w:styleId="687">
    <w:name w:val="样式 样式 Arial 三号 左 段前: 4.65 磅 + 首行缩进:  2 字符"/>
    <w:basedOn w:val="1"/>
    <w:qFormat/>
    <w:uiPriority w:val="0"/>
    <w:pPr>
      <w:spacing w:before="60" w:line="480" w:lineRule="exact"/>
      <w:ind w:firstLine="200" w:firstLineChars="200"/>
      <w:jc w:val="left"/>
    </w:pPr>
    <w:rPr>
      <w:rFonts w:ascii="Arial" w:hAnsi="Arial" w:cs="Arial"/>
      <w:kern w:val="0"/>
      <w:sz w:val="32"/>
      <w:szCs w:val="32"/>
    </w:rPr>
  </w:style>
  <w:style w:type="paragraph" w:customStyle="1" w:styleId="688">
    <w:name w:val="图文字"/>
    <w:basedOn w:val="1"/>
    <w:qFormat/>
    <w:uiPriority w:val="0"/>
    <w:pPr>
      <w:adjustRightInd w:val="0"/>
      <w:snapToGrid w:val="0"/>
      <w:jc w:val="left"/>
    </w:pPr>
    <w:rPr>
      <w:sz w:val="24"/>
    </w:rPr>
  </w:style>
  <w:style w:type="paragraph" w:customStyle="1" w:styleId="689">
    <w:name w:val="xl71"/>
    <w:basedOn w:val="1"/>
    <w:qFormat/>
    <w:uiPriority w:val="0"/>
    <w:pPr>
      <w:widowControl/>
      <w:spacing w:before="100" w:beforeAutospacing="1" w:after="100" w:afterAutospacing="1"/>
      <w:jc w:val="left"/>
    </w:pPr>
    <w:rPr>
      <w:rFonts w:ascii="宋体" w:hAnsi="宋体"/>
      <w:kern w:val="0"/>
      <w:sz w:val="32"/>
      <w:szCs w:val="32"/>
    </w:rPr>
  </w:style>
  <w:style w:type="paragraph" w:customStyle="1" w:styleId="690">
    <w:name w:val="xl45"/>
    <w:basedOn w:val="1"/>
    <w:qFormat/>
    <w:uiPriority w:val="0"/>
    <w:pPr>
      <w:widowControl/>
      <w:pBdr>
        <w:top w:val="single" w:color="auto" w:sz="4" w:space="0"/>
        <w:bottom w:val="single" w:color="auto" w:sz="4" w:space="0"/>
      </w:pBdr>
      <w:spacing w:before="100" w:beforeAutospacing="1" w:after="100" w:afterAutospacing="1"/>
      <w:jc w:val="center"/>
    </w:pPr>
    <w:rPr>
      <w:kern w:val="0"/>
      <w:sz w:val="24"/>
    </w:rPr>
  </w:style>
  <w:style w:type="paragraph" w:customStyle="1" w:styleId="691">
    <w:name w:val="封里1"/>
    <w:basedOn w:val="1"/>
    <w:qFormat/>
    <w:uiPriority w:val="0"/>
    <w:pPr>
      <w:adjustRightInd w:val="0"/>
      <w:snapToGrid w:val="0"/>
      <w:spacing w:line="360" w:lineRule="auto"/>
      <w:ind w:firstLine="809" w:firstLineChars="238"/>
      <w:jc w:val="left"/>
    </w:pPr>
    <w:rPr>
      <w:rFonts w:ascii="方正黑体简体" w:eastAsia="方正黑体简体"/>
      <w:bCs/>
      <w:spacing w:val="10"/>
      <w:kern w:val="0"/>
      <w:sz w:val="32"/>
      <w:szCs w:val="32"/>
    </w:rPr>
  </w:style>
  <w:style w:type="paragraph" w:customStyle="1" w:styleId="692">
    <w:name w:val="Char Char Char Char Char Char Char Char Char1 Char Char Char1 Char Char Char Char Char Char Char"/>
    <w:basedOn w:val="1"/>
    <w:qFormat/>
    <w:uiPriority w:val="0"/>
    <w:pPr>
      <w:spacing w:line="360" w:lineRule="auto"/>
      <w:ind w:firstLine="200" w:firstLineChars="200"/>
    </w:pPr>
    <w:rPr>
      <w:rFonts w:ascii="宋体" w:hAnsi="宋体" w:cs="宋体"/>
      <w:sz w:val="24"/>
    </w:rPr>
  </w:style>
  <w:style w:type="paragraph" w:customStyle="1" w:styleId="693">
    <w:name w:val="基准页眉样式"/>
    <w:basedOn w:val="34"/>
    <w:qFormat/>
    <w:uiPriority w:val="0"/>
    <w:pPr>
      <w:spacing w:line="440" w:lineRule="exact"/>
      <w:jc w:val="center"/>
    </w:pPr>
    <w:rPr>
      <w:rFonts w:eastAsia="宋体"/>
      <w:color w:val="000000"/>
      <w:sz w:val="21"/>
      <w:szCs w:val="24"/>
    </w:rPr>
  </w:style>
  <w:style w:type="paragraph" w:customStyle="1" w:styleId="694">
    <w:name w:val="标题一"/>
    <w:basedOn w:val="3"/>
    <w:qFormat/>
    <w:uiPriority w:val="0"/>
    <w:pPr>
      <w:keepLines/>
      <w:tabs>
        <w:tab w:val="clear" w:pos="360"/>
      </w:tabs>
      <w:adjustRightInd w:val="0"/>
      <w:snapToGrid w:val="0"/>
      <w:spacing w:before="340" w:afterLines="50" w:line="360" w:lineRule="auto"/>
      <w:ind w:left="0" w:firstLine="0" w:firstLineChars="0"/>
      <w:jc w:val="both"/>
    </w:pPr>
    <w:rPr>
      <w:rFonts w:eastAsia="宋体"/>
      <w:b/>
      <w:kern w:val="28"/>
      <w:szCs w:val="32"/>
    </w:rPr>
  </w:style>
  <w:style w:type="paragraph" w:customStyle="1" w:styleId="695">
    <w:name w:val="3级正文"/>
    <w:basedOn w:val="1"/>
    <w:qFormat/>
    <w:uiPriority w:val="0"/>
    <w:pPr>
      <w:adjustRightInd w:val="0"/>
      <w:snapToGrid w:val="0"/>
      <w:spacing w:line="360" w:lineRule="auto"/>
      <w:ind w:left="735" w:leftChars="350" w:firstLine="504" w:firstLineChars="200"/>
      <w:jc w:val="left"/>
    </w:pPr>
    <w:rPr>
      <w:rFonts w:ascii="宋体" w:hAnsi="Arial"/>
      <w:spacing w:val="6"/>
      <w:sz w:val="24"/>
    </w:rPr>
  </w:style>
  <w:style w:type="paragraph" w:customStyle="1" w:styleId="696">
    <w:name w:val="xl62"/>
    <w:basedOn w:val="1"/>
    <w:qFormat/>
    <w:uiPriority w:val="0"/>
    <w:pPr>
      <w:widowControl/>
      <w:pBdr>
        <w:top w:val="single" w:color="auto" w:sz="4" w:space="0"/>
        <w:left w:val="single" w:color="auto" w:sz="4" w:space="0"/>
      </w:pBdr>
      <w:spacing w:before="100" w:beforeAutospacing="1" w:after="100" w:afterAutospacing="1"/>
      <w:jc w:val="left"/>
    </w:pPr>
    <w:rPr>
      <w:rFonts w:ascii="宋体" w:hAnsi="宋体"/>
      <w:kern w:val="0"/>
      <w:sz w:val="32"/>
      <w:szCs w:val="32"/>
    </w:rPr>
  </w:style>
  <w:style w:type="paragraph" w:customStyle="1" w:styleId="697">
    <w:name w:val="标题11"/>
    <w:basedOn w:val="3"/>
    <w:qFormat/>
    <w:uiPriority w:val="0"/>
    <w:pPr>
      <w:keepLines/>
      <w:tabs>
        <w:tab w:val="clear" w:pos="360"/>
      </w:tabs>
      <w:spacing w:before="340" w:after="330" w:line="576" w:lineRule="auto"/>
      <w:ind w:left="0" w:firstLine="570" w:firstLineChars="0"/>
    </w:pPr>
    <w:rPr>
      <w:rFonts w:ascii="宋体" w:hAnsi="宋体" w:eastAsia="宋体"/>
      <w:color w:val="0000FF"/>
      <w:kern w:val="44"/>
      <w:sz w:val="32"/>
      <w:szCs w:val="20"/>
    </w:rPr>
  </w:style>
  <w:style w:type="paragraph" w:customStyle="1" w:styleId="698">
    <w:name w:val="xl38"/>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kern w:val="0"/>
      <w:sz w:val="24"/>
    </w:rPr>
  </w:style>
  <w:style w:type="paragraph" w:customStyle="1" w:styleId="699">
    <w:name w:val="表内4号居中"/>
    <w:qFormat/>
    <w:uiPriority w:val="0"/>
    <w:pPr>
      <w:keepNext/>
      <w:adjustRightInd w:val="0"/>
      <w:snapToGrid w:val="0"/>
      <w:jc w:val="center"/>
    </w:pPr>
    <w:rPr>
      <w:rFonts w:ascii="黑体" w:hAnsi="Arial" w:eastAsia="黑体" w:cs="Times New Roman"/>
      <w:spacing w:val="20"/>
      <w:sz w:val="28"/>
      <w:szCs w:val="28"/>
      <w:lang w:val="en-US" w:eastAsia="zh-CN" w:bidi="ar-SA"/>
    </w:rPr>
  </w:style>
  <w:style w:type="paragraph" w:customStyle="1" w:styleId="700">
    <w:name w:val="样式 首行缩进 Char + 首行缩进:  2.57 字符"/>
    <w:basedOn w:val="1"/>
    <w:qFormat/>
    <w:uiPriority w:val="0"/>
    <w:pPr>
      <w:spacing w:line="360" w:lineRule="auto"/>
      <w:ind w:firstLine="540" w:firstLineChars="225"/>
    </w:pPr>
    <w:rPr>
      <w:rFonts w:ascii="宋体" w:hAnsi="宋体"/>
      <w:color w:val="000000"/>
      <w:sz w:val="24"/>
    </w:rPr>
  </w:style>
  <w:style w:type="paragraph" w:customStyle="1" w:styleId="701">
    <w:name w:val="GK样式1"/>
    <w:basedOn w:val="84"/>
    <w:qFormat/>
    <w:uiPriority w:val="0"/>
    <w:pPr>
      <w:widowControl w:val="0"/>
      <w:tabs>
        <w:tab w:val="left" w:pos="1080"/>
      </w:tabs>
      <w:spacing w:before="0" w:line="720" w:lineRule="auto"/>
      <w:ind w:left="1080" w:hanging="1080"/>
    </w:pPr>
    <w:rPr>
      <w:rFonts w:ascii="Times New Roman" w:hAnsi="Times New Roman" w:cs="Arial"/>
      <w:bCs/>
      <w:kern w:val="2"/>
      <w:sz w:val="36"/>
      <w:szCs w:val="32"/>
      <w:lang w:eastAsia="zh-CN"/>
    </w:rPr>
  </w:style>
  <w:style w:type="character" w:customStyle="1" w:styleId="702">
    <w:name w:val="标题 Char"/>
    <w:qFormat/>
    <w:uiPriority w:val="0"/>
    <w:rPr>
      <w:rFonts w:ascii="Arial" w:hAnsi="Arial" w:eastAsia="宋体" w:cs="Arial"/>
      <w:b/>
      <w:bCs/>
      <w:sz w:val="32"/>
      <w:szCs w:val="32"/>
      <w:lang w:val="en-US" w:eastAsia="zh-CN" w:bidi="ar-SA"/>
    </w:rPr>
  </w:style>
  <w:style w:type="paragraph" w:customStyle="1" w:styleId="703">
    <w:name w:val="xl69"/>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704">
    <w:name w:val="注"/>
    <w:basedOn w:val="1"/>
    <w:qFormat/>
    <w:uiPriority w:val="0"/>
    <w:pPr>
      <w:adjustRightInd w:val="0"/>
      <w:snapToGrid w:val="0"/>
      <w:jc w:val="left"/>
    </w:pPr>
    <w:rPr>
      <w:kern w:val="0"/>
    </w:rPr>
  </w:style>
  <w:style w:type="character" w:customStyle="1" w:styleId="705">
    <w:name w:val="结束语 字符"/>
    <w:basedOn w:val="97"/>
    <w:semiHidden/>
    <w:qFormat/>
    <w:uiPriority w:val="0"/>
    <w:rPr>
      <w:kern w:val="2"/>
      <w:sz w:val="21"/>
      <w:szCs w:val="24"/>
    </w:rPr>
  </w:style>
  <w:style w:type="character" w:customStyle="1" w:styleId="706">
    <w:name w:val="结束语 Char3"/>
    <w:link w:val="32"/>
    <w:qFormat/>
    <w:uiPriority w:val="0"/>
    <w:rPr>
      <w:kern w:val="2"/>
      <w:sz w:val="21"/>
      <w:szCs w:val="24"/>
    </w:rPr>
  </w:style>
  <w:style w:type="paragraph" w:customStyle="1" w:styleId="707">
    <w:name w:val="标3"/>
    <w:basedOn w:val="1"/>
    <w:qFormat/>
    <w:uiPriority w:val="0"/>
    <w:pPr>
      <w:keepNext/>
      <w:autoSpaceDE w:val="0"/>
      <w:autoSpaceDN w:val="0"/>
      <w:adjustRightInd w:val="0"/>
      <w:snapToGrid w:val="0"/>
      <w:spacing w:beforeLines="100" w:afterLines="50" w:line="360" w:lineRule="auto"/>
      <w:outlineLvl w:val="2"/>
    </w:pPr>
    <w:rPr>
      <w:rFonts w:eastAsia="楷体_GB2312"/>
      <w:b/>
      <w:sz w:val="30"/>
      <w:szCs w:val="30"/>
    </w:rPr>
  </w:style>
  <w:style w:type="paragraph" w:customStyle="1" w:styleId="708">
    <w:name w:val="二级标题尹东晓"/>
    <w:basedOn w:val="4"/>
    <w:link w:val="3116"/>
    <w:qFormat/>
    <w:uiPriority w:val="0"/>
    <w:pPr>
      <w:keepNext w:val="0"/>
      <w:keepLines w:val="0"/>
      <w:tabs>
        <w:tab w:val="clear" w:pos="360"/>
      </w:tabs>
      <w:adjustRightInd w:val="0"/>
      <w:snapToGrid w:val="0"/>
      <w:spacing w:before="0" w:after="120" w:line="360" w:lineRule="auto"/>
      <w:ind w:left="0" w:firstLine="0" w:firstLineChars="0"/>
      <w:jc w:val="left"/>
    </w:pPr>
    <w:rPr>
      <w:rFonts w:ascii="Times New Roman" w:hAnsi="Times New Roman" w:eastAsia="宋体"/>
      <w:b w:val="0"/>
      <w:snapToGrid w:val="0"/>
      <w:kern w:val="0"/>
      <w:sz w:val="30"/>
    </w:rPr>
  </w:style>
  <w:style w:type="paragraph" w:customStyle="1" w:styleId="709">
    <w:name w:val="标1"/>
    <w:basedOn w:val="1"/>
    <w:qFormat/>
    <w:uiPriority w:val="0"/>
    <w:pPr>
      <w:keepNext/>
      <w:widowControl/>
      <w:spacing w:before="600" w:after="360" w:line="360" w:lineRule="auto"/>
      <w:jc w:val="center"/>
      <w:outlineLvl w:val="0"/>
    </w:pPr>
    <w:rPr>
      <w:rFonts w:eastAsia="华文中宋"/>
      <w:b/>
      <w:w w:val="95"/>
      <w:kern w:val="44"/>
      <w:sz w:val="36"/>
      <w:szCs w:val="20"/>
    </w:rPr>
  </w:style>
  <w:style w:type="paragraph" w:customStyle="1" w:styleId="710">
    <w:name w:val="4"/>
    <w:basedOn w:val="1"/>
    <w:next w:val="51"/>
    <w:qFormat/>
    <w:uiPriority w:val="0"/>
    <w:pPr>
      <w:tabs>
        <w:tab w:val="left" w:pos="502"/>
      </w:tabs>
      <w:ind w:firstLine="480"/>
    </w:pPr>
    <w:rPr>
      <w:sz w:val="24"/>
      <w:szCs w:val="20"/>
    </w:rPr>
  </w:style>
  <w:style w:type="paragraph" w:customStyle="1" w:styleId="711">
    <w:name w:val="xl70"/>
    <w:basedOn w:val="1"/>
    <w:qFormat/>
    <w:uiPriority w:val="0"/>
    <w:pPr>
      <w:widowControl/>
      <w:pBdr>
        <w:bottom w:val="single" w:color="auto" w:sz="8" w:space="0"/>
      </w:pBdr>
      <w:spacing w:before="100" w:beforeAutospacing="1" w:after="100" w:afterAutospacing="1"/>
      <w:jc w:val="left"/>
    </w:pPr>
    <w:rPr>
      <w:rFonts w:ascii="宋体" w:hAnsi="宋体"/>
      <w:kern w:val="0"/>
      <w:sz w:val="32"/>
      <w:szCs w:val="32"/>
    </w:rPr>
  </w:style>
  <w:style w:type="paragraph" w:customStyle="1" w:styleId="712">
    <w:name w:val="表格字体"/>
    <w:qFormat/>
    <w:uiPriority w:val="0"/>
    <w:pPr>
      <w:jc w:val="center"/>
    </w:pPr>
    <w:rPr>
      <w:rFonts w:ascii="Times New Roman" w:hAnsi="Times New Roman" w:eastAsia="华文中宋" w:cs="Times New Roman"/>
      <w:kern w:val="2"/>
      <w:sz w:val="21"/>
      <w:lang w:val="en-US" w:eastAsia="zh-CN" w:bidi="ar-SA"/>
    </w:rPr>
  </w:style>
  <w:style w:type="paragraph" w:customStyle="1" w:styleId="713">
    <w:name w:val="xl4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714">
    <w:name w:val="表—注"/>
    <w:basedOn w:val="1"/>
    <w:qFormat/>
    <w:uiPriority w:val="0"/>
    <w:pPr>
      <w:adjustRightInd w:val="0"/>
      <w:snapToGrid w:val="0"/>
      <w:spacing w:line="360" w:lineRule="auto"/>
      <w:ind w:firstLine="480" w:firstLineChars="200"/>
      <w:jc w:val="left"/>
    </w:pPr>
    <w:rPr>
      <w:szCs w:val="20"/>
    </w:rPr>
  </w:style>
  <w:style w:type="paragraph" w:customStyle="1" w:styleId="715">
    <w:name w:val="Char Char Char1 Char Char Char Char"/>
    <w:basedOn w:val="1"/>
    <w:qFormat/>
    <w:uiPriority w:val="0"/>
    <w:pPr>
      <w:spacing w:line="360" w:lineRule="auto"/>
      <w:ind w:firstLine="200" w:firstLineChars="200"/>
    </w:pPr>
    <w:rPr>
      <w:rFonts w:ascii="宋体" w:hAnsi="宋体" w:cs="宋体"/>
      <w:sz w:val="24"/>
    </w:rPr>
  </w:style>
  <w:style w:type="paragraph" w:customStyle="1" w:styleId="716">
    <w:name w:val="font6"/>
    <w:basedOn w:val="1"/>
    <w:qFormat/>
    <w:uiPriority w:val="0"/>
    <w:pPr>
      <w:widowControl/>
      <w:spacing w:before="100" w:beforeAutospacing="1" w:after="100" w:afterAutospacing="1"/>
      <w:jc w:val="left"/>
    </w:pPr>
    <w:rPr>
      <w:rFonts w:eastAsia="Arial Unicode MS"/>
      <w:kern w:val="0"/>
      <w:sz w:val="24"/>
    </w:rPr>
  </w:style>
  <w:style w:type="paragraph" w:customStyle="1" w:styleId="717">
    <w:name w:val="样式 周表目录 + 段前: 0 磅 段后: 0 周表目录"/>
    <w:basedOn w:val="1"/>
    <w:qFormat/>
    <w:uiPriority w:val="0"/>
    <w:pPr>
      <w:keepNext/>
      <w:adjustRightInd w:val="0"/>
      <w:snapToGrid w:val="0"/>
      <w:spacing w:line="300" w:lineRule="auto"/>
      <w:jc w:val="center"/>
    </w:pPr>
    <w:rPr>
      <w:rFonts w:ascii="宋体" w:hAnsi="宋体" w:cs="宋体"/>
      <w:b/>
      <w:bCs/>
      <w:spacing w:val="6"/>
      <w:szCs w:val="20"/>
    </w:rPr>
  </w:style>
  <w:style w:type="paragraph" w:customStyle="1" w:styleId="718">
    <w:name w:val="段前0.5"/>
    <w:basedOn w:val="1"/>
    <w:semiHidden/>
    <w:qFormat/>
    <w:uiPriority w:val="0"/>
    <w:pPr>
      <w:adjustRightInd w:val="0"/>
      <w:snapToGrid w:val="0"/>
      <w:spacing w:beforeLines="50" w:line="360" w:lineRule="auto"/>
      <w:ind w:firstLine="200" w:firstLineChars="200"/>
    </w:pPr>
    <w:rPr>
      <w:kern w:val="0"/>
      <w:sz w:val="24"/>
    </w:rPr>
  </w:style>
  <w:style w:type="paragraph" w:customStyle="1" w:styleId="719">
    <w:name w:val="章2"/>
    <w:basedOn w:val="3"/>
    <w:qFormat/>
    <w:uiPriority w:val="0"/>
    <w:pPr>
      <w:keepNext w:val="0"/>
      <w:tabs>
        <w:tab w:val="clear" w:pos="360"/>
      </w:tabs>
      <w:adjustRightInd w:val="0"/>
      <w:snapToGrid w:val="0"/>
      <w:spacing w:line="312" w:lineRule="auto"/>
      <w:ind w:left="0" w:firstLine="0" w:firstLineChars="0"/>
      <w:textAlignment w:val="baseline"/>
    </w:pPr>
    <w:rPr>
      <w:rFonts w:eastAsia="宋体"/>
      <w:bCs/>
      <w:snapToGrid w:val="0"/>
      <w:spacing w:val="6"/>
      <w:kern w:val="0"/>
      <w:sz w:val="36"/>
      <w:szCs w:val="28"/>
    </w:rPr>
  </w:style>
  <w:style w:type="paragraph" w:customStyle="1" w:styleId="720">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721">
    <w:name w:val="三级编号"/>
    <w:basedOn w:val="465"/>
    <w:qFormat/>
    <w:uiPriority w:val="0"/>
    <w:pPr>
      <w:spacing w:line="520" w:lineRule="exact"/>
    </w:pPr>
  </w:style>
  <w:style w:type="paragraph" w:customStyle="1" w:styleId="722">
    <w:name w:val="样式 样式 标题 1 + 两端对齐 + 两端对齐"/>
    <w:basedOn w:val="1"/>
    <w:qFormat/>
    <w:uiPriority w:val="0"/>
    <w:pPr>
      <w:keepNext/>
      <w:keepLines/>
      <w:adjustRightInd w:val="0"/>
      <w:spacing w:line="360" w:lineRule="auto"/>
      <w:ind w:firstLine="881" w:firstLineChars="200"/>
      <w:textAlignment w:val="baseline"/>
      <w:outlineLvl w:val="0"/>
    </w:pPr>
    <w:rPr>
      <w:b/>
      <w:bCs/>
      <w:kern w:val="44"/>
      <w:sz w:val="44"/>
      <w:szCs w:val="20"/>
    </w:rPr>
  </w:style>
  <w:style w:type="paragraph" w:customStyle="1" w:styleId="723">
    <w:name w:val="xl57"/>
    <w:basedOn w:val="1"/>
    <w:qFormat/>
    <w:uiPriority w:val="0"/>
    <w:pPr>
      <w:widowControl/>
      <w:pBdr>
        <w:left w:val="single" w:color="auto" w:sz="8" w:space="0"/>
      </w:pBdr>
      <w:spacing w:before="100" w:beforeAutospacing="1" w:after="100" w:afterAutospacing="1"/>
      <w:jc w:val="left"/>
    </w:pPr>
    <w:rPr>
      <w:rFonts w:hint="eastAsia" w:ascii="宋体" w:hAnsi="宋体"/>
      <w:kern w:val="0"/>
      <w:sz w:val="32"/>
      <w:szCs w:val="32"/>
    </w:rPr>
  </w:style>
  <w:style w:type="paragraph" w:customStyle="1" w:styleId="724">
    <w:name w:val="xl33"/>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b/>
      <w:bCs/>
      <w:kern w:val="0"/>
      <w:sz w:val="24"/>
    </w:rPr>
  </w:style>
  <w:style w:type="paragraph" w:customStyle="1" w:styleId="725">
    <w:name w:val="Char3"/>
    <w:basedOn w:val="1"/>
    <w:qFormat/>
    <w:uiPriority w:val="0"/>
    <w:pPr>
      <w:spacing w:line="360" w:lineRule="auto"/>
      <w:ind w:firstLine="200" w:firstLineChars="200"/>
    </w:pPr>
    <w:rPr>
      <w:rFonts w:ascii="宋体" w:hAnsi="宋体" w:cs="宋体"/>
      <w:sz w:val="24"/>
    </w:rPr>
  </w:style>
  <w:style w:type="paragraph" w:customStyle="1" w:styleId="726">
    <w:name w:val="Char Char Char Char Char Char Char Char Char1 Char Char Char1 Char Char Char Char"/>
    <w:basedOn w:val="1"/>
    <w:qFormat/>
    <w:uiPriority w:val="0"/>
    <w:pPr>
      <w:spacing w:line="360" w:lineRule="auto"/>
      <w:ind w:firstLine="200" w:firstLineChars="200"/>
    </w:pPr>
    <w:rPr>
      <w:szCs w:val="20"/>
    </w:rPr>
  </w:style>
  <w:style w:type="paragraph" w:customStyle="1" w:styleId="727">
    <w:name w:val="拉丁名"/>
    <w:basedOn w:val="1"/>
    <w:qFormat/>
    <w:uiPriority w:val="0"/>
    <w:pPr>
      <w:tabs>
        <w:tab w:val="left" w:pos="6825"/>
      </w:tabs>
      <w:adjustRightInd w:val="0"/>
      <w:snapToGrid w:val="0"/>
      <w:jc w:val="left"/>
    </w:pPr>
    <w:rPr>
      <w:rFonts w:ascii="宋体" w:hAnsi="宋体" w:cs="宋体"/>
      <w:i/>
      <w:iCs/>
      <w:kern w:val="0"/>
      <w:szCs w:val="21"/>
    </w:rPr>
  </w:style>
  <w:style w:type="paragraph" w:customStyle="1" w:styleId="728">
    <w:name w:val="标题三"/>
    <w:basedOn w:val="5"/>
    <w:qFormat/>
    <w:uiPriority w:val="0"/>
    <w:pPr>
      <w:keepLines/>
      <w:tabs>
        <w:tab w:val="clear" w:pos="360"/>
      </w:tabs>
      <w:spacing w:afterLines="50" w:line="240" w:lineRule="auto"/>
      <w:ind w:left="400" w:leftChars="400" w:firstLine="0" w:firstLineChars="0"/>
    </w:pPr>
    <w:rPr>
      <w:rFonts w:ascii="Times New Roman" w:hAnsi="Times New Roman" w:eastAsia="黑体"/>
      <w:b/>
      <w:snapToGrid w:val="0"/>
      <w:color w:val="000000"/>
      <w:sz w:val="28"/>
      <w:szCs w:val="32"/>
    </w:rPr>
  </w:style>
  <w:style w:type="paragraph" w:customStyle="1" w:styleId="729">
    <w:name w:val="xl41"/>
    <w:basedOn w:val="1"/>
    <w:qFormat/>
    <w:uiPriority w:val="0"/>
    <w:pPr>
      <w:widowControl/>
      <w:pBdr>
        <w:bottom w:val="single" w:color="auto" w:sz="4" w:space="0"/>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730">
    <w:name w:val="标题4"/>
    <w:basedOn w:val="1"/>
    <w:qFormat/>
    <w:uiPriority w:val="0"/>
    <w:pPr>
      <w:adjustRightInd w:val="0"/>
      <w:snapToGrid w:val="0"/>
      <w:spacing w:line="360" w:lineRule="auto"/>
      <w:jc w:val="left"/>
    </w:pPr>
    <w:rPr>
      <w:kern w:val="0"/>
      <w:sz w:val="24"/>
      <w:szCs w:val="28"/>
    </w:rPr>
  </w:style>
  <w:style w:type="paragraph" w:customStyle="1" w:styleId="731">
    <w:name w:val="标题2（张）"/>
    <w:basedOn w:val="4"/>
    <w:qFormat/>
    <w:uiPriority w:val="0"/>
    <w:pPr>
      <w:tabs>
        <w:tab w:val="clear" w:pos="360"/>
      </w:tabs>
      <w:adjustRightInd w:val="0"/>
      <w:snapToGrid w:val="0"/>
      <w:spacing w:before="0" w:after="120" w:line="360" w:lineRule="auto"/>
      <w:ind w:left="0" w:right="-50" w:firstLine="0" w:firstLineChars="0"/>
      <w:jc w:val="left"/>
    </w:pPr>
    <w:rPr>
      <w:rFonts w:eastAsia="宋体"/>
      <w:snapToGrid w:val="0"/>
      <w:kern w:val="30"/>
    </w:rPr>
  </w:style>
  <w:style w:type="paragraph" w:customStyle="1" w:styleId="732">
    <w:name w:val="08 页脚"/>
    <w:basedOn w:val="55"/>
    <w:qFormat/>
    <w:uiPriority w:val="0"/>
    <w:pPr>
      <w:pBdr>
        <w:top w:val="dotted" w:color="auto" w:sz="4" w:space="1"/>
      </w:pBdr>
    </w:pPr>
    <w:rPr>
      <w:rFonts w:ascii="Calibri" w:hAnsi="Calibri"/>
      <w:kern w:val="0"/>
      <w:szCs w:val="18"/>
    </w:rPr>
  </w:style>
  <w:style w:type="paragraph" w:customStyle="1" w:styleId="733">
    <w:name w:val="样式 样式 正文首行缩进 + 首行缩进:  2 字符 + 首行缩进:  2 字符"/>
    <w:basedOn w:val="1"/>
    <w:qFormat/>
    <w:uiPriority w:val="0"/>
    <w:pPr>
      <w:topLinePunct/>
      <w:adjustRightInd w:val="0"/>
      <w:snapToGrid w:val="0"/>
      <w:spacing w:line="360" w:lineRule="auto"/>
      <w:ind w:firstLine="480"/>
      <w:textAlignment w:val="baseline"/>
    </w:pPr>
    <w:rPr>
      <w:rFonts w:hAnsi="宋体" w:eastAsia="Times New Roman"/>
      <w:kern w:val="0"/>
      <w:sz w:val="24"/>
      <w:szCs w:val="20"/>
    </w:rPr>
  </w:style>
  <w:style w:type="paragraph" w:customStyle="1" w:styleId="734">
    <w:name w:val="表号"/>
    <w:basedOn w:val="1"/>
    <w:qFormat/>
    <w:uiPriority w:val="0"/>
    <w:pPr>
      <w:snapToGrid w:val="0"/>
    </w:pPr>
    <w:rPr>
      <w:spacing w:val="4"/>
    </w:rPr>
  </w:style>
  <w:style w:type="paragraph" w:customStyle="1" w:styleId="735">
    <w:name w:val="默认段落字体 Para Char Char Char Char Char Char Char"/>
    <w:basedOn w:val="1"/>
    <w:qFormat/>
    <w:uiPriority w:val="0"/>
    <w:pPr>
      <w:spacing w:line="360" w:lineRule="auto"/>
    </w:pPr>
    <w:rPr>
      <w:sz w:val="24"/>
    </w:rPr>
  </w:style>
  <w:style w:type="paragraph" w:customStyle="1" w:styleId="736">
    <w:name w:val="封面环评"/>
    <w:basedOn w:val="1"/>
    <w:qFormat/>
    <w:uiPriority w:val="0"/>
    <w:pPr>
      <w:adjustRightInd w:val="0"/>
      <w:snapToGrid w:val="0"/>
      <w:spacing w:line="360" w:lineRule="auto"/>
      <w:jc w:val="center"/>
    </w:pPr>
    <w:rPr>
      <w:b/>
      <w:bCs/>
      <w:snapToGrid w:val="0"/>
      <w:kern w:val="0"/>
      <w:sz w:val="32"/>
      <w:szCs w:val="32"/>
    </w:rPr>
  </w:style>
  <w:style w:type="paragraph" w:customStyle="1" w:styleId="737">
    <w:name w:val="封面标准名称"/>
    <w:qFormat/>
    <w:uiPriority w:val="0"/>
    <w:pPr>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738">
    <w:name w:val="font5"/>
    <w:basedOn w:val="1"/>
    <w:qFormat/>
    <w:uiPriority w:val="0"/>
    <w:pPr>
      <w:widowControl/>
      <w:spacing w:before="100" w:beforeAutospacing="1" w:after="100" w:afterAutospacing="1"/>
      <w:jc w:val="left"/>
    </w:pPr>
    <w:rPr>
      <w:rFonts w:hint="eastAsia" w:ascii="宋体" w:hAnsi="宋体" w:cs="Arial Unicode MS"/>
      <w:kern w:val="0"/>
      <w:sz w:val="18"/>
      <w:szCs w:val="18"/>
    </w:rPr>
  </w:style>
  <w:style w:type="paragraph" w:customStyle="1" w:styleId="739">
    <w:name w:val="biaoge"/>
    <w:qFormat/>
    <w:uiPriority w:val="0"/>
    <w:pPr>
      <w:jc w:val="center"/>
    </w:pPr>
    <w:rPr>
      <w:rFonts w:ascii="Times New Roman" w:hAnsi="Times New Roman" w:eastAsia="宋体" w:cs="Times New Roman"/>
      <w:kern w:val="28"/>
      <w:sz w:val="28"/>
      <w:lang w:val="en-US" w:eastAsia="zh-CN" w:bidi="ar-SA"/>
    </w:rPr>
  </w:style>
  <w:style w:type="paragraph" w:customStyle="1" w:styleId="740">
    <w:name w:val="表内5-左齐 Char Char Char Char Char Char Char Char Char Char Char Char"/>
    <w:basedOn w:val="741"/>
    <w:qFormat/>
    <w:uiPriority w:val="0"/>
    <w:pPr>
      <w:jc w:val="left"/>
    </w:pPr>
    <w:rPr>
      <w:kern w:val="0"/>
    </w:rPr>
  </w:style>
  <w:style w:type="paragraph" w:customStyle="1" w:styleId="741">
    <w:name w:val="表内5 Char"/>
    <w:basedOn w:val="1"/>
    <w:qFormat/>
    <w:uiPriority w:val="0"/>
    <w:pPr>
      <w:adjustRightInd w:val="0"/>
      <w:snapToGrid w:val="0"/>
      <w:spacing w:line="300" w:lineRule="auto"/>
      <w:jc w:val="center"/>
    </w:pPr>
    <w:rPr>
      <w:szCs w:val="20"/>
    </w:rPr>
  </w:style>
  <w:style w:type="paragraph" w:customStyle="1" w:styleId="742">
    <w:name w:val="Proc Text"/>
    <w:basedOn w:val="1"/>
    <w:qFormat/>
    <w:uiPriority w:val="0"/>
    <w:pPr>
      <w:widowControl/>
      <w:spacing w:before="60" w:after="120"/>
      <w:ind w:left="720"/>
      <w:jc w:val="left"/>
    </w:pPr>
    <w:rPr>
      <w:kern w:val="0"/>
      <w:sz w:val="22"/>
      <w:szCs w:val="20"/>
      <w:lang w:val="en-AU" w:eastAsia="en-US"/>
    </w:rPr>
  </w:style>
  <w:style w:type="paragraph" w:customStyle="1" w:styleId="743">
    <w:name w:val="前言"/>
    <w:basedOn w:val="1"/>
    <w:qFormat/>
    <w:uiPriority w:val="0"/>
    <w:pPr>
      <w:widowControl/>
      <w:adjustRightInd w:val="0"/>
      <w:snapToGrid w:val="0"/>
      <w:spacing w:line="360" w:lineRule="auto"/>
      <w:ind w:firstLine="640" w:firstLineChars="200"/>
      <w:jc w:val="center"/>
    </w:pPr>
    <w:rPr>
      <w:kern w:val="0"/>
      <w:sz w:val="32"/>
      <w:szCs w:val="32"/>
    </w:rPr>
  </w:style>
  <w:style w:type="paragraph" w:customStyle="1" w:styleId="744">
    <w:name w:val="Char Char Char Char Char Char Char Char Char1 Char Char Char Char Char Char Char Char Char Char Char Char Char Char Char Char Char Char Char Char Char Char Char Char Char Char Char Char Char Char Char 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745">
    <w:name w:val="正式表格"/>
    <w:basedOn w:val="1"/>
    <w:qFormat/>
    <w:uiPriority w:val="0"/>
    <w:pPr>
      <w:adjustRightInd w:val="0"/>
      <w:snapToGrid w:val="0"/>
      <w:spacing w:before="60" w:after="60"/>
      <w:jc w:val="center"/>
    </w:pPr>
    <w:rPr>
      <w:rFonts w:ascii="宋体" w:hAnsi="Arial"/>
      <w:snapToGrid w:val="0"/>
      <w:color w:val="000000"/>
      <w:spacing w:val="6"/>
      <w:kern w:val="0"/>
      <w:sz w:val="24"/>
      <w:szCs w:val="20"/>
    </w:rPr>
  </w:style>
  <w:style w:type="paragraph" w:customStyle="1" w:styleId="746">
    <w:name w:val="环评登记号"/>
    <w:basedOn w:val="1"/>
    <w:qFormat/>
    <w:uiPriority w:val="0"/>
    <w:pPr>
      <w:adjustRightInd w:val="0"/>
      <w:snapToGrid w:val="0"/>
      <w:spacing w:line="360" w:lineRule="auto"/>
      <w:ind w:firstLine="600" w:firstLineChars="200"/>
    </w:pPr>
    <w:rPr>
      <w:bCs/>
      <w:spacing w:val="10"/>
      <w:sz w:val="24"/>
      <w:szCs w:val="32"/>
    </w:rPr>
  </w:style>
  <w:style w:type="paragraph" w:customStyle="1" w:styleId="747">
    <w:name w:val="列项——"/>
    <w:link w:val="2635"/>
    <w:qFormat/>
    <w:uiPriority w:val="0"/>
    <w:pPr>
      <w:widowControl w:val="0"/>
      <w:tabs>
        <w:tab w:val="left" w:pos="854"/>
      </w:tabs>
      <w:ind w:left="840" w:leftChars="200" w:hanging="420" w:hangingChars="200"/>
      <w:jc w:val="both"/>
    </w:pPr>
    <w:rPr>
      <w:rFonts w:ascii="宋体" w:hAnsi="Times New Roman" w:eastAsia="宋体" w:cs="Times New Roman"/>
      <w:sz w:val="21"/>
      <w:lang w:val="en-US" w:eastAsia="zh-CN" w:bidi="ar-SA"/>
    </w:rPr>
  </w:style>
  <w:style w:type="paragraph" w:customStyle="1" w:styleId="748">
    <w:name w:val="一级标题尹东晓"/>
    <w:basedOn w:val="3"/>
    <w:qFormat/>
    <w:uiPriority w:val="0"/>
    <w:pPr>
      <w:keepNext w:val="0"/>
      <w:tabs>
        <w:tab w:val="clear" w:pos="360"/>
      </w:tabs>
      <w:adjustRightInd w:val="0"/>
      <w:snapToGrid w:val="0"/>
      <w:spacing w:afterLines="50" w:line="360" w:lineRule="auto"/>
      <w:ind w:left="0" w:firstLine="0" w:firstLineChars="0"/>
      <w:jc w:val="left"/>
    </w:pPr>
    <w:rPr>
      <w:rFonts w:eastAsia="宋体" w:cs="Arial"/>
      <w:snapToGrid w:val="0"/>
      <w:kern w:val="0"/>
      <w:sz w:val="32"/>
      <w:szCs w:val="44"/>
    </w:rPr>
  </w:style>
  <w:style w:type="paragraph" w:customStyle="1" w:styleId="749">
    <w:name w:val="列项·"/>
    <w:qFormat/>
    <w:uiPriority w:val="0"/>
    <w:pPr>
      <w:tabs>
        <w:tab w:val="left" w:pos="840"/>
      </w:tabs>
      <w:ind w:left="840" w:leftChars="200" w:hanging="420" w:hangingChars="200"/>
      <w:jc w:val="both"/>
    </w:pPr>
    <w:rPr>
      <w:rFonts w:ascii="宋体" w:hAnsi="Times New Roman" w:eastAsia="宋体" w:cs="Times New Roman"/>
      <w:sz w:val="21"/>
      <w:lang w:val="en-US" w:eastAsia="zh-CN" w:bidi="ar-SA"/>
    </w:rPr>
  </w:style>
  <w:style w:type="paragraph" w:customStyle="1" w:styleId="750">
    <w:name w:val="正2小四 Char"/>
    <w:basedOn w:val="1"/>
    <w:link w:val="1470"/>
    <w:qFormat/>
    <w:uiPriority w:val="0"/>
    <w:pPr>
      <w:adjustRightInd w:val="0"/>
      <w:snapToGrid w:val="0"/>
      <w:spacing w:line="360" w:lineRule="auto"/>
      <w:ind w:firstLine="200" w:firstLineChars="200"/>
      <w:jc w:val="left"/>
    </w:pPr>
    <w:rPr>
      <w:sz w:val="24"/>
      <w:szCs w:val="20"/>
    </w:rPr>
  </w:style>
  <w:style w:type="paragraph" w:customStyle="1" w:styleId="751">
    <w:name w:val="样式 首行缩进:  2 字符1"/>
    <w:basedOn w:val="1"/>
    <w:link w:val="1346"/>
    <w:qFormat/>
    <w:uiPriority w:val="0"/>
    <w:pPr>
      <w:spacing w:line="360" w:lineRule="auto"/>
      <w:ind w:firstLine="640" w:firstLineChars="200"/>
    </w:pPr>
    <w:rPr>
      <w:spacing w:val="20"/>
      <w:sz w:val="28"/>
    </w:rPr>
  </w:style>
  <w:style w:type="paragraph" w:customStyle="1" w:styleId="752">
    <w:name w:val="LNG-标题3"/>
    <w:basedOn w:val="1"/>
    <w:qFormat/>
    <w:uiPriority w:val="0"/>
    <w:pPr>
      <w:tabs>
        <w:tab w:val="left" w:pos="0"/>
      </w:tabs>
      <w:spacing w:line="360" w:lineRule="auto"/>
      <w:outlineLvl w:val="2"/>
    </w:pPr>
    <w:rPr>
      <w:b/>
      <w:sz w:val="24"/>
    </w:rPr>
  </w:style>
  <w:style w:type="paragraph" w:customStyle="1" w:styleId="753">
    <w:name w:val="样式3"/>
    <w:basedOn w:val="45"/>
    <w:qFormat/>
    <w:uiPriority w:val="0"/>
    <w:pPr>
      <w:adjustRightInd w:val="0"/>
      <w:snapToGrid w:val="0"/>
      <w:spacing w:line="312" w:lineRule="auto"/>
      <w:jc w:val="center"/>
    </w:pPr>
    <w:rPr>
      <w:rFonts w:ascii="黑体" w:eastAsia="黑体"/>
      <w:b/>
      <w:spacing w:val="6"/>
      <w:kern w:val="0"/>
      <w:sz w:val="32"/>
      <w:szCs w:val="20"/>
    </w:rPr>
  </w:style>
  <w:style w:type="paragraph" w:customStyle="1" w:styleId="754">
    <w:name w:val="Char Char Char Char Char Char Char Char Char1 Char Char Char Char Char Char Char Char Char Char Char Char Char Char Char Char Char Char Char Char Char Char Char Char Char Char Char Char 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755">
    <w:name w:val="zrf标题2"/>
    <w:basedOn w:val="5"/>
    <w:qFormat/>
    <w:uiPriority w:val="0"/>
    <w:pPr>
      <w:keepLines/>
      <w:tabs>
        <w:tab w:val="clear" w:pos="360"/>
      </w:tabs>
      <w:adjustRightInd/>
      <w:snapToGrid/>
      <w:spacing w:line="480" w:lineRule="exact"/>
      <w:ind w:left="0" w:firstLine="0" w:firstLineChars="0"/>
      <w:jc w:val="left"/>
      <w:outlineLvl w:val="1"/>
    </w:pPr>
    <w:rPr>
      <w:rFonts w:ascii="Times New Roman" w:hAnsi="Times New Roman" w:eastAsia="宋体" w:cs="宋体"/>
      <w:bCs w:val="0"/>
      <w:sz w:val="28"/>
      <w:szCs w:val="20"/>
    </w:rPr>
  </w:style>
  <w:style w:type="paragraph" w:customStyle="1" w:styleId="756">
    <w:name w:val="公众调查表"/>
    <w:basedOn w:val="1"/>
    <w:qFormat/>
    <w:uiPriority w:val="0"/>
    <w:pPr>
      <w:adjustRightInd w:val="0"/>
      <w:snapToGrid w:val="0"/>
      <w:spacing w:line="360" w:lineRule="auto"/>
      <w:ind w:firstLine="620" w:firstLineChars="200"/>
      <w:jc w:val="left"/>
    </w:pPr>
    <w:rPr>
      <w:kern w:val="0"/>
      <w:sz w:val="24"/>
      <w:szCs w:val="21"/>
    </w:rPr>
  </w:style>
  <w:style w:type="paragraph" w:customStyle="1" w:styleId="757">
    <w:name w:val="Char Char1 Char Char Char Char Char Char Char Char Char Char Char Char Char Char Char Char Char Char Char"/>
    <w:basedOn w:val="1"/>
    <w:qFormat/>
    <w:uiPriority w:val="0"/>
    <w:pPr>
      <w:widowControl/>
      <w:jc w:val="left"/>
    </w:pPr>
    <w:rPr>
      <w:rFonts w:ascii="宋体" w:hAnsi="宋体" w:cs="宋体"/>
      <w:color w:val="000000"/>
      <w:kern w:val="0"/>
      <w:sz w:val="24"/>
    </w:rPr>
  </w:style>
  <w:style w:type="paragraph" w:customStyle="1" w:styleId="758">
    <w:name w:val="font0"/>
    <w:basedOn w:val="1"/>
    <w:qFormat/>
    <w:uiPriority w:val="0"/>
    <w:pPr>
      <w:widowControl/>
      <w:spacing w:before="100" w:beforeAutospacing="1" w:after="100" w:afterAutospacing="1"/>
      <w:jc w:val="left"/>
    </w:pPr>
    <w:rPr>
      <w:rFonts w:hint="eastAsia" w:ascii="宋体" w:hAnsi="宋体"/>
      <w:kern w:val="0"/>
      <w:sz w:val="24"/>
    </w:rPr>
  </w:style>
  <w:style w:type="paragraph" w:customStyle="1" w:styleId="759">
    <w:name w:val="样式7"/>
    <w:basedOn w:val="273"/>
    <w:link w:val="1436"/>
    <w:qFormat/>
    <w:uiPriority w:val="0"/>
    <w:pPr>
      <w:spacing w:beforeLines="0"/>
    </w:pPr>
    <w:rPr>
      <w:rFonts w:ascii="Times New Roman" w:hAnsi="宋体" w:eastAsia="Times New Roman"/>
      <w:bCs w:val="0"/>
      <w:kern w:val="0"/>
    </w:rPr>
  </w:style>
  <w:style w:type="paragraph" w:customStyle="1" w:styleId="760">
    <w:name w:val="Char Char Char Char Char Char Char Char Char1 Char Char Char1 Char Char Char Char Char Char1"/>
    <w:basedOn w:val="1"/>
    <w:qFormat/>
    <w:uiPriority w:val="0"/>
    <w:pPr>
      <w:spacing w:line="360" w:lineRule="auto"/>
      <w:ind w:firstLine="200" w:firstLineChars="200"/>
    </w:pPr>
    <w:rPr>
      <w:rFonts w:ascii="宋体" w:hAnsi="宋体" w:cs="宋体"/>
      <w:sz w:val="24"/>
    </w:rPr>
  </w:style>
  <w:style w:type="paragraph" w:customStyle="1" w:styleId="761">
    <w:name w:val="样式 表格 + 红色"/>
    <w:basedOn w:val="190"/>
    <w:qFormat/>
    <w:uiPriority w:val="0"/>
    <w:pPr>
      <w:framePr w:hSpace="0" w:vAnchor="margin" w:xAlign="left" w:yAlign="inline"/>
      <w:widowControl/>
    </w:pPr>
    <w:rPr>
      <w:color w:val="FF0000"/>
      <w:sz w:val="21"/>
      <w:szCs w:val="20"/>
    </w:rPr>
  </w:style>
  <w:style w:type="paragraph" w:customStyle="1" w:styleId="762">
    <w:name w:val="样式 11 磅 首行缩进:  0.74 厘米 行距: 固定值 18 磅"/>
    <w:basedOn w:val="1"/>
    <w:qFormat/>
    <w:uiPriority w:val="0"/>
    <w:pPr>
      <w:spacing w:before="100" w:beforeAutospacing="1" w:after="100" w:afterAutospacing="1"/>
      <w:ind w:firstLine="454"/>
    </w:pPr>
    <w:rPr>
      <w:rFonts w:cs="宋体"/>
      <w:sz w:val="28"/>
      <w:szCs w:val="28"/>
    </w:rPr>
  </w:style>
  <w:style w:type="paragraph" w:customStyle="1" w:styleId="763">
    <w:name w:val="02 二级标题"/>
    <w:next w:val="456"/>
    <w:qFormat/>
    <w:uiPriority w:val="0"/>
    <w:pPr>
      <w:tabs>
        <w:tab w:val="left" w:pos="1428"/>
      </w:tabs>
      <w:spacing w:beforeLines="50" w:afterLines="50" w:line="800" w:lineRule="exact"/>
      <w:outlineLvl w:val="1"/>
    </w:pPr>
    <w:rPr>
      <w:rFonts w:ascii="Times New Roman" w:hAnsi="Times New Roman" w:eastAsia="宋体" w:cs="Times New Roman"/>
      <w:b/>
      <w:bCs/>
      <w:kern w:val="2"/>
      <w:sz w:val="24"/>
      <w:szCs w:val="24"/>
      <w:lang w:val="en-US" w:eastAsia="zh-CN" w:bidi="ar-SA"/>
    </w:rPr>
  </w:style>
  <w:style w:type="paragraph" w:customStyle="1" w:styleId="764">
    <w:name w:val="文2"/>
    <w:basedOn w:val="1"/>
    <w:qFormat/>
    <w:uiPriority w:val="0"/>
    <w:pPr>
      <w:adjustRightInd w:val="0"/>
      <w:snapToGrid w:val="0"/>
      <w:spacing w:line="312" w:lineRule="auto"/>
      <w:ind w:firstLine="640" w:firstLineChars="200"/>
    </w:pPr>
    <w:rPr>
      <w:rFonts w:ascii="宋体" w:hAnsi="宋体"/>
      <w:snapToGrid w:val="0"/>
      <w:spacing w:val="6"/>
      <w:kern w:val="0"/>
      <w:sz w:val="28"/>
      <w:szCs w:val="28"/>
    </w:rPr>
  </w:style>
  <w:style w:type="paragraph" w:customStyle="1" w:styleId="765">
    <w:name w:val="样式 宋体 两端对齐 首行缩进:  0.73 厘米"/>
    <w:basedOn w:val="1"/>
    <w:qFormat/>
    <w:uiPriority w:val="0"/>
    <w:pPr>
      <w:adjustRightInd w:val="0"/>
      <w:snapToGrid w:val="0"/>
      <w:spacing w:line="360" w:lineRule="auto"/>
      <w:ind w:left="1077" w:hanging="1077"/>
    </w:pPr>
    <w:rPr>
      <w:rFonts w:ascii="宋体"/>
      <w:color w:val="000000"/>
      <w:kern w:val="0"/>
      <w:sz w:val="28"/>
    </w:rPr>
  </w:style>
  <w:style w:type="paragraph" w:customStyle="1" w:styleId="766">
    <w:name w:val="xl30"/>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b/>
      <w:bCs/>
      <w:kern w:val="0"/>
      <w:sz w:val="28"/>
      <w:szCs w:val="28"/>
    </w:rPr>
  </w:style>
  <w:style w:type="paragraph" w:customStyle="1" w:styleId="767">
    <w:name w:val="7"/>
    <w:basedOn w:val="1"/>
    <w:next w:val="35"/>
    <w:qFormat/>
    <w:uiPriority w:val="0"/>
    <w:pPr>
      <w:adjustRightInd w:val="0"/>
      <w:spacing w:after="120" w:line="360" w:lineRule="atLeast"/>
      <w:ind w:left="420" w:leftChars="200"/>
      <w:textAlignment w:val="baseline"/>
    </w:pPr>
  </w:style>
  <w:style w:type="paragraph" w:customStyle="1" w:styleId="768">
    <w:name w:val="wtext"/>
    <w:basedOn w:val="1"/>
    <w:qFormat/>
    <w:uiPriority w:val="0"/>
    <w:pPr>
      <w:widowControl/>
      <w:spacing w:before="100" w:beforeAutospacing="1" w:after="100" w:afterAutospacing="1"/>
      <w:jc w:val="left"/>
    </w:pPr>
    <w:rPr>
      <w:rFonts w:ascii="Arial Unicode MS" w:hAnsi="Arial Unicode MS"/>
      <w:kern w:val="0"/>
      <w:sz w:val="24"/>
    </w:rPr>
  </w:style>
  <w:style w:type="paragraph" w:customStyle="1" w:styleId="769">
    <w:name w:val="样式 表头1 + 段前: 0.35 行"/>
    <w:basedOn w:val="1"/>
    <w:link w:val="2755"/>
    <w:qFormat/>
    <w:uiPriority w:val="0"/>
    <w:pPr>
      <w:adjustRightInd w:val="0"/>
      <w:snapToGrid w:val="0"/>
      <w:spacing w:beforeLines="35" w:line="520" w:lineRule="atLeast"/>
    </w:pPr>
    <w:rPr>
      <w:rFonts w:cs="宋体"/>
      <w:b/>
      <w:bCs/>
      <w:sz w:val="28"/>
      <w:szCs w:val="20"/>
    </w:rPr>
  </w:style>
  <w:style w:type="paragraph" w:customStyle="1" w:styleId="770">
    <w:name w:val="xl7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kern w:val="0"/>
      <w:sz w:val="32"/>
      <w:szCs w:val="32"/>
    </w:rPr>
  </w:style>
  <w:style w:type="paragraph" w:customStyle="1" w:styleId="771">
    <w:name w:val="xl64"/>
    <w:basedOn w:val="1"/>
    <w:qFormat/>
    <w:uiPriority w:val="0"/>
    <w:pPr>
      <w:widowControl/>
      <w:pBdr>
        <w:top w:val="single" w:color="auto" w:sz="4" w:space="0"/>
        <w:right w:val="single" w:color="auto" w:sz="8" w:space="0"/>
      </w:pBdr>
      <w:spacing w:before="100" w:beforeAutospacing="1" w:after="100" w:afterAutospacing="1"/>
      <w:jc w:val="left"/>
    </w:pPr>
    <w:rPr>
      <w:rFonts w:ascii="宋体" w:hAnsi="宋体"/>
      <w:kern w:val="0"/>
      <w:sz w:val="32"/>
      <w:szCs w:val="32"/>
    </w:rPr>
  </w:style>
  <w:style w:type="paragraph" w:customStyle="1" w:styleId="772">
    <w:name w:val="样式 标题 1章标题 1b1标题 1霍1 + 宋体 小二 黑色"/>
    <w:basedOn w:val="3"/>
    <w:qFormat/>
    <w:uiPriority w:val="0"/>
    <w:pPr>
      <w:keepLines/>
      <w:pageBreakBefore/>
      <w:tabs>
        <w:tab w:val="clear" w:pos="360"/>
      </w:tabs>
      <w:spacing w:before="240" w:after="438" w:line="520" w:lineRule="exact"/>
      <w:ind w:left="0" w:firstLine="0" w:firstLineChars="0"/>
      <w:jc w:val="both"/>
    </w:pPr>
    <w:rPr>
      <w:rFonts w:ascii="宋体" w:hAnsi="宋体" w:eastAsia="宋体"/>
      <w:bCs/>
      <w:color w:val="000000"/>
      <w:kern w:val="44"/>
      <w:sz w:val="36"/>
      <w:szCs w:val="28"/>
    </w:rPr>
  </w:style>
  <w:style w:type="paragraph" w:customStyle="1" w:styleId="773">
    <w:name w:val="xl50"/>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b/>
      <w:bCs/>
      <w:kern w:val="0"/>
      <w:sz w:val="24"/>
    </w:rPr>
  </w:style>
  <w:style w:type="paragraph" w:customStyle="1" w:styleId="774">
    <w:name w:val="标2"/>
    <w:basedOn w:val="1"/>
    <w:qFormat/>
    <w:uiPriority w:val="0"/>
    <w:pPr>
      <w:keepNext/>
      <w:autoSpaceDE w:val="0"/>
      <w:autoSpaceDN w:val="0"/>
      <w:adjustRightInd w:val="0"/>
      <w:snapToGrid w:val="0"/>
      <w:spacing w:beforeLines="150" w:afterLines="100" w:line="360" w:lineRule="auto"/>
      <w:outlineLvl w:val="1"/>
    </w:pPr>
    <w:rPr>
      <w:rFonts w:eastAsia="黑体"/>
      <w:b/>
      <w:sz w:val="32"/>
      <w:szCs w:val="32"/>
    </w:rPr>
  </w:style>
  <w:style w:type="paragraph" w:customStyle="1" w:styleId="775">
    <w:name w:val="表格填充1"/>
    <w:basedOn w:val="1"/>
    <w:qFormat/>
    <w:uiPriority w:val="0"/>
    <w:pPr>
      <w:topLinePunct/>
      <w:adjustRightInd w:val="0"/>
      <w:snapToGrid w:val="0"/>
      <w:jc w:val="center"/>
    </w:pPr>
    <w:rPr>
      <w:rFonts w:eastAsia="仿宋_GB2312"/>
      <w:snapToGrid w:val="0"/>
      <w:sz w:val="30"/>
      <w:szCs w:val="20"/>
    </w:rPr>
  </w:style>
  <w:style w:type="paragraph" w:customStyle="1" w:styleId="776">
    <w:name w:val="样式 样式 标题 2节标题 1.11.1标题2b200000000000000000000000000000000000000...."/>
    <w:basedOn w:val="777"/>
    <w:qFormat/>
    <w:uiPriority w:val="0"/>
    <w:pPr>
      <w:tabs>
        <w:tab w:val="left" w:pos="84"/>
        <w:tab w:val="left" w:pos="580"/>
      </w:tabs>
    </w:pPr>
  </w:style>
  <w:style w:type="paragraph" w:customStyle="1" w:styleId="777">
    <w:name w:val="样式 标题 2节标题 1.11.1标题2b200000000000000000000000000000000000000...1"/>
    <w:basedOn w:val="4"/>
    <w:qFormat/>
    <w:uiPriority w:val="0"/>
    <w:pPr>
      <w:keepNext w:val="0"/>
      <w:keepLines w:val="0"/>
      <w:tabs>
        <w:tab w:val="left" w:pos="580"/>
        <w:tab w:val="clear" w:pos="360"/>
      </w:tabs>
      <w:adjustRightInd w:val="0"/>
      <w:snapToGrid w:val="0"/>
      <w:spacing w:before="50" w:afterLines="20" w:line="560" w:lineRule="exact"/>
      <w:ind w:left="0" w:firstLine="0" w:firstLineChars="0"/>
      <w:jc w:val="left"/>
    </w:pPr>
    <w:rPr>
      <w:rFonts w:ascii="Times New Roman" w:hAnsi="宋体" w:eastAsia="宋体"/>
      <w:snapToGrid w:val="0"/>
      <w:sz w:val="28"/>
      <w:szCs w:val="20"/>
    </w:rPr>
  </w:style>
  <w:style w:type="paragraph" w:customStyle="1" w:styleId="778">
    <w:name w:val="正文文本--"/>
    <w:link w:val="2763"/>
    <w:qFormat/>
    <w:uiPriority w:val="0"/>
    <w:pPr>
      <w:spacing w:line="480" w:lineRule="exact"/>
      <w:ind w:firstLine="200" w:firstLineChars="200"/>
    </w:pPr>
    <w:rPr>
      <w:rFonts w:ascii="Times New Roman" w:hAnsi="Times New Roman" w:eastAsia="宋体" w:cs="Times New Roman"/>
      <w:sz w:val="24"/>
      <w:lang w:val="en-US" w:eastAsia="zh-CN" w:bidi="ar-SA"/>
    </w:rPr>
  </w:style>
  <w:style w:type="paragraph" w:customStyle="1" w:styleId="779">
    <w:name w:val="xl54"/>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kern w:val="0"/>
      <w:sz w:val="24"/>
    </w:rPr>
  </w:style>
  <w:style w:type="paragraph" w:customStyle="1" w:styleId="780">
    <w:name w:val="正文(首行缩进2字)"/>
    <w:basedOn w:val="1"/>
    <w:qFormat/>
    <w:uiPriority w:val="0"/>
    <w:pPr>
      <w:overflowPunct w:val="0"/>
      <w:autoSpaceDE w:val="0"/>
      <w:autoSpaceDN w:val="0"/>
      <w:adjustRightInd w:val="0"/>
      <w:snapToGrid w:val="0"/>
      <w:spacing w:before="60" w:after="60" w:line="300" w:lineRule="auto"/>
      <w:ind w:firstLine="200" w:firstLineChars="200"/>
      <w:textAlignment w:val="baseline"/>
    </w:pPr>
    <w:rPr>
      <w:kern w:val="0"/>
      <w:sz w:val="24"/>
      <w:szCs w:val="20"/>
    </w:rPr>
  </w:style>
  <w:style w:type="paragraph" w:customStyle="1" w:styleId="781">
    <w:name w:val="s0"/>
    <w:qFormat/>
    <w:uiPriority w:val="0"/>
    <w:pPr>
      <w:widowControl w:val="0"/>
      <w:autoSpaceDE w:val="0"/>
      <w:autoSpaceDN w:val="0"/>
      <w:adjustRightInd w:val="0"/>
    </w:pPr>
    <w:rPr>
      <w:rFonts w:ascii="Batang" w:hAnsi="Times New Roman" w:eastAsia="Batang" w:cs="Batang"/>
      <w:sz w:val="24"/>
      <w:szCs w:val="24"/>
      <w:lang w:val="en-US" w:eastAsia="zh-CN" w:bidi="ar-SA"/>
    </w:rPr>
  </w:style>
  <w:style w:type="paragraph" w:customStyle="1" w:styleId="782">
    <w:name w:val="封面编写单位"/>
    <w:basedOn w:val="783"/>
    <w:next w:val="1"/>
    <w:qFormat/>
    <w:uiPriority w:val="0"/>
    <w:pPr>
      <w:spacing w:line="240" w:lineRule="auto"/>
      <w:jc w:val="center"/>
    </w:pPr>
    <w:rPr>
      <w:rFonts w:eastAsia="楷体_GB2312"/>
      <w:sz w:val="44"/>
    </w:rPr>
  </w:style>
  <w:style w:type="paragraph" w:customStyle="1" w:styleId="783">
    <w:name w:val="正文标题"/>
    <w:basedOn w:val="1"/>
    <w:qFormat/>
    <w:uiPriority w:val="0"/>
    <w:pPr>
      <w:widowControl/>
      <w:autoSpaceDE w:val="0"/>
      <w:autoSpaceDN w:val="0"/>
      <w:adjustRightInd w:val="0"/>
      <w:spacing w:before="240" w:after="240" w:line="240" w:lineRule="atLeast"/>
      <w:jc w:val="left"/>
      <w:textAlignment w:val="bottom"/>
    </w:pPr>
    <w:rPr>
      <w:rFonts w:ascii="黑体" w:eastAsia="黑体"/>
      <w:b/>
      <w:kern w:val="0"/>
      <w:sz w:val="24"/>
      <w:szCs w:val="20"/>
    </w:rPr>
  </w:style>
  <w:style w:type="paragraph" w:customStyle="1" w:styleId="784">
    <w:name w:val="样式 标题 1 + 居中"/>
    <w:basedOn w:val="3"/>
    <w:qFormat/>
    <w:uiPriority w:val="0"/>
    <w:pPr>
      <w:keepLines/>
      <w:tabs>
        <w:tab w:val="clear" w:pos="360"/>
      </w:tabs>
      <w:adjustRightInd w:val="0"/>
      <w:snapToGrid w:val="0"/>
      <w:spacing w:beforeLines="50" w:line="360" w:lineRule="auto"/>
      <w:ind w:left="0" w:firstLine="0" w:firstLineChars="0"/>
      <w:textAlignment w:val="baseline"/>
    </w:pPr>
    <w:rPr>
      <w:rFonts w:ascii="仿宋_GB2312" w:hAnsi="宋体" w:eastAsia="仿宋_GB2312"/>
      <w:bCs/>
      <w:kern w:val="44"/>
      <w:sz w:val="32"/>
      <w:szCs w:val="20"/>
    </w:rPr>
  </w:style>
  <w:style w:type="paragraph" w:customStyle="1" w:styleId="785">
    <w:name w:val="xl51"/>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b/>
      <w:bCs/>
      <w:kern w:val="0"/>
      <w:sz w:val="24"/>
    </w:rPr>
  </w:style>
  <w:style w:type="paragraph" w:customStyle="1" w:styleId="786">
    <w:name w:val="样式 目录 2 + 左侧:  1 字符 右侧:  1 字符"/>
    <w:basedOn w:val="74"/>
    <w:qFormat/>
    <w:uiPriority w:val="0"/>
    <w:pPr>
      <w:widowControl w:val="0"/>
      <w:tabs>
        <w:tab w:val="clear" w:pos="8296"/>
      </w:tabs>
      <w:adjustRightInd/>
      <w:snapToGrid/>
      <w:spacing w:beforeLines="0" w:afterLines="0" w:line="240" w:lineRule="auto"/>
      <w:ind w:left="240" w:leftChars="0" w:firstLine="200" w:firstLineChars="0"/>
      <w:jc w:val="left"/>
    </w:pPr>
    <w:rPr>
      <w:rFonts w:ascii="Calibri" w:hAnsi="Calibri" w:cs="宋体"/>
      <w:bCs w:val="0"/>
      <w:kern w:val="2"/>
      <w:sz w:val="20"/>
      <w:szCs w:val="24"/>
    </w:rPr>
  </w:style>
  <w:style w:type="paragraph" w:customStyle="1" w:styleId="787">
    <w:name w:val="正文段落"/>
    <w:basedOn w:val="1"/>
    <w:link w:val="2649"/>
    <w:qFormat/>
    <w:uiPriority w:val="0"/>
    <w:pPr>
      <w:spacing w:beforeLines="50" w:line="360" w:lineRule="auto"/>
      <w:ind w:firstLine="480" w:firstLineChars="200"/>
    </w:pPr>
    <w:rPr>
      <w:sz w:val="24"/>
      <w:szCs w:val="21"/>
    </w:rPr>
  </w:style>
  <w:style w:type="character" w:customStyle="1" w:styleId="788">
    <w:name w:val="脚注文本 字符"/>
    <w:basedOn w:val="97"/>
    <w:semiHidden/>
    <w:qFormat/>
    <w:uiPriority w:val="0"/>
    <w:rPr>
      <w:kern w:val="2"/>
      <w:sz w:val="18"/>
      <w:szCs w:val="18"/>
    </w:rPr>
  </w:style>
  <w:style w:type="character" w:customStyle="1" w:styleId="789">
    <w:name w:val="脚注文本 Char3"/>
    <w:link w:val="67"/>
    <w:semiHidden/>
    <w:qFormat/>
    <w:uiPriority w:val="0"/>
    <w:rPr>
      <w:kern w:val="2"/>
      <w:sz w:val="18"/>
      <w:szCs w:val="18"/>
    </w:rPr>
  </w:style>
  <w:style w:type="paragraph" w:customStyle="1" w:styleId="790">
    <w:name w:val="Char Char Char Char Char Char Char Char Char Char Char Char Char Char1 Char"/>
    <w:basedOn w:val="1"/>
    <w:qFormat/>
    <w:uiPriority w:val="0"/>
    <w:pPr>
      <w:spacing w:line="360" w:lineRule="auto"/>
      <w:ind w:firstLine="200" w:firstLineChars="200"/>
    </w:pPr>
    <w:rPr>
      <w:rFonts w:ascii="宋体" w:hAnsi="宋体" w:cs="宋体"/>
      <w:sz w:val="24"/>
    </w:rPr>
  </w:style>
  <w:style w:type="paragraph" w:customStyle="1" w:styleId="791">
    <w:name w:val="图表脚注"/>
    <w:next w:val="1"/>
    <w:qFormat/>
    <w:uiPriority w:val="0"/>
    <w:pPr>
      <w:ind w:left="300" w:leftChars="200" w:hanging="100" w:hangingChars="100"/>
      <w:jc w:val="both"/>
    </w:pPr>
    <w:rPr>
      <w:rFonts w:ascii="宋体" w:hAnsi="Times New Roman" w:eastAsia="宋体" w:cs="Times New Roman"/>
      <w:sz w:val="18"/>
      <w:lang w:val="en-US" w:eastAsia="zh-CN" w:bidi="ar-SA"/>
    </w:rPr>
  </w:style>
  <w:style w:type="paragraph" w:customStyle="1" w:styleId="792">
    <w:name w:val="正文缩进2字符"/>
    <w:basedOn w:val="1"/>
    <w:qFormat/>
    <w:uiPriority w:val="0"/>
    <w:pPr>
      <w:spacing w:line="520" w:lineRule="exact"/>
      <w:ind w:firstLine="200"/>
    </w:pPr>
    <w:rPr>
      <w:sz w:val="28"/>
      <w:szCs w:val="20"/>
    </w:rPr>
  </w:style>
  <w:style w:type="paragraph" w:customStyle="1" w:styleId="793">
    <w:name w:val="xl4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rPr>
  </w:style>
  <w:style w:type="paragraph" w:customStyle="1" w:styleId="794">
    <w:name w:val="xl28"/>
    <w:basedOn w:val="1"/>
    <w:qFormat/>
    <w:uiPriority w:val="0"/>
    <w:pPr>
      <w:widowControl/>
      <w:pBdr>
        <w:left w:val="single" w:color="auto" w:sz="4" w:space="0"/>
        <w:bottom w:val="single" w:color="auto" w:sz="4" w:space="0"/>
        <w:right w:val="single" w:color="auto" w:sz="4" w:space="0"/>
      </w:pBdr>
      <w:spacing w:before="100" w:beforeAutospacing="1" w:after="100" w:afterAutospacing="1" w:line="360" w:lineRule="auto"/>
      <w:jc w:val="center"/>
    </w:pPr>
    <w:rPr>
      <w:kern w:val="0"/>
      <w:sz w:val="18"/>
      <w:szCs w:val="18"/>
    </w:rPr>
  </w:style>
  <w:style w:type="paragraph" w:customStyle="1" w:styleId="795">
    <w:name w:val="目录"/>
    <w:qFormat/>
    <w:uiPriority w:val="0"/>
    <w:pPr>
      <w:adjustRightInd w:val="0"/>
      <w:snapToGrid w:val="0"/>
      <w:spacing w:line="360" w:lineRule="auto"/>
      <w:jc w:val="center"/>
    </w:pPr>
    <w:rPr>
      <w:rFonts w:ascii="Arial" w:hAnsi="Arial" w:eastAsia="宋体" w:cs="Arial"/>
      <w:b/>
      <w:bCs/>
      <w:kern w:val="2"/>
      <w:sz w:val="36"/>
      <w:szCs w:val="32"/>
      <w:lang w:val="en-US" w:eastAsia="zh-CN" w:bidi="ar-SA"/>
    </w:rPr>
  </w:style>
  <w:style w:type="paragraph" w:customStyle="1" w:styleId="796">
    <w:name w:val="图表—内容"/>
    <w:basedOn w:val="1"/>
    <w:qFormat/>
    <w:uiPriority w:val="0"/>
    <w:pPr>
      <w:adjustRightInd w:val="0"/>
      <w:snapToGrid w:val="0"/>
      <w:spacing w:beforeLines="50" w:line="240" w:lineRule="exact"/>
    </w:pPr>
    <w:rPr>
      <w:rFonts w:ascii="宋体" w:hAnsi="宋体"/>
      <w:kern w:val="0"/>
      <w:position w:val="16"/>
    </w:rPr>
  </w:style>
  <w:style w:type="paragraph" w:customStyle="1" w:styleId="797">
    <w:name w:val="图名xin"/>
    <w:basedOn w:val="1"/>
    <w:semiHidden/>
    <w:qFormat/>
    <w:uiPriority w:val="0"/>
    <w:pPr>
      <w:adjustRightInd w:val="0"/>
      <w:snapToGrid w:val="0"/>
      <w:spacing w:afterLines="50"/>
      <w:jc w:val="center"/>
    </w:pPr>
    <w:rPr>
      <w:color w:val="000000"/>
      <w:kern w:val="0"/>
      <w:szCs w:val="21"/>
    </w:rPr>
  </w:style>
  <w:style w:type="paragraph" w:customStyle="1" w:styleId="798">
    <w:name w:val="首行缩进2字符"/>
    <w:basedOn w:val="1"/>
    <w:qFormat/>
    <w:uiPriority w:val="0"/>
    <w:pPr>
      <w:spacing w:line="460" w:lineRule="exact"/>
      <w:ind w:firstLine="200"/>
    </w:pPr>
    <w:rPr>
      <w:sz w:val="28"/>
      <w:szCs w:val="20"/>
    </w:rPr>
  </w:style>
  <w:style w:type="paragraph" w:customStyle="1" w:styleId="799">
    <w:name w:val="xl24"/>
    <w:basedOn w:val="1"/>
    <w:qFormat/>
    <w:uiPriority w:val="0"/>
    <w:pPr>
      <w:widowControl/>
      <w:pBdr>
        <w:bottom w:val="single" w:color="auto" w:sz="4" w:space="0"/>
        <w:right w:val="single" w:color="auto" w:sz="4" w:space="0"/>
      </w:pBdr>
      <w:spacing w:before="100" w:beforeAutospacing="1" w:after="100" w:afterAutospacing="1"/>
      <w:jc w:val="center"/>
    </w:pPr>
    <w:rPr>
      <w:rFonts w:eastAsia="Times New Roman"/>
      <w:kern w:val="0"/>
      <w:szCs w:val="21"/>
    </w:rPr>
  </w:style>
  <w:style w:type="paragraph" w:customStyle="1" w:styleId="800">
    <w:name w:val="Char Char Char Char Char"/>
    <w:basedOn w:val="1"/>
    <w:qFormat/>
    <w:uiPriority w:val="0"/>
    <w:pPr>
      <w:spacing w:line="360" w:lineRule="auto"/>
      <w:ind w:firstLine="200" w:firstLineChars="200"/>
    </w:pPr>
    <w:rPr>
      <w:rFonts w:ascii="宋体" w:hAnsi="宋体" w:cs="宋体"/>
      <w:sz w:val="24"/>
    </w:rPr>
  </w:style>
  <w:style w:type="paragraph" w:customStyle="1" w:styleId="801">
    <w:name w:val="xl68"/>
    <w:basedOn w:val="1"/>
    <w:qFormat/>
    <w:uiPriority w:val="0"/>
    <w:pPr>
      <w:widowControl/>
      <w:pBdr>
        <w:left w:val="single" w:color="auto" w:sz="8" w:space="0"/>
        <w:bottom w:val="single" w:color="auto" w:sz="8" w:space="0"/>
        <w:right w:val="single" w:color="auto" w:sz="4" w:space="0"/>
      </w:pBdr>
      <w:spacing w:before="100" w:beforeAutospacing="1" w:after="100" w:afterAutospacing="1"/>
      <w:jc w:val="left"/>
    </w:pPr>
    <w:rPr>
      <w:rFonts w:hint="eastAsia" w:ascii="宋体" w:hAnsi="宋体"/>
      <w:kern w:val="0"/>
      <w:sz w:val="32"/>
      <w:szCs w:val="32"/>
    </w:rPr>
  </w:style>
  <w:style w:type="paragraph" w:customStyle="1" w:styleId="802">
    <w:name w:val="一级段落"/>
    <w:basedOn w:val="84"/>
    <w:next w:val="465"/>
    <w:qFormat/>
    <w:uiPriority w:val="0"/>
    <w:pPr>
      <w:widowControl w:val="0"/>
      <w:adjustRightInd w:val="0"/>
      <w:snapToGrid w:val="0"/>
      <w:spacing w:line="360" w:lineRule="auto"/>
      <w:jc w:val="left"/>
    </w:pPr>
    <w:rPr>
      <w:rFonts w:ascii="Arial" w:hAnsi="Arial" w:eastAsia="黑体" w:cs="Arial"/>
      <w:bCs/>
      <w:kern w:val="2"/>
      <w:sz w:val="30"/>
      <w:szCs w:val="32"/>
      <w:lang w:eastAsia="zh-CN"/>
    </w:rPr>
  </w:style>
  <w:style w:type="paragraph" w:customStyle="1" w:styleId="803">
    <w:name w:val="xl55"/>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kern w:val="0"/>
      <w:sz w:val="24"/>
    </w:rPr>
  </w:style>
  <w:style w:type="paragraph" w:customStyle="1" w:styleId="804">
    <w:name w:val="正文2"/>
    <w:basedOn w:val="527"/>
    <w:next w:val="527"/>
    <w:link w:val="2725"/>
    <w:qFormat/>
    <w:uiPriority w:val="0"/>
    <w:pPr>
      <w:snapToGrid w:val="0"/>
      <w:spacing w:after="0"/>
    </w:pPr>
  </w:style>
  <w:style w:type="paragraph" w:customStyle="1" w:styleId="805">
    <w:name w:val="xl36"/>
    <w:basedOn w:val="1"/>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rPr>
  </w:style>
  <w:style w:type="paragraph" w:customStyle="1" w:styleId="806">
    <w:name w:val="xl67"/>
    <w:basedOn w:val="1"/>
    <w:qFormat/>
    <w:uiPriority w:val="0"/>
    <w:pPr>
      <w:widowControl/>
      <w:pBdr>
        <w:right w:val="single" w:color="auto" w:sz="8" w:space="0"/>
      </w:pBdr>
      <w:spacing w:before="100" w:beforeAutospacing="1" w:after="100" w:afterAutospacing="1"/>
      <w:jc w:val="left"/>
    </w:pPr>
    <w:rPr>
      <w:rFonts w:ascii="宋体" w:hAnsi="宋体"/>
      <w:kern w:val="0"/>
      <w:sz w:val="32"/>
      <w:szCs w:val="32"/>
    </w:rPr>
  </w:style>
  <w:style w:type="paragraph" w:customStyle="1" w:styleId="807">
    <w:name w:val="Char Char8 Char Char"/>
    <w:basedOn w:val="1"/>
    <w:semiHidden/>
    <w:qFormat/>
    <w:uiPriority w:val="0"/>
    <w:pPr>
      <w:adjustRightInd w:val="0"/>
      <w:snapToGrid w:val="0"/>
      <w:spacing w:line="360" w:lineRule="auto"/>
      <w:ind w:firstLine="200" w:firstLineChars="200"/>
    </w:pPr>
    <w:rPr>
      <w:rFonts w:ascii="宋体" w:hAnsi="宋体" w:cs="宋体"/>
      <w:sz w:val="24"/>
    </w:rPr>
  </w:style>
  <w:style w:type="paragraph" w:customStyle="1" w:styleId="808">
    <w:name w:val="xl60"/>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rFonts w:hint="eastAsia" w:ascii="宋体" w:hAnsi="宋体"/>
      <w:kern w:val="0"/>
      <w:sz w:val="32"/>
      <w:szCs w:val="32"/>
    </w:rPr>
  </w:style>
  <w:style w:type="paragraph" w:customStyle="1" w:styleId="809">
    <w:name w:val="font7"/>
    <w:basedOn w:val="1"/>
    <w:qFormat/>
    <w:uiPriority w:val="0"/>
    <w:pPr>
      <w:widowControl/>
      <w:spacing w:before="100" w:beforeAutospacing="1" w:after="100" w:afterAutospacing="1"/>
      <w:jc w:val="left"/>
    </w:pPr>
    <w:rPr>
      <w:rFonts w:eastAsia="Arial Unicode MS"/>
      <w:kern w:val="0"/>
      <w:sz w:val="24"/>
    </w:rPr>
  </w:style>
  <w:style w:type="character" w:customStyle="1" w:styleId="810">
    <w:name w:val="HTML 预设格式 Char4"/>
    <w:basedOn w:val="97"/>
    <w:link w:val="80"/>
    <w:qFormat/>
    <w:uiPriority w:val="0"/>
    <w:rPr>
      <w:rFonts w:ascii="宋体" w:hAnsi="宋体" w:cs="宋体"/>
      <w:sz w:val="24"/>
      <w:szCs w:val="24"/>
    </w:rPr>
  </w:style>
  <w:style w:type="paragraph" w:customStyle="1" w:styleId="811">
    <w:name w:val="p29"/>
    <w:basedOn w:val="1"/>
    <w:qFormat/>
    <w:uiPriority w:val="0"/>
    <w:pPr>
      <w:widowControl/>
      <w:spacing w:before="100" w:beforeAutospacing="1" w:after="100" w:afterAutospacing="1" w:line="320" w:lineRule="atLeast"/>
      <w:ind w:firstLine="360"/>
      <w:jc w:val="left"/>
    </w:pPr>
    <w:rPr>
      <w:rFonts w:ascii="Arial Unicode MS" w:hAnsi="Arial Unicode MS"/>
      <w:color w:val="000000"/>
      <w:kern w:val="0"/>
      <w:sz w:val="18"/>
      <w:szCs w:val="18"/>
    </w:rPr>
  </w:style>
  <w:style w:type="paragraph" w:customStyle="1" w:styleId="812">
    <w:name w:val="xl73"/>
    <w:basedOn w:val="1"/>
    <w:qFormat/>
    <w:uiPriority w:val="0"/>
    <w:pPr>
      <w:widowControl/>
      <w:pBdr>
        <w:top w:val="single" w:color="auto" w:sz="8" w:space="0"/>
        <w:left w:val="single" w:color="auto" w:sz="4" w:space="0"/>
        <w:right w:val="single" w:color="auto" w:sz="4" w:space="0"/>
      </w:pBdr>
      <w:spacing w:before="100" w:beforeAutospacing="1" w:after="100" w:afterAutospacing="1"/>
      <w:jc w:val="center"/>
      <w:textAlignment w:val="center"/>
    </w:pPr>
    <w:rPr>
      <w:rFonts w:hint="eastAsia" w:ascii="宋体" w:hAnsi="宋体"/>
      <w:kern w:val="0"/>
      <w:sz w:val="32"/>
      <w:szCs w:val="32"/>
    </w:rPr>
  </w:style>
  <w:style w:type="paragraph" w:customStyle="1" w:styleId="813">
    <w:name w:val="xl47"/>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kern w:val="0"/>
      <w:sz w:val="24"/>
    </w:rPr>
  </w:style>
  <w:style w:type="paragraph" w:customStyle="1" w:styleId="814">
    <w:name w:val="段落"/>
    <w:basedOn w:val="1"/>
    <w:link w:val="3141"/>
    <w:qFormat/>
    <w:uiPriority w:val="0"/>
    <w:pPr>
      <w:spacing w:beforeLines="50" w:line="300" w:lineRule="auto"/>
      <w:ind w:firstLine="539"/>
    </w:pPr>
    <w:rPr>
      <w:rFonts w:ascii="华文中宋" w:hAnsi="华文中宋" w:eastAsia="华文中宋"/>
      <w:spacing w:val="6"/>
      <w:sz w:val="24"/>
    </w:rPr>
  </w:style>
  <w:style w:type="character" w:customStyle="1" w:styleId="815">
    <w:name w:val="正文文本 3 Char"/>
    <w:qFormat/>
    <w:uiPriority w:val="0"/>
    <w:rPr>
      <w:rFonts w:eastAsia="宋体"/>
      <w:sz w:val="16"/>
      <w:szCs w:val="16"/>
      <w:lang w:val="en-US" w:eastAsia="zh-CN" w:bidi="ar-SA"/>
    </w:rPr>
  </w:style>
  <w:style w:type="paragraph" w:customStyle="1" w:styleId="816">
    <w:name w:val="MTDisplayEquation"/>
    <w:basedOn w:val="1"/>
    <w:qFormat/>
    <w:uiPriority w:val="0"/>
    <w:pPr>
      <w:tabs>
        <w:tab w:val="center" w:pos="4160"/>
      </w:tabs>
      <w:spacing w:line="520" w:lineRule="exact"/>
      <w:ind w:firstLine="482"/>
    </w:pPr>
    <w:rPr>
      <w:sz w:val="24"/>
    </w:rPr>
  </w:style>
  <w:style w:type="paragraph" w:customStyle="1" w:styleId="817">
    <w:name w:val="正文文字1"/>
    <w:basedOn w:val="1"/>
    <w:next w:val="1"/>
    <w:qFormat/>
    <w:uiPriority w:val="0"/>
    <w:pPr>
      <w:autoSpaceDE w:val="0"/>
      <w:autoSpaceDN w:val="0"/>
    </w:pPr>
    <w:rPr>
      <w:kern w:val="0"/>
      <w:sz w:val="24"/>
    </w:rPr>
  </w:style>
  <w:style w:type="paragraph" w:customStyle="1" w:styleId="818">
    <w:name w:val="xl34"/>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kern w:val="0"/>
      <w:sz w:val="24"/>
    </w:rPr>
  </w:style>
  <w:style w:type="paragraph" w:customStyle="1" w:styleId="819">
    <w:name w:val="xl65"/>
    <w:basedOn w:val="1"/>
    <w:qFormat/>
    <w:uiPriority w:val="0"/>
    <w:pPr>
      <w:widowControl/>
      <w:pBdr>
        <w:left w:val="single" w:color="auto" w:sz="8" w:space="0"/>
        <w:right w:val="single" w:color="auto" w:sz="4" w:space="0"/>
      </w:pBdr>
      <w:spacing w:before="100" w:beforeAutospacing="1" w:after="100" w:afterAutospacing="1"/>
      <w:jc w:val="left"/>
    </w:pPr>
    <w:rPr>
      <w:rFonts w:hint="eastAsia" w:ascii="宋体" w:hAnsi="宋体"/>
      <w:kern w:val="0"/>
      <w:sz w:val="32"/>
      <w:szCs w:val="32"/>
    </w:rPr>
  </w:style>
  <w:style w:type="paragraph" w:customStyle="1" w:styleId="820">
    <w:name w:val="xl58"/>
    <w:basedOn w:val="1"/>
    <w:qFormat/>
    <w:uiPriority w:val="0"/>
    <w:pPr>
      <w:widowControl/>
      <w:pBdr>
        <w:left w:val="single" w:color="auto" w:sz="4" w:space="0"/>
        <w:right w:val="single" w:color="auto" w:sz="4" w:space="0"/>
      </w:pBdr>
      <w:spacing w:before="100" w:beforeAutospacing="1" w:after="100" w:afterAutospacing="1"/>
      <w:jc w:val="left"/>
    </w:pPr>
    <w:rPr>
      <w:rFonts w:ascii="宋体" w:hAnsi="宋体"/>
      <w:kern w:val="0"/>
      <w:sz w:val="32"/>
      <w:szCs w:val="32"/>
    </w:rPr>
  </w:style>
  <w:style w:type="paragraph" w:customStyle="1" w:styleId="821">
    <w:name w:val="样式 样式 LNG－标题1 + 段前: 0.5 行 段后: 0.5 行 + 段前: 0.5 行 段后: 0.5 行"/>
    <w:basedOn w:val="1"/>
    <w:uiPriority w:val="0"/>
    <w:pPr>
      <w:tabs>
        <w:tab w:val="left" w:pos="425"/>
      </w:tabs>
      <w:adjustRightInd w:val="0"/>
      <w:spacing w:beforeLines="50" w:afterLines="50" w:line="360" w:lineRule="auto"/>
      <w:ind w:left="425" w:hanging="425"/>
      <w:jc w:val="center"/>
      <w:textAlignment w:val="center"/>
      <w:outlineLvl w:val="0"/>
    </w:pPr>
    <w:rPr>
      <w:rFonts w:cs="宋体"/>
      <w:b/>
      <w:bCs/>
      <w:kern w:val="0"/>
      <w:sz w:val="32"/>
      <w:szCs w:val="20"/>
    </w:rPr>
  </w:style>
  <w:style w:type="paragraph" w:customStyle="1" w:styleId="822">
    <w:name w:val="首页大标题"/>
    <w:basedOn w:val="1"/>
    <w:uiPriority w:val="0"/>
    <w:pPr>
      <w:jc w:val="center"/>
    </w:pPr>
    <w:rPr>
      <w:rFonts w:eastAsia="方正小标宋简体"/>
      <w:spacing w:val="60"/>
      <w:sz w:val="86"/>
    </w:rPr>
  </w:style>
  <w:style w:type="paragraph" w:customStyle="1" w:styleId="823">
    <w:name w:val="01 三级标题"/>
    <w:basedOn w:val="1"/>
    <w:next w:val="456"/>
    <w:uiPriority w:val="0"/>
    <w:pPr>
      <w:spacing w:beforeLines="50" w:afterLines="50" w:line="520" w:lineRule="exact"/>
      <w:outlineLvl w:val="2"/>
    </w:pPr>
    <w:rPr>
      <w:rFonts w:ascii="宋体" w:hAnsi="宋体"/>
      <w:b/>
      <w:spacing w:val="-2"/>
      <w:sz w:val="30"/>
      <w:szCs w:val="30"/>
    </w:rPr>
  </w:style>
  <w:style w:type="paragraph" w:customStyle="1" w:styleId="824">
    <w:name w:val="图表名2"/>
    <w:basedOn w:val="273"/>
    <w:uiPriority w:val="0"/>
    <w:pPr>
      <w:spacing w:beforeLines="0"/>
    </w:pPr>
    <w:rPr>
      <w:rFonts w:ascii="Times New Roman" w:eastAsia="宋体" w:cs="Courier New"/>
      <w:b/>
      <w:bCs w:val="0"/>
      <w:sz w:val="20"/>
    </w:rPr>
  </w:style>
  <w:style w:type="paragraph" w:customStyle="1" w:styleId="825">
    <w:name w:val="正式文字"/>
    <w:basedOn w:val="1"/>
    <w:uiPriority w:val="0"/>
    <w:pPr>
      <w:adjustRightInd w:val="0"/>
      <w:snapToGrid w:val="0"/>
      <w:spacing w:line="312" w:lineRule="auto"/>
      <w:ind w:firstLine="567"/>
    </w:pPr>
    <w:rPr>
      <w:rFonts w:ascii="宋体"/>
      <w:spacing w:val="6"/>
      <w:sz w:val="28"/>
    </w:rPr>
  </w:style>
  <w:style w:type="paragraph" w:customStyle="1" w:styleId="826">
    <w:name w:val="xl56"/>
    <w:basedOn w:val="1"/>
    <w:uiPriority w:val="0"/>
    <w:pPr>
      <w:widowControl/>
      <w:pBdr>
        <w:left w:val="single" w:color="auto" w:sz="4" w:space="0"/>
        <w:right w:val="single" w:color="auto" w:sz="4" w:space="0"/>
      </w:pBdr>
      <w:spacing w:before="100" w:beforeAutospacing="1" w:after="100" w:afterAutospacing="1"/>
      <w:jc w:val="left"/>
    </w:pPr>
    <w:rPr>
      <w:rFonts w:hint="eastAsia" w:ascii="宋体" w:hAnsi="宋体"/>
      <w:kern w:val="0"/>
      <w:sz w:val="32"/>
      <w:szCs w:val="32"/>
    </w:rPr>
  </w:style>
  <w:style w:type="paragraph" w:customStyle="1" w:styleId="827">
    <w:name w:val="xl31"/>
    <w:basedOn w:val="1"/>
    <w:uiPriority w:val="0"/>
    <w:pPr>
      <w:widowControl/>
      <w:pBdr>
        <w:top w:val="single" w:color="auto" w:sz="4" w:space="0"/>
        <w:bottom w:val="single" w:color="auto" w:sz="4" w:space="0"/>
      </w:pBdr>
      <w:spacing w:before="100" w:beforeAutospacing="1" w:after="100" w:afterAutospacing="1"/>
      <w:jc w:val="left"/>
    </w:pPr>
    <w:rPr>
      <w:rFonts w:ascii="宋体" w:hAnsi="宋体"/>
      <w:kern w:val="0"/>
      <w:sz w:val="24"/>
    </w:rPr>
  </w:style>
  <w:style w:type="paragraph" w:customStyle="1" w:styleId="828">
    <w:name w:val="生物名（表格）"/>
    <w:basedOn w:val="1"/>
    <w:uiPriority w:val="0"/>
    <w:pPr>
      <w:adjustRightInd w:val="0"/>
      <w:jc w:val="left"/>
    </w:pPr>
    <w:rPr>
      <w:rFonts w:ascii="宋体" w:hAnsi="宋体"/>
      <w:bCs/>
      <w:i/>
      <w:color w:val="993366"/>
      <w:spacing w:val="10"/>
      <w:kern w:val="0"/>
      <w:szCs w:val="21"/>
    </w:rPr>
  </w:style>
  <w:style w:type="paragraph" w:customStyle="1" w:styleId="829">
    <w:name w:val="图标题1"/>
    <w:basedOn w:val="1"/>
    <w:uiPriority w:val="0"/>
    <w:pPr>
      <w:adjustRightInd w:val="0"/>
      <w:snapToGrid w:val="0"/>
      <w:spacing w:line="0" w:lineRule="atLeast"/>
      <w:jc w:val="center"/>
    </w:pPr>
    <w:rPr>
      <w:rFonts w:ascii="宋体" w:hAnsi="宋体"/>
      <w:b/>
      <w:snapToGrid w:val="0"/>
      <w:kern w:val="0"/>
    </w:rPr>
  </w:style>
  <w:style w:type="paragraph" w:customStyle="1" w:styleId="830">
    <w:name w:val="正2小四"/>
    <w:basedOn w:val="1"/>
    <w:uiPriority w:val="0"/>
    <w:pPr>
      <w:adjustRightInd w:val="0"/>
      <w:snapToGrid w:val="0"/>
      <w:spacing w:line="360" w:lineRule="auto"/>
      <w:ind w:firstLine="200" w:firstLineChars="200"/>
      <w:jc w:val="left"/>
    </w:pPr>
    <w:rPr>
      <w:sz w:val="24"/>
      <w:szCs w:val="20"/>
    </w:rPr>
  </w:style>
  <w:style w:type="paragraph" w:customStyle="1" w:styleId="831">
    <w:name w:val="xl52"/>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rPr>
  </w:style>
  <w:style w:type="paragraph" w:customStyle="1" w:styleId="832">
    <w:name w:val="表格居中3"/>
    <w:basedOn w:val="1"/>
    <w:uiPriority w:val="0"/>
    <w:pPr>
      <w:jc w:val="center"/>
      <w:outlineLvl w:val="3"/>
    </w:pPr>
    <w:rPr>
      <w:rFonts w:ascii="宋体" w:hAnsi="宋体"/>
      <w:szCs w:val="20"/>
    </w:rPr>
  </w:style>
  <w:style w:type="paragraph" w:customStyle="1" w:styleId="833">
    <w:name w:val="样式 样式 标题 2 + 首行缩进:  2 字符 + 首行缩进:  2 字符 段前: 7.8 磅"/>
    <w:basedOn w:val="1"/>
    <w:uiPriority w:val="0"/>
    <w:pPr>
      <w:keepNext/>
      <w:keepLines/>
      <w:adjustRightInd w:val="0"/>
      <w:snapToGrid w:val="0"/>
      <w:spacing w:before="156" w:after="240"/>
      <w:jc w:val="left"/>
      <w:outlineLvl w:val="1"/>
    </w:pPr>
    <w:rPr>
      <w:rFonts w:ascii="Arial" w:hAnsi="Arial"/>
      <w:b/>
      <w:bCs/>
      <w:sz w:val="30"/>
      <w:szCs w:val="20"/>
    </w:rPr>
  </w:style>
  <w:style w:type="paragraph" w:customStyle="1" w:styleId="834">
    <w:name w:val="Table"/>
    <w:basedOn w:val="1"/>
    <w:uiPriority w:val="0"/>
    <w:pPr>
      <w:widowControl/>
    </w:pPr>
    <w:rPr>
      <w:rFonts w:ascii="Arial" w:hAnsi="Arial"/>
      <w:kern w:val="0"/>
      <w:sz w:val="20"/>
      <w:szCs w:val="20"/>
      <w:lang w:val="en-GB" w:eastAsia="en-US"/>
    </w:rPr>
  </w:style>
  <w:style w:type="paragraph" w:customStyle="1" w:styleId="835">
    <w:name w:val="文章2"/>
    <w:basedOn w:val="1"/>
    <w:uiPriority w:val="0"/>
    <w:pPr>
      <w:spacing w:line="360" w:lineRule="auto"/>
      <w:ind w:firstLine="480" w:firstLineChars="200"/>
    </w:pPr>
    <w:rPr>
      <w:rFonts w:ascii="宋体" w:hAnsi="宋体"/>
      <w:sz w:val="24"/>
    </w:rPr>
  </w:style>
  <w:style w:type="paragraph" w:customStyle="1" w:styleId="836">
    <w:name w:val="首行缩进1"/>
    <w:basedOn w:val="1"/>
    <w:uiPriority w:val="0"/>
    <w:pPr>
      <w:autoSpaceDE w:val="0"/>
      <w:autoSpaceDN w:val="0"/>
      <w:ind w:firstLine="200" w:firstLineChars="200"/>
    </w:pPr>
    <w:rPr>
      <w:kern w:val="0"/>
      <w:sz w:val="24"/>
    </w:rPr>
  </w:style>
  <w:style w:type="paragraph" w:customStyle="1" w:styleId="837">
    <w:name w:val="表格段落1"/>
    <w:basedOn w:val="1"/>
    <w:uiPriority w:val="0"/>
    <w:pPr>
      <w:spacing w:line="0" w:lineRule="atLeast"/>
      <w:jc w:val="center"/>
    </w:pPr>
    <w:rPr>
      <w:rFonts w:ascii="宋体" w:hAnsi="宋体"/>
      <w:position w:val="-32"/>
      <w:sz w:val="24"/>
    </w:rPr>
  </w:style>
  <w:style w:type="paragraph" w:customStyle="1" w:styleId="838">
    <w:name w:val="Char Char Char Char Char Char Char Char Char Char Char Char Char Char1 Char1"/>
    <w:basedOn w:val="1"/>
    <w:uiPriority w:val="0"/>
    <w:pPr>
      <w:spacing w:line="360" w:lineRule="auto"/>
      <w:ind w:firstLine="200" w:firstLineChars="200"/>
    </w:pPr>
    <w:rPr>
      <w:rFonts w:ascii="宋体" w:hAnsi="宋体" w:cs="宋体"/>
      <w:sz w:val="24"/>
    </w:rPr>
  </w:style>
  <w:style w:type="paragraph" w:customStyle="1" w:styleId="839">
    <w:name w:val="样式 表 + (符号) 宋体 小四 自动设置 行距: 最小值 12 磅"/>
    <w:basedOn w:val="519"/>
    <w:uiPriority w:val="0"/>
    <w:pPr>
      <w:widowControl/>
      <w:spacing w:line="240" w:lineRule="atLeast"/>
      <w:jc w:val="left"/>
    </w:pPr>
    <w:rPr>
      <w:rFonts w:hAnsi="宋体" w:cs="宋体"/>
      <w:sz w:val="24"/>
      <w:szCs w:val="20"/>
    </w:rPr>
  </w:style>
  <w:style w:type="paragraph" w:customStyle="1" w:styleId="840">
    <w:name w:val="font8"/>
    <w:basedOn w:val="1"/>
    <w:uiPriority w:val="0"/>
    <w:pPr>
      <w:widowControl/>
      <w:spacing w:before="100" w:beforeAutospacing="1" w:after="100" w:afterAutospacing="1"/>
      <w:jc w:val="left"/>
    </w:pPr>
    <w:rPr>
      <w:kern w:val="0"/>
      <w:sz w:val="14"/>
      <w:szCs w:val="20"/>
    </w:rPr>
  </w:style>
  <w:style w:type="paragraph" w:customStyle="1" w:styleId="841">
    <w:name w:val="cs10 additive Default Pa"/>
    <w:uiPriority w:val="0"/>
    <w:pPr>
      <w:widowControl w:val="0"/>
      <w:autoSpaceDE w:val="0"/>
      <w:autoSpaceDN w:val="0"/>
      <w:adjustRightInd w:val="0"/>
    </w:pPr>
    <w:rPr>
      <w:rFonts w:ascii="Times New Roman" w:hAnsi="Times New Roman" w:eastAsia="宋体" w:cs="Times New Roman"/>
      <w:lang w:val="en-US" w:eastAsia="zh-CN" w:bidi="ar-SA"/>
    </w:rPr>
  </w:style>
  <w:style w:type="paragraph" w:customStyle="1" w:styleId="842">
    <w:name w:val="B1"/>
    <w:basedOn w:val="1"/>
    <w:next w:val="3"/>
    <w:uiPriority w:val="0"/>
    <w:pPr>
      <w:spacing w:line="360" w:lineRule="auto"/>
      <w:ind w:firstLine="588" w:firstLineChars="210"/>
    </w:pPr>
    <w:rPr>
      <w:sz w:val="28"/>
      <w:szCs w:val="28"/>
      <w:lang w:bidi="ar-AE"/>
    </w:rPr>
  </w:style>
  <w:style w:type="paragraph" w:customStyle="1" w:styleId="843">
    <w:name w:val="xl63"/>
    <w:basedOn w:val="1"/>
    <w:uiPriority w:val="0"/>
    <w:pPr>
      <w:widowControl/>
      <w:pBdr>
        <w:top w:val="single" w:color="auto" w:sz="4" w:space="0"/>
      </w:pBdr>
      <w:spacing w:before="100" w:beforeAutospacing="1" w:after="100" w:afterAutospacing="1"/>
      <w:jc w:val="left"/>
    </w:pPr>
    <w:rPr>
      <w:rFonts w:ascii="宋体" w:hAnsi="宋体"/>
      <w:kern w:val="0"/>
      <w:sz w:val="32"/>
      <w:szCs w:val="32"/>
    </w:rPr>
  </w:style>
  <w:style w:type="paragraph" w:customStyle="1" w:styleId="844">
    <w:name w:val="xl39"/>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rPr>
  </w:style>
  <w:style w:type="paragraph" w:customStyle="1" w:styleId="845">
    <w:name w:val="封面工程名"/>
    <w:basedOn w:val="1"/>
    <w:uiPriority w:val="0"/>
    <w:pPr>
      <w:adjustRightInd w:val="0"/>
      <w:snapToGrid w:val="0"/>
      <w:spacing w:line="360" w:lineRule="auto"/>
      <w:jc w:val="center"/>
    </w:pPr>
    <w:rPr>
      <w:b/>
      <w:bCs/>
      <w:snapToGrid w:val="0"/>
      <w:kern w:val="0"/>
      <w:sz w:val="44"/>
      <w:szCs w:val="44"/>
    </w:rPr>
  </w:style>
  <w:style w:type="paragraph" w:customStyle="1" w:styleId="846">
    <w:name w:val="样式 表名 + 段前: 0.5 行"/>
    <w:basedOn w:val="1"/>
    <w:uiPriority w:val="0"/>
    <w:pPr>
      <w:autoSpaceDE w:val="0"/>
      <w:autoSpaceDN w:val="0"/>
      <w:adjustRightInd w:val="0"/>
      <w:snapToGrid w:val="0"/>
      <w:spacing w:beforeLines="50"/>
      <w:jc w:val="center"/>
      <w:textAlignment w:val="baseline"/>
    </w:pPr>
    <w:rPr>
      <w:rFonts w:ascii="Arial" w:hAnsi="Arial" w:eastAsia="黑体"/>
      <w:kern w:val="0"/>
    </w:rPr>
  </w:style>
  <w:style w:type="paragraph" w:customStyle="1" w:styleId="847">
    <w:name w:val="王秀中"/>
    <w:basedOn w:val="1"/>
    <w:uiPriority w:val="0"/>
    <w:pPr>
      <w:autoSpaceDE w:val="0"/>
      <w:autoSpaceDN w:val="0"/>
      <w:adjustRightInd w:val="0"/>
      <w:snapToGrid w:val="0"/>
      <w:spacing w:line="312" w:lineRule="auto"/>
      <w:ind w:firstLine="567"/>
    </w:pPr>
    <w:rPr>
      <w:kern w:val="0"/>
      <w:sz w:val="28"/>
      <w:szCs w:val="20"/>
    </w:rPr>
  </w:style>
  <w:style w:type="paragraph" w:customStyle="1" w:styleId="848">
    <w:name w:val="港口总体布局规划"/>
    <w:basedOn w:val="1"/>
    <w:uiPriority w:val="0"/>
    <w:pPr>
      <w:snapToGrid w:val="0"/>
      <w:spacing w:line="312" w:lineRule="auto"/>
      <w:ind w:firstLine="567"/>
    </w:pPr>
    <w:rPr>
      <w:spacing w:val="8"/>
      <w:sz w:val="24"/>
      <w:szCs w:val="20"/>
    </w:rPr>
  </w:style>
  <w:style w:type="paragraph" w:customStyle="1" w:styleId="849">
    <w:name w:val="xl66"/>
    <w:basedOn w:val="1"/>
    <w:uiPriority w:val="0"/>
    <w:pPr>
      <w:widowControl/>
      <w:spacing w:before="100" w:beforeAutospacing="1" w:after="100" w:afterAutospacing="1"/>
      <w:jc w:val="left"/>
    </w:pPr>
    <w:rPr>
      <w:rFonts w:ascii="宋体" w:hAnsi="宋体"/>
      <w:kern w:val="0"/>
      <w:sz w:val="32"/>
      <w:szCs w:val="32"/>
    </w:rPr>
  </w:style>
  <w:style w:type="paragraph" w:customStyle="1" w:styleId="850">
    <w:name w:val="Drlg Prog 1"/>
    <w:basedOn w:val="1"/>
    <w:uiPriority w:val="0"/>
    <w:pPr>
      <w:widowControl/>
      <w:tabs>
        <w:tab w:val="left" w:pos="540"/>
        <w:tab w:val="left" w:pos="1080"/>
        <w:tab w:val="left" w:pos="1440"/>
        <w:tab w:val="left" w:pos="1980"/>
        <w:tab w:val="left" w:pos="2520"/>
      </w:tabs>
      <w:suppressAutoHyphens/>
      <w:overflowPunct w:val="0"/>
      <w:autoSpaceDE w:val="0"/>
      <w:autoSpaceDN w:val="0"/>
      <w:adjustRightInd w:val="0"/>
      <w:textAlignment w:val="baseline"/>
    </w:pPr>
    <w:rPr>
      <w:rFonts w:ascii="Arial" w:hAnsi="Arial"/>
      <w:b/>
      <w:spacing w:val="-3"/>
      <w:kern w:val="0"/>
      <w:sz w:val="24"/>
      <w:szCs w:val="20"/>
    </w:rPr>
  </w:style>
  <w:style w:type="paragraph" w:customStyle="1" w:styleId="851">
    <w:name w:val="文字"/>
    <w:basedOn w:val="1"/>
    <w:link w:val="1823"/>
    <w:uiPriority w:val="0"/>
    <w:pPr>
      <w:adjustRightInd w:val="0"/>
      <w:snapToGrid w:val="0"/>
      <w:spacing w:line="312" w:lineRule="auto"/>
      <w:ind w:firstLine="567"/>
    </w:pPr>
    <w:rPr>
      <w:rFonts w:ascii="宋体" w:hAnsi="宋体"/>
      <w:snapToGrid w:val="0"/>
      <w:color w:val="000000"/>
      <w:spacing w:val="6"/>
      <w:sz w:val="28"/>
      <w:szCs w:val="20"/>
    </w:rPr>
  </w:style>
  <w:style w:type="paragraph" w:customStyle="1" w:styleId="852">
    <w:name w:val="标题a"/>
    <w:basedOn w:val="1"/>
    <w:semiHidden/>
    <w:uiPriority w:val="0"/>
    <w:rPr>
      <w:rFonts w:eastAsia="Times New Roman"/>
      <w:b/>
      <w:sz w:val="32"/>
    </w:rPr>
  </w:style>
  <w:style w:type="paragraph" w:customStyle="1" w:styleId="853">
    <w:name w:val="样式节"/>
    <w:basedOn w:val="1"/>
    <w:uiPriority w:val="0"/>
    <w:pPr>
      <w:snapToGrid w:val="0"/>
      <w:spacing w:before="120" w:after="120" w:line="312" w:lineRule="auto"/>
      <w:ind w:firstLine="567"/>
    </w:pPr>
    <w:rPr>
      <w:rFonts w:ascii="宋体"/>
      <w:b/>
      <w:spacing w:val="6"/>
      <w:sz w:val="32"/>
      <w:szCs w:val="20"/>
    </w:rPr>
  </w:style>
  <w:style w:type="paragraph" w:customStyle="1" w:styleId="854">
    <w:name w:val="样式 标题 1 + 小四"/>
    <w:basedOn w:val="3"/>
    <w:uiPriority w:val="0"/>
    <w:pPr>
      <w:keepLines/>
      <w:tabs>
        <w:tab w:val="left" w:pos="420"/>
        <w:tab w:val="clear" w:pos="360"/>
      </w:tabs>
      <w:snapToGrid w:val="0"/>
      <w:spacing w:before="120" w:after="240" w:line="0" w:lineRule="atLeast"/>
      <w:ind w:left="420" w:hanging="420" w:firstLineChars="0"/>
    </w:pPr>
    <w:rPr>
      <w:rFonts w:eastAsia="宋体"/>
      <w:bCs/>
      <w:kern w:val="44"/>
      <w:szCs w:val="20"/>
    </w:rPr>
  </w:style>
  <w:style w:type="paragraph" w:customStyle="1" w:styleId="855">
    <w:name w:val="CM61"/>
    <w:basedOn w:val="1"/>
    <w:next w:val="1"/>
    <w:uiPriority w:val="0"/>
    <w:pPr>
      <w:autoSpaceDE w:val="0"/>
      <w:autoSpaceDN w:val="0"/>
      <w:adjustRightInd w:val="0"/>
      <w:spacing w:after="270"/>
      <w:jc w:val="left"/>
    </w:pPr>
    <w:rPr>
      <w:rFonts w:ascii="仿宋_GB2312" w:eastAsia="仿宋_GB2312" w:cs="仿宋_GB2312"/>
      <w:kern w:val="0"/>
      <w:sz w:val="28"/>
      <w:szCs w:val="28"/>
    </w:rPr>
  </w:style>
  <w:style w:type="paragraph" w:customStyle="1" w:styleId="856">
    <w:name w:val="表头1"/>
    <w:basedOn w:val="1"/>
    <w:link w:val="1576"/>
    <w:uiPriority w:val="0"/>
    <w:pPr>
      <w:autoSpaceDE w:val="0"/>
      <w:autoSpaceDN w:val="0"/>
      <w:adjustRightInd w:val="0"/>
      <w:snapToGrid w:val="0"/>
      <w:spacing w:beforeLines="100"/>
      <w:jc w:val="center"/>
    </w:pPr>
    <w:rPr>
      <w:rFonts w:ascii="宋体"/>
      <w:sz w:val="24"/>
    </w:rPr>
  </w:style>
  <w:style w:type="paragraph" w:customStyle="1" w:styleId="857">
    <w:name w:val="Char1 Char Char Char"/>
    <w:basedOn w:val="1"/>
    <w:uiPriority w:val="0"/>
    <w:rPr>
      <w:sz w:val="24"/>
    </w:rPr>
  </w:style>
  <w:style w:type="paragraph" w:customStyle="1" w:styleId="858">
    <w:name w:val="一级样式满"/>
    <w:basedOn w:val="748"/>
    <w:uiPriority w:val="0"/>
    <w:pPr>
      <w:pageBreakBefore/>
      <w:spacing w:afterLines="0"/>
    </w:pPr>
    <w:rPr>
      <w:sz w:val="30"/>
      <w:szCs w:val="30"/>
    </w:rPr>
  </w:style>
  <w:style w:type="paragraph" w:customStyle="1" w:styleId="859">
    <w:name w:val="新样式"/>
    <w:basedOn w:val="1"/>
    <w:uiPriority w:val="0"/>
    <w:pPr>
      <w:adjustRightInd w:val="0"/>
      <w:snapToGrid w:val="0"/>
      <w:spacing w:line="300" w:lineRule="auto"/>
      <w:ind w:firstLine="480" w:firstLineChars="200"/>
      <w:jc w:val="left"/>
    </w:pPr>
    <w:rPr>
      <w:kern w:val="0"/>
      <w:sz w:val="24"/>
    </w:rPr>
  </w:style>
  <w:style w:type="paragraph" w:customStyle="1" w:styleId="860">
    <w:name w:val="标题二"/>
    <w:basedOn w:val="4"/>
    <w:uiPriority w:val="0"/>
    <w:pPr>
      <w:tabs>
        <w:tab w:val="clear" w:pos="360"/>
      </w:tabs>
      <w:adjustRightInd w:val="0"/>
      <w:snapToGrid w:val="0"/>
      <w:spacing w:beforeLines="40" w:afterLines="20" w:line="360" w:lineRule="auto"/>
      <w:ind w:left="200" w:leftChars="200" w:firstLine="0" w:firstLineChars="0"/>
      <w:jc w:val="left"/>
    </w:pPr>
    <w:rPr>
      <w:rFonts w:ascii="Times New Roman" w:hAnsi="Times New Roman"/>
      <w:b w:val="0"/>
      <w:bCs w:val="0"/>
      <w:snapToGrid w:val="0"/>
      <w:sz w:val="30"/>
      <w:szCs w:val="28"/>
    </w:rPr>
  </w:style>
  <w:style w:type="paragraph" w:customStyle="1" w:styleId="861">
    <w:name w:val="xl40"/>
    <w:basedOn w:val="1"/>
    <w:uiPriority w:val="0"/>
    <w:pPr>
      <w:widowControl/>
      <w:pBdr>
        <w:top w:val="single" w:color="auto" w:sz="4" w:space="0"/>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862">
    <w:name w:val="封面单位"/>
    <w:basedOn w:val="1"/>
    <w:uiPriority w:val="0"/>
    <w:pPr>
      <w:adjustRightInd w:val="0"/>
      <w:snapToGrid w:val="0"/>
      <w:spacing w:line="360" w:lineRule="auto"/>
      <w:jc w:val="center"/>
    </w:pPr>
    <w:rPr>
      <w:b/>
      <w:bCs/>
      <w:color w:val="FF0000"/>
      <w:kern w:val="0"/>
      <w:sz w:val="44"/>
    </w:rPr>
  </w:style>
  <w:style w:type="paragraph" w:customStyle="1" w:styleId="863">
    <w:name w:val="图标题"/>
    <w:basedOn w:val="1"/>
    <w:uiPriority w:val="0"/>
    <w:pPr>
      <w:jc w:val="center"/>
    </w:pPr>
    <w:rPr>
      <w:rFonts w:hAnsi="宋体"/>
      <w:snapToGrid w:val="0"/>
      <w:color w:val="000000"/>
      <w:kern w:val="0"/>
      <w:sz w:val="28"/>
      <w:szCs w:val="28"/>
    </w:rPr>
  </w:style>
  <w:style w:type="paragraph" w:customStyle="1" w:styleId="864">
    <w:name w:val="CM6"/>
    <w:basedOn w:val="1"/>
    <w:next w:val="1"/>
    <w:qFormat/>
    <w:uiPriority w:val="0"/>
    <w:pPr>
      <w:autoSpaceDE w:val="0"/>
      <w:autoSpaceDN w:val="0"/>
      <w:adjustRightInd w:val="0"/>
      <w:spacing w:line="626" w:lineRule="atLeast"/>
      <w:jc w:val="left"/>
    </w:pPr>
    <w:rPr>
      <w:rFonts w:ascii="黑体" w:eastAsia="黑体" w:cs="黑体"/>
      <w:kern w:val="0"/>
      <w:sz w:val="24"/>
    </w:rPr>
  </w:style>
  <w:style w:type="paragraph" w:customStyle="1" w:styleId="865">
    <w:name w:val="表格一"/>
    <w:basedOn w:val="1"/>
    <w:uiPriority w:val="0"/>
    <w:pPr>
      <w:keepNext/>
      <w:keepLines/>
      <w:adjustRightInd w:val="0"/>
      <w:jc w:val="center"/>
      <w:textAlignment w:val="baseline"/>
    </w:pPr>
    <w:rPr>
      <w:kern w:val="0"/>
      <w:sz w:val="24"/>
      <w:szCs w:val="20"/>
    </w:rPr>
  </w:style>
  <w:style w:type="paragraph" w:customStyle="1" w:styleId="866">
    <w:name w:val="正文3"/>
    <w:link w:val="2691"/>
    <w:uiPriority w:val="0"/>
    <w:pPr>
      <w:widowControl w:val="0"/>
      <w:adjustRightInd w:val="0"/>
      <w:spacing w:line="240" w:lineRule="atLeast"/>
      <w:ind w:firstLine="567"/>
      <w:jc w:val="both"/>
      <w:textAlignment w:val="baseline"/>
    </w:pPr>
    <w:rPr>
      <w:rFonts w:ascii="仿宋体" w:hAnsi="Times New Roman" w:eastAsia="仿宋体" w:cs="Times New Roman"/>
      <w:sz w:val="32"/>
      <w:lang w:val="en-US" w:eastAsia="zh-CN" w:bidi="ar-SA"/>
    </w:rPr>
  </w:style>
  <w:style w:type="paragraph" w:customStyle="1" w:styleId="867">
    <w:name w:val="xl22"/>
    <w:basedOn w:val="1"/>
    <w:uiPriority w:val="0"/>
    <w:pPr>
      <w:widowControl/>
      <w:spacing w:before="100" w:beforeAutospacing="1" w:after="100" w:afterAutospacing="1"/>
      <w:jc w:val="center"/>
    </w:pPr>
    <w:rPr>
      <w:rFonts w:ascii="宋体" w:hAnsi="宋体"/>
      <w:kern w:val="0"/>
      <w:sz w:val="24"/>
    </w:rPr>
  </w:style>
  <w:style w:type="paragraph" w:customStyle="1" w:styleId="868">
    <w:name w:val="表格文字居中"/>
    <w:basedOn w:val="1"/>
    <w:next w:val="1"/>
    <w:uiPriority w:val="0"/>
    <w:pPr>
      <w:adjustRightInd w:val="0"/>
      <w:spacing w:before="20" w:after="20" w:line="280" w:lineRule="exact"/>
      <w:jc w:val="center"/>
    </w:pPr>
    <w:rPr>
      <w:color w:val="000000"/>
      <w:kern w:val="0"/>
      <w:szCs w:val="21"/>
    </w:rPr>
  </w:style>
  <w:style w:type="paragraph" w:customStyle="1" w:styleId="869">
    <w:name w:val="样式 zhang正文 + (中文) 宋体"/>
    <w:basedOn w:val="1"/>
    <w:semiHidden/>
    <w:uiPriority w:val="0"/>
    <w:pPr>
      <w:autoSpaceDE w:val="0"/>
      <w:autoSpaceDN w:val="0"/>
      <w:adjustRightInd w:val="0"/>
      <w:snapToGrid w:val="0"/>
      <w:spacing w:line="360" w:lineRule="auto"/>
      <w:ind w:firstLine="539"/>
      <w:textAlignment w:val="baseline"/>
    </w:pPr>
    <w:rPr>
      <w:color w:val="000000"/>
      <w:kern w:val="0"/>
      <w:sz w:val="24"/>
      <w:szCs w:val="20"/>
    </w:rPr>
  </w:style>
  <w:style w:type="paragraph" w:customStyle="1" w:styleId="870">
    <w:name w:val="Pipeline"/>
    <w:basedOn w:val="1"/>
    <w:uiPriority w:val="0"/>
    <w:pPr>
      <w:widowControl/>
      <w:jc w:val="center"/>
    </w:pPr>
    <w:rPr>
      <w:rFonts w:ascii="Arial" w:hAnsi="Arial"/>
      <w:b/>
      <w:caps/>
      <w:kern w:val="0"/>
      <w:sz w:val="28"/>
      <w:szCs w:val="20"/>
      <w:lang w:val="en-GB" w:eastAsia="en-US"/>
    </w:rPr>
  </w:style>
  <w:style w:type="paragraph" w:customStyle="1" w:styleId="871">
    <w:name w:val="表头4"/>
    <w:basedOn w:val="1"/>
    <w:uiPriority w:val="0"/>
    <w:pPr>
      <w:tabs>
        <w:tab w:val="left" w:pos="2345"/>
      </w:tabs>
      <w:adjustRightInd w:val="0"/>
      <w:snapToGrid w:val="0"/>
      <w:spacing w:beforeLines="100" w:afterLines="50" w:line="240" w:lineRule="atLeast"/>
      <w:ind w:left="1330" w:hanging="425"/>
      <w:jc w:val="center"/>
    </w:pPr>
    <w:rPr>
      <w:b/>
      <w:sz w:val="24"/>
    </w:rPr>
  </w:style>
  <w:style w:type="paragraph" w:customStyle="1" w:styleId="872">
    <w:name w:val="w4"/>
    <w:basedOn w:val="1"/>
    <w:uiPriority w:val="0"/>
    <w:pPr>
      <w:widowControl/>
      <w:spacing w:before="100" w:beforeAutospacing="1" w:after="100" w:afterAutospacing="1" w:line="336" w:lineRule="auto"/>
      <w:ind w:firstLine="360"/>
      <w:jc w:val="left"/>
    </w:pPr>
    <w:rPr>
      <w:rFonts w:ascii="ˎ̥" w:hAnsi="ˎ̥"/>
      <w:color w:val="8A5E00"/>
      <w:kern w:val="0"/>
      <w:sz w:val="18"/>
      <w:szCs w:val="18"/>
    </w:rPr>
  </w:style>
  <w:style w:type="paragraph" w:customStyle="1" w:styleId="873">
    <w:name w:val="xl72"/>
    <w:basedOn w:val="1"/>
    <w:uiPriority w:val="0"/>
    <w:pPr>
      <w:widowControl/>
      <w:pBdr>
        <w:right w:val="single" w:color="auto" w:sz="8" w:space="0"/>
      </w:pBdr>
      <w:spacing w:before="100" w:beforeAutospacing="1" w:after="100" w:afterAutospacing="1"/>
      <w:jc w:val="left"/>
    </w:pPr>
    <w:rPr>
      <w:rFonts w:ascii="宋体" w:hAnsi="宋体"/>
      <w:kern w:val="0"/>
      <w:sz w:val="32"/>
      <w:szCs w:val="32"/>
    </w:rPr>
  </w:style>
  <w:style w:type="paragraph" w:customStyle="1" w:styleId="874">
    <w:name w:val="样式 正文缩进 + 首行缩进:  2 字符"/>
    <w:basedOn w:val="21"/>
    <w:link w:val="1683"/>
    <w:uiPriority w:val="0"/>
    <w:pPr>
      <w:tabs>
        <w:tab w:val="left" w:pos="283"/>
      </w:tabs>
      <w:snapToGrid w:val="0"/>
      <w:spacing w:line="520" w:lineRule="atLeast"/>
      <w:ind w:firstLine="200"/>
    </w:pPr>
    <w:rPr>
      <w:rFonts w:cs="宋体"/>
      <w:kern w:val="0"/>
      <w:sz w:val="28"/>
    </w:rPr>
  </w:style>
  <w:style w:type="paragraph" w:customStyle="1" w:styleId="875">
    <w:name w:val="xl46"/>
    <w:basedOn w:val="1"/>
    <w:uiPriority w:val="0"/>
    <w:pPr>
      <w:widowControl/>
      <w:pBdr>
        <w:top w:val="single" w:color="auto" w:sz="4" w:space="0"/>
        <w:bottom w:val="single" w:color="auto" w:sz="4" w:space="0"/>
        <w:right w:val="single" w:color="auto" w:sz="4" w:space="0"/>
      </w:pBdr>
      <w:spacing w:before="100" w:beforeAutospacing="1" w:after="100" w:afterAutospacing="1"/>
      <w:jc w:val="center"/>
    </w:pPr>
    <w:rPr>
      <w:kern w:val="0"/>
      <w:sz w:val="24"/>
    </w:rPr>
  </w:style>
  <w:style w:type="paragraph" w:customStyle="1" w:styleId="876">
    <w:name w:val="签署页"/>
    <w:basedOn w:val="286"/>
    <w:uiPriority w:val="0"/>
    <w:rPr>
      <w:rFonts w:ascii="宋体"/>
      <w:bCs/>
      <w:spacing w:val="10"/>
      <w:sz w:val="24"/>
      <w:szCs w:val="28"/>
    </w:rPr>
  </w:style>
  <w:style w:type="paragraph" w:customStyle="1" w:styleId="877">
    <w:name w:val="Char1 Char Char Char1"/>
    <w:basedOn w:val="527"/>
    <w:next w:val="878"/>
    <w:uiPriority w:val="0"/>
    <w:pPr>
      <w:adjustRightInd/>
      <w:spacing w:line="360" w:lineRule="auto"/>
      <w:ind w:firstLine="480" w:firstLineChars="200"/>
    </w:pPr>
    <w:rPr>
      <w:bCs/>
      <w:kern w:val="2"/>
      <w:szCs w:val="24"/>
    </w:rPr>
  </w:style>
  <w:style w:type="paragraph" w:customStyle="1" w:styleId="878">
    <w:name w:val="Char Char Char Char1"/>
    <w:basedOn w:val="1"/>
    <w:uiPriority w:val="0"/>
    <w:rPr>
      <w:sz w:val="24"/>
    </w:rPr>
  </w:style>
  <w:style w:type="paragraph" w:customStyle="1" w:styleId="879">
    <w:name w:val="流程文字"/>
    <w:basedOn w:val="1"/>
    <w:uiPriority w:val="0"/>
    <w:pPr>
      <w:tabs>
        <w:tab w:val="left" w:pos="6480"/>
      </w:tabs>
      <w:topLinePunct/>
      <w:adjustRightInd w:val="0"/>
      <w:snapToGrid w:val="0"/>
      <w:jc w:val="center"/>
    </w:pPr>
    <w:rPr>
      <w:rFonts w:eastAsia="仿宋_GB2312"/>
      <w:szCs w:val="20"/>
    </w:rPr>
  </w:style>
  <w:style w:type="paragraph" w:customStyle="1" w:styleId="880">
    <w:name w:val="封面报告"/>
    <w:basedOn w:val="1"/>
    <w:uiPriority w:val="0"/>
    <w:pPr>
      <w:widowControl/>
      <w:adjustRightInd w:val="0"/>
      <w:snapToGrid w:val="0"/>
      <w:spacing w:line="360" w:lineRule="auto"/>
      <w:ind w:firstLine="964" w:firstLineChars="200"/>
      <w:jc w:val="center"/>
    </w:pPr>
    <w:rPr>
      <w:b/>
      <w:bCs/>
      <w:color w:val="FF0000"/>
      <w:kern w:val="0"/>
      <w:sz w:val="48"/>
      <w:szCs w:val="48"/>
    </w:rPr>
  </w:style>
  <w:style w:type="paragraph" w:customStyle="1" w:styleId="881">
    <w:name w:val="正式表头"/>
    <w:basedOn w:val="34"/>
    <w:uiPriority w:val="0"/>
    <w:pPr>
      <w:autoSpaceDE w:val="0"/>
      <w:autoSpaceDN w:val="0"/>
      <w:adjustRightInd w:val="0"/>
      <w:snapToGrid w:val="0"/>
      <w:spacing w:line="312" w:lineRule="auto"/>
      <w:jc w:val="center"/>
      <w:textAlignment w:val="baseline"/>
    </w:pPr>
    <w:rPr>
      <w:rFonts w:ascii="黑体" w:eastAsia="黑体"/>
      <w:b/>
      <w:color w:val="000000"/>
      <w:spacing w:val="10"/>
      <w:kern w:val="0"/>
    </w:rPr>
  </w:style>
  <w:style w:type="paragraph" w:customStyle="1" w:styleId="882">
    <w:name w:val="正2小四 Char Char Char Char"/>
    <w:basedOn w:val="1"/>
    <w:uiPriority w:val="0"/>
    <w:pPr>
      <w:adjustRightInd w:val="0"/>
      <w:snapToGrid w:val="0"/>
      <w:spacing w:line="360" w:lineRule="auto"/>
      <w:ind w:firstLine="200" w:firstLineChars="200"/>
      <w:jc w:val="left"/>
    </w:pPr>
    <w:rPr>
      <w:sz w:val="24"/>
      <w:szCs w:val="20"/>
    </w:rPr>
  </w:style>
  <w:style w:type="paragraph" w:customStyle="1" w:styleId="883">
    <w:name w:val="Char Char Char Char Char Char"/>
    <w:basedOn w:val="1"/>
    <w:uiPriority w:val="0"/>
    <w:pPr>
      <w:widowControl/>
      <w:spacing w:after="160" w:line="240" w:lineRule="exact"/>
      <w:jc w:val="left"/>
    </w:pPr>
    <w:rPr>
      <w:rFonts w:ascii="Verdana" w:hAnsi="Verdana"/>
      <w:kern w:val="0"/>
      <w:sz w:val="20"/>
      <w:szCs w:val="20"/>
      <w:lang w:eastAsia="en-US"/>
    </w:rPr>
  </w:style>
  <w:style w:type="paragraph" w:customStyle="1" w:styleId="884">
    <w:name w:val="样式 (西文) 宋体 首行缩进:  2 字符 右侧:  -0.09 厘米 段前: 6.55 磅"/>
    <w:basedOn w:val="1"/>
    <w:uiPriority w:val="0"/>
    <w:pPr>
      <w:adjustRightInd w:val="0"/>
      <w:snapToGrid w:val="0"/>
      <w:spacing w:line="360" w:lineRule="auto"/>
      <w:ind w:firstLine="200" w:firstLineChars="200"/>
    </w:pPr>
    <w:rPr>
      <w:rFonts w:ascii="宋体" w:hAnsi="宋体" w:cs="宋体"/>
      <w:kern w:val="0"/>
      <w:sz w:val="24"/>
    </w:rPr>
  </w:style>
  <w:style w:type="paragraph" w:customStyle="1" w:styleId="885">
    <w:name w:val="样式 标题 2节标题 1.11.1标题2b200000000000000000000000000000000000000..."/>
    <w:basedOn w:val="4"/>
    <w:uiPriority w:val="0"/>
    <w:pPr>
      <w:tabs>
        <w:tab w:val="clear" w:pos="360"/>
      </w:tabs>
      <w:snapToGrid w:val="0"/>
      <w:spacing w:before="200" w:after="100" w:line="560" w:lineRule="exact"/>
      <w:ind w:left="0" w:right="-50" w:firstLine="0" w:firstLineChars="0"/>
      <w:jc w:val="center"/>
    </w:pPr>
    <w:rPr>
      <w:rFonts w:ascii="宋体" w:hAnsi="宋体" w:eastAsia="宋体" w:cs="宋体"/>
      <w:snapToGrid w:val="0"/>
      <w:color w:val="0000FF"/>
      <w:sz w:val="36"/>
      <w:szCs w:val="20"/>
    </w:rPr>
  </w:style>
  <w:style w:type="paragraph" w:customStyle="1" w:styleId="886">
    <w:name w:val="样式2"/>
    <w:basedOn w:val="273"/>
    <w:link w:val="1643"/>
    <w:uiPriority w:val="0"/>
    <w:pPr>
      <w:widowControl/>
      <w:spacing w:beforeLines="0" w:line="240" w:lineRule="auto"/>
    </w:pPr>
    <w:rPr>
      <w:rFonts w:ascii="宋体" w:hAnsi="Courier New" w:eastAsia="宋体"/>
      <w:bCs w:val="0"/>
      <w:color w:val="993366"/>
      <w:kern w:val="24"/>
      <w:sz w:val="20"/>
    </w:rPr>
  </w:style>
  <w:style w:type="paragraph" w:customStyle="1" w:styleId="887">
    <w:name w:val="段落文字 Char Char1"/>
    <w:basedOn w:val="1"/>
    <w:uiPriority w:val="0"/>
    <w:pPr>
      <w:adjustRightInd w:val="0"/>
      <w:snapToGrid w:val="0"/>
      <w:spacing w:line="360" w:lineRule="auto"/>
      <w:jc w:val="center"/>
    </w:pPr>
    <w:rPr>
      <w:rFonts w:hAnsi="宋体"/>
      <w:snapToGrid w:val="0"/>
      <w:spacing w:val="6"/>
      <w:kern w:val="0"/>
      <w:szCs w:val="21"/>
    </w:rPr>
  </w:style>
  <w:style w:type="paragraph" w:customStyle="1" w:styleId="888">
    <w:name w:val="Char Char Char Char Char Char1"/>
    <w:basedOn w:val="1"/>
    <w:uiPriority w:val="0"/>
    <w:pPr>
      <w:widowControl/>
      <w:spacing w:after="160" w:line="240" w:lineRule="exact"/>
      <w:jc w:val="left"/>
    </w:pPr>
    <w:rPr>
      <w:rFonts w:ascii="Verdana" w:hAnsi="Verdana"/>
      <w:kern w:val="0"/>
      <w:sz w:val="20"/>
      <w:szCs w:val="20"/>
      <w:lang w:eastAsia="en-US"/>
    </w:rPr>
  </w:style>
  <w:style w:type="paragraph" w:customStyle="1" w:styleId="889">
    <w:name w:val="节2"/>
    <w:basedOn w:val="4"/>
    <w:uiPriority w:val="0"/>
    <w:pPr>
      <w:keepNext w:val="0"/>
      <w:keepLines w:val="0"/>
      <w:tabs>
        <w:tab w:val="clear" w:pos="360"/>
      </w:tabs>
      <w:adjustRightInd w:val="0"/>
      <w:snapToGrid w:val="0"/>
      <w:spacing w:before="0" w:after="120" w:line="312" w:lineRule="auto"/>
      <w:ind w:left="0" w:firstLine="567" w:firstLineChars="0"/>
      <w:jc w:val="left"/>
      <w:textAlignment w:val="baseline"/>
    </w:pPr>
    <w:rPr>
      <w:rFonts w:ascii="宋体" w:hAnsi="Times New Roman" w:eastAsia="宋体"/>
      <w:snapToGrid w:val="0"/>
      <w:spacing w:val="6"/>
      <w:kern w:val="0"/>
      <w:szCs w:val="28"/>
    </w:rPr>
  </w:style>
  <w:style w:type="paragraph" w:customStyle="1" w:styleId="890">
    <w:name w:val="xl29"/>
    <w:basedOn w:val="1"/>
    <w:uiPriority w:val="0"/>
    <w:pPr>
      <w:widowControl/>
      <w:pBdr>
        <w:bottom w:val="single" w:color="auto" w:sz="4" w:space="0"/>
      </w:pBdr>
      <w:spacing w:before="100" w:beforeAutospacing="1" w:after="100" w:afterAutospacing="1"/>
      <w:jc w:val="left"/>
    </w:pPr>
    <w:rPr>
      <w:rFonts w:ascii="宋体" w:hAnsi="宋体"/>
      <w:kern w:val="0"/>
      <w:sz w:val="24"/>
    </w:rPr>
  </w:style>
  <w:style w:type="paragraph" w:customStyle="1" w:styleId="891">
    <w:name w:val="基准页脚样式"/>
    <w:basedOn w:val="1"/>
    <w:uiPriority w:val="0"/>
    <w:pPr>
      <w:keepLines/>
      <w:widowControl/>
      <w:tabs>
        <w:tab w:val="left" w:pos="6825"/>
      </w:tabs>
      <w:adjustRightInd w:val="0"/>
      <w:snapToGrid w:val="0"/>
      <w:spacing w:after="240" w:line="200" w:lineRule="atLeast"/>
      <w:ind w:firstLine="560" w:firstLineChars="200"/>
    </w:pPr>
    <w:rPr>
      <w:rFonts w:ascii="Garamond" w:hAnsi="Garamond"/>
      <w:kern w:val="0"/>
      <w:sz w:val="18"/>
      <w:szCs w:val="18"/>
      <w:lang w:val="zh-CN"/>
    </w:rPr>
  </w:style>
  <w:style w:type="paragraph" w:customStyle="1" w:styleId="892">
    <w:name w:val="04 小标题（仅粗体）"/>
    <w:next w:val="456"/>
    <w:uiPriority w:val="0"/>
    <w:pPr>
      <w:spacing w:line="520" w:lineRule="exact"/>
      <w:ind w:firstLine="538" w:firstLineChars="228"/>
    </w:pPr>
    <w:rPr>
      <w:rFonts w:ascii="宋体" w:hAnsi="宋体" w:eastAsia="宋体" w:cs="Times New Roman"/>
      <w:spacing w:val="-2"/>
      <w:sz w:val="24"/>
      <w:szCs w:val="28"/>
      <w:lang w:val="en-US" w:eastAsia="zh-CN" w:bidi="ar-SA"/>
    </w:rPr>
  </w:style>
  <w:style w:type="paragraph" w:customStyle="1" w:styleId="893">
    <w:name w:val="样式 样式 样式 样式 样式4 + 首行缩进:  0.75 字符 + 首行缩进:  2 字符 + 首行缩进:  2 字符 + 首..."/>
    <w:basedOn w:val="1"/>
    <w:uiPriority w:val="0"/>
    <w:pPr>
      <w:adjustRightInd w:val="0"/>
      <w:snapToGrid w:val="0"/>
      <w:spacing w:line="480" w:lineRule="exact"/>
      <w:ind w:firstLine="480" w:firstLineChars="200"/>
    </w:pPr>
    <w:rPr>
      <w:rFonts w:ascii="仿宋_GB2312" w:hAnsi="宋体" w:eastAsia="仿宋_GB2312" w:cs="宋体"/>
      <w:sz w:val="24"/>
    </w:rPr>
  </w:style>
  <w:style w:type="paragraph" w:customStyle="1" w:styleId="894">
    <w:name w:val="封里2"/>
    <w:basedOn w:val="691"/>
    <w:link w:val="3172"/>
    <w:uiPriority w:val="0"/>
    <w:pPr>
      <w:ind w:firstLine="200" w:firstLineChars="200"/>
      <w:jc w:val="both"/>
    </w:pPr>
    <w:rPr>
      <w:rFonts w:ascii="Times New Roman" w:eastAsia="宋体"/>
      <w:bCs w:val="0"/>
      <w:kern w:val="2"/>
      <w:sz w:val="28"/>
    </w:rPr>
  </w:style>
  <w:style w:type="paragraph" w:customStyle="1" w:styleId="895">
    <w:name w:val="正文表标题"/>
    <w:next w:val="522"/>
    <w:uiPriority w:val="0"/>
    <w:pPr>
      <w:ind w:left="1980"/>
      <w:jc w:val="center"/>
    </w:pPr>
    <w:rPr>
      <w:rFonts w:ascii="黑体" w:hAnsi="Times New Roman" w:eastAsia="黑体" w:cs="Times New Roman"/>
      <w:sz w:val="21"/>
      <w:lang w:val="en-US" w:eastAsia="zh-CN" w:bidi="ar-SA"/>
    </w:rPr>
  </w:style>
  <w:style w:type="paragraph" w:customStyle="1" w:styleId="896">
    <w:name w:val="表格生物名"/>
    <w:basedOn w:val="395"/>
    <w:uiPriority w:val="0"/>
    <w:pPr>
      <w:adjustRightInd w:val="0"/>
      <w:snapToGrid w:val="0"/>
    </w:pPr>
    <w:rPr>
      <w:i/>
      <w:sz w:val="21"/>
      <w:szCs w:val="18"/>
    </w:rPr>
  </w:style>
  <w:style w:type="paragraph" w:customStyle="1" w:styleId="897">
    <w:name w:val="项目"/>
    <w:basedOn w:val="1"/>
    <w:uiPriority w:val="0"/>
    <w:pPr>
      <w:tabs>
        <w:tab w:val="left" w:pos="900"/>
      </w:tabs>
      <w:ind w:left="900" w:hanging="420"/>
    </w:pPr>
    <w:rPr>
      <w:sz w:val="24"/>
    </w:rPr>
  </w:style>
  <w:style w:type="paragraph" w:customStyle="1" w:styleId="898">
    <w:name w:val="样式 正文文本缩进 + 四号 左  0 字符"/>
    <w:basedOn w:val="35"/>
    <w:uiPriority w:val="0"/>
    <w:pPr>
      <w:widowControl/>
      <w:autoSpaceDE w:val="0"/>
      <w:autoSpaceDN w:val="0"/>
      <w:adjustRightInd w:val="0"/>
      <w:spacing w:line="360" w:lineRule="auto"/>
      <w:ind w:firstLine="200" w:firstLineChars="200"/>
      <w:textAlignment w:val="bottom"/>
    </w:pPr>
    <w:rPr>
      <w:rFonts w:ascii="Calibri" w:hAnsi="Calibri" w:cs="宋体"/>
      <w:kern w:val="0"/>
      <w:sz w:val="24"/>
      <w:szCs w:val="20"/>
    </w:rPr>
  </w:style>
  <w:style w:type="paragraph" w:customStyle="1" w:styleId="899">
    <w:name w:val="样式 标题 3 + 段前: 0.3 行"/>
    <w:basedOn w:val="5"/>
    <w:uiPriority w:val="0"/>
    <w:pPr>
      <w:keepNext w:val="0"/>
      <w:keepLines/>
      <w:tabs>
        <w:tab w:val="clear" w:pos="360"/>
      </w:tabs>
      <w:adjustRightInd/>
      <w:snapToGrid/>
      <w:spacing w:beforeLines="50" w:after="50"/>
      <w:ind w:left="0" w:firstLine="0" w:firstLineChars="0"/>
    </w:pPr>
    <w:rPr>
      <w:rFonts w:eastAsia="黑体" w:cs="宋体"/>
      <w:b/>
      <w:bCs w:val="0"/>
      <w:spacing w:val="16"/>
      <w:w w:val="95"/>
      <w:kern w:val="0"/>
      <w:sz w:val="28"/>
    </w:rPr>
  </w:style>
  <w:style w:type="paragraph" w:customStyle="1" w:styleId="900">
    <w:name w:val="正文格式090609"/>
    <w:basedOn w:val="1"/>
    <w:link w:val="2666"/>
    <w:uiPriority w:val="0"/>
    <w:pPr>
      <w:spacing w:line="480" w:lineRule="exact"/>
      <w:ind w:firstLine="200"/>
      <w:jc w:val="left"/>
    </w:pPr>
    <w:rPr>
      <w:szCs w:val="20"/>
    </w:rPr>
  </w:style>
  <w:style w:type="paragraph" w:customStyle="1" w:styleId="901">
    <w:name w:val="3"/>
    <w:basedOn w:val="1"/>
    <w:next w:val="45"/>
    <w:uiPriority w:val="0"/>
    <w:rPr>
      <w:rFonts w:ascii="宋体" w:hAnsi="Courier New"/>
      <w:sz w:val="24"/>
      <w:szCs w:val="20"/>
    </w:rPr>
  </w:style>
  <w:style w:type="paragraph" w:customStyle="1" w:styleId="902">
    <w:name w:val="表头2"/>
    <w:basedOn w:val="1"/>
    <w:uiPriority w:val="0"/>
    <w:pPr>
      <w:adjustRightInd w:val="0"/>
      <w:snapToGrid w:val="0"/>
      <w:spacing w:before="240" w:line="312" w:lineRule="auto"/>
      <w:jc w:val="center"/>
    </w:pPr>
    <w:rPr>
      <w:rFonts w:ascii="黑体" w:eastAsia="黑体"/>
      <w:b/>
      <w:bCs/>
      <w:spacing w:val="6"/>
      <w:sz w:val="32"/>
    </w:rPr>
  </w:style>
  <w:style w:type="paragraph" w:customStyle="1" w:styleId="903">
    <w:name w:val="扉页"/>
    <w:basedOn w:val="1"/>
    <w:uiPriority w:val="0"/>
    <w:pPr>
      <w:adjustRightInd w:val="0"/>
      <w:snapToGrid w:val="0"/>
      <w:spacing w:line="360" w:lineRule="auto"/>
    </w:pPr>
    <w:rPr>
      <w:b/>
      <w:sz w:val="28"/>
    </w:rPr>
  </w:style>
  <w:style w:type="paragraph" w:customStyle="1" w:styleId="904">
    <w:name w:val="a正文格式"/>
    <w:basedOn w:val="1"/>
    <w:uiPriority w:val="0"/>
    <w:pPr>
      <w:tabs>
        <w:tab w:val="left" w:pos="283"/>
      </w:tabs>
      <w:adjustRightInd w:val="0"/>
      <w:snapToGrid w:val="0"/>
      <w:spacing w:line="360" w:lineRule="auto"/>
      <w:ind w:firstLine="200" w:firstLineChars="200"/>
    </w:pPr>
    <w:rPr>
      <w:sz w:val="24"/>
      <w:szCs w:val="20"/>
    </w:rPr>
  </w:style>
  <w:style w:type="paragraph" w:customStyle="1" w:styleId="905">
    <w:name w:val="样式 标题 1 + (西文) Arial (中文) 黑体 三号 两端对齐 首行缩进:  0.87 厘米 段前: 6 磅..."/>
    <w:basedOn w:val="3"/>
    <w:uiPriority w:val="0"/>
    <w:pPr>
      <w:pageBreakBefore/>
      <w:widowControl/>
      <w:tabs>
        <w:tab w:val="clear" w:pos="360"/>
      </w:tabs>
      <w:spacing w:before="160" w:after="160" w:line="500" w:lineRule="exact"/>
      <w:ind w:left="0" w:firstLine="493" w:firstLineChars="0"/>
      <w:jc w:val="both"/>
    </w:pPr>
    <w:rPr>
      <w:rFonts w:ascii="Arial" w:hAnsi="Arial" w:eastAsia="宋体" w:cs="宋体"/>
      <w:b/>
      <w:spacing w:val="16"/>
      <w:w w:val="90"/>
      <w:kern w:val="32"/>
      <w:sz w:val="32"/>
      <w:szCs w:val="32"/>
    </w:rPr>
  </w:style>
  <w:style w:type="paragraph" w:customStyle="1" w:styleId="906">
    <w:name w:val="Char Char Char Char Char Char Char Char Char1 Char Char Char1 Char Char Char Char1"/>
    <w:basedOn w:val="1"/>
    <w:uiPriority w:val="0"/>
    <w:pPr>
      <w:spacing w:line="360" w:lineRule="auto"/>
      <w:ind w:firstLine="200" w:firstLineChars="200"/>
    </w:pPr>
    <w:rPr>
      <w:szCs w:val="20"/>
    </w:rPr>
  </w:style>
  <w:style w:type="paragraph" w:customStyle="1" w:styleId="907">
    <w:name w:val="Char Char8 Char Char1"/>
    <w:basedOn w:val="1"/>
    <w:semiHidden/>
    <w:uiPriority w:val="0"/>
    <w:pPr>
      <w:adjustRightInd w:val="0"/>
      <w:snapToGrid w:val="0"/>
      <w:spacing w:line="360" w:lineRule="auto"/>
      <w:ind w:firstLine="200" w:firstLineChars="200"/>
    </w:pPr>
    <w:rPr>
      <w:rFonts w:ascii="宋体" w:hAnsi="宋体" w:cs="宋体"/>
      <w:sz w:val="24"/>
    </w:rPr>
  </w:style>
  <w:style w:type="paragraph" w:customStyle="1" w:styleId="908">
    <w:name w:val="报告"/>
    <w:basedOn w:val="1"/>
    <w:link w:val="1241"/>
    <w:uiPriority w:val="0"/>
    <w:pPr>
      <w:adjustRightInd w:val="0"/>
      <w:spacing w:line="360" w:lineRule="auto"/>
      <w:ind w:firstLine="505"/>
      <w:textAlignment w:val="center"/>
    </w:pPr>
    <w:rPr>
      <w:rFonts w:ascii="TimesNewRoman" w:hAnsi="TimesNewRoman"/>
      <w:kern w:val="0"/>
      <w:sz w:val="24"/>
      <w:szCs w:val="20"/>
    </w:rPr>
  </w:style>
  <w:style w:type="paragraph" w:customStyle="1" w:styleId="909">
    <w:name w:val="样式 一级段落编号 + 段前: 0.5 行 段后: 0.5 行"/>
    <w:basedOn w:val="1"/>
    <w:uiPriority w:val="0"/>
    <w:pPr>
      <w:tabs>
        <w:tab w:val="left" w:pos="709"/>
      </w:tabs>
      <w:adjustRightInd w:val="0"/>
      <w:snapToGrid w:val="0"/>
      <w:spacing w:line="360" w:lineRule="auto"/>
      <w:ind w:left="709" w:hanging="709"/>
    </w:pPr>
    <w:rPr>
      <w:rFonts w:eastAsia="仿宋_GB2312"/>
      <w:b/>
      <w:bCs/>
      <w:color w:val="000000"/>
      <w:kern w:val="0"/>
      <w:sz w:val="30"/>
      <w:szCs w:val="20"/>
    </w:rPr>
  </w:style>
  <w:style w:type="paragraph" w:customStyle="1" w:styleId="910">
    <w:name w:val="zrf表格内容"/>
    <w:basedOn w:val="45"/>
    <w:link w:val="2735"/>
    <w:uiPriority w:val="0"/>
    <w:pPr>
      <w:jc w:val="center"/>
    </w:pPr>
    <w:rPr>
      <w:rFonts w:ascii="Times New Roman" w:hAnsi="Times New Roman" w:cs="宋体"/>
      <w:bCs/>
      <w:kern w:val="0"/>
      <w:szCs w:val="20"/>
    </w:rPr>
  </w:style>
  <w:style w:type="paragraph" w:customStyle="1" w:styleId="911">
    <w:name w:val="xl25"/>
    <w:basedOn w:val="1"/>
    <w:uiPriority w:val="0"/>
    <w:pPr>
      <w:widowControl/>
      <w:spacing w:before="100" w:beforeAutospacing="1" w:after="100" w:afterAutospacing="1"/>
      <w:jc w:val="center"/>
    </w:pPr>
    <w:rPr>
      <w:rFonts w:ascii="Arial Unicode MS" w:hAnsi="Arial Unicode MS"/>
      <w:b/>
      <w:kern w:val="0"/>
      <w:sz w:val="32"/>
      <w:szCs w:val="20"/>
    </w:rPr>
  </w:style>
  <w:style w:type="paragraph" w:customStyle="1" w:styleId="912">
    <w:name w:val="二级段落"/>
    <w:basedOn w:val="1"/>
    <w:next w:val="465"/>
    <w:uiPriority w:val="0"/>
    <w:rPr>
      <w:rFonts w:eastAsia="黑体"/>
      <w:sz w:val="30"/>
    </w:rPr>
  </w:style>
  <w:style w:type="paragraph" w:customStyle="1" w:styleId="913">
    <w:name w:val="Char Char Char Char3"/>
    <w:basedOn w:val="1"/>
    <w:uiPriority w:val="0"/>
    <w:pPr>
      <w:adjustRightInd w:val="0"/>
      <w:snapToGrid w:val="0"/>
      <w:spacing w:line="360" w:lineRule="auto"/>
      <w:ind w:firstLine="620" w:firstLineChars="200"/>
    </w:pPr>
    <w:rPr>
      <w:kern w:val="0"/>
      <w:sz w:val="24"/>
    </w:rPr>
  </w:style>
  <w:style w:type="paragraph" w:customStyle="1" w:styleId="914">
    <w:name w:val="04 四级标题"/>
    <w:next w:val="456"/>
    <w:uiPriority w:val="0"/>
    <w:pPr>
      <w:spacing w:line="600" w:lineRule="exact"/>
    </w:pPr>
    <w:rPr>
      <w:rFonts w:ascii="宋体" w:hAnsi="宋体" w:eastAsia="宋体" w:cs="Times New Roman"/>
      <w:b/>
      <w:spacing w:val="-2"/>
      <w:kern w:val="2"/>
      <w:sz w:val="24"/>
      <w:szCs w:val="28"/>
      <w:lang w:val="en-US" w:eastAsia="zh-CN" w:bidi="ar-SA"/>
    </w:rPr>
  </w:style>
  <w:style w:type="paragraph" w:customStyle="1" w:styleId="915">
    <w:name w:val="Char Char Char Char Char Char Char2"/>
    <w:basedOn w:val="1"/>
    <w:uiPriority w:val="0"/>
    <w:pPr>
      <w:spacing w:line="360" w:lineRule="auto"/>
      <w:ind w:firstLine="200" w:firstLineChars="200"/>
    </w:pPr>
    <w:rPr>
      <w:rFonts w:ascii="宋体" w:hAnsi="宋体" w:cs="宋体"/>
      <w:sz w:val="24"/>
    </w:rPr>
  </w:style>
  <w:style w:type="paragraph" w:customStyle="1" w:styleId="916">
    <w:name w:val="图和表名"/>
    <w:basedOn w:val="1"/>
    <w:uiPriority w:val="0"/>
    <w:pPr>
      <w:adjustRightInd w:val="0"/>
      <w:snapToGrid w:val="0"/>
      <w:jc w:val="center"/>
    </w:pPr>
    <w:rPr>
      <w:rFonts w:hAnsi="宋体"/>
      <w:color w:val="000000"/>
      <w:sz w:val="24"/>
    </w:rPr>
  </w:style>
  <w:style w:type="paragraph" w:customStyle="1" w:styleId="917">
    <w:name w:val="中文报告书样式"/>
    <w:basedOn w:val="1"/>
    <w:uiPriority w:val="0"/>
    <w:pPr>
      <w:adjustRightInd w:val="0"/>
      <w:spacing w:line="520" w:lineRule="exact"/>
      <w:ind w:firstLine="578"/>
      <w:textAlignment w:val="baseline"/>
    </w:pPr>
    <w:rPr>
      <w:kern w:val="24"/>
      <w:sz w:val="28"/>
      <w:szCs w:val="20"/>
    </w:rPr>
  </w:style>
  <w:style w:type="paragraph" w:customStyle="1" w:styleId="918">
    <w:name w:val="1"/>
    <w:basedOn w:val="3"/>
    <w:uiPriority w:val="0"/>
    <w:pPr>
      <w:keepNext w:val="0"/>
      <w:pageBreakBefore/>
      <w:tabs>
        <w:tab w:val="clear" w:pos="360"/>
      </w:tabs>
      <w:adjustRightInd w:val="0"/>
      <w:snapToGrid w:val="0"/>
      <w:spacing w:afterLines="100" w:line="360" w:lineRule="auto"/>
      <w:ind w:left="0" w:firstLine="0" w:firstLineChars="0"/>
    </w:pPr>
    <w:rPr>
      <w:rFonts w:ascii="宋体" w:hAnsi="Courier New" w:eastAsia="宋体" w:cs="Courier New"/>
      <w:bCs/>
      <w:spacing w:val="10"/>
      <w:sz w:val="32"/>
      <w:szCs w:val="21"/>
    </w:rPr>
  </w:style>
  <w:style w:type="paragraph" w:customStyle="1" w:styleId="919">
    <w:name w:val="xl61"/>
    <w:basedOn w:val="1"/>
    <w:uiPriority w:val="0"/>
    <w:pPr>
      <w:widowControl/>
      <w:pBdr>
        <w:top w:val="single" w:color="auto" w:sz="4" w:space="0"/>
        <w:left w:val="single" w:color="auto" w:sz="8" w:space="0"/>
      </w:pBdr>
      <w:spacing w:before="100" w:beforeAutospacing="1" w:after="100" w:afterAutospacing="1"/>
      <w:jc w:val="left"/>
    </w:pPr>
    <w:rPr>
      <w:rFonts w:hint="eastAsia" w:ascii="宋体" w:hAnsi="宋体"/>
      <w:kern w:val="0"/>
      <w:sz w:val="32"/>
      <w:szCs w:val="32"/>
    </w:rPr>
  </w:style>
  <w:style w:type="paragraph" w:customStyle="1" w:styleId="920">
    <w:name w:val="xl37"/>
    <w:basedOn w:val="1"/>
    <w:uiPriority w:val="0"/>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kern w:val="0"/>
      <w:sz w:val="24"/>
    </w:rPr>
  </w:style>
  <w:style w:type="paragraph" w:customStyle="1" w:styleId="921">
    <w:name w:val="样式 黑色 行距: 固定值 24 磅"/>
    <w:basedOn w:val="1"/>
    <w:uiPriority w:val="0"/>
    <w:pPr>
      <w:adjustRightInd w:val="0"/>
      <w:snapToGrid w:val="0"/>
      <w:spacing w:line="480" w:lineRule="exact"/>
      <w:ind w:firstLine="560" w:firstLineChars="200"/>
    </w:pPr>
    <w:rPr>
      <w:rFonts w:ascii="宋体" w:hAnsi="宋体"/>
      <w:color w:val="000000"/>
      <w:sz w:val="28"/>
      <w:szCs w:val="20"/>
    </w:rPr>
  </w:style>
  <w:style w:type="paragraph" w:customStyle="1" w:styleId="922">
    <w:name w:val="1表格"/>
    <w:basedOn w:val="1"/>
    <w:uiPriority w:val="0"/>
    <w:pPr>
      <w:tabs>
        <w:tab w:val="left" w:pos="7433"/>
      </w:tabs>
      <w:adjustRightInd w:val="0"/>
      <w:snapToGrid w:val="0"/>
      <w:spacing w:before="60" w:after="60"/>
      <w:jc w:val="center"/>
      <w:textAlignment w:val="baseline"/>
    </w:pPr>
    <w:rPr>
      <w:rFonts w:ascii="宋体" w:hAnsi="宋体"/>
      <w:snapToGrid w:val="0"/>
      <w:spacing w:val="6"/>
      <w:kern w:val="0"/>
      <w:sz w:val="24"/>
      <w:szCs w:val="20"/>
    </w:rPr>
  </w:style>
  <w:style w:type="paragraph" w:customStyle="1" w:styleId="923">
    <w:name w:val="xl59"/>
    <w:basedOn w:val="1"/>
    <w:uiPriority w:val="0"/>
    <w:pPr>
      <w:widowControl/>
      <w:pBdr>
        <w:left w:val="single" w:color="auto" w:sz="8" w:space="0"/>
        <w:bottom w:val="single" w:color="auto" w:sz="4" w:space="0"/>
      </w:pBdr>
      <w:spacing w:before="100" w:beforeAutospacing="1" w:after="100" w:afterAutospacing="1"/>
      <w:jc w:val="left"/>
    </w:pPr>
    <w:rPr>
      <w:rFonts w:ascii="宋体" w:hAnsi="宋体"/>
      <w:kern w:val="0"/>
      <w:sz w:val="32"/>
      <w:szCs w:val="32"/>
    </w:rPr>
  </w:style>
  <w:style w:type="paragraph" w:customStyle="1" w:styleId="924">
    <w:name w:val="xl35"/>
    <w:basedOn w:val="1"/>
    <w:uiPriority w:val="0"/>
    <w:pPr>
      <w:widowControl/>
      <w:pBdr>
        <w:top w:val="single" w:color="auto" w:sz="4" w:space="0"/>
        <w:left w:val="single" w:color="auto" w:sz="4" w:space="0"/>
      </w:pBdr>
      <w:spacing w:before="100" w:beforeAutospacing="1" w:after="100" w:afterAutospacing="1"/>
      <w:jc w:val="left"/>
    </w:pPr>
    <w:rPr>
      <w:rFonts w:ascii="宋体" w:hAnsi="宋体"/>
      <w:kern w:val="0"/>
      <w:sz w:val="24"/>
    </w:rPr>
  </w:style>
  <w:style w:type="paragraph" w:customStyle="1" w:styleId="925">
    <w:name w:val="标题 3Chapter HeadingSeHead wsa3 CharHead wsa3 Char Char Ch..."/>
    <w:basedOn w:val="4"/>
    <w:uiPriority w:val="0"/>
    <w:pPr>
      <w:keepNext w:val="0"/>
      <w:tabs>
        <w:tab w:val="clear" w:pos="360"/>
      </w:tabs>
      <w:adjustRightInd w:val="0"/>
      <w:snapToGrid w:val="0"/>
      <w:spacing w:beforeLines="50" w:after="0" w:line="360" w:lineRule="auto"/>
      <w:ind w:left="0" w:right="-50" w:firstLine="120" w:firstLineChars="50"/>
      <w:jc w:val="left"/>
    </w:pPr>
    <w:rPr>
      <w:rFonts w:ascii="宋体" w:hAnsi="宋体" w:eastAsia="宋体" w:cs="宋体"/>
      <w:b w:val="0"/>
      <w:snapToGrid w:val="0"/>
      <w:kern w:val="0"/>
      <w:sz w:val="30"/>
      <w:szCs w:val="20"/>
    </w:rPr>
  </w:style>
  <w:style w:type="paragraph" w:customStyle="1" w:styleId="926">
    <w:name w:val="表格下注"/>
    <w:uiPriority w:val="0"/>
    <w:pPr>
      <w:autoSpaceDE w:val="0"/>
      <w:autoSpaceDN w:val="0"/>
      <w:adjustRightInd w:val="0"/>
      <w:snapToGrid w:val="0"/>
    </w:pPr>
    <w:rPr>
      <w:rFonts w:ascii="Times New Roman" w:hAnsi="Times New Roman" w:eastAsia="宋体" w:cs="Times New Roman"/>
      <w:sz w:val="21"/>
      <w:szCs w:val="21"/>
      <w:lang w:val="en-US" w:eastAsia="zh-CN" w:bidi="ar-SA"/>
    </w:rPr>
  </w:style>
  <w:style w:type="paragraph" w:customStyle="1" w:styleId="927">
    <w:name w:val="样式6"/>
    <w:basedOn w:val="73"/>
    <w:link w:val="1435"/>
    <w:qFormat/>
    <w:uiPriority w:val="0"/>
    <w:pPr>
      <w:ind w:left="420" w:leftChars="0" w:firstLine="0" w:firstLineChars="0"/>
      <w:jc w:val="center"/>
    </w:pPr>
    <w:rPr>
      <w:b/>
      <w:caps/>
      <w:sz w:val="24"/>
      <w:szCs w:val="20"/>
    </w:rPr>
  </w:style>
  <w:style w:type="paragraph" w:customStyle="1" w:styleId="928">
    <w:name w:val="封面1"/>
    <w:basedOn w:val="1"/>
    <w:uiPriority w:val="0"/>
    <w:pPr>
      <w:adjustRightInd w:val="0"/>
      <w:snapToGrid w:val="0"/>
      <w:spacing w:line="360" w:lineRule="auto"/>
      <w:ind w:firstLine="200" w:firstLineChars="200"/>
    </w:pPr>
    <w:rPr>
      <w:rFonts w:eastAsia="华文行楷"/>
      <w:b/>
      <w:bCs/>
      <w:sz w:val="44"/>
      <w:szCs w:val="44"/>
    </w:rPr>
  </w:style>
  <w:style w:type="paragraph" w:customStyle="1" w:styleId="929">
    <w:name w:val="简单回函地址"/>
    <w:basedOn w:val="1"/>
    <w:uiPriority w:val="0"/>
  </w:style>
  <w:style w:type="paragraph" w:customStyle="1" w:styleId="930">
    <w:name w:val="表2"/>
    <w:basedOn w:val="1"/>
    <w:uiPriority w:val="0"/>
    <w:pPr>
      <w:adjustRightInd w:val="0"/>
      <w:snapToGrid w:val="0"/>
      <w:spacing w:before="60" w:after="60"/>
      <w:jc w:val="center"/>
    </w:pPr>
    <w:rPr>
      <w:rFonts w:ascii="宋体"/>
      <w:spacing w:val="-4"/>
      <w:sz w:val="24"/>
      <w:szCs w:val="21"/>
    </w:rPr>
  </w:style>
  <w:style w:type="paragraph" w:customStyle="1" w:styleId="931">
    <w:name w:val="表格文字（两端对齐）"/>
    <w:basedOn w:val="1"/>
    <w:uiPriority w:val="0"/>
    <w:pPr>
      <w:kinsoku w:val="0"/>
      <w:overflowPunct w:val="0"/>
      <w:autoSpaceDE w:val="0"/>
      <w:autoSpaceDN w:val="0"/>
      <w:adjustRightInd w:val="0"/>
    </w:pPr>
    <w:rPr>
      <w:rFonts w:ascii="宋体" w:hAnsi="宋体"/>
      <w:bCs/>
      <w:snapToGrid w:val="0"/>
      <w:color w:val="993366"/>
      <w:spacing w:val="20"/>
      <w:kern w:val="0"/>
      <w:szCs w:val="21"/>
    </w:rPr>
  </w:style>
  <w:style w:type="paragraph" w:customStyle="1" w:styleId="932">
    <w:name w:val="样式 正文文本缩进 + (西文) 宋体 (中文) 宋体 小四 行距: 多倍行距 1.2 字行 首行缩进:  2.33 字符"/>
    <w:basedOn w:val="35"/>
    <w:uiPriority w:val="0"/>
    <w:pPr>
      <w:spacing w:line="360" w:lineRule="auto"/>
      <w:ind w:firstLine="233" w:firstLineChars="233"/>
    </w:pPr>
    <w:rPr>
      <w:rFonts w:ascii="宋体" w:hAnsi="宋体"/>
      <w:kern w:val="0"/>
      <w:sz w:val="24"/>
      <w:szCs w:val="20"/>
    </w:rPr>
  </w:style>
  <w:style w:type="paragraph" w:customStyle="1" w:styleId="933">
    <w:name w:val="表—内容5号"/>
    <w:basedOn w:val="1"/>
    <w:uiPriority w:val="0"/>
    <w:pPr>
      <w:adjustRightInd w:val="0"/>
      <w:snapToGrid w:val="0"/>
      <w:spacing w:line="360" w:lineRule="auto"/>
      <w:ind w:hanging="11"/>
      <w:jc w:val="center"/>
    </w:pPr>
    <w:rPr>
      <w:rFonts w:eastAsia="黑体"/>
      <w:szCs w:val="20"/>
    </w:rPr>
  </w:style>
  <w:style w:type="paragraph" w:customStyle="1" w:styleId="934">
    <w:name w:val="封面2"/>
    <w:basedOn w:val="1"/>
    <w:qFormat/>
    <w:uiPriority w:val="0"/>
    <w:pPr>
      <w:adjustRightInd w:val="0"/>
      <w:snapToGrid w:val="0"/>
      <w:spacing w:line="360" w:lineRule="auto"/>
      <w:ind w:firstLine="200" w:firstLineChars="200"/>
    </w:pPr>
    <w:rPr>
      <w:b/>
      <w:bCs/>
      <w:sz w:val="32"/>
      <w:szCs w:val="32"/>
    </w:rPr>
  </w:style>
  <w:style w:type="paragraph" w:customStyle="1" w:styleId="935">
    <w:name w:val="章名"/>
    <w:basedOn w:val="1"/>
    <w:next w:val="1"/>
    <w:uiPriority w:val="0"/>
    <w:pPr>
      <w:spacing w:line="360" w:lineRule="auto"/>
      <w:jc w:val="center"/>
      <w:outlineLvl w:val="0"/>
    </w:pPr>
    <w:rPr>
      <w:rFonts w:eastAsia="黑体"/>
      <w:b/>
      <w:sz w:val="72"/>
    </w:rPr>
  </w:style>
  <w:style w:type="paragraph" w:customStyle="1" w:styleId="936">
    <w:name w:val="表头字"/>
    <w:basedOn w:val="1"/>
    <w:uiPriority w:val="0"/>
    <w:pPr>
      <w:spacing w:line="360" w:lineRule="auto"/>
      <w:jc w:val="center"/>
    </w:pPr>
    <w:rPr>
      <w:rFonts w:hAnsi="宋体"/>
      <w:szCs w:val="21"/>
    </w:rPr>
  </w:style>
  <w:style w:type="paragraph" w:customStyle="1" w:styleId="937">
    <w:name w:val="表内容"/>
    <w:uiPriority w:val="0"/>
    <w:pPr>
      <w:jc w:val="center"/>
    </w:pPr>
    <w:rPr>
      <w:rFonts w:ascii="Times New Roman" w:hAnsi="Times New Roman" w:eastAsia="宋体" w:cs="Times New Roman"/>
      <w:bCs/>
      <w:snapToGrid w:val="0"/>
      <w:sz w:val="21"/>
      <w:szCs w:val="21"/>
      <w:lang w:val="en-US" w:eastAsia="zh-CN" w:bidi="ar-SA"/>
    </w:rPr>
  </w:style>
  <w:style w:type="paragraph" w:customStyle="1" w:styleId="938">
    <w:name w:val="图表"/>
    <w:basedOn w:val="1"/>
    <w:qFormat/>
    <w:uiPriority w:val="0"/>
    <w:pPr>
      <w:jc w:val="left"/>
    </w:pPr>
    <w:rPr>
      <w:rFonts w:ascii="黑体" w:hAnsi="华文中宋" w:eastAsia="黑体"/>
      <w:kern w:val="0"/>
      <w:szCs w:val="48"/>
    </w:rPr>
  </w:style>
  <w:style w:type="paragraph" w:customStyle="1" w:styleId="939">
    <w:name w:val="xl42"/>
    <w:basedOn w:val="1"/>
    <w:uiPriority w:val="0"/>
    <w:pPr>
      <w:widowControl/>
      <w:pBdr>
        <w:top w:val="single" w:color="auto" w:sz="4" w:space="0"/>
        <w:bottom w:val="single" w:color="auto" w:sz="4" w:space="0"/>
      </w:pBdr>
      <w:spacing w:before="100" w:beforeAutospacing="1" w:after="100" w:afterAutospacing="1"/>
      <w:jc w:val="center"/>
    </w:pPr>
    <w:rPr>
      <w:kern w:val="0"/>
      <w:szCs w:val="21"/>
    </w:rPr>
  </w:style>
  <w:style w:type="paragraph" w:customStyle="1" w:styleId="940">
    <w:name w:val="xl32"/>
    <w:basedOn w:val="1"/>
    <w:uiPriority w:val="0"/>
    <w:pPr>
      <w:widowControl/>
      <w:pBdr>
        <w:bottom w:val="single" w:color="auto" w:sz="4" w:space="0"/>
        <w:right w:val="single" w:color="auto" w:sz="4" w:space="0"/>
      </w:pBdr>
      <w:spacing w:before="100" w:beforeAutospacing="1" w:after="100" w:afterAutospacing="1" w:line="360" w:lineRule="auto"/>
      <w:jc w:val="center"/>
    </w:pPr>
    <w:rPr>
      <w:kern w:val="0"/>
      <w:sz w:val="24"/>
      <w:szCs w:val="21"/>
    </w:rPr>
  </w:style>
  <w:style w:type="paragraph" w:customStyle="1" w:styleId="941">
    <w:name w:val="正文OK"/>
    <w:basedOn w:val="1"/>
    <w:uiPriority w:val="0"/>
    <w:pPr>
      <w:spacing w:line="360" w:lineRule="auto"/>
      <w:ind w:firstLine="200" w:firstLineChars="200"/>
    </w:pPr>
    <w:rPr>
      <w:kern w:val="0"/>
      <w:sz w:val="24"/>
    </w:rPr>
  </w:style>
  <w:style w:type="paragraph" w:customStyle="1" w:styleId="942">
    <w:name w:val="参考文献"/>
    <w:basedOn w:val="45"/>
    <w:uiPriority w:val="0"/>
    <w:pPr>
      <w:adjustRightInd w:val="0"/>
      <w:snapToGrid w:val="0"/>
      <w:spacing w:line="360" w:lineRule="auto"/>
      <w:ind w:firstLine="480" w:firstLineChars="200"/>
      <w:jc w:val="left"/>
    </w:pPr>
    <w:rPr>
      <w:rFonts w:ascii="Times New Roman" w:hAnsi="Times New Roman"/>
      <w:kern w:val="0"/>
      <w:sz w:val="28"/>
      <w:szCs w:val="28"/>
    </w:rPr>
  </w:style>
  <w:style w:type="paragraph" w:customStyle="1" w:styleId="943">
    <w:name w:val="样式-正表lshy"/>
    <w:basedOn w:val="1"/>
    <w:uiPriority w:val="0"/>
    <w:pPr>
      <w:adjustRightInd w:val="0"/>
      <w:snapToGrid w:val="0"/>
      <w:spacing w:line="240" w:lineRule="atLeast"/>
      <w:jc w:val="center"/>
      <w:textAlignment w:val="baseline"/>
    </w:pPr>
    <w:rPr>
      <w:rFonts w:ascii="宋体"/>
      <w:color w:val="000000"/>
      <w:kern w:val="0"/>
      <w:szCs w:val="20"/>
    </w:rPr>
  </w:style>
  <w:style w:type="paragraph" w:customStyle="1" w:styleId="944">
    <w:name w:val="inner"/>
    <w:basedOn w:val="1"/>
    <w:uiPriority w:val="0"/>
    <w:pPr>
      <w:widowControl/>
      <w:spacing w:before="100" w:beforeAutospacing="1" w:after="100" w:afterAutospacing="1" w:line="257" w:lineRule="atLeast"/>
      <w:jc w:val="left"/>
    </w:pPr>
    <w:rPr>
      <w:rFonts w:ascii="Arial Unicode MS" w:hAnsi="Arial Unicode MS"/>
      <w:color w:val="000000"/>
      <w:spacing w:val="26"/>
      <w:kern w:val="0"/>
      <w:sz w:val="15"/>
      <w:szCs w:val="15"/>
    </w:rPr>
  </w:style>
  <w:style w:type="paragraph" w:customStyle="1" w:styleId="945">
    <w:name w:val="xl74"/>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kern w:val="0"/>
      <w:sz w:val="32"/>
      <w:szCs w:val="32"/>
    </w:rPr>
  </w:style>
  <w:style w:type="paragraph" w:customStyle="1" w:styleId="946">
    <w:name w:val="xl48"/>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b/>
      <w:bCs/>
      <w:kern w:val="0"/>
      <w:sz w:val="24"/>
    </w:rPr>
  </w:style>
  <w:style w:type="paragraph" w:customStyle="1" w:styleId="947">
    <w:name w:val="一级条标题"/>
    <w:basedOn w:val="3"/>
    <w:next w:val="522"/>
    <w:uiPriority w:val="0"/>
    <w:pPr>
      <w:keepNext w:val="0"/>
      <w:widowControl/>
      <w:tabs>
        <w:tab w:val="clear" w:pos="360"/>
      </w:tabs>
      <w:ind w:left="1260" w:hanging="420" w:firstLineChars="0"/>
      <w:jc w:val="both"/>
      <w:outlineLvl w:val="2"/>
    </w:pPr>
    <w:rPr>
      <w:rFonts w:eastAsia="宋体"/>
      <w:b/>
      <w:kern w:val="0"/>
      <w:sz w:val="21"/>
      <w:szCs w:val="20"/>
    </w:rPr>
  </w:style>
  <w:style w:type="paragraph" w:customStyle="1" w:styleId="948">
    <w:name w:val="GK三级段落样式三"/>
    <w:basedOn w:val="1"/>
    <w:uiPriority w:val="0"/>
    <w:pPr>
      <w:adjustRightInd w:val="0"/>
      <w:snapToGrid w:val="0"/>
      <w:spacing w:line="360" w:lineRule="auto"/>
      <w:ind w:firstLine="620" w:firstLineChars="200"/>
    </w:pPr>
    <w:rPr>
      <w:b/>
      <w:kern w:val="0"/>
      <w:sz w:val="28"/>
      <w:szCs w:val="20"/>
    </w:rPr>
  </w:style>
  <w:style w:type="paragraph" w:customStyle="1" w:styleId="949">
    <w:name w:val="五级条标题"/>
    <w:basedOn w:val="950"/>
    <w:next w:val="522"/>
    <w:uiPriority w:val="0"/>
    <w:pPr>
      <w:tabs>
        <w:tab w:val="left" w:pos="2100"/>
        <w:tab w:val="left" w:pos="3439"/>
      </w:tabs>
      <w:ind w:left="3439"/>
      <w:outlineLvl w:val="6"/>
    </w:pPr>
  </w:style>
  <w:style w:type="paragraph" w:customStyle="1" w:styleId="950">
    <w:name w:val="四级条标题"/>
    <w:basedOn w:val="951"/>
    <w:next w:val="522"/>
    <w:uiPriority w:val="0"/>
    <w:pPr>
      <w:tabs>
        <w:tab w:val="left" w:pos="2100"/>
      </w:tabs>
      <w:ind w:left="2520"/>
      <w:outlineLvl w:val="5"/>
    </w:pPr>
  </w:style>
  <w:style w:type="paragraph" w:customStyle="1" w:styleId="951">
    <w:name w:val="三级条标题"/>
    <w:basedOn w:val="952"/>
    <w:next w:val="522"/>
    <w:uiPriority w:val="0"/>
    <w:pPr>
      <w:tabs>
        <w:tab w:val="left" w:pos="2100"/>
      </w:tabs>
      <w:ind w:left="2100" w:hanging="420"/>
      <w:outlineLvl w:val="4"/>
    </w:pPr>
  </w:style>
  <w:style w:type="paragraph" w:customStyle="1" w:styleId="952">
    <w:name w:val="二级条标题"/>
    <w:basedOn w:val="1"/>
    <w:next w:val="522"/>
    <w:uiPriority w:val="0"/>
    <w:pPr>
      <w:widowControl/>
      <w:outlineLvl w:val="3"/>
    </w:pPr>
    <w:rPr>
      <w:rFonts w:ascii="黑体" w:eastAsia="黑体"/>
      <w:kern w:val="0"/>
      <w:szCs w:val="20"/>
    </w:rPr>
  </w:style>
  <w:style w:type="paragraph" w:customStyle="1" w:styleId="953">
    <w:name w:val="3 Char"/>
    <w:basedOn w:val="1"/>
    <w:uiPriority w:val="0"/>
    <w:rPr>
      <w:szCs w:val="21"/>
    </w:rPr>
  </w:style>
  <w:style w:type="paragraph" w:customStyle="1" w:styleId="954">
    <w:name w:val="主要正文"/>
    <w:basedOn w:val="1"/>
    <w:uiPriority w:val="0"/>
    <w:pPr>
      <w:spacing w:line="360" w:lineRule="auto"/>
      <w:ind w:firstLine="560" w:firstLineChars="200"/>
    </w:pPr>
    <w:rPr>
      <w:sz w:val="28"/>
      <w:szCs w:val="28"/>
    </w:rPr>
  </w:style>
  <w:style w:type="paragraph" w:customStyle="1" w:styleId="955">
    <w:name w:val="章"/>
    <w:basedOn w:val="150"/>
    <w:uiPriority w:val="0"/>
    <w:pPr>
      <w:numPr>
        <w:numId w:val="0"/>
      </w:numPr>
      <w:tabs>
        <w:tab w:val="clear" w:pos="942"/>
      </w:tabs>
      <w:autoSpaceDE w:val="0"/>
      <w:autoSpaceDN w:val="0"/>
      <w:spacing w:after="0" w:afterAutospacing="0" w:line="312" w:lineRule="auto"/>
      <w:jc w:val="center"/>
    </w:pPr>
    <w:rPr>
      <w:rFonts w:ascii="Times New Roman" w:eastAsia="宋体"/>
      <w:b w:val="0"/>
      <w:spacing w:val="6"/>
      <w:sz w:val="36"/>
    </w:rPr>
  </w:style>
  <w:style w:type="paragraph" w:customStyle="1" w:styleId="956">
    <w:name w:val="5"/>
    <w:basedOn w:val="1"/>
    <w:next w:val="81"/>
    <w:uiPriority w:val="0"/>
    <w:pPr>
      <w:spacing w:line="520" w:lineRule="exact"/>
    </w:pPr>
    <w:rPr>
      <w:sz w:val="24"/>
      <w:szCs w:val="20"/>
    </w:rPr>
  </w:style>
  <w:style w:type="paragraph" w:customStyle="1" w:styleId="957">
    <w:name w:val="表格东晓"/>
    <w:basedOn w:val="84"/>
    <w:uiPriority w:val="0"/>
    <w:pPr>
      <w:widowControl w:val="0"/>
      <w:adjustRightInd w:val="0"/>
      <w:snapToGrid w:val="0"/>
      <w:spacing w:before="0" w:after="0" w:line="240" w:lineRule="exact"/>
      <w:outlineLvl w:val="9"/>
    </w:pPr>
    <w:rPr>
      <w:rFonts w:ascii="Times New Roman" w:hAnsi="Times New Roman" w:cs="Arial"/>
      <w:b w:val="0"/>
      <w:bCs/>
      <w:kern w:val="2"/>
      <w:sz w:val="21"/>
      <w:szCs w:val="21"/>
      <w:lang w:eastAsia="zh-CN"/>
    </w:rPr>
  </w:style>
  <w:style w:type="paragraph" w:customStyle="1" w:styleId="958">
    <w:name w:val="1级标题"/>
    <w:basedOn w:val="653"/>
    <w:uiPriority w:val="0"/>
    <w:pPr/>
  </w:style>
  <w:style w:type="paragraph" w:customStyle="1" w:styleId="959">
    <w:name w:val="liuqiao"/>
    <w:basedOn w:val="1"/>
    <w:uiPriority w:val="0"/>
    <w:pPr>
      <w:widowControl/>
      <w:spacing w:before="100" w:beforeAutospacing="1" w:after="100" w:afterAutospacing="1"/>
      <w:jc w:val="left"/>
    </w:pPr>
    <w:rPr>
      <w:rFonts w:ascii="宋体" w:hAnsi="宋体"/>
      <w:kern w:val="0"/>
      <w:sz w:val="24"/>
      <w:szCs w:val="20"/>
    </w:rPr>
  </w:style>
  <w:style w:type="paragraph" w:customStyle="1" w:styleId="960">
    <w:name w:val="文1"/>
    <w:basedOn w:val="70"/>
    <w:uiPriority w:val="0"/>
    <w:pPr>
      <w:overflowPunct w:val="0"/>
      <w:autoSpaceDE w:val="0"/>
      <w:autoSpaceDN w:val="0"/>
      <w:adjustRightInd w:val="0"/>
      <w:snapToGrid w:val="0"/>
      <w:spacing w:line="312" w:lineRule="auto"/>
      <w:ind w:left="0" w:firstLine="567"/>
    </w:pPr>
    <w:rPr>
      <w:rFonts w:ascii="宋体" w:hAnsi="Calibri"/>
      <w:snapToGrid w:val="0"/>
      <w:spacing w:val="6"/>
      <w:kern w:val="0"/>
      <w:sz w:val="28"/>
    </w:rPr>
  </w:style>
  <w:style w:type="paragraph" w:customStyle="1" w:styleId="961">
    <w:name w:val="文"/>
    <w:basedOn w:val="1"/>
    <w:uiPriority w:val="0"/>
    <w:pPr>
      <w:adjustRightInd w:val="0"/>
      <w:snapToGrid w:val="0"/>
      <w:spacing w:line="312" w:lineRule="auto"/>
      <w:ind w:firstLine="567"/>
    </w:pPr>
    <w:rPr>
      <w:rFonts w:ascii="宋体"/>
      <w:spacing w:val="6"/>
      <w:sz w:val="28"/>
      <w:szCs w:val="20"/>
    </w:rPr>
  </w:style>
  <w:style w:type="paragraph" w:customStyle="1" w:styleId="962">
    <w:name w:val="样式 样式 样式 表头一 + 段前: 0.5 行1 + 段前: 0.25 行 + 段前: 0.25 行"/>
    <w:basedOn w:val="1"/>
    <w:uiPriority w:val="0"/>
    <w:pPr>
      <w:spacing w:beforeLines="25"/>
      <w:jc w:val="center"/>
    </w:pPr>
    <w:rPr>
      <w:rFonts w:cs="宋体"/>
      <w:b/>
      <w:bCs/>
      <w:sz w:val="28"/>
      <w:szCs w:val="20"/>
    </w:rPr>
  </w:style>
  <w:style w:type="paragraph" w:customStyle="1" w:styleId="963">
    <w:name w:val="正文12"/>
    <w:basedOn w:val="1"/>
    <w:uiPriority w:val="0"/>
    <w:rPr>
      <w:rFonts w:ascii="宋体"/>
      <w:sz w:val="18"/>
      <w:szCs w:val="20"/>
    </w:rPr>
  </w:style>
  <w:style w:type="paragraph" w:customStyle="1" w:styleId="964">
    <w:name w:val="Char Char Char1 Char1"/>
    <w:basedOn w:val="1"/>
    <w:uiPriority w:val="0"/>
    <w:pPr>
      <w:spacing w:line="360" w:lineRule="auto"/>
      <w:ind w:firstLine="200" w:firstLineChars="200"/>
    </w:pPr>
    <w:rPr>
      <w:rFonts w:ascii="宋体" w:hAnsi="宋体" w:cs="宋体"/>
      <w:sz w:val="24"/>
    </w:rPr>
  </w:style>
  <w:style w:type="paragraph" w:customStyle="1" w:styleId="965">
    <w:name w:val="_Style 54"/>
    <w:basedOn w:val="1"/>
    <w:next w:val="81"/>
    <w:uiPriority w:val="0"/>
    <w:pPr>
      <w:spacing w:line="520" w:lineRule="exact"/>
    </w:pPr>
    <w:rPr>
      <w:sz w:val="24"/>
      <w:szCs w:val="20"/>
    </w:rPr>
  </w:style>
  <w:style w:type="paragraph" w:customStyle="1" w:styleId="966">
    <w:name w:val="07 页眉"/>
    <w:basedOn w:val="57"/>
    <w:uiPriority w:val="0"/>
    <w:pPr>
      <w:pBdr>
        <w:bottom w:val="double" w:color="auto" w:sz="4" w:space="1"/>
      </w:pBdr>
      <w:jc w:val="right"/>
    </w:pPr>
    <w:rPr>
      <w:rFonts w:ascii="Calibri" w:hAnsi="Calibri"/>
      <w:kern w:val="0"/>
      <w:szCs w:val="20"/>
    </w:rPr>
  </w:style>
  <w:style w:type="paragraph" w:customStyle="1" w:styleId="967">
    <w:name w:val="标题5"/>
    <w:basedOn w:val="7"/>
    <w:uiPriority w:val="0"/>
    <w:pPr>
      <w:widowControl w:val="0"/>
      <w:tabs>
        <w:tab w:val="clear" w:pos="360"/>
      </w:tabs>
      <w:spacing w:beforeLines="0" w:afterLines="0" w:line="360" w:lineRule="auto"/>
      <w:ind w:left="0" w:firstLine="200" w:firstLineChars="200"/>
      <w:textAlignment w:val="baseline"/>
    </w:pPr>
    <w:rPr>
      <w:rFonts w:ascii="宋体" w:hAnsi="宋体" w:eastAsia="宋体"/>
      <w:b w:val="0"/>
      <w:kern w:val="2"/>
      <w:sz w:val="24"/>
      <w:szCs w:val="24"/>
    </w:rPr>
  </w:style>
  <w:style w:type="paragraph" w:customStyle="1" w:styleId="968">
    <w:name w:val="样式 标题 3标题 3 CharReHead 3 WSAh3H3B Head..标题 3 Char Char标..."/>
    <w:basedOn w:val="5"/>
    <w:uiPriority w:val="0"/>
    <w:pPr>
      <w:keepLines/>
      <w:tabs>
        <w:tab w:val="clear" w:pos="360"/>
      </w:tabs>
      <w:adjustRightInd/>
      <w:snapToGrid/>
      <w:ind w:left="0" w:firstLine="0" w:firstLineChars="0"/>
    </w:pPr>
    <w:rPr>
      <w:rFonts w:ascii="仿宋_GB2312" w:hAnsi="仿宋_GB2312" w:eastAsia="仿宋_GB2312"/>
      <w:sz w:val="30"/>
      <w:szCs w:val="30"/>
    </w:rPr>
  </w:style>
  <w:style w:type="paragraph" w:customStyle="1" w:styleId="969">
    <w:name w:val="正文内容无缩进"/>
    <w:basedOn w:val="1"/>
    <w:uiPriority w:val="0"/>
    <w:pPr>
      <w:spacing w:line="308" w:lineRule="exact"/>
    </w:pPr>
    <w:rPr>
      <w:rFonts w:ascii="方正小标宋简体" w:hAnsi="Times" w:eastAsia="方正宋三简体"/>
      <w:kern w:val="0"/>
      <w:szCs w:val="20"/>
    </w:rPr>
  </w:style>
  <w:style w:type="paragraph" w:customStyle="1" w:styleId="970">
    <w:name w:val="正文文字xin"/>
    <w:basedOn w:val="904"/>
    <w:uiPriority w:val="0"/>
    <w:pPr>
      <w:tabs>
        <w:tab w:val="clear" w:pos="283"/>
      </w:tabs>
      <w:adjustRightInd/>
      <w:snapToGrid/>
    </w:pPr>
    <w:rPr>
      <w:szCs w:val="24"/>
    </w:rPr>
  </w:style>
  <w:style w:type="paragraph" w:customStyle="1" w:styleId="971">
    <w:name w:val="张娟1alt+1"/>
    <w:basedOn w:val="26"/>
    <w:uiPriority w:val="0"/>
    <w:pPr>
      <w:shd w:val="clear" w:color="auto" w:fill="auto"/>
      <w:spacing w:line="360" w:lineRule="auto"/>
    </w:pPr>
    <w:rPr>
      <w:rFonts w:ascii="Calibri" w:hAnsi="Calibri"/>
      <w:kern w:val="0"/>
      <w:sz w:val="24"/>
      <w:szCs w:val="24"/>
    </w:rPr>
  </w:style>
  <w:style w:type="paragraph" w:customStyle="1" w:styleId="972">
    <w:name w:val="样式 宋体 四号 首行缩进:  1 厘米 段前: 6 磅 行距: 1.5 倍行距"/>
    <w:basedOn w:val="1"/>
    <w:uiPriority w:val="0"/>
    <w:pPr>
      <w:spacing w:line="360" w:lineRule="auto"/>
      <w:ind w:firstLine="538" w:firstLineChars="192"/>
    </w:pPr>
    <w:rPr>
      <w:rFonts w:ascii="宋体" w:hAnsi="宋体"/>
      <w:kern w:val="0"/>
      <w:sz w:val="28"/>
      <w:szCs w:val="20"/>
    </w:rPr>
  </w:style>
  <w:style w:type="paragraph" w:customStyle="1" w:styleId="973">
    <w:name w:val="图标内容"/>
    <w:basedOn w:val="1"/>
    <w:uiPriority w:val="0"/>
    <w:pPr>
      <w:adjustRightInd w:val="0"/>
      <w:snapToGrid w:val="0"/>
      <w:spacing w:line="240" w:lineRule="exact"/>
      <w:jc w:val="center"/>
    </w:pPr>
    <w:rPr>
      <w:rFonts w:ascii="宋体"/>
      <w:szCs w:val="21"/>
    </w:rPr>
  </w:style>
  <w:style w:type="paragraph" w:customStyle="1" w:styleId="974">
    <w:name w:val="Char Char Char Char Char Char Char Char Char Char Char Char Char Char Char Char"/>
    <w:basedOn w:val="1"/>
    <w:uiPriority w:val="0"/>
    <w:pPr>
      <w:spacing w:line="360" w:lineRule="auto"/>
      <w:ind w:firstLine="200" w:firstLineChars="200"/>
    </w:pPr>
    <w:rPr>
      <w:kern w:val="0"/>
      <w:sz w:val="24"/>
    </w:rPr>
  </w:style>
  <w:style w:type="paragraph" w:customStyle="1" w:styleId="975">
    <w:name w:val="注×：（正文）"/>
    <w:uiPriority w:val="0"/>
    <w:pPr>
      <w:tabs>
        <w:tab w:val="left" w:pos="425"/>
        <w:tab w:val="left" w:pos="840"/>
      </w:tabs>
      <w:ind w:left="425" w:hanging="425"/>
      <w:jc w:val="both"/>
    </w:pPr>
    <w:rPr>
      <w:rFonts w:ascii="宋体" w:hAnsi="Times New Roman" w:eastAsia="宋体" w:cs="Times New Roman"/>
      <w:sz w:val="18"/>
      <w:szCs w:val="18"/>
      <w:lang w:val="en-US" w:eastAsia="zh-CN" w:bidi="ar-SA"/>
    </w:rPr>
  </w:style>
  <w:style w:type="paragraph" w:customStyle="1" w:styleId="976">
    <w:name w:val="Char Char Char Char Char Char Char Char Char1 Char Char Char Char Char Char Char Char Char Char Char Char Char Char Char Char Char Char Char Char Char Char Char Char Char Char Char Char Char Char Char Char Char Char Char Char Char1"/>
    <w:basedOn w:val="1"/>
    <w:uiPriority w:val="0"/>
    <w:pPr>
      <w:spacing w:line="360" w:lineRule="auto"/>
      <w:ind w:firstLine="200" w:firstLineChars="200"/>
    </w:pPr>
    <w:rPr>
      <w:rFonts w:ascii="宋体" w:hAnsi="宋体" w:cs="宋体"/>
      <w:sz w:val="24"/>
    </w:rPr>
  </w:style>
  <w:style w:type="paragraph" w:customStyle="1" w:styleId="977">
    <w:name w:val="表头名"/>
    <w:basedOn w:val="1"/>
    <w:uiPriority w:val="0"/>
    <w:pPr>
      <w:adjustRightInd w:val="0"/>
      <w:snapToGrid w:val="0"/>
      <w:spacing w:before="72" w:line="360" w:lineRule="auto"/>
      <w:jc w:val="center"/>
    </w:pPr>
    <w:rPr>
      <w:rFonts w:ascii="宋体" w:hAnsi="Courier New" w:cs="Courier New"/>
      <w:kern w:val="0"/>
      <w:szCs w:val="21"/>
    </w:rPr>
  </w:style>
  <w:style w:type="paragraph" w:customStyle="1" w:styleId="978">
    <w:name w:val="列项——（一级）"/>
    <w:uiPriority w:val="0"/>
    <w:pPr>
      <w:widowControl w:val="0"/>
      <w:tabs>
        <w:tab w:val="left" w:pos="1140"/>
      </w:tabs>
      <w:ind w:left="737" w:hanging="317"/>
      <w:jc w:val="both"/>
    </w:pPr>
    <w:rPr>
      <w:rFonts w:ascii="宋体" w:hAnsi="Times New Roman" w:eastAsia="宋体" w:cs="Times New Roman"/>
      <w:sz w:val="21"/>
      <w:lang w:val="en-US" w:eastAsia="zh-CN" w:bidi="ar-SA"/>
    </w:rPr>
  </w:style>
  <w:style w:type="paragraph" w:customStyle="1" w:styleId="979">
    <w:name w:val="段落文字1"/>
    <w:basedOn w:val="1"/>
    <w:uiPriority w:val="0"/>
    <w:pPr>
      <w:ind w:firstLine="560" w:firstLineChars="200"/>
    </w:pPr>
    <w:rPr>
      <w:color w:val="000000"/>
      <w:sz w:val="28"/>
      <w:szCs w:val="28"/>
    </w:rPr>
  </w:style>
  <w:style w:type="paragraph" w:customStyle="1" w:styleId="980">
    <w:name w:val="Char Char Char Char Char Char Char Char Char1 Char Char Char Char Char Char Char Char Char Char Char Char Char Char Char Char Char Char Char Char Char Char Char Char Char Char Char Char Char Char Char Char Char Char Char Char Char Char Char Char1"/>
    <w:basedOn w:val="1"/>
    <w:uiPriority w:val="0"/>
    <w:pPr>
      <w:spacing w:line="360" w:lineRule="auto"/>
      <w:ind w:firstLine="200" w:firstLineChars="200"/>
    </w:pPr>
    <w:rPr>
      <w:rFonts w:ascii="宋体" w:hAnsi="宋体" w:cs="宋体"/>
      <w:sz w:val="24"/>
    </w:rPr>
  </w:style>
  <w:style w:type="paragraph" w:customStyle="1" w:styleId="981">
    <w:name w:val="Char Char Char Char Char Char Char Char Char Char"/>
    <w:basedOn w:val="1"/>
    <w:uiPriority w:val="0"/>
  </w:style>
  <w:style w:type="paragraph" w:customStyle="1" w:styleId="982">
    <w:name w:val="图表—名称"/>
    <w:basedOn w:val="1"/>
    <w:uiPriority w:val="0"/>
    <w:pPr>
      <w:adjustRightInd w:val="0"/>
      <w:snapToGrid w:val="0"/>
      <w:spacing w:beforeLines="50" w:line="360" w:lineRule="auto"/>
      <w:jc w:val="center"/>
    </w:pPr>
    <w:rPr>
      <w:rFonts w:ascii="宋体" w:hAnsi="宋体"/>
      <w:kern w:val="0"/>
      <w:sz w:val="24"/>
      <w:szCs w:val="20"/>
    </w:rPr>
  </w:style>
  <w:style w:type="paragraph" w:customStyle="1" w:styleId="983">
    <w:name w:val="Char Char Char Char Char Char Char Char Char1 Char Char Char1 Char Char Char Char Char Char Char1"/>
    <w:basedOn w:val="1"/>
    <w:uiPriority w:val="0"/>
    <w:pPr>
      <w:spacing w:line="360" w:lineRule="auto"/>
      <w:ind w:firstLine="200" w:firstLineChars="200"/>
    </w:pPr>
    <w:rPr>
      <w:rFonts w:ascii="宋体" w:hAnsi="宋体" w:cs="宋体"/>
      <w:sz w:val="24"/>
    </w:rPr>
  </w:style>
  <w:style w:type="paragraph" w:customStyle="1" w:styleId="984">
    <w:name w:val="图表头000"/>
    <w:basedOn w:val="1"/>
    <w:uiPriority w:val="0"/>
    <w:pPr>
      <w:spacing w:line="360" w:lineRule="auto"/>
      <w:jc w:val="center"/>
    </w:pPr>
    <w:rPr>
      <w:rFonts w:hAnsi="宋体"/>
      <w:szCs w:val="21"/>
    </w:rPr>
  </w:style>
  <w:style w:type="paragraph" w:customStyle="1" w:styleId="985">
    <w:name w:val="表中文字"/>
    <w:basedOn w:val="1"/>
    <w:uiPriority w:val="0"/>
    <w:rPr>
      <w:rFonts w:eastAsia="楷体_GB2312"/>
      <w:sz w:val="24"/>
      <w:szCs w:val="20"/>
    </w:rPr>
  </w:style>
  <w:style w:type="paragraph" w:customStyle="1" w:styleId="986">
    <w:name w:val="Char Char Char1 Char Char Char Char1"/>
    <w:basedOn w:val="1"/>
    <w:uiPriority w:val="0"/>
    <w:pPr>
      <w:spacing w:line="360" w:lineRule="auto"/>
      <w:ind w:firstLine="200" w:firstLineChars="200"/>
    </w:pPr>
    <w:rPr>
      <w:rFonts w:ascii="宋体" w:hAnsi="宋体" w:cs="宋体"/>
      <w:sz w:val="24"/>
    </w:rPr>
  </w:style>
  <w:style w:type="paragraph" w:customStyle="1" w:styleId="987">
    <w:name w:val="冯正文"/>
    <w:basedOn w:val="1"/>
    <w:uiPriority w:val="0"/>
    <w:pPr>
      <w:spacing w:beforeLines="25" w:afterLines="25" w:line="400" w:lineRule="exact"/>
      <w:ind w:firstLine="200" w:firstLineChars="200"/>
    </w:pPr>
    <w:rPr>
      <w:rFonts w:cs="宋体"/>
      <w:sz w:val="24"/>
      <w:szCs w:val="20"/>
    </w:rPr>
  </w:style>
  <w:style w:type="paragraph" w:customStyle="1" w:styleId="988">
    <w:name w:val="Char31"/>
    <w:basedOn w:val="1"/>
    <w:uiPriority w:val="0"/>
    <w:pPr>
      <w:spacing w:line="360" w:lineRule="auto"/>
      <w:ind w:firstLine="200" w:firstLineChars="200"/>
    </w:pPr>
    <w:rPr>
      <w:rFonts w:ascii="宋体" w:hAnsi="宋体" w:cs="宋体"/>
      <w:sz w:val="24"/>
    </w:rPr>
  </w:style>
  <w:style w:type="paragraph" w:customStyle="1" w:styleId="989">
    <w:name w:val="Char Char Char Char Char Char Char Char Char Char2"/>
    <w:basedOn w:val="1"/>
    <w:uiPriority w:val="0"/>
  </w:style>
  <w:style w:type="paragraph" w:customStyle="1" w:styleId="990">
    <w:name w:val="封面标准文稿类别"/>
    <w:uiPriority w:val="0"/>
    <w:pPr>
      <w:spacing w:before="440" w:line="400" w:lineRule="exact"/>
      <w:jc w:val="center"/>
    </w:pPr>
    <w:rPr>
      <w:rFonts w:ascii="宋体" w:hAnsi="Times New Roman" w:eastAsia="宋体" w:cs="Times New Roman"/>
      <w:sz w:val="24"/>
      <w:lang w:val="en-US" w:eastAsia="zh-CN" w:bidi="ar-SA"/>
    </w:rPr>
  </w:style>
  <w:style w:type="paragraph" w:customStyle="1" w:styleId="991">
    <w:name w:val="页脚yy"/>
    <w:basedOn w:val="1"/>
    <w:semiHidden/>
    <w:uiPriority w:val="0"/>
    <w:pPr>
      <w:pBdr>
        <w:top w:val="dotted" w:color="auto" w:sz="4" w:space="1"/>
      </w:pBdr>
      <w:ind w:right="360"/>
      <w:jc w:val="left"/>
    </w:pPr>
    <w:rPr>
      <w:rFonts w:ascii="Tahoma" w:hAnsi="Tahoma" w:eastAsia="楷体_GB2312"/>
      <w:szCs w:val="20"/>
    </w:rPr>
  </w:style>
  <w:style w:type="paragraph" w:customStyle="1" w:styleId="992">
    <w:name w:val="环评封面"/>
    <w:basedOn w:val="736"/>
    <w:uiPriority w:val="0"/>
    <w:pPr>
      <w:spacing w:line="240" w:lineRule="auto"/>
      <w:ind w:right="-51"/>
    </w:pPr>
    <w:rPr>
      <w:rFonts w:ascii="华文新魏" w:hAnsi="华文楷体" w:eastAsia="华文新魏"/>
      <w:sz w:val="52"/>
      <w:szCs w:val="52"/>
    </w:rPr>
  </w:style>
  <w:style w:type="paragraph" w:customStyle="1" w:styleId="993">
    <w:name w:val="6"/>
    <w:basedOn w:val="1"/>
    <w:next w:val="70"/>
    <w:uiPriority w:val="0"/>
    <w:pPr>
      <w:spacing w:line="520" w:lineRule="exact"/>
      <w:ind w:firstLine="482"/>
    </w:pPr>
    <w:rPr>
      <w:sz w:val="24"/>
      <w:szCs w:val="20"/>
    </w:rPr>
  </w:style>
  <w:style w:type="paragraph" w:customStyle="1" w:styleId="994">
    <w:name w:val="样式 1级标题 + 首行缩进:  0.85 厘米1"/>
    <w:basedOn w:val="958"/>
    <w:semiHidden/>
    <w:uiPriority w:val="0"/>
    <w:pPr>
      <w:widowControl/>
      <w:jc w:val="center"/>
    </w:pPr>
    <w:rPr>
      <w:rFonts w:ascii="Times New Roman" w:hAnsi="Times New Roman" w:cs="宋体"/>
      <w:bCs/>
      <w:kern w:val="44"/>
      <w:sz w:val="32"/>
      <w:szCs w:val="20"/>
    </w:rPr>
  </w:style>
  <w:style w:type="paragraph" w:customStyle="1" w:styleId="995">
    <w:name w:val="表格1"/>
    <w:basedOn w:val="1"/>
    <w:uiPriority w:val="0"/>
    <w:pPr>
      <w:adjustRightInd w:val="0"/>
      <w:spacing w:line="20" w:lineRule="atLeast"/>
      <w:jc w:val="center"/>
      <w:textAlignment w:val="center"/>
    </w:pPr>
    <w:rPr>
      <w:rFonts w:ascii="宋体"/>
      <w:kern w:val="0"/>
      <w:szCs w:val="20"/>
    </w:rPr>
  </w:style>
  <w:style w:type="paragraph" w:customStyle="1" w:styleId="996">
    <w:name w:val="Char2 Char Char Char"/>
    <w:basedOn w:val="1"/>
    <w:uiPriority w:val="0"/>
    <w:pPr>
      <w:spacing w:line="360" w:lineRule="auto"/>
      <w:ind w:firstLine="200" w:firstLineChars="200"/>
    </w:pPr>
    <w:rPr>
      <w:rFonts w:ascii="宋体" w:hAnsi="宋体" w:cs="宋体"/>
      <w:sz w:val="24"/>
    </w:rPr>
  </w:style>
  <w:style w:type="paragraph" w:customStyle="1" w:styleId="997">
    <w:name w:val="注：（正文）"/>
    <w:basedOn w:val="684"/>
    <w:next w:val="522"/>
    <w:uiPriority w:val="0"/>
    <w:pPr>
      <w:tabs>
        <w:tab w:val="left" w:pos="1288"/>
      </w:tabs>
      <w:ind w:left="726" w:hanging="363"/>
    </w:pPr>
    <w:rPr>
      <w:szCs w:val="18"/>
    </w:rPr>
  </w:style>
  <w:style w:type="paragraph" w:customStyle="1" w:styleId="998">
    <w:name w:val="2级标题"/>
    <w:basedOn w:val="4"/>
    <w:link w:val="3184"/>
    <w:uiPriority w:val="0"/>
    <w:pPr>
      <w:keepNext w:val="0"/>
      <w:tabs>
        <w:tab w:val="clear" w:pos="360"/>
      </w:tabs>
      <w:adjustRightInd w:val="0"/>
      <w:snapToGrid w:val="0"/>
      <w:spacing w:before="156" w:after="0" w:line="360" w:lineRule="auto"/>
      <w:ind w:left="0" w:right="-50" w:firstLine="0" w:firstLineChars="0"/>
      <w:jc w:val="left"/>
    </w:pPr>
    <w:rPr>
      <w:rFonts w:ascii="Times New Roman" w:hAnsi="Times New Roman" w:eastAsia="宋体"/>
      <w:b w:val="0"/>
      <w:kern w:val="0"/>
      <w:sz w:val="30"/>
    </w:rPr>
  </w:style>
  <w:style w:type="paragraph" w:customStyle="1" w:styleId="999">
    <w:name w:val="ST20_6"/>
    <w:basedOn w:val="1"/>
    <w:uiPriority w:val="0"/>
    <w:pPr>
      <w:keepNext/>
      <w:autoSpaceDE w:val="0"/>
      <w:autoSpaceDN w:val="0"/>
      <w:adjustRightInd w:val="0"/>
      <w:spacing w:after="160" w:line="360" w:lineRule="atLeast"/>
      <w:jc w:val="left"/>
      <w:textAlignment w:val="baseline"/>
    </w:pPr>
    <w:rPr>
      <w:rFonts w:ascii="宋体" w:hAnsi="Tms Rmn"/>
      <w:kern w:val="0"/>
      <w:sz w:val="28"/>
      <w:szCs w:val="20"/>
    </w:rPr>
  </w:style>
  <w:style w:type="paragraph" w:customStyle="1" w:styleId="1000">
    <w:name w:val="2级"/>
    <w:basedOn w:val="4"/>
    <w:uiPriority w:val="0"/>
    <w:pPr>
      <w:keepNext w:val="0"/>
      <w:tabs>
        <w:tab w:val="clear" w:pos="360"/>
      </w:tabs>
      <w:adjustRightInd w:val="0"/>
      <w:snapToGrid w:val="0"/>
      <w:spacing w:before="0" w:after="0" w:line="360" w:lineRule="auto"/>
      <w:ind w:left="0" w:firstLine="0" w:firstLineChars="0"/>
      <w:jc w:val="left"/>
    </w:pPr>
    <w:rPr>
      <w:rFonts w:ascii="Times New Roman" w:hAnsi="Times New Roman" w:eastAsia="宋体"/>
      <w:b w:val="0"/>
      <w:kern w:val="0"/>
      <w:sz w:val="24"/>
    </w:rPr>
  </w:style>
  <w:style w:type="paragraph" w:customStyle="1" w:styleId="1001">
    <w:name w:val="lw正文"/>
    <w:basedOn w:val="1"/>
    <w:link w:val="2688"/>
    <w:uiPriority w:val="0"/>
    <w:pPr>
      <w:autoSpaceDE w:val="0"/>
      <w:autoSpaceDN w:val="0"/>
      <w:adjustRightInd w:val="0"/>
      <w:spacing w:line="360" w:lineRule="auto"/>
      <w:ind w:firstLine="420"/>
      <w:jc w:val="left"/>
    </w:pPr>
    <w:rPr>
      <w:kern w:val="0"/>
      <w:sz w:val="24"/>
      <w:szCs w:val="20"/>
    </w:rPr>
  </w:style>
  <w:style w:type="paragraph" w:customStyle="1" w:styleId="1002">
    <w:name w:val="我的图表标题"/>
    <w:basedOn w:val="552"/>
    <w:qFormat/>
    <w:uiPriority w:val="0"/>
    <w:pPr>
      <w:snapToGrid/>
      <w:spacing w:line="360" w:lineRule="auto"/>
      <w:ind w:firstLine="480"/>
      <w:textAlignment w:val="auto"/>
    </w:pPr>
    <w:rPr>
      <w:rFonts w:ascii="黑体" w:hAnsi="Times New Roman" w:eastAsia="黑体"/>
      <w:b/>
      <w:bCs/>
      <w:szCs w:val="21"/>
    </w:rPr>
  </w:style>
  <w:style w:type="paragraph" w:customStyle="1" w:styleId="1003">
    <w:name w:val="110"/>
    <w:basedOn w:val="1"/>
    <w:next w:val="45"/>
    <w:link w:val="2750"/>
    <w:uiPriority w:val="0"/>
    <w:rPr>
      <w:rFonts w:ascii="宋体" w:hAnsi="Courier New"/>
      <w:szCs w:val="20"/>
    </w:rPr>
  </w:style>
  <w:style w:type="paragraph" w:customStyle="1" w:styleId="1004">
    <w:name w:val="Char Char Char Char Char Char Char1"/>
    <w:basedOn w:val="1"/>
    <w:uiPriority w:val="0"/>
    <w:pPr>
      <w:spacing w:line="360" w:lineRule="auto"/>
      <w:ind w:firstLine="200" w:firstLineChars="200"/>
    </w:pPr>
    <w:rPr>
      <w:rFonts w:ascii="宋体" w:hAnsi="宋体" w:cs="宋体"/>
      <w:sz w:val="24"/>
    </w:rPr>
  </w:style>
  <w:style w:type="paragraph" w:customStyle="1" w:styleId="1005">
    <w:name w:val="样式 样式 标题 3标题 3 CharReHead 3 WSAh3H3B Head..标题 3 Char Char标... + ..."/>
    <w:basedOn w:val="1"/>
    <w:uiPriority w:val="0"/>
    <w:pPr>
      <w:keepNext/>
      <w:keepLines/>
      <w:spacing w:line="360" w:lineRule="auto"/>
      <w:outlineLvl w:val="2"/>
    </w:pPr>
    <w:rPr>
      <w:rFonts w:ascii="仿宋_GB2312" w:hAnsi="仿宋_GB2312" w:eastAsia="仿宋_GB2312" w:cs="宋体"/>
      <w:b/>
      <w:bCs/>
      <w:sz w:val="30"/>
      <w:szCs w:val="20"/>
    </w:rPr>
  </w:style>
  <w:style w:type="paragraph" w:customStyle="1" w:styleId="1006">
    <w:name w:val="正文-使用"/>
    <w:basedOn w:val="1"/>
    <w:link w:val="2560"/>
    <w:uiPriority w:val="0"/>
    <w:pPr>
      <w:suppressAutoHyphens/>
      <w:snapToGrid w:val="0"/>
      <w:spacing w:line="360" w:lineRule="auto"/>
      <w:ind w:firstLine="482"/>
    </w:pPr>
    <w:rPr>
      <w:kern w:val="1"/>
      <w:sz w:val="24"/>
      <w:szCs w:val="20"/>
      <w:lang w:eastAsia="ar-SA"/>
    </w:rPr>
  </w:style>
  <w:style w:type="paragraph" w:customStyle="1" w:styleId="1007">
    <w:name w:val="公文正文"/>
    <w:uiPriority w:val="0"/>
    <w:pPr>
      <w:ind w:firstLine="632" w:firstLineChars="200"/>
      <w:jc w:val="both"/>
    </w:pPr>
    <w:rPr>
      <w:rFonts w:ascii="Times New Roman" w:hAnsi="Times New Roman" w:eastAsia="仿宋_GB2312" w:cs="Times New Roman"/>
      <w:kern w:val="2"/>
      <w:sz w:val="32"/>
      <w:szCs w:val="24"/>
      <w:lang w:val="en-US" w:eastAsia="zh-CN" w:bidi="ar-SA"/>
    </w:rPr>
  </w:style>
  <w:style w:type="paragraph" w:customStyle="1" w:styleId="1008">
    <w:name w:val="Char1 Char Char Char1 Char Char Char"/>
    <w:basedOn w:val="1"/>
    <w:uiPriority w:val="0"/>
    <w:pPr>
      <w:spacing w:line="360" w:lineRule="auto"/>
      <w:ind w:firstLine="200" w:firstLineChars="200"/>
    </w:pPr>
    <w:rPr>
      <w:rFonts w:ascii="宋体" w:hAnsi="宋体" w:cs="宋体"/>
      <w:sz w:val="24"/>
    </w:rPr>
  </w:style>
  <w:style w:type="paragraph" w:customStyle="1" w:styleId="1009">
    <w:name w:val="1 Char"/>
    <w:basedOn w:val="1"/>
    <w:uiPriority w:val="0"/>
    <w:pPr>
      <w:spacing w:line="360" w:lineRule="auto"/>
      <w:ind w:firstLine="200" w:firstLineChars="200"/>
    </w:pPr>
    <w:rPr>
      <w:rFonts w:ascii="宋体" w:hAnsi="宋体" w:cs="宋体"/>
      <w:sz w:val="24"/>
      <w:szCs w:val="28"/>
    </w:rPr>
  </w:style>
  <w:style w:type="paragraph" w:customStyle="1" w:styleId="1010">
    <w:name w:val="_Style 36"/>
    <w:basedOn w:val="1"/>
    <w:next w:val="51"/>
    <w:uiPriority w:val="0"/>
    <w:pPr>
      <w:tabs>
        <w:tab w:val="left" w:pos="502"/>
      </w:tabs>
      <w:spacing w:line="520" w:lineRule="exact"/>
      <w:ind w:firstLine="480"/>
    </w:pPr>
    <w:rPr>
      <w:sz w:val="24"/>
      <w:szCs w:val="20"/>
    </w:rPr>
  </w:style>
  <w:style w:type="paragraph" w:customStyle="1" w:styleId="1011">
    <w:name w:val="表内5中"/>
    <w:basedOn w:val="45"/>
    <w:link w:val="2707"/>
    <w:uiPriority w:val="0"/>
    <w:pPr>
      <w:adjustRightInd w:val="0"/>
      <w:snapToGrid w:val="0"/>
      <w:jc w:val="center"/>
    </w:pPr>
    <w:rPr>
      <w:rFonts w:ascii="Times New Roman" w:hAnsi="Times New Roman"/>
      <w:kern w:val="0"/>
      <w:szCs w:val="20"/>
    </w:rPr>
  </w:style>
  <w:style w:type="paragraph" w:customStyle="1" w:styleId="1012">
    <w:name w:val="表第一列"/>
    <w:basedOn w:val="86"/>
    <w:semiHidden/>
    <w:uiPriority w:val="0"/>
    <w:pPr>
      <w:keepNext/>
      <w:keepLines/>
      <w:tabs>
        <w:tab w:val="left" w:pos="1727"/>
        <w:tab w:val="left" w:pos="1884"/>
        <w:tab w:val="left" w:pos="2940"/>
      </w:tabs>
      <w:adjustRightInd w:val="0"/>
      <w:snapToGrid w:val="0"/>
      <w:spacing w:after="0" w:line="0" w:lineRule="atLeast"/>
      <w:ind w:firstLine="0" w:firstLineChars="0"/>
      <w:jc w:val="center"/>
    </w:pPr>
    <w:rPr>
      <w:rFonts w:ascii="宋体" w:hAnsi="宋体"/>
      <w:color w:val="000000"/>
      <w:spacing w:val="-4"/>
      <w:szCs w:val="21"/>
    </w:rPr>
  </w:style>
  <w:style w:type="paragraph" w:customStyle="1" w:styleId="1013">
    <w:name w:val="表注"/>
    <w:basedOn w:val="1"/>
    <w:next w:val="86"/>
    <w:uiPriority w:val="0"/>
  </w:style>
  <w:style w:type="paragraph" w:customStyle="1" w:styleId="1014">
    <w:name w:val="注×："/>
    <w:uiPriority w:val="0"/>
    <w:pPr>
      <w:widowControl w:val="0"/>
      <w:tabs>
        <w:tab w:val="left" w:pos="450"/>
      </w:tabs>
      <w:autoSpaceDE w:val="0"/>
      <w:autoSpaceDN w:val="0"/>
      <w:ind w:left="811" w:hanging="448"/>
      <w:jc w:val="both"/>
    </w:pPr>
    <w:rPr>
      <w:rFonts w:ascii="宋体" w:hAnsi="Times New Roman" w:eastAsia="宋体" w:cs="Times New Roman"/>
      <w:sz w:val="18"/>
      <w:szCs w:val="18"/>
      <w:lang w:val="en-US" w:eastAsia="zh-CN" w:bidi="ar-SA"/>
    </w:rPr>
  </w:style>
  <w:style w:type="paragraph" w:customStyle="1" w:styleId="1015">
    <w:name w:val="工可节样式"/>
    <w:basedOn w:val="1"/>
    <w:uiPriority w:val="0"/>
    <w:pPr>
      <w:adjustRightInd w:val="0"/>
      <w:snapToGrid w:val="0"/>
      <w:spacing w:before="312" w:line="360" w:lineRule="auto"/>
    </w:pPr>
    <w:rPr>
      <w:rFonts w:cs="宋体"/>
      <w:b/>
      <w:bCs/>
      <w:sz w:val="30"/>
      <w:szCs w:val="20"/>
    </w:rPr>
  </w:style>
  <w:style w:type="paragraph" w:customStyle="1" w:styleId="1016">
    <w:name w:val="样式 1级标题 + 首行缩进:  0.85 厘米"/>
    <w:basedOn w:val="958"/>
    <w:semiHidden/>
    <w:uiPriority w:val="0"/>
    <w:pPr>
      <w:widowControl/>
      <w:jc w:val="center"/>
    </w:pPr>
    <w:rPr>
      <w:rFonts w:ascii="Times New Roman" w:hAnsi="Times New Roman" w:cs="宋体"/>
      <w:bCs/>
      <w:kern w:val="44"/>
      <w:sz w:val="32"/>
      <w:szCs w:val="20"/>
    </w:rPr>
  </w:style>
  <w:style w:type="paragraph" w:customStyle="1" w:styleId="1017">
    <w:name w:val="样式 图表名 + (符号) 宋体1"/>
    <w:basedOn w:val="273"/>
    <w:semiHidden/>
    <w:uiPriority w:val="0"/>
    <w:pPr>
      <w:spacing w:beforeLines="0"/>
    </w:pPr>
    <w:rPr>
      <w:rFonts w:ascii="宋体" w:hAnsi="Courier New" w:eastAsia="宋体" w:cs="Courier New"/>
      <w:bCs w:val="0"/>
      <w:kern w:val="0"/>
      <w:sz w:val="20"/>
    </w:rPr>
  </w:style>
  <w:style w:type="paragraph" w:customStyle="1" w:styleId="1018">
    <w:name w:val="样式 GK样式1 + Times New Roman"/>
    <w:basedOn w:val="701"/>
    <w:uiPriority w:val="0"/>
    <w:pPr>
      <w:tabs>
        <w:tab w:val="left" w:pos="780"/>
        <w:tab w:val="clear" w:pos="1080"/>
      </w:tabs>
      <w:ind w:left="780" w:hanging="360"/>
    </w:pPr>
    <w:rPr>
      <w:rFonts w:cs="Times New Roman"/>
      <w:bCs w:val="0"/>
      <w:color w:val="000000"/>
      <w:sz w:val="32"/>
      <w:szCs w:val="20"/>
    </w:rPr>
  </w:style>
  <w:style w:type="paragraph" w:customStyle="1" w:styleId="1019">
    <w:name w:val="封面标准号1"/>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1020">
    <w:name w:val="样式 文档结构图"/>
    <w:basedOn w:val="26"/>
    <w:uiPriority w:val="0"/>
    <w:pPr>
      <w:widowControl/>
      <w:adjustRightInd w:val="0"/>
      <w:snapToGrid w:val="0"/>
      <w:spacing w:line="360" w:lineRule="auto"/>
      <w:ind w:firstLine="560" w:firstLineChars="200"/>
    </w:pPr>
    <w:rPr>
      <w:rFonts w:ascii="Calibri" w:hAnsi="Calibri"/>
      <w:kern w:val="0"/>
      <w:sz w:val="28"/>
    </w:rPr>
  </w:style>
  <w:style w:type="paragraph" w:customStyle="1" w:styleId="1021">
    <w:name w:val="_Style 10"/>
    <w:basedOn w:val="1"/>
    <w:uiPriority w:val="0"/>
    <w:pPr>
      <w:spacing w:line="360" w:lineRule="auto"/>
      <w:ind w:firstLine="480"/>
    </w:pPr>
    <w:rPr>
      <w:sz w:val="24"/>
      <w:szCs w:val="20"/>
    </w:rPr>
  </w:style>
  <w:style w:type="paragraph" w:customStyle="1" w:styleId="1022">
    <w:name w:val="图表格式job"/>
    <w:basedOn w:val="595"/>
    <w:next w:val="595"/>
    <w:uiPriority w:val="0"/>
    <w:pPr>
      <w:spacing w:line="240" w:lineRule="auto"/>
      <w:ind w:firstLine="0" w:firstLineChars="0"/>
      <w:jc w:val="center"/>
    </w:pPr>
    <w:rPr>
      <w:sz w:val="21"/>
    </w:rPr>
  </w:style>
  <w:style w:type="paragraph" w:customStyle="1" w:styleId="1023">
    <w:name w:val="列项●（二级）"/>
    <w:uiPriority w:val="0"/>
    <w:pPr>
      <w:tabs>
        <w:tab w:val="left" w:pos="840"/>
      </w:tabs>
      <w:ind w:left="840" w:hanging="420"/>
      <w:jc w:val="both"/>
    </w:pPr>
    <w:rPr>
      <w:rFonts w:ascii="宋体" w:hAnsi="Times New Roman" w:eastAsia="宋体" w:cs="Times New Roman"/>
      <w:sz w:val="21"/>
      <w:lang w:val="en-US" w:eastAsia="zh-CN" w:bidi="ar-SA"/>
    </w:rPr>
  </w:style>
  <w:style w:type="paragraph" w:customStyle="1" w:styleId="1024">
    <w:name w:val="数字编号列项（二级）"/>
    <w:uiPriority w:val="0"/>
    <w:pPr>
      <w:tabs>
        <w:tab w:val="left" w:pos="1260"/>
      </w:tabs>
      <w:ind w:left="1259" w:hanging="419"/>
      <w:jc w:val="both"/>
    </w:pPr>
    <w:rPr>
      <w:rFonts w:ascii="宋体" w:hAnsi="Times New Roman" w:eastAsia="宋体" w:cs="Times New Roman"/>
      <w:sz w:val="21"/>
      <w:lang w:val="en-US" w:eastAsia="zh-CN" w:bidi="ar-SA"/>
    </w:rPr>
  </w:style>
  <w:style w:type="paragraph" w:customStyle="1" w:styleId="1025">
    <w:name w:val="WW-正文文字缩进 2"/>
    <w:basedOn w:val="1"/>
    <w:uiPriority w:val="0"/>
    <w:pPr>
      <w:suppressAutoHyphens/>
      <w:spacing w:line="360" w:lineRule="auto"/>
      <w:ind w:left="570" w:firstLine="200"/>
    </w:pPr>
    <w:rPr>
      <w:rFonts w:ascii="宋体" w:hAnsi="宋体"/>
      <w:kern w:val="1"/>
      <w:sz w:val="28"/>
      <w:szCs w:val="20"/>
      <w:lang w:eastAsia="ar-SA"/>
    </w:rPr>
  </w:style>
  <w:style w:type="paragraph" w:customStyle="1" w:styleId="1026">
    <w:name w:val="首行正文缩进"/>
    <w:basedOn w:val="21"/>
    <w:semiHidden/>
    <w:uiPriority w:val="0"/>
    <w:pPr>
      <w:adjustRightInd w:val="0"/>
      <w:spacing w:line="353" w:lineRule="auto"/>
      <w:ind w:firstLine="0"/>
      <w:textAlignment w:val="baseline"/>
    </w:pPr>
    <w:rPr>
      <w:kern w:val="0"/>
      <w:sz w:val="24"/>
    </w:rPr>
  </w:style>
  <w:style w:type="paragraph" w:customStyle="1" w:styleId="1027">
    <w:name w:val="表内正文"/>
    <w:basedOn w:val="1"/>
    <w:uiPriority w:val="0"/>
    <w:pPr>
      <w:widowControl/>
      <w:jc w:val="center"/>
    </w:pPr>
    <w:rPr>
      <w:color w:val="000000"/>
      <w:kern w:val="0"/>
      <w:sz w:val="18"/>
      <w:szCs w:val="20"/>
    </w:rPr>
  </w:style>
  <w:style w:type="paragraph" w:customStyle="1" w:styleId="1028">
    <w:name w:val="zhengwen"/>
    <w:basedOn w:val="1"/>
    <w:uiPriority w:val="0"/>
    <w:pPr>
      <w:widowControl/>
      <w:spacing w:before="100" w:beforeAutospacing="1" w:after="100" w:afterAutospacing="1"/>
      <w:jc w:val="left"/>
    </w:pPr>
    <w:rPr>
      <w:rFonts w:ascii="Arial Unicode MS" w:hAnsi="Arial Unicode MS" w:eastAsia="Arial Unicode MS"/>
      <w:color w:val="000000"/>
      <w:kern w:val="0"/>
      <w:sz w:val="24"/>
      <w:szCs w:val="20"/>
    </w:rPr>
  </w:style>
  <w:style w:type="paragraph" w:customStyle="1" w:styleId="1029">
    <w:name w:val="样式 (西文) Arial 五号 居中 首行缩进:  2 字符"/>
    <w:basedOn w:val="1"/>
    <w:uiPriority w:val="0"/>
    <w:pPr>
      <w:snapToGrid w:val="0"/>
      <w:spacing w:line="400" w:lineRule="exact"/>
      <w:ind w:firstLine="460" w:firstLineChars="200"/>
      <w:jc w:val="center"/>
    </w:pPr>
    <w:rPr>
      <w:snapToGrid w:val="0"/>
      <w:spacing w:val="10"/>
      <w:kern w:val="24"/>
      <w:szCs w:val="20"/>
    </w:rPr>
  </w:style>
  <w:style w:type="paragraph" w:customStyle="1" w:styleId="1030">
    <w:name w:val="默认段落字体 Para Char"/>
    <w:basedOn w:val="1"/>
    <w:next w:val="1"/>
    <w:uiPriority w:val="0"/>
    <w:pPr>
      <w:spacing w:line="360" w:lineRule="auto"/>
      <w:ind w:firstLine="200" w:firstLineChars="200"/>
    </w:pPr>
    <w:rPr>
      <w:rFonts w:ascii="宋体" w:hAnsi="宋体"/>
      <w:sz w:val="24"/>
      <w:szCs w:val="20"/>
    </w:rPr>
  </w:style>
  <w:style w:type="paragraph" w:customStyle="1" w:styleId="1031">
    <w:name w:val="示例内容"/>
    <w:uiPriority w:val="0"/>
    <w:pPr>
      <w:tabs>
        <w:tab w:val="left" w:pos="840"/>
      </w:tabs>
      <w:ind w:firstLine="200" w:firstLineChars="200"/>
    </w:pPr>
    <w:rPr>
      <w:rFonts w:ascii="宋体" w:hAnsi="Times New Roman" w:eastAsia="宋体" w:cs="Times New Roman"/>
      <w:sz w:val="18"/>
      <w:szCs w:val="18"/>
      <w:lang w:val="en-US" w:eastAsia="zh-CN" w:bidi="ar-SA"/>
    </w:rPr>
  </w:style>
  <w:style w:type="paragraph" w:customStyle="1" w:styleId="1032">
    <w:name w:val="样式 四号 首行缩进:  1.01 厘米 行距: 固定值 30 磅"/>
    <w:basedOn w:val="1"/>
    <w:semiHidden/>
    <w:uiPriority w:val="0"/>
    <w:pPr>
      <w:spacing w:line="360" w:lineRule="auto"/>
      <w:ind w:firstLine="480" w:firstLineChars="200"/>
    </w:pPr>
    <w:rPr>
      <w:rFonts w:cs="宋体"/>
      <w:sz w:val="24"/>
      <w:szCs w:val="20"/>
    </w:rPr>
  </w:style>
  <w:style w:type="paragraph" w:customStyle="1" w:styleId="1033">
    <w:name w:val="标题3-2"/>
    <w:basedOn w:val="50"/>
    <w:uiPriority w:val="0"/>
    <w:pPr>
      <w:adjustRightInd/>
      <w:snapToGrid/>
      <w:ind w:left="0" w:leftChars="0" w:firstLine="0" w:firstLineChars="0"/>
    </w:pPr>
    <w:rPr>
      <w:sz w:val="28"/>
      <w:szCs w:val="20"/>
    </w:rPr>
  </w:style>
  <w:style w:type="paragraph" w:customStyle="1" w:styleId="1034">
    <w:name w:val="字母编号列项（一级）"/>
    <w:uiPriority w:val="0"/>
    <w:pPr>
      <w:tabs>
        <w:tab w:val="left" w:pos="840"/>
        <w:tab w:val="left" w:pos="1260"/>
      </w:tabs>
      <w:ind w:left="839" w:hanging="419"/>
      <w:jc w:val="both"/>
    </w:pPr>
    <w:rPr>
      <w:rFonts w:ascii="宋体" w:hAnsi="Times New Roman" w:eastAsia="宋体" w:cs="Times New Roman"/>
      <w:sz w:val="21"/>
      <w:lang w:val="en-US" w:eastAsia="zh-CN" w:bidi="ar-SA"/>
    </w:rPr>
  </w:style>
  <w:style w:type="paragraph" w:customStyle="1" w:styleId="1035">
    <w:name w:val="标题2-2"/>
    <w:basedOn w:val="1"/>
    <w:uiPriority w:val="0"/>
    <w:pPr>
      <w:autoSpaceDE w:val="0"/>
      <w:autoSpaceDN w:val="0"/>
      <w:adjustRightInd w:val="0"/>
      <w:snapToGrid w:val="0"/>
      <w:spacing w:before="120" w:after="20" w:line="300" w:lineRule="auto"/>
      <w:outlineLvl w:val="1"/>
    </w:pPr>
    <w:rPr>
      <w:rFonts w:eastAsia="华文新魏"/>
      <w:b/>
      <w:snapToGrid w:val="0"/>
      <w:kern w:val="0"/>
      <w:sz w:val="32"/>
      <w:szCs w:val="20"/>
      <w:lang w:val="zh-CN"/>
    </w:rPr>
  </w:style>
  <w:style w:type="paragraph" w:customStyle="1" w:styleId="1036">
    <w:name w:val="阿"/>
    <w:basedOn w:val="21"/>
    <w:uiPriority w:val="0"/>
    <w:pPr>
      <w:ind w:firstLine="0"/>
    </w:pPr>
    <w:rPr>
      <w:rFonts w:ascii="宋体" w:hAnsi="宋体"/>
      <w:color w:val="000000"/>
      <w:kern w:val="0"/>
    </w:rPr>
  </w:style>
  <w:style w:type="paragraph" w:customStyle="1" w:styleId="1037">
    <w:name w:val="正文一"/>
    <w:basedOn w:val="1"/>
    <w:uiPriority w:val="0"/>
    <w:pPr>
      <w:tabs>
        <w:tab w:val="left" w:pos="7995"/>
      </w:tabs>
      <w:adjustRightInd w:val="0"/>
      <w:spacing w:line="312" w:lineRule="auto"/>
      <w:ind w:firstLine="567"/>
      <w:textAlignment w:val="baseline"/>
    </w:pPr>
    <w:rPr>
      <w:kern w:val="0"/>
      <w:sz w:val="28"/>
      <w:szCs w:val="20"/>
    </w:rPr>
  </w:style>
  <w:style w:type="paragraph" w:customStyle="1" w:styleId="1038">
    <w:name w:val="_Style 37"/>
    <w:basedOn w:val="1"/>
    <w:next w:val="70"/>
    <w:uiPriority w:val="0"/>
    <w:pPr>
      <w:spacing w:line="520" w:lineRule="exact"/>
      <w:ind w:firstLine="482"/>
    </w:pPr>
    <w:rPr>
      <w:sz w:val="24"/>
      <w:szCs w:val="20"/>
    </w:rPr>
  </w:style>
  <w:style w:type="paragraph" w:customStyle="1" w:styleId="1039">
    <w:name w:val="正式节"/>
    <w:basedOn w:val="1"/>
    <w:uiPriority w:val="0"/>
    <w:pPr>
      <w:autoSpaceDE w:val="0"/>
      <w:autoSpaceDN w:val="0"/>
      <w:adjustRightInd w:val="0"/>
      <w:snapToGrid w:val="0"/>
      <w:spacing w:before="120" w:after="120" w:line="312" w:lineRule="auto"/>
      <w:ind w:firstLine="567"/>
    </w:pPr>
    <w:rPr>
      <w:rFonts w:ascii="宋体" w:hAnsi="宋体"/>
      <w:b/>
      <w:spacing w:val="6"/>
      <w:sz w:val="32"/>
      <w:szCs w:val="20"/>
    </w:rPr>
  </w:style>
  <w:style w:type="paragraph" w:customStyle="1" w:styleId="1040">
    <w:name w:val="表内左齐"/>
    <w:basedOn w:val="1"/>
    <w:next w:val="35"/>
    <w:uiPriority w:val="0"/>
    <w:pPr>
      <w:spacing w:line="360" w:lineRule="auto"/>
      <w:ind w:firstLine="480" w:firstLineChars="200"/>
    </w:pPr>
    <w:rPr>
      <w:sz w:val="24"/>
      <w:szCs w:val="20"/>
    </w:rPr>
  </w:style>
  <w:style w:type="paragraph" w:customStyle="1" w:styleId="1041">
    <w:name w:val="样式 (西文) 华文中宋 (中文) 华文中宋 小四 行距: 固定值 22 磅 首行缩进:  2 字符"/>
    <w:basedOn w:val="1"/>
    <w:semiHidden/>
    <w:uiPriority w:val="0"/>
    <w:pPr>
      <w:spacing w:line="500" w:lineRule="exact"/>
      <w:ind w:firstLine="200" w:firstLineChars="200"/>
    </w:pPr>
    <w:rPr>
      <w:rFonts w:ascii="华文中宋" w:hAnsi="华文中宋" w:eastAsia="华文中宋" w:cs="宋体"/>
      <w:sz w:val="24"/>
      <w:szCs w:val="20"/>
    </w:rPr>
  </w:style>
  <w:style w:type="paragraph" w:customStyle="1" w:styleId="1042">
    <w:name w:val="前言、引言标题"/>
    <w:next w:val="1"/>
    <w:uiPriority w:val="0"/>
    <w:pPr>
      <w:shd w:val="clear" w:color="FFFFFF" w:fill="FFFFFF"/>
      <w:tabs>
        <w:tab w:val="left" w:pos="1260"/>
      </w:tabs>
      <w:spacing w:before="640" w:after="560"/>
      <w:ind w:left="1260" w:hanging="1080"/>
      <w:jc w:val="center"/>
      <w:outlineLvl w:val="0"/>
    </w:pPr>
    <w:rPr>
      <w:rFonts w:ascii="黑体" w:hAnsi="Times New Roman" w:eastAsia="黑体" w:cs="Times New Roman"/>
      <w:sz w:val="32"/>
      <w:lang w:val="en-US" w:eastAsia="zh-CN" w:bidi="ar-SA"/>
    </w:rPr>
  </w:style>
  <w:style w:type="paragraph" w:customStyle="1" w:styleId="1043">
    <w:name w:val="默认段落字体 Para Char Char Char Char Char Char"/>
    <w:basedOn w:val="1"/>
    <w:uiPriority w:val="0"/>
    <w:rPr>
      <w:szCs w:val="20"/>
    </w:rPr>
  </w:style>
  <w:style w:type="paragraph" w:customStyle="1" w:styleId="1044">
    <w:name w:val="5号表内正文"/>
    <w:basedOn w:val="1"/>
    <w:next w:val="1"/>
    <w:qFormat/>
    <w:uiPriority w:val="0"/>
    <w:pPr>
      <w:widowControl/>
      <w:jc w:val="center"/>
    </w:pPr>
    <w:rPr>
      <w:color w:val="000000"/>
      <w:kern w:val="0"/>
      <w:szCs w:val="18"/>
    </w:rPr>
  </w:style>
  <w:style w:type="paragraph" w:customStyle="1" w:styleId="1045">
    <w:name w:val="Char11"/>
    <w:basedOn w:val="1"/>
    <w:uiPriority w:val="0"/>
    <w:pPr>
      <w:spacing w:line="360" w:lineRule="auto"/>
    </w:pPr>
    <w:rPr>
      <w:sz w:val="24"/>
      <w:szCs w:val="20"/>
    </w:rPr>
  </w:style>
  <w:style w:type="paragraph" w:customStyle="1" w:styleId="1046">
    <w:name w:val="二级无"/>
    <w:basedOn w:val="952"/>
    <w:uiPriority w:val="0"/>
    <w:pPr>
      <w:ind w:left="525"/>
      <w:jc w:val="left"/>
    </w:pPr>
    <w:rPr>
      <w:rFonts w:ascii="宋体" w:eastAsia="宋体"/>
      <w:szCs w:val="21"/>
    </w:rPr>
  </w:style>
  <w:style w:type="paragraph" w:customStyle="1" w:styleId="1047">
    <w:name w:val="样式 正文文本缩进 3 + 行距: 最小值 28 磅"/>
    <w:basedOn w:val="70"/>
    <w:uiPriority w:val="0"/>
    <w:pPr>
      <w:spacing w:line="560" w:lineRule="atLeast"/>
      <w:ind w:left="0" w:firstLine="560" w:firstLineChars="200"/>
    </w:pPr>
    <w:rPr>
      <w:rFonts w:ascii="Calibri" w:hAnsi="Calibri" w:eastAsia="仿宋_GB2312"/>
      <w:snapToGrid w:val="0"/>
      <w:kern w:val="44"/>
      <w:sz w:val="28"/>
    </w:rPr>
  </w:style>
  <w:style w:type="paragraph" w:customStyle="1" w:styleId="1048">
    <w:name w:val="表头格式"/>
    <w:basedOn w:val="1"/>
    <w:uiPriority w:val="0"/>
    <w:pPr>
      <w:spacing w:beforeLines="50" w:line="360" w:lineRule="exact"/>
      <w:jc w:val="center"/>
    </w:pPr>
    <w:rPr>
      <w:rFonts w:eastAsia="方正黑体简体"/>
      <w:sz w:val="24"/>
      <w:szCs w:val="20"/>
    </w:rPr>
  </w:style>
  <w:style w:type="paragraph" w:customStyle="1" w:styleId="1049">
    <w:name w:val="bodyfont"/>
    <w:basedOn w:val="1"/>
    <w:uiPriority w:val="0"/>
    <w:pPr>
      <w:widowControl/>
      <w:spacing w:before="100" w:beforeAutospacing="1" w:after="100" w:afterAutospacing="1" w:line="400" w:lineRule="atLeast"/>
      <w:jc w:val="left"/>
    </w:pPr>
    <w:rPr>
      <w:rFonts w:ascii="Arial Unicode MS" w:hAnsi="Arial Unicode MS" w:eastAsia="Arial Unicode MS"/>
      <w:color w:val="000000"/>
      <w:kern w:val="0"/>
      <w:sz w:val="24"/>
      <w:szCs w:val="20"/>
    </w:rPr>
  </w:style>
  <w:style w:type="paragraph" w:customStyle="1" w:styleId="1050">
    <w:name w:val="20"/>
    <w:basedOn w:val="1"/>
    <w:semiHidden/>
    <w:uiPriority w:val="0"/>
    <w:pPr>
      <w:spacing w:line="360" w:lineRule="auto"/>
    </w:pPr>
    <w:rPr>
      <w:sz w:val="24"/>
      <w:szCs w:val="20"/>
    </w:rPr>
  </w:style>
  <w:style w:type="paragraph" w:customStyle="1" w:styleId="1051">
    <w:name w:val="样式 表格文字 + 五号"/>
    <w:basedOn w:val="286"/>
    <w:uiPriority w:val="0"/>
    <w:pPr>
      <w:jc w:val="left"/>
    </w:pPr>
    <w:rPr>
      <w:sz w:val="20"/>
    </w:rPr>
  </w:style>
  <w:style w:type="paragraph" w:customStyle="1" w:styleId="1052">
    <w:name w:val="CZL-表格"/>
    <w:semiHidden/>
    <w:qFormat/>
    <w:uiPriority w:val="0"/>
    <w:pPr>
      <w:adjustRightInd w:val="0"/>
      <w:snapToGrid w:val="0"/>
      <w:jc w:val="center"/>
    </w:pPr>
    <w:rPr>
      <w:rFonts w:ascii="华文中宋" w:hAnsi="华文中宋" w:eastAsia="华文中宋" w:cs="Times New Roman"/>
      <w:sz w:val="21"/>
      <w:szCs w:val="21"/>
      <w:lang w:val="en-US" w:eastAsia="zh-CN" w:bidi="ar-SA"/>
    </w:rPr>
  </w:style>
  <w:style w:type="paragraph" w:customStyle="1" w:styleId="1053">
    <w:name w:val="正文 New New New New"/>
    <w:semiHidden/>
    <w:uiPriority w:val="0"/>
    <w:pPr>
      <w:widowControl w:val="0"/>
      <w:adjustRightInd w:val="0"/>
      <w:snapToGrid w:val="0"/>
      <w:spacing w:line="360" w:lineRule="auto"/>
      <w:ind w:firstLine="200" w:firstLineChars="200"/>
      <w:jc w:val="both"/>
    </w:pPr>
    <w:rPr>
      <w:rFonts w:ascii="Times New Roman" w:hAnsi="Times New Roman" w:eastAsia="宋体" w:cs="Times New Roman"/>
      <w:kern w:val="2"/>
      <w:sz w:val="24"/>
      <w:szCs w:val="21"/>
      <w:lang w:val="en-US" w:eastAsia="zh-CN" w:bidi="ar-SA"/>
    </w:rPr>
  </w:style>
  <w:style w:type="paragraph" w:customStyle="1" w:styleId="1054">
    <w:name w:val="正文 New New New New New New New New"/>
    <w:uiPriority w:val="0"/>
    <w:pPr>
      <w:widowControl w:val="0"/>
      <w:adjustRightInd w:val="0"/>
      <w:snapToGrid w:val="0"/>
      <w:spacing w:line="360" w:lineRule="auto"/>
      <w:ind w:firstLine="200" w:firstLineChars="200"/>
      <w:jc w:val="both"/>
    </w:pPr>
    <w:rPr>
      <w:rFonts w:ascii="Times New Roman" w:hAnsi="Times New Roman" w:eastAsia="宋体" w:cs="Times New Roman"/>
      <w:kern w:val="2"/>
      <w:sz w:val="24"/>
      <w:szCs w:val="24"/>
      <w:lang w:val="en-US" w:eastAsia="zh-CN" w:bidi="ar-SA"/>
    </w:rPr>
  </w:style>
  <w:style w:type="paragraph" w:customStyle="1" w:styleId="1055">
    <w:name w:val="图表名 New New New"/>
    <w:basedOn w:val="1"/>
    <w:semiHidden/>
    <w:uiPriority w:val="0"/>
    <w:pPr>
      <w:snapToGrid w:val="0"/>
      <w:spacing w:line="360" w:lineRule="auto"/>
      <w:jc w:val="center"/>
    </w:pPr>
  </w:style>
  <w:style w:type="paragraph" w:customStyle="1" w:styleId="1056">
    <w:name w:val="图表名 New New"/>
    <w:basedOn w:val="1053"/>
    <w:semiHidden/>
    <w:uiPriority w:val="0"/>
    <w:pPr>
      <w:adjustRightInd/>
      <w:ind w:firstLine="0" w:firstLineChars="0"/>
      <w:jc w:val="center"/>
    </w:pPr>
    <w:rPr>
      <w:sz w:val="21"/>
      <w:szCs w:val="24"/>
    </w:rPr>
  </w:style>
  <w:style w:type="paragraph" w:customStyle="1" w:styleId="1057">
    <w:name w:val="正文 New New New New New New New New New"/>
    <w:semiHidden/>
    <w:uiPriority w:val="0"/>
    <w:pPr>
      <w:widowControl w:val="0"/>
      <w:adjustRightInd w:val="0"/>
      <w:snapToGrid w:val="0"/>
      <w:spacing w:line="360" w:lineRule="auto"/>
      <w:ind w:firstLine="200" w:firstLineChars="200"/>
      <w:jc w:val="both"/>
    </w:pPr>
    <w:rPr>
      <w:rFonts w:ascii="Times New Roman" w:hAnsi="Times New Roman" w:eastAsia="宋体" w:cs="Times New Roman"/>
      <w:kern w:val="2"/>
      <w:sz w:val="24"/>
      <w:szCs w:val="21"/>
      <w:lang w:val="en-US" w:eastAsia="zh-CN" w:bidi="ar-SA"/>
    </w:rPr>
  </w:style>
  <w:style w:type="paragraph" w:customStyle="1" w:styleId="1058">
    <w:name w:val="正文 New New New New New New"/>
    <w:semiHidden/>
    <w:uiPriority w:val="0"/>
    <w:pPr>
      <w:widowControl w:val="0"/>
      <w:adjustRightInd w:val="0"/>
      <w:snapToGrid w:val="0"/>
      <w:spacing w:line="360" w:lineRule="auto"/>
      <w:ind w:firstLine="200" w:firstLineChars="200"/>
      <w:jc w:val="both"/>
    </w:pPr>
    <w:rPr>
      <w:rFonts w:ascii="Times New Roman" w:hAnsi="Times New Roman" w:eastAsia="宋体" w:cs="Times New Roman"/>
      <w:kern w:val="2"/>
      <w:sz w:val="24"/>
      <w:szCs w:val="21"/>
      <w:lang w:val="en-US" w:eastAsia="zh-CN" w:bidi="ar-SA"/>
    </w:rPr>
  </w:style>
  <w:style w:type="paragraph" w:customStyle="1" w:styleId="1059">
    <w:name w:val="图表名 New"/>
    <w:basedOn w:val="1060"/>
    <w:semiHidden/>
    <w:uiPriority w:val="0"/>
    <w:pPr>
      <w:adjustRightInd/>
      <w:ind w:firstLine="0" w:firstLineChars="0"/>
      <w:jc w:val="center"/>
    </w:pPr>
    <w:rPr>
      <w:sz w:val="21"/>
      <w:szCs w:val="24"/>
    </w:rPr>
  </w:style>
  <w:style w:type="paragraph" w:customStyle="1" w:styleId="1060">
    <w:name w:val="正文 New New New"/>
    <w:semiHidden/>
    <w:uiPriority w:val="0"/>
    <w:pPr>
      <w:widowControl w:val="0"/>
      <w:adjustRightInd w:val="0"/>
      <w:snapToGrid w:val="0"/>
      <w:spacing w:line="360" w:lineRule="auto"/>
      <w:ind w:firstLine="200" w:firstLineChars="200"/>
      <w:jc w:val="both"/>
    </w:pPr>
    <w:rPr>
      <w:rFonts w:ascii="Times New Roman" w:hAnsi="Times New Roman" w:eastAsia="宋体" w:cs="Times New Roman"/>
      <w:kern w:val="2"/>
      <w:sz w:val="24"/>
      <w:szCs w:val="21"/>
      <w:lang w:val="en-US" w:eastAsia="zh-CN" w:bidi="ar-SA"/>
    </w:rPr>
  </w:style>
  <w:style w:type="paragraph" w:customStyle="1" w:styleId="1061">
    <w:name w:val="正文 New New New New New New New"/>
    <w:semiHidden/>
    <w:uiPriority w:val="0"/>
    <w:pPr>
      <w:widowControl w:val="0"/>
      <w:adjustRightInd w:val="0"/>
      <w:snapToGrid w:val="0"/>
      <w:spacing w:line="360" w:lineRule="auto"/>
      <w:ind w:firstLine="200" w:firstLineChars="200"/>
      <w:jc w:val="both"/>
    </w:pPr>
    <w:rPr>
      <w:rFonts w:ascii="Times New Roman" w:hAnsi="Times New Roman" w:eastAsia="宋体" w:cs="Times New Roman"/>
      <w:kern w:val="2"/>
      <w:sz w:val="24"/>
      <w:szCs w:val="24"/>
      <w:lang w:val="en-US" w:eastAsia="zh-CN" w:bidi="ar-SA"/>
    </w:rPr>
  </w:style>
  <w:style w:type="paragraph" w:customStyle="1" w:styleId="1062">
    <w:name w:val="正文 New"/>
    <w:uiPriority w:val="0"/>
    <w:pPr>
      <w:widowControl w:val="0"/>
      <w:adjustRightInd w:val="0"/>
      <w:snapToGrid w:val="0"/>
      <w:spacing w:line="360" w:lineRule="auto"/>
      <w:ind w:firstLine="200" w:firstLineChars="200"/>
      <w:jc w:val="both"/>
    </w:pPr>
    <w:rPr>
      <w:rFonts w:ascii="Times New Roman" w:hAnsi="Times New Roman" w:eastAsia="宋体" w:cs="Times New Roman"/>
      <w:kern w:val="2"/>
      <w:sz w:val="24"/>
      <w:szCs w:val="21"/>
      <w:lang w:val="en-US" w:eastAsia="zh-CN" w:bidi="ar-SA"/>
    </w:rPr>
  </w:style>
  <w:style w:type="paragraph" w:customStyle="1" w:styleId="1063">
    <w:name w:val="p16"/>
    <w:basedOn w:val="1"/>
    <w:uiPriority w:val="0"/>
    <w:pPr>
      <w:widowControl/>
      <w:spacing w:line="520" w:lineRule="atLeast"/>
    </w:pPr>
    <w:rPr>
      <w:rFonts w:ascii="宋体" w:hAnsi="宋体" w:cs="宋体"/>
      <w:kern w:val="0"/>
      <w:szCs w:val="21"/>
    </w:rPr>
  </w:style>
  <w:style w:type="paragraph" w:customStyle="1" w:styleId="1064">
    <w:name w:val="p17"/>
    <w:basedOn w:val="1"/>
    <w:uiPriority w:val="0"/>
    <w:pPr>
      <w:widowControl/>
      <w:spacing w:line="360" w:lineRule="auto"/>
    </w:pPr>
    <w:rPr>
      <w:rFonts w:ascii="宋体" w:hAnsi="宋体" w:cs="宋体"/>
      <w:b/>
      <w:bCs/>
      <w:kern w:val="0"/>
      <w:sz w:val="24"/>
    </w:rPr>
  </w:style>
  <w:style w:type="paragraph" w:customStyle="1" w:styleId="1065">
    <w:name w:val="流程图"/>
    <w:basedOn w:val="1"/>
    <w:uiPriority w:val="0"/>
    <w:pPr>
      <w:spacing w:line="240" w:lineRule="atLeast"/>
      <w:jc w:val="center"/>
    </w:pPr>
  </w:style>
  <w:style w:type="paragraph" w:customStyle="1" w:styleId="1066">
    <w:name w:val="p18"/>
    <w:basedOn w:val="1"/>
    <w:uiPriority w:val="0"/>
    <w:pPr>
      <w:widowControl/>
      <w:spacing w:line="480" w:lineRule="atLeast"/>
      <w:ind w:firstLine="420"/>
    </w:pPr>
    <w:rPr>
      <w:kern w:val="0"/>
      <w:sz w:val="28"/>
      <w:szCs w:val="28"/>
    </w:rPr>
  </w:style>
  <w:style w:type="paragraph" w:customStyle="1" w:styleId="1067">
    <w:name w:val="默认段落字体 Para Char Char Char Char Char Char Char Char Char Char"/>
    <w:basedOn w:val="5"/>
    <w:uiPriority w:val="0"/>
    <w:pPr>
      <w:keepLines/>
      <w:tabs>
        <w:tab w:val="left" w:pos="900"/>
      </w:tabs>
      <w:adjustRightInd/>
      <w:spacing w:before="120" w:after="120"/>
      <w:ind w:left="542" w:leftChars="-12"/>
      <w:jc w:val="left"/>
    </w:pPr>
    <w:rPr>
      <w:rFonts w:ascii="Times New Roman" w:hAnsi="Times New Roman" w:eastAsia="黑体"/>
      <w:b/>
      <w:bCs w:val="0"/>
      <w:snapToGrid w:val="0"/>
      <w:sz w:val="28"/>
    </w:rPr>
  </w:style>
  <w:style w:type="paragraph" w:customStyle="1" w:styleId="1068">
    <w:name w:val="p15"/>
    <w:basedOn w:val="1"/>
    <w:uiPriority w:val="0"/>
    <w:pPr>
      <w:widowControl/>
      <w:jc w:val="center"/>
    </w:pPr>
    <w:rPr>
      <w:rFonts w:ascii="Courier New" w:hAnsi="Courier New" w:cs="Courier New"/>
      <w:kern w:val="0"/>
      <w:szCs w:val="21"/>
    </w:rPr>
  </w:style>
  <w:style w:type="paragraph" w:customStyle="1" w:styleId="1069">
    <w:name w:val="2级标题job"/>
    <w:basedOn w:val="4"/>
    <w:uiPriority w:val="0"/>
    <w:pPr>
      <w:tabs>
        <w:tab w:val="clear" w:pos="360"/>
      </w:tabs>
      <w:spacing w:beforeLines="50" w:after="0" w:line="360" w:lineRule="auto"/>
      <w:ind w:left="0" w:firstLine="0" w:firstLineChars="0"/>
      <w:jc w:val="left"/>
    </w:pPr>
    <w:rPr>
      <w:rFonts w:ascii="Times New Roman" w:hAnsi="Times New Roman" w:eastAsia="宋体" w:cs="宋体"/>
      <w:b w:val="0"/>
      <w:sz w:val="30"/>
      <w:szCs w:val="20"/>
    </w:rPr>
  </w:style>
  <w:style w:type="paragraph" w:customStyle="1" w:styleId="1070">
    <w:name w:val="表头5"/>
    <w:basedOn w:val="1"/>
    <w:uiPriority w:val="0"/>
    <w:pPr>
      <w:tabs>
        <w:tab w:val="left" w:pos="1080"/>
      </w:tabs>
      <w:adjustRightInd w:val="0"/>
      <w:snapToGrid w:val="0"/>
      <w:spacing w:beforeLines="100" w:afterLines="50" w:line="240" w:lineRule="atLeast"/>
      <w:ind w:left="425" w:hanging="425"/>
      <w:jc w:val="center"/>
    </w:pPr>
    <w:rPr>
      <w:b/>
      <w:sz w:val="24"/>
    </w:rPr>
  </w:style>
  <w:style w:type="paragraph" w:customStyle="1" w:styleId="1071">
    <w:name w:val="3级标题job"/>
    <w:basedOn w:val="5"/>
    <w:uiPriority w:val="0"/>
    <w:pPr>
      <w:keepLines/>
      <w:tabs>
        <w:tab w:val="clear" w:pos="360"/>
      </w:tabs>
      <w:snapToGrid/>
      <w:ind w:left="0" w:firstLine="0" w:firstLineChars="0"/>
      <w:jc w:val="left"/>
      <w:textAlignment w:val="baseline"/>
    </w:pPr>
    <w:rPr>
      <w:rFonts w:ascii="Times New Roman" w:hAnsi="Times New Roman" w:eastAsia="宋体"/>
      <w:kern w:val="0"/>
      <w:sz w:val="28"/>
      <w:szCs w:val="20"/>
    </w:rPr>
  </w:style>
  <w:style w:type="paragraph" w:customStyle="1" w:styleId="1072">
    <w:name w:val="表格样式1"/>
    <w:basedOn w:val="1"/>
    <w:uiPriority w:val="0"/>
    <w:pPr>
      <w:adjustRightInd w:val="0"/>
      <w:spacing w:line="20" w:lineRule="atLeast"/>
      <w:ind w:firstLine="200" w:firstLineChars="200"/>
      <w:jc w:val="center"/>
      <w:textAlignment w:val="baseline"/>
    </w:pPr>
    <w:rPr>
      <w:rFonts w:ascii="宋体" w:eastAsia="仿宋_GB2312"/>
      <w:kern w:val="0"/>
      <w:sz w:val="24"/>
      <w:szCs w:val="20"/>
    </w:rPr>
  </w:style>
  <w:style w:type="paragraph" w:customStyle="1" w:styleId="1073">
    <w:name w:val="1级标题job"/>
    <w:basedOn w:val="3"/>
    <w:uiPriority w:val="0"/>
    <w:pPr>
      <w:keepLines/>
      <w:tabs>
        <w:tab w:val="clear" w:pos="360"/>
      </w:tabs>
      <w:spacing w:beforeLines="100" w:afterLines="100" w:line="360" w:lineRule="auto"/>
      <w:ind w:left="0" w:firstLine="0" w:firstLineChars="0"/>
      <w:jc w:val="both"/>
    </w:pPr>
    <w:rPr>
      <w:rFonts w:eastAsia="宋体" w:cs="宋体"/>
      <w:bCs/>
      <w:kern w:val="44"/>
      <w:sz w:val="32"/>
      <w:szCs w:val="20"/>
    </w:rPr>
  </w:style>
  <w:style w:type="paragraph" w:customStyle="1" w:styleId="1074">
    <w:name w:val="表头10"/>
    <w:basedOn w:val="1"/>
    <w:uiPriority w:val="0"/>
    <w:pPr>
      <w:tabs>
        <w:tab w:val="left" w:pos="2345"/>
      </w:tabs>
      <w:adjustRightInd w:val="0"/>
      <w:snapToGrid w:val="0"/>
      <w:spacing w:beforeLines="100" w:afterLines="50" w:line="240" w:lineRule="atLeast"/>
      <w:ind w:left="1330" w:hanging="425"/>
      <w:jc w:val="center"/>
    </w:pPr>
    <w:rPr>
      <w:b/>
      <w:bCs/>
      <w:sz w:val="24"/>
    </w:rPr>
  </w:style>
  <w:style w:type="paragraph" w:customStyle="1" w:styleId="1075">
    <w:name w:val="5级标题"/>
    <w:basedOn w:val="7"/>
    <w:semiHidden/>
    <w:uiPriority w:val="0"/>
    <w:pPr>
      <w:keepLines w:val="0"/>
      <w:widowControl w:val="0"/>
      <w:tabs>
        <w:tab w:val="clear" w:pos="360"/>
      </w:tabs>
      <w:spacing w:beforeLines="0" w:afterLines="0" w:line="360" w:lineRule="auto"/>
      <w:ind w:left="0" w:firstLine="0" w:firstLineChars="0"/>
      <w:jc w:val="left"/>
    </w:pPr>
    <w:rPr>
      <w:rFonts w:ascii="Times New Roman" w:hAnsi="Times New Roman" w:eastAsia="宋体"/>
      <w:kern w:val="44"/>
      <w:sz w:val="24"/>
      <w:szCs w:val="32"/>
    </w:rPr>
  </w:style>
  <w:style w:type="paragraph" w:customStyle="1" w:styleId="1076">
    <w:name w:val="封里文字"/>
    <w:basedOn w:val="1"/>
    <w:semiHidden/>
    <w:uiPriority w:val="0"/>
    <w:pPr>
      <w:spacing w:line="720" w:lineRule="auto"/>
      <w:jc w:val="left"/>
    </w:pPr>
    <w:rPr>
      <w:rFonts w:cs="宋体"/>
      <w:sz w:val="36"/>
    </w:rPr>
  </w:style>
  <w:style w:type="paragraph" w:customStyle="1" w:styleId="1077">
    <w:name w:val="封面"/>
    <w:basedOn w:val="1"/>
    <w:uiPriority w:val="0"/>
    <w:pPr>
      <w:adjustRightInd w:val="0"/>
      <w:snapToGrid w:val="0"/>
      <w:spacing w:line="360" w:lineRule="auto"/>
      <w:jc w:val="center"/>
    </w:pPr>
    <w:rPr>
      <w:rFonts w:ascii="楷体_GB2312" w:eastAsia="楷体_GB2312"/>
      <w:b/>
      <w:bCs/>
      <w:snapToGrid w:val="0"/>
      <w:kern w:val="0"/>
      <w:sz w:val="44"/>
      <w:szCs w:val="44"/>
    </w:rPr>
  </w:style>
  <w:style w:type="paragraph" w:customStyle="1" w:styleId="1078">
    <w:name w:val="大标题"/>
    <w:basedOn w:val="1"/>
    <w:semiHidden/>
    <w:uiPriority w:val="0"/>
    <w:pPr>
      <w:adjustRightInd w:val="0"/>
      <w:snapToGrid w:val="0"/>
      <w:spacing w:line="360" w:lineRule="auto"/>
      <w:jc w:val="center"/>
    </w:pPr>
    <w:rPr>
      <w:rFonts w:ascii="黑体" w:eastAsia="黑体"/>
      <w:bCs/>
      <w:sz w:val="28"/>
    </w:rPr>
  </w:style>
  <w:style w:type="paragraph" w:customStyle="1" w:styleId="1079">
    <w:name w:val="样式 4级标题 + 段前: 6 磅"/>
    <w:basedOn w:val="362"/>
    <w:semiHidden/>
    <w:uiPriority w:val="0"/>
    <w:pPr>
      <w:keepLines w:val="0"/>
      <w:widowControl/>
      <w:spacing w:beforeLines="50" w:after="0" w:line="360" w:lineRule="auto"/>
      <w:ind w:firstLine="0" w:firstLineChars="0"/>
      <w:jc w:val="left"/>
    </w:pPr>
    <w:rPr>
      <w:rFonts w:ascii="Times New Roman" w:hAnsi="Times New Roman" w:cs="宋体"/>
      <w:b w:val="0"/>
      <w:bCs w:val="0"/>
      <w:szCs w:val="20"/>
    </w:rPr>
  </w:style>
  <w:style w:type="paragraph" w:customStyle="1" w:styleId="1080">
    <w:name w:val="表内字体-烟台"/>
    <w:basedOn w:val="1"/>
    <w:uiPriority w:val="0"/>
    <w:pPr>
      <w:jc w:val="center"/>
      <w:textAlignment w:val="center"/>
    </w:pPr>
    <w:rPr>
      <w:color w:val="000000"/>
      <w:szCs w:val="21"/>
    </w:rPr>
  </w:style>
  <w:style w:type="paragraph" w:customStyle="1" w:styleId="1081">
    <w:name w:val="Char Char1 Char Char Char Char"/>
    <w:basedOn w:val="1"/>
    <w:uiPriority w:val="0"/>
  </w:style>
  <w:style w:type="paragraph" w:customStyle="1" w:styleId="1082">
    <w:name w:val="Char9"/>
    <w:basedOn w:val="1"/>
    <w:uiPriority w:val="0"/>
    <w:pPr>
      <w:adjustRightInd w:val="0"/>
      <w:snapToGrid w:val="0"/>
      <w:spacing w:line="360" w:lineRule="auto"/>
      <w:ind w:firstLine="620" w:firstLineChars="200"/>
    </w:pPr>
    <w:rPr>
      <w:kern w:val="0"/>
      <w:sz w:val="24"/>
    </w:rPr>
  </w:style>
  <w:style w:type="paragraph" w:customStyle="1" w:styleId="1083">
    <w:name w:val="....1"/>
    <w:basedOn w:val="1"/>
    <w:next w:val="1"/>
    <w:uiPriority w:val="0"/>
    <w:pPr>
      <w:autoSpaceDE w:val="0"/>
      <w:autoSpaceDN w:val="0"/>
      <w:adjustRightInd w:val="0"/>
      <w:jc w:val="left"/>
    </w:pPr>
    <w:rPr>
      <w:rFonts w:ascii="黑体" w:eastAsia="黑体"/>
      <w:kern w:val="0"/>
      <w:sz w:val="24"/>
    </w:rPr>
  </w:style>
  <w:style w:type="paragraph" w:customStyle="1" w:styleId="1084">
    <w:name w:val="..2"/>
    <w:basedOn w:val="1"/>
    <w:next w:val="1"/>
    <w:uiPriority w:val="0"/>
    <w:pPr>
      <w:autoSpaceDE w:val="0"/>
      <w:autoSpaceDN w:val="0"/>
      <w:adjustRightInd w:val="0"/>
      <w:spacing w:before="30" w:after="100"/>
      <w:jc w:val="left"/>
    </w:pPr>
    <w:rPr>
      <w:rFonts w:ascii="黑体" w:eastAsia="黑体"/>
      <w:kern w:val="0"/>
      <w:sz w:val="24"/>
    </w:rPr>
  </w:style>
  <w:style w:type="paragraph" w:customStyle="1" w:styleId="1085">
    <w:name w:val="..4"/>
    <w:basedOn w:val="1"/>
    <w:next w:val="1"/>
    <w:uiPriority w:val="0"/>
    <w:pPr>
      <w:autoSpaceDE w:val="0"/>
      <w:autoSpaceDN w:val="0"/>
      <w:adjustRightInd w:val="0"/>
      <w:jc w:val="left"/>
    </w:pPr>
    <w:rPr>
      <w:rFonts w:ascii="黑体" w:eastAsia="黑体"/>
      <w:kern w:val="0"/>
      <w:sz w:val="24"/>
    </w:rPr>
  </w:style>
  <w:style w:type="paragraph" w:customStyle="1" w:styleId="1086">
    <w:name w:val="??"/>
    <w:uiPriority w:val="0"/>
    <w:pPr>
      <w:widowControl w:val="0"/>
      <w:autoSpaceDE w:val="0"/>
      <w:autoSpaceDN w:val="0"/>
      <w:adjustRightInd w:val="0"/>
      <w:spacing w:line="460" w:lineRule="exact"/>
      <w:ind w:firstLine="510"/>
      <w:textAlignment w:val="baseline"/>
    </w:pPr>
    <w:rPr>
      <w:rFonts w:ascii="Times New Roman" w:hAnsi="Times New Roman" w:eastAsia="宋体" w:cs="Times New Roman"/>
      <w:sz w:val="24"/>
      <w:lang w:val="en-US" w:eastAsia="zh-CN" w:bidi="ar-SA"/>
    </w:rPr>
  </w:style>
  <w:style w:type="paragraph" w:customStyle="1" w:styleId="1087">
    <w:name w:val="Char Char Char Char Char1"/>
    <w:basedOn w:val="1"/>
    <w:semiHidden/>
    <w:uiPriority w:val="0"/>
    <w:rPr>
      <w:sz w:val="24"/>
    </w:rPr>
  </w:style>
  <w:style w:type="paragraph" w:customStyle="1" w:styleId="1088">
    <w:name w:val="Char Char Char Char Char Char Char Char"/>
    <w:basedOn w:val="1"/>
    <w:semiHidden/>
    <w:uiPriority w:val="0"/>
    <w:rPr>
      <w:sz w:val="24"/>
    </w:rPr>
  </w:style>
  <w:style w:type="paragraph" w:customStyle="1" w:styleId="1089">
    <w:name w:val="Char2 Char Char Char2"/>
    <w:basedOn w:val="1"/>
    <w:semiHidden/>
    <w:uiPriority w:val="0"/>
    <w:pPr>
      <w:spacing w:line="360" w:lineRule="auto"/>
      <w:ind w:firstLine="200" w:firstLineChars="200"/>
    </w:pPr>
    <w:rPr>
      <w:rFonts w:ascii="宋体" w:hAnsi="宋体" w:cs="宋体"/>
      <w:sz w:val="24"/>
    </w:rPr>
  </w:style>
  <w:style w:type="paragraph" w:customStyle="1" w:styleId="1090">
    <w:name w:val="CM10"/>
    <w:basedOn w:val="1"/>
    <w:next w:val="1"/>
    <w:uiPriority w:val="0"/>
    <w:pPr>
      <w:autoSpaceDE w:val="0"/>
      <w:autoSpaceDN w:val="0"/>
      <w:adjustRightInd w:val="0"/>
      <w:spacing w:line="520" w:lineRule="atLeast"/>
      <w:jc w:val="left"/>
    </w:pPr>
    <w:rPr>
      <w:rFonts w:ascii="宋体"/>
      <w:kern w:val="0"/>
      <w:sz w:val="24"/>
    </w:rPr>
  </w:style>
  <w:style w:type="paragraph" w:customStyle="1" w:styleId="1091">
    <w:name w:val="CM11"/>
    <w:basedOn w:val="1"/>
    <w:next w:val="1"/>
    <w:uiPriority w:val="0"/>
    <w:pPr>
      <w:autoSpaceDE w:val="0"/>
      <w:autoSpaceDN w:val="0"/>
      <w:adjustRightInd w:val="0"/>
      <w:spacing w:line="520" w:lineRule="atLeast"/>
      <w:jc w:val="left"/>
    </w:pPr>
    <w:rPr>
      <w:rFonts w:ascii="隶书" w:eastAsia="隶书"/>
      <w:kern w:val="0"/>
      <w:sz w:val="24"/>
    </w:rPr>
  </w:style>
  <w:style w:type="paragraph" w:customStyle="1" w:styleId="1092">
    <w:name w:val="CM12"/>
    <w:basedOn w:val="1"/>
    <w:next w:val="1"/>
    <w:uiPriority w:val="0"/>
    <w:pPr>
      <w:autoSpaceDE w:val="0"/>
      <w:autoSpaceDN w:val="0"/>
      <w:adjustRightInd w:val="0"/>
      <w:spacing w:line="520" w:lineRule="atLeast"/>
      <w:jc w:val="left"/>
    </w:pPr>
    <w:rPr>
      <w:rFonts w:ascii="隶书" w:eastAsia="隶书"/>
      <w:kern w:val="0"/>
      <w:sz w:val="24"/>
    </w:rPr>
  </w:style>
  <w:style w:type="paragraph" w:customStyle="1" w:styleId="1093">
    <w:name w:val="CM13"/>
    <w:basedOn w:val="1"/>
    <w:next w:val="1"/>
    <w:uiPriority w:val="0"/>
    <w:pPr>
      <w:autoSpaceDE w:val="0"/>
      <w:autoSpaceDN w:val="0"/>
      <w:adjustRightInd w:val="0"/>
      <w:spacing w:line="476" w:lineRule="atLeast"/>
      <w:jc w:val="left"/>
    </w:pPr>
    <w:rPr>
      <w:rFonts w:ascii="楷体_GB2312" w:eastAsia="楷体_GB2312"/>
      <w:kern w:val="0"/>
      <w:sz w:val="24"/>
    </w:rPr>
  </w:style>
  <w:style w:type="paragraph" w:customStyle="1" w:styleId="1094">
    <w:name w:val="CM14"/>
    <w:basedOn w:val="1"/>
    <w:next w:val="1"/>
    <w:uiPriority w:val="0"/>
    <w:pPr>
      <w:autoSpaceDE w:val="0"/>
      <w:autoSpaceDN w:val="0"/>
      <w:adjustRightInd w:val="0"/>
      <w:spacing w:line="520" w:lineRule="atLeast"/>
      <w:jc w:val="left"/>
    </w:pPr>
    <w:rPr>
      <w:rFonts w:ascii="隶书" w:eastAsia="隶书"/>
      <w:kern w:val="0"/>
      <w:sz w:val="24"/>
    </w:rPr>
  </w:style>
  <w:style w:type="paragraph" w:customStyle="1" w:styleId="1095">
    <w:name w:val="CM15"/>
    <w:basedOn w:val="1"/>
    <w:next w:val="1"/>
    <w:uiPriority w:val="0"/>
    <w:pPr>
      <w:autoSpaceDE w:val="0"/>
      <w:autoSpaceDN w:val="0"/>
      <w:adjustRightInd w:val="0"/>
      <w:spacing w:line="480" w:lineRule="atLeast"/>
      <w:jc w:val="left"/>
    </w:pPr>
    <w:rPr>
      <w:rFonts w:ascii="楷体_GB2312" w:eastAsia="楷体_GB2312"/>
      <w:kern w:val="0"/>
      <w:sz w:val="24"/>
    </w:rPr>
  </w:style>
  <w:style w:type="paragraph" w:customStyle="1" w:styleId="1096">
    <w:name w:val="CM16"/>
    <w:basedOn w:val="1"/>
    <w:next w:val="1"/>
    <w:uiPriority w:val="0"/>
    <w:pPr>
      <w:autoSpaceDE w:val="0"/>
      <w:autoSpaceDN w:val="0"/>
      <w:adjustRightInd w:val="0"/>
      <w:spacing w:line="478" w:lineRule="atLeast"/>
      <w:jc w:val="left"/>
    </w:pPr>
    <w:rPr>
      <w:rFonts w:ascii="楷体_GB2312" w:eastAsia="楷体_GB2312"/>
      <w:kern w:val="0"/>
      <w:sz w:val="24"/>
    </w:rPr>
  </w:style>
  <w:style w:type="paragraph" w:customStyle="1" w:styleId="1097">
    <w:name w:val="CM17"/>
    <w:basedOn w:val="1"/>
    <w:next w:val="1"/>
    <w:uiPriority w:val="0"/>
    <w:pPr>
      <w:autoSpaceDE w:val="0"/>
      <w:autoSpaceDN w:val="0"/>
      <w:adjustRightInd w:val="0"/>
      <w:spacing w:line="520" w:lineRule="atLeast"/>
      <w:jc w:val="left"/>
    </w:pPr>
    <w:rPr>
      <w:rFonts w:ascii="隶书" w:eastAsia="隶书"/>
      <w:kern w:val="0"/>
      <w:sz w:val="24"/>
    </w:rPr>
  </w:style>
  <w:style w:type="paragraph" w:customStyle="1" w:styleId="1098">
    <w:name w:val="CM18"/>
    <w:basedOn w:val="1"/>
    <w:next w:val="1"/>
    <w:uiPriority w:val="0"/>
    <w:pPr>
      <w:autoSpaceDE w:val="0"/>
      <w:autoSpaceDN w:val="0"/>
      <w:adjustRightInd w:val="0"/>
      <w:spacing w:line="520" w:lineRule="atLeast"/>
      <w:jc w:val="left"/>
    </w:pPr>
    <w:rPr>
      <w:rFonts w:ascii="隶书" w:eastAsia="隶书"/>
      <w:kern w:val="0"/>
      <w:sz w:val="24"/>
    </w:rPr>
  </w:style>
  <w:style w:type="paragraph" w:customStyle="1" w:styleId="1099">
    <w:name w:val="CM19"/>
    <w:basedOn w:val="1"/>
    <w:next w:val="1"/>
    <w:uiPriority w:val="0"/>
    <w:pPr>
      <w:autoSpaceDE w:val="0"/>
      <w:autoSpaceDN w:val="0"/>
      <w:adjustRightInd w:val="0"/>
      <w:spacing w:line="520" w:lineRule="atLeast"/>
      <w:jc w:val="left"/>
    </w:pPr>
    <w:rPr>
      <w:rFonts w:ascii="隶书" w:eastAsia="隶书"/>
      <w:kern w:val="0"/>
      <w:sz w:val="24"/>
    </w:rPr>
  </w:style>
  <w:style w:type="paragraph" w:customStyle="1" w:styleId="1100">
    <w:name w:val="CM20"/>
    <w:basedOn w:val="1"/>
    <w:next w:val="1"/>
    <w:uiPriority w:val="0"/>
    <w:pPr>
      <w:autoSpaceDE w:val="0"/>
      <w:autoSpaceDN w:val="0"/>
      <w:adjustRightInd w:val="0"/>
      <w:jc w:val="left"/>
    </w:pPr>
    <w:rPr>
      <w:rFonts w:ascii="隶书" w:eastAsia="隶书"/>
      <w:kern w:val="0"/>
      <w:sz w:val="24"/>
    </w:rPr>
  </w:style>
  <w:style w:type="paragraph" w:customStyle="1" w:styleId="1101">
    <w:name w:val="CM22"/>
    <w:basedOn w:val="1"/>
    <w:next w:val="1"/>
    <w:uiPriority w:val="0"/>
    <w:pPr>
      <w:autoSpaceDE w:val="0"/>
      <w:autoSpaceDN w:val="0"/>
      <w:adjustRightInd w:val="0"/>
      <w:spacing w:line="520" w:lineRule="atLeast"/>
      <w:jc w:val="left"/>
    </w:pPr>
    <w:rPr>
      <w:rFonts w:ascii="隶书" w:eastAsia="隶书"/>
      <w:kern w:val="0"/>
      <w:sz w:val="24"/>
    </w:rPr>
  </w:style>
  <w:style w:type="paragraph" w:customStyle="1" w:styleId="1102">
    <w:name w:val="CM26"/>
    <w:basedOn w:val="1"/>
    <w:next w:val="1"/>
    <w:uiPriority w:val="0"/>
    <w:pPr>
      <w:autoSpaceDE w:val="0"/>
      <w:autoSpaceDN w:val="0"/>
      <w:adjustRightInd w:val="0"/>
      <w:spacing w:line="518" w:lineRule="atLeast"/>
      <w:jc w:val="left"/>
    </w:pPr>
    <w:rPr>
      <w:rFonts w:ascii="隶书" w:eastAsia="隶书"/>
      <w:kern w:val="0"/>
      <w:sz w:val="24"/>
    </w:rPr>
  </w:style>
  <w:style w:type="paragraph" w:customStyle="1" w:styleId="1103">
    <w:name w:val="CM37"/>
    <w:basedOn w:val="1"/>
    <w:next w:val="1"/>
    <w:uiPriority w:val="0"/>
    <w:pPr>
      <w:autoSpaceDE w:val="0"/>
      <w:autoSpaceDN w:val="0"/>
      <w:adjustRightInd w:val="0"/>
      <w:spacing w:line="520" w:lineRule="atLeast"/>
      <w:jc w:val="left"/>
    </w:pPr>
    <w:rPr>
      <w:rFonts w:ascii="隶书" w:eastAsia="隶书"/>
      <w:kern w:val="0"/>
      <w:sz w:val="24"/>
    </w:rPr>
  </w:style>
  <w:style w:type="paragraph" w:customStyle="1" w:styleId="1104">
    <w:name w:val="CM5"/>
    <w:basedOn w:val="1"/>
    <w:next w:val="1"/>
    <w:uiPriority w:val="0"/>
    <w:pPr>
      <w:autoSpaceDE w:val="0"/>
      <w:autoSpaceDN w:val="0"/>
      <w:adjustRightInd w:val="0"/>
      <w:jc w:val="left"/>
    </w:pPr>
    <w:rPr>
      <w:rFonts w:ascii="楷体_GB2312" w:eastAsia="楷体_GB2312"/>
      <w:kern w:val="0"/>
      <w:sz w:val="24"/>
    </w:rPr>
  </w:style>
  <w:style w:type="paragraph" w:customStyle="1" w:styleId="1105">
    <w:name w:val="CM60"/>
    <w:basedOn w:val="1"/>
    <w:next w:val="1"/>
    <w:uiPriority w:val="0"/>
    <w:pPr>
      <w:autoSpaceDE w:val="0"/>
      <w:autoSpaceDN w:val="0"/>
      <w:adjustRightInd w:val="0"/>
      <w:jc w:val="left"/>
    </w:pPr>
    <w:rPr>
      <w:rFonts w:ascii="楷体_GB2312" w:eastAsia="楷体_GB2312"/>
      <w:kern w:val="0"/>
      <w:sz w:val="24"/>
    </w:rPr>
  </w:style>
  <w:style w:type="paragraph" w:customStyle="1" w:styleId="1106">
    <w:name w:val="CM62"/>
    <w:basedOn w:val="1"/>
    <w:next w:val="1"/>
    <w:uiPriority w:val="0"/>
    <w:pPr>
      <w:autoSpaceDE w:val="0"/>
      <w:autoSpaceDN w:val="0"/>
      <w:adjustRightInd w:val="0"/>
      <w:spacing w:after="120"/>
      <w:jc w:val="left"/>
    </w:pPr>
    <w:rPr>
      <w:rFonts w:ascii="隶书" w:eastAsia="隶书"/>
      <w:kern w:val="0"/>
      <w:sz w:val="24"/>
    </w:rPr>
  </w:style>
  <w:style w:type="paragraph" w:customStyle="1" w:styleId="1107">
    <w:name w:val="CM63"/>
    <w:basedOn w:val="1"/>
    <w:next w:val="1"/>
    <w:uiPriority w:val="0"/>
    <w:pPr>
      <w:autoSpaceDE w:val="0"/>
      <w:autoSpaceDN w:val="0"/>
      <w:adjustRightInd w:val="0"/>
      <w:spacing w:after="548"/>
      <w:jc w:val="left"/>
    </w:pPr>
    <w:rPr>
      <w:rFonts w:ascii="隶书" w:eastAsia="隶书"/>
      <w:kern w:val="0"/>
      <w:sz w:val="24"/>
    </w:rPr>
  </w:style>
  <w:style w:type="paragraph" w:customStyle="1" w:styleId="1108">
    <w:name w:val="CM65"/>
    <w:basedOn w:val="1"/>
    <w:next w:val="1"/>
    <w:uiPriority w:val="0"/>
    <w:pPr>
      <w:autoSpaceDE w:val="0"/>
      <w:autoSpaceDN w:val="0"/>
      <w:adjustRightInd w:val="0"/>
      <w:jc w:val="left"/>
    </w:pPr>
    <w:rPr>
      <w:rFonts w:ascii="楷体_GB2312" w:eastAsia="楷体_GB2312"/>
      <w:kern w:val="0"/>
      <w:sz w:val="24"/>
    </w:rPr>
  </w:style>
  <w:style w:type="paragraph" w:customStyle="1" w:styleId="1109">
    <w:name w:val="CM66"/>
    <w:basedOn w:val="1"/>
    <w:next w:val="1"/>
    <w:uiPriority w:val="0"/>
    <w:pPr>
      <w:autoSpaceDE w:val="0"/>
      <w:autoSpaceDN w:val="0"/>
      <w:adjustRightInd w:val="0"/>
      <w:jc w:val="left"/>
    </w:pPr>
    <w:rPr>
      <w:rFonts w:ascii="楷体_GB2312" w:eastAsia="楷体_GB2312"/>
      <w:kern w:val="0"/>
      <w:sz w:val="24"/>
    </w:rPr>
  </w:style>
  <w:style w:type="paragraph" w:customStyle="1" w:styleId="1110">
    <w:name w:val="CM67"/>
    <w:basedOn w:val="1"/>
    <w:next w:val="1"/>
    <w:uiPriority w:val="0"/>
    <w:pPr>
      <w:autoSpaceDE w:val="0"/>
      <w:autoSpaceDN w:val="0"/>
      <w:adjustRightInd w:val="0"/>
      <w:spacing w:after="70"/>
      <w:jc w:val="left"/>
    </w:pPr>
    <w:rPr>
      <w:rFonts w:ascii="隶书" w:eastAsia="隶书"/>
      <w:kern w:val="0"/>
      <w:sz w:val="24"/>
    </w:rPr>
  </w:style>
  <w:style w:type="paragraph" w:customStyle="1" w:styleId="1111">
    <w:name w:val="CM68"/>
    <w:basedOn w:val="1"/>
    <w:next w:val="1"/>
    <w:uiPriority w:val="0"/>
    <w:pPr>
      <w:autoSpaceDE w:val="0"/>
      <w:autoSpaceDN w:val="0"/>
      <w:adjustRightInd w:val="0"/>
      <w:spacing w:after="188"/>
      <w:jc w:val="left"/>
    </w:pPr>
    <w:rPr>
      <w:rFonts w:ascii="隶书" w:eastAsia="隶书"/>
      <w:kern w:val="0"/>
      <w:sz w:val="24"/>
    </w:rPr>
  </w:style>
  <w:style w:type="paragraph" w:customStyle="1" w:styleId="1112">
    <w:name w:val="CM75"/>
    <w:basedOn w:val="1"/>
    <w:next w:val="1"/>
    <w:uiPriority w:val="0"/>
    <w:pPr>
      <w:autoSpaceDE w:val="0"/>
      <w:autoSpaceDN w:val="0"/>
      <w:adjustRightInd w:val="0"/>
      <w:spacing w:after="1068"/>
      <w:jc w:val="left"/>
    </w:pPr>
    <w:rPr>
      <w:rFonts w:ascii="隶书" w:eastAsia="隶书"/>
      <w:kern w:val="0"/>
      <w:sz w:val="24"/>
    </w:rPr>
  </w:style>
  <w:style w:type="paragraph" w:customStyle="1" w:styleId="1113">
    <w:name w:val="CM8"/>
    <w:basedOn w:val="1"/>
    <w:next w:val="1"/>
    <w:uiPriority w:val="0"/>
    <w:pPr>
      <w:autoSpaceDE w:val="0"/>
      <w:autoSpaceDN w:val="0"/>
      <w:adjustRightInd w:val="0"/>
      <w:spacing w:line="478" w:lineRule="atLeast"/>
      <w:jc w:val="left"/>
    </w:pPr>
    <w:rPr>
      <w:rFonts w:ascii="楷体_GB2312" w:eastAsia="楷体_GB2312"/>
      <w:kern w:val="0"/>
      <w:sz w:val="24"/>
    </w:rPr>
  </w:style>
  <w:style w:type="paragraph" w:customStyle="1" w:styleId="1114">
    <w:name w:val="CM9"/>
    <w:basedOn w:val="1"/>
    <w:next w:val="1"/>
    <w:uiPriority w:val="0"/>
    <w:pPr>
      <w:autoSpaceDE w:val="0"/>
      <w:autoSpaceDN w:val="0"/>
      <w:adjustRightInd w:val="0"/>
      <w:spacing w:line="520" w:lineRule="atLeast"/>
      <w:jc w:val="left"/>
    </w:pPr>
    <w:rPr>
      <w:rFonts w:ascii="隶书" w:eastAsia="隶书"/>
      <w:kern w:val="0"/>
      <w:sz w:val="24"/>
    </w:rPr>
  </w:style>
  <w:style w:type="paragraph" w:customStyle="1" w:styleId="1115">
    <w:name w:val="jbm正文"/>
    <w:basedOn w:val="1"/>
    <w:link w:val="1640"/>
    <w:uiPriority w:val="0"/>
    <w:pPr>
      <w:spacing w:line="360" w:lineRule="auto"/>
      <w:ind w:right="-108" w:firstLine="540"/>
      <w:jc w:val="left"/>
    </w:pPr>
    <w:rPr>
      <w:rFonts w:ascii="宋体" w:hAnsi="Arial"/>
      <w:sz w:val="28"/>
      <w:szCs w:val="28"/>
    </w:rPr>
  </w:style>
  <w:style w:type="paragraph" w:customStyle="1" w:styleId="1116">
    <w:name w:val="jj标题3"/>
    <w:basedOn w:val="5"/>
    <w:uiPriority w:val="0"/>
    <w:pPr>
      <w:keepNext w:val="0"/>
      <w:keepLines/>
      <w:tabs>
        <w:tab w:val="clear" w:pos="360"/>
      </w:tabs>
      <w:ind w:left="0" w:firstLine="0" w:firstLineChars="0"/>
    </w:pPr>
    <w:rPr>
      <w:rFonts w:ascii="Times New Roman" w:hAnsi="Times New Roman" w:eastAsia="宋体"/>
      <w:b/>
      <w:bCs w:val="0"/>
      <w:spacing w:val="12"/>
      <w:kern w:val="0"/>
      <w:sz w:val="28"/>
      <w:szCs w:val="28"/>
    </w:rPr>
  </w:style>
  <w:style w:type="paragraph" w:customStyle="1" w:styleId="1117">
    <w:name w:val="报告书正文"/>
    <w:basedOn w:val="1"/>
    <w:link w:val="1442"/>
    <w:uiPriority w:val="0"/>
    <w:pPr>
      <w:spacing w:line="360" w:lineRule="auto"/>
      <w:ind w:firstLine="200" w:firstLineChars="200"/>
    </w:pPr>
    <w:rPr>
      <w:sz w:val="24"/>
    </w:rPr>
  </w:style>
  <w:style w:type="paragraph" w:customStyle="1" w:styleId="1118">
    <w:name w:val="标题1-1"/>
    <w:basedOn w:val="697"/>
    <w:uiPriority w:val="0"/>
    <w:pPr>
      <w:snapToGrid w:val="0"/>
      <w:spacing w:before="0" w:after="0" w:line="360" w:lineRule="auto"/>
      <w:ind w:firstLine="0"/>
      <w:jc w:val="both"/>
    </w:pPr>
    <w:rPr>
      <w:rFonts w:ascii="Times New Roman" w:hAnsi="Times New Roman"/>
      <w:bCs/>
      <w:color w:val="auto"/>
      <w:sz w:val="36"/>
      <w:szCs w:val="36"/>
    </w:rPr>
  </w:style>
  <w:style w:type="paragraph" w:customStyle="1" w:styleId="1119">
    <w:name w:val="标题2-1"/>
    <w:basedOn w:val="4"/>
    <w:semiHidden/>
    <w:uiPriority w:val="0"/>
    <w:pPr>
      <w:tabs>
        <w:tab w:val="clear" w:pos="360"/>
      </w:tabs>
      <w:spacing w:before="0" w:after="120" w:line="240" w:lineRule="auto"/>
      <w:ind w:left="567" w:hanging="567" w:firstLineChars="0"/>
      <w:jc w:val="left"/>
    </w:pPr>
    <w:rPr>
      <w:rFonts w:eastAsia="宋体"/>
      <w:b w:val="0"/>
    </w:rPr>
  </w:style>
  <w:style w:type="paragraph" w:customStyle="1" w:styleId="1120">
    <w:name w:val="标题3-1"/>
    <w:basedOn w:val="45"/>
    <w:uiPriority w:val="0"/>
    <w:pPr>
      <w:keepNext/>
      <w:keepLines/>
      <w:adjustRightInd w:val="0"/>
      <w:snapToGrid w:val="0"/>
      <w:spacing w:before="120" w:after="120" w:line="360" w:lineRule="auto"/>
      <w:ind w:firstLine="600" w:firstLineChars="200"/>
      <w:jc w:val="left"/>
      <w:outlineLvl w:val="2"/>
    </w:pPr>
    <w:rPr>
      <w:rFonts w:ascii="Times New Roman" w:hAnsi="Times New Roman"/>
      <w:b/>
      <w:kern w:val="0"/>
      <w:sz w:val="30"/>
      <w:szCs w:val="30"/>
    </w:rPr>
  </w:style>
  <w:style w:type="paragraph" w:customStyle="1" w:styleId="1121">
    <w:name w:val="标题—4"/>
    <w:uiPriority w:val="0"/>
    <w:pPr>
      <w:spacing w:line="360" w:lineRule="auto"/>
      <w:ind w:firstLine="480"/>
    </w:pPr>
    <w:rPr>
      <w:rFonts w:ascii="Times New Roman" w:hAnsi="Times New Roman" w:eastAsia="黑体" w:cs="宋体"/>
      <w:kern w:val="2"/>
      <w:sz w:val="24"/>
      <w:lang w:val="en-US" w:eastAsia="zh-CN" w:bidi="ar-SA"/>
    </w:rPr>
  </w:style>
  <w:style w:type="paragraph" w:customStyle="1" w:styleId="1122">
    <w:name w:val="标题4-1"/>
    <w:basedOn w:val="6"/>
    <w:uiPriority w:val="0"/>
    <w:pPr>
      <w:widowControl/>
      <w:tabs>
        <w:tab w:val="clear" w:pos="360"/>
      </w:tabs>
      <w:adjustRightInd w:val="0"/>
      <w:spacing w:line="360" w:lineRule="auto"/>
      <w:ind w:left="0" w:firstLine="0" w:firstLineChars="0"/>
      <w:textAlignment w:val="baseline"/>
    </w:pPr>
    <w:rPr>
      <w:rFonts w:ascii="黑体" w:hAnsi="Arial" w:eastAsia="黑体" w:cs="宋体"/>
      <w:kern w:val="0"/>
      <w:sz w:val="24"/>
      <w:szCs w:val="24"/>
      <w:lang w:val="en-AU"/>
    </w:rPr>
  </w:style>
  <w:style w:type="paragraph" w:customStyle="1" w:styleId="1123">
    <w:name w:val="四级标题尹东晓"/>
    <w:basedOn w:val="6"/>
    <w:uiPriority w:val="0"/>
    <w:pPr>
      <w:tabs>
        <w:tab w:val="clear" w:pos="360"/>
      </w:tabs>
      <w:adjustRightInd w:val="0"/>
      <w:spacing w:before="120" w:after="120" w:line="360" w:lineRule="auto"/>
      <w:ind w:left="0" w:firstLine="0" w:firstLineChars="0"/>
    </w:pPr>
    <w:rPr>
      <w:rFonts w:hAnsi="Times New Roman"/>
      <w:b w:val="0"/>
      <w:kern w:val="24"/>
      <w:sz w:val="24"/>
      <w:szCs w:val="32"/>
    </w:rPr>
  </w:style>
  <w:style w:type="paragraph" w:customStyle="1" w:styleId="1124">
    <w:name w:val="表格编号"/>
    <w:basedOn w:val="1"/>
    <w:next w:val="66"/>
    <w:uiPriority w:val="0"/>
    <w:pPr>
      <w:ind w:firstLine="420"/>
    </w:pPr>
    <w:rPr>
      <w:szCs w:val="20"/>
    </w:rPr>
  </w:style>
  <w:style w:type="paragraph" w:customStyle="1" w:styleId="1125">
    <w:name w:val="表zw"/>
    <w:basedOn w:val="1"/>
    <w:uiPriority w:val="0"/>
    <w:pPr>
      <w:keepNext/>
      <w:adjustRightInd w:val="0"/>
      <w:snapToGrid w:val="0"/>
      <w:jc w:val="center"/>
    </w:pPr>
    <w:rPr>
      <w:szCs w:val="20"/>
    </w:rPr>
  </w:style>
  <w:style w:type="paragraph" w:customStyle="1" w:styleId="1126">
    <w:name w:val="表格小4居中"/>
    <w:basedOn w:val="1"/>
    <w:uiPriority w:val="0"/>
    <w:pPr>
      <w:adjustRightInd w:val="0"/>
      <w:snapToGrid w:val="0"/>
      <w:spacing w:before="60" w:after="60" w:line="320" w:lineRule="atLeast"/>
      <w:jc w:val="center"/>
    </w:pPr>
    <w:rPr>
      <w:rFonts w:cs="宋体"/>
      <w:sz w:val="24"/>
      <w:szCs w:val="20"/>
    </w:rPr>
  </w:style>
  <w:style w:type="paragraph" w:customStyle="1" w:styleId="1127">
    <w:name w:val="表—居中5号"/>
    <w:basedOn w:val="1"/>
    <w:uiPriority w:val="0"/>
    <w:pPr>
      <w:adjustRightInd w:val="0"/>
      <w:snapToGrid w:val="0"/>
      <w:ind w:left="-1" w:leftChars="-23" w:hanging="59" w:hangingChars="28"/>
      <w:jc w:val="center"/>
    </w:pPr>
    <w:rPr>
      <w:kern w:val="0"/>
    </w:rPr>
  </w:style>
  <w:style w:type="paragraph" w:customStyle="1" w:styleId="1128">
    <w:name w:val="表内5"/>
    <w:basedOn w:val="1"/>
    <w:uiPriority w:val="0"/>
    <w:pPr>
      <w:adjustRightInd w:val="0"/>
      <w:snapToGrid w:val="0"/>
      <w:spacing w:line="300" w:lineRule="auto"/>
      <w:jc w:val="center"/>
    </w:pPr>
    <w:rPr>
      <w:szCs w:val="20"/>
    </w:rPr>
  </w:style>
  <w:style w:type="paragraph" w:customStyle="1" w:styleId="1129">
    <w:name w:val="表内字体"/>
    <w:basedOn w:val="1"/>
    <w:uiPriority w:val="0"/>
    <w:pPr>
      <w:autoSpaceDE w:val="0"/>
      <w:autoSpaceDN w:val="0"/>
      <w:adjustRightInd w:val="0"/>
      <w:jc w:val="center"/>
    </w:pPr>
    <w:rPr>
      <w:rFonts w:ascii="宋体" w:hAnsi="宋体"/>
      <w:szCs w:val="21"/>
    </w:rPr>
  </w:style>
  <w:style w:type="paragraph" w:customStyle="1" w:styleId="1130">
    <w:name w:val="符号"/>
    <w:basedOn w:val="1"/>
    <w:uiPriority w:val="0"/>
    <w:pPr>
      <w:tabs>
        <w:tab w:val="left" w:pos="0"/>
        <w:tab w:val="left" w:pos="514"/>
      </w:tabs>
      <w:snapToGrid w:val="0"/>
      <w:spacing w:line="520" w:lineRule="atLeast"/>
      <w:ind w:firstLine="567"/>
    </w:pPr>
    <w:rPr>
      <w:rFonts w:cs="宋体"/>
      <w:sz w:val="28"/>
      <w:szCs w:val="20"/>
    </w:rPr>
  </w:style>
  <w:style w:type="paragraph" w:customStyle="1" w:styleId="1131">
    <w:name w:val="图、表题"/>
    <w:uiPriority w:val="0"/>
    <w:pPr>
      <w:spacing w:before="120" w:line="480" w:lineRule="exact"/>
      <w:jc w:val="center"/>
    </w:pPr>
    <w:rPr>
      <w:rFonts w:ascii="Times New Roman" w:hAnsi="Times New Roman" w:eastAsia="宋体" w:cs="Times New Roman"/>
      <w:b/>
      <w:kern w:val="2"/>
      <w:sz w:val="24"/>
      <w:szCs w:val="24"/>
      <w:lang w:val="en-US" w:eastAsia="zh-CN" w:bidi="ar-SA"/>
    </w:rPr>
  </w:style>
  <w:style w:type="paragraph" w:customStyle="1" w:styleId="1132">
    <w:name w:val="图zw"/>
    <w:basedOn w:val="1"/>
    <w:uiPriority w:val="0"/>
    <w:pPr>
      <w:keepNext/>
      <w:adjustRightInd w:val="0"/>
      <w:snapToGrid w:val="0"/>
      <w:jc w:val="center"/>
    </w:pPr>
    <w:rPr>
      <w:b/>
      <w:szCs w:val="20"/>
    </w:rPr>
  </w:style>
  <w:style w:type="paragraph" w:customStyle="1" w:styleId="1133">
    <w:name w:val="样式 Arial 三号 左 段前: 4.65 磅 行距: 固定值 24 磅"/>
    <w:basedOn w:val="1"/>
    <w:uiPriority w:val="0"/>
    <w:pPr>
      <w:spacing w:before="60" w:line="480" w:lineRule="exact"/>
      <w:ind w:firstLine="200" w:firstLineChars="200"/>
      <w:jc w:val="left"/>
    </w:pPr>
    <w:rPr>
      <w:rFonts w:ascii="Arial" w:hAnsi="Arial" w:cs="Arial"/>
      <w:kern w:val="0"/>
      <w:sz w:val="32"/>
      <w:szCs w:val="32"/>
    </w:rPr>
  </w:style>
  <w:style w:type="paragraph" w:customStyle="1" w:styleId="1134">
    <w:name w:val="样式 标题 3条标题1.1.1标题 3 Char Char + 段前: 3 磅 段后: 3 磅"/>
    <w:basedOn w:val="5"/>
    <w:uiPriority w:val="0"/>
    <w:pPr>
      <w:keepNext w:val="0"/>
      <w:tabs>
        <w:tab w:val="left" w:pos="720"/>
        <w:tab w:val="left" w:pos="2700"/>
        <w:tab w:val="clear" w:pos="360"/>
      </w:tabs>
      <w:spacing w:before="60" w:after="60" w:line="520" w:lineRule="atLeast"/>
      <w:ind w:left="720" w:hanging="720" w:firstLineChars="0"/>
    </w:pPr>
    <w:rPr>
      <w:rFonts w:ascii="Times New Roman" w:hAnsi="Times New Roman" w:eastAsia="宋体" w:cs="宋体"/>
      <w:b/>
      <w:sz w:val="28"/>
      <w:szCs w:val="20"/>
    </w:rPr>
  </w:style>
  <w:style w:type="paragraph" w:customStyle="1" w:styleId="1135">
    <w:name w:val="样式 表格文字 +"/>
    <w:basedOn w:val="45"/>
    <w:uiPriority w:val="0"/>
    <w:pPr>
      <w:adjustRightInd w:val="0"/>
      <w:snapToGrid w:val="0"/>
      <w:jc w:val="center"/>
    </w:pPr>
    <w:rPr>
      <w:rFonts w:ascii="Times New Roman" w:hAnsi="Times New Roman"/>
      <w:kern w:val="0"/>
      <w:szCs w:val="20"/>
    </w:rPr>
  </w:style>
  <w:style w:type="paragraph" w:customStyle="1" w:styleId="1136">
    <w:name w:val="样式 图表名"/>
    <w:basedOn w:val="514"/>
    <w:semiHidden/>
    <w:uiPriority w:val="0"/>
  </w:style>
  <w:style w:type="paragraph" w:customStyle="1" w:styleId="1137">
    <w:name w:val="正文A"/>
    <w:uiPriority w:val="0"/>
    <w:pPr>
      <w:tabs>
        <w:tab w:val="left" w:pos="0"/>
      </w:tabs>
      <w:adjustRightInd w:val="0"/>
      <w:spacing w:before="120" w:line="360" w:lineRule="auto"/>
      <w:ind w:firstLine="480"/>
      <w:jc w:val="both"/>
    </w:pPr>
    <w:rPr>
      <w:rFonts w:ascii="Times New Roman" w:hAnsi="Times New Roman" w:eastAsia="宋体" w:cs="Times New Roman"/>
      <w:snapToGrid w:val="0"/>
      <w:sz w:val="24"/>
      <w:lang w:val="en-US" w:eastAsia="zh-CN" w:bidi="ar-SA"/>
    </w:rPr>
  </w:style>
  <w:style w:type="paragraph" w:customStyle="1" w:styleId="1138">
    <w:name w:val="正文—首行缩进"/>
    <w:basedOn w:val="1"/>
    <w:link w:val="2654"/>
    <w:uiPriority w:val="0"/>
    <w:pPr>
      <w:ind w:firstLine="200"/>
      <w:jc w:val="left"/>
    </w:pPr>
    <w:rPr>
      <w:rFonts w:ascii="宋体" w:hAnsi="宋体"/>
      <w:szCs w:val="48"/>
    </w:rPr>
  </w:style>
  <w:style w:type="paragraph" w:customStyle="1" w:styleId="1139">
    <w:name w:val="公式注释"/>
    <w:basedOn w:val="1"/>
    <w:uiPriority w:val="0"/>
    <w:pPr>
      <w:adjustRightInd w:val="0"/>
      <w:snapToGrid w:val="0"/>
      <w:spacing w:line="360" w:lineRule="auto"/>
      <w:ind w:firstLine="500" w:firstLineChars="500"/>
    </w:pPr>
    <w:rPr>
      <w:color w:val="000000"/>
      <w:sz w:val="24"/>
    </w:rPr>
  </w:style>
  <w:style w:type="paragraph" w:customStyle="1" w:styleId="1140">
    <w:name w:val="Char Char Char Char Char Char Char Char Char Char Char Char Char Char Char Char1"/>
    <w:basedOn w:val="1"/>
    <w:uiPriority w:val="0"/>
    <w:pPr>
      <w:spacing w:line="360" w:lineRule="auto"/>
      <w:ind w:firstLine="200" w:firstLineChars="200"/>
    </w:pPr>
    <w:rPr>
      <w:kern w:val="0"/>
      <w:sz w:val="24"/>
    </w:rPr>
  </w:style>
  <w:style w:type="paragraph" w:customStyle="1" w:styleId="1141">
    <w:name w:val="封里2表格"/>
    <w:basedOn w:val="519"/>
    <w:uiPriority w:val="0"/>
    <w:pPr>
      <w:tabs>
        <w:tab w:val="right" w:leader="middleDot" w:pos="9000"/>
      </w:tabs>
      <w:adjustRightInd/>
      <w:snapToGrid/>
      <w:jc w:val="right"/>
    </w:pPr>
    <w:rPr>
      <w:rFonts w:ascii="Times New Roman" w:cs="宋体"/>
      <w:color w:val="000000"/>
      <w:sz w:val="28"/>
      <w:szCs w:val="24"/>
    </w:rPr>
  </w:style>
  <w:style w:type="paragraph" w:customStyle="1" w:styleId="1142">
    <w:name w:val="Char Char Char2 Char"/>
    <w:basedOn w:val="1"/>
    <w:uiPriority w:val="0"/>
    <w:rPr>
      <w:szCs w:val="21"/>
    </w:rPr>
  </w:style>
  <w:style w:type="paragraph" w:customStyle="1" w:styleId="1143">
    <w:name w:val="表格字体小五"/>
    <w:basedOn w:val="1"/>
    <w:uiPriority w:val="0"/>
    <w:pPr>
      <w:widowControl/>
      <w:jc w:val="center"/>
    </w:pPr>
    <w:rPr>
      <w:rFonts w:eastAsia="华文中宋"/>
      <w:kern w:val="0"/>
      <w:sz w:val="18"/>
      <w:szCs w:val="20"/>
    </w:rPr>
  </w:style>
  <w:style w:type="paragraph" w:customStyle="1" w:styleId="1144">
    <w:name w:val="表格东营"/>
    <w:basedOn w:val="84"/>
    <w:uiPriority w:val="0"/>
    <w:pPr>
      <w:adjustRightInd w:val="0"/>
      <w:snapToGrid w:val="0"/>
      <w:spacing w:before="0" w:after="0" w:line="240" w:lineRule="atLeast"/>
      <w:outlineLvl w:val="9"/>
    </w:pPr>
    <w:rPr>
      <w:rFonts w:ascii="Times New Roman" w:hAnsi="Times New Roman" w:cs="Arial"/>
      <w:b w:val="0"/>
      <w:bCs/>
      <w:kern w:val="0"/>
      <w:sz w:val="21"/>
      <w:szCs w:val="21"/>
    </w:rPr>
  </w:style>
  <w:style w:type="paragraph" w:customStyle="1" w:styleId="1145">
    <w:name w:val="MY 文本正文"/>
    <w:basedOn w:val="1"/>
    <w:link w:val="1146"/>
    <w:uiPriority w:val="0"/>
    <w:pPr>
      <w:adjustRightInd w:val="0"/>
      <w:spacing w:line="360" w:lineRule="auto"/>
      <w:ind w:firstLine="200" w:firstLineChars="200"/>
      <w:textAlignment w:val="baseline"/>
    </w:pPr>
    <w:rPr>
      <w:snapToGrid w:val="0"/>
      <w:kern w:val="0"/>
      <w:sz w:val="24"/>
      <w:szCs w:val="28"/>
    </w:rPr>
  </w:style>
  <w:style w:type="character" w:customStyle="1" w:styleId="1146">
    <w:name w:val="MY 文本正文 Char Char"/>
    <w:link w:val="1145"/>
    <w:uiPriority w:val="0"/>
    <w:rPr>
      <w:snapToGrid w:val="0"/>
      <w:sz w:val="24"/>
      <w:szCs w:val="28"/>
    </w:rPr>
  </w:style>
  <w:style w:type="paragraph" w:customStyle="1" w:styleId="1147">
    <w:name w:val="Char Char Char2 Char1"/>
    <w:basedOn w:val="1"/>
    <w:uiPriority w:val="0"/>
    <w:rPr>
      <w:szCs w:val="21"/>
    </w:rPr>
  </w:style>
  <w:style w:type="character" w:customStyle="1" w:styleId="1148">
    <w:name w:val="Char Char211"/>
    <w:uiPriority w:val="0"/>
    <w:rPr>
      <w:rFonts w:hint="eastAsia" w:ascii="宋体" w:hAnsi="Courier New" w:eastAsia="宋体"/>
      <w:kern w:val="2"/>
      <w:sz w:val="18"/>
      <w:lang w:val="en-US" w:eastAsia="zh-CN" w:bidi="ar-SA"/>
    </w:rPr>
  </w:style>
  <w:style w:type="character" w:customStyle="1" w:styleId="1149">
    <w:name w:val="Char Char221"/>
    <w:uiPriority w:val="0"/>
    <w:rPr>
      <w:rFonts w:hint="eastAsia" w:ascii="宋体" w:hAnsi="宋体" w:eastAsia="宋体"/>
      <w:kern w:val="2"/>
      <w:sz w:val="18"/>
      <w:szCs w:val="18"/>
      <w:lang w:val="en-US" w:eastAsia="zh-CN" w:bidi="ar-SA"/>
    </w:rPr>
  </w:style>
  <w:style w:type="character" w:customStyle="1" w:styleId="1150">
    <w:name w:val="正文文本 Char3"/>
    <w:semiHidden/>
    <w:locked/>
    <w:uiPriority w:val="0"/>
    <w:rPr>
      <w:sz w:val="24"/>
      <w:szCs w:val="24"/>
    </w:rPr>
  </w:style>
  <w:style w:type="character" w:customStyle="1" w:styleId="1151">
    <w:name w:val="正文文本缩进 Char3"/>
    <w:locked/>
    <w:uiPriority w:val="0"/>
    <w:rPr>
      <w:sz w:val="24"/>
      <w:szCs w:val="24"/>
    </w:rPr>
  </w:style>
  <w:style w:type="paragraph" w:customStyle="1" w:styleId="1152">
    <w:name w:val="Char21"/>
    <w:basedOn w:val="1"/>
    <w:uiPriority w:val="0"/>
    <w:pPr>
      <w:adjustRightInd w:val="0"/>
      <w:spacing w:line="360" w:lineRule="auto"/>
    </w:pPr>
    <w:rPr>
      <w:kern w:val="0"/>
      <w:sz w:val="24"/>
      <w:szCs w:val="28"/>
    </w:rPr>
  </w:style>
  <w:style w:type="paragraph" w:customStyle="1" w:styleId="1153">
    <w:name w:val="Char1 Char Char Char1 Char Char Char1"/>
    <w:basedOn w:val="1"/>
    <w:uiPriority w:val="0"/>
    <w:pPr>
      <w:spacing w:line="360" w:lineRule="auto"/>
      <w:ind w:firstLine="200" w:firstLineChars="200"/>
    </w:pPr>
    <w:rPr>
      <w:rFonts w:ascii="宋体" w:hAnsi="宋体" w:cs="宋体"/>
      <w:sz w:val="24"/>
    </w:rPr>
  </w:style>
  <w:style w:type="paragraph" w:customStyle="1" w:styleId="1154">
    <w:name w:val="Char Char1 Char Char Char Char1"/>
    <w:basedOn w:val="1"/>
    <w:uiPriority w:val="0"/>
  </w:style>
  <w:style w:type="paragraph" w:customStyle="1" w:styleId="1155">
    <w:name w:val="Char91"/>
    <w:basedOn w:val="1"/>
    <w:uiPriority w:val="0"/>
    <w:pPr>
      <w:adjustRightInd w:val="0"/>
      <w:snapToGrid w:val="0"/>
      <w:spacing w:line="360" w:lineRule="auto"/>
      <w:ind w:firstLine="620" w:firstLineChars="200"/>
    </w:pPr>
    <w:rPr>
      <w:kern w:val="0"/>
      <w:sz w:val="24"/>
    </w:rPr>
  </w:style>
  <w:style w:type="character" w:customStyle="1" w:styleId="1156">
    <w:name w:val="图表内容 Char"/>
    <w:link w:val="1157"/>
    <w:locked/>
    <w:uiPriority w:val="0"/>
    <w:rPr>
      <w:rFonts w:ascii="宋体" w:hAnsi="宋体"/>
      <w:kern w:val="24"/>
      <w:szCs w:val="21"/>
    </w:rPr>
  </w:style>
  <w:style w:type="paragraph" w:customStyle="1" w:styleId="1157">
    <w:name w:val="图表内容"/>
    <w:basedOn w:val="1"/>
    <w:link w:val="1156"/>
    <w:uiPriority w:val="0"/>
    <w:pPr>
      <w:jc w:val="center"/>
    </w:pPr>
    <w:rPr>
      <w:rFonts w:ascii="宋体" w:hAnsi="宋体"/>
      <w:kern w:val="24"/>
      <w:sz w:val="20"/>
      <w:szCs w:val="21"/>
    </w:rPr>
  </w:style>
  <w:style w:type="paragraph" w:customStyle="1" w:styleId="1158">
    <w:name w:val="公式"/>
    <w:basedOn w:val="1"/>
    <w:link w:val="1316"/>
    <w:uiPriority w:val="0"/>
    <w:pPr>
      <w:spacing w:before="100" w:beforeAutospacing="1" w:after="100" w:afterAutospacing="1"/>
      <w:contextualSpacing/>
      <w:jc w:val="distribute"/>
    </w:pPr>
    <w:rPr>
      <w:kern w:val="24"/>
      <w:sz w:val="24"/>
      <w:szCs w:val="20"/>
    </w:rPr>
  </w:style>
  <w:style w:type="character" w:customStyle="1" w:styleId="1159">
    <w:name w:val="标题000 Char"/>
    <w:link w:val="1160"/>
    <w:locked/>
    <w:uiPriority w:val="0"/>
    <w:rPr>
      <w:rFonts w:ascii="黑体" w:eastAsia="黑体"/>
      <w:szCs w:val="21"/>
    </w:rPr>
  </w:style>
  <w:style w:type="paragraph" w:customStyle="1" w:styleId="1160">
    <w:name w:val="标题000"/>
    <w:basedOn w:val="1"/>
    <w:link w:val="1159"/>
    <w:qFormat/>
    <w:uiPriority w:val="0"/>
    <w:pPr>
      <w:spacing w:line="360" w:lineRule="auto"/>
      <w:jc w:val="center"/>
    </w:pPr>
    <w:rPr>
      <w:rFonts w:ascii="黑体" w:eastAsia="黑体"/>
      <w:kern w:val="0"/>
      <w:sz w:val="20"/>
      <w:szCs w:val="21"/>
    </w:rPr>
  </w:style>
  <w:style w:type="character" w:customStyle="1" w:styleId="1161">
    <w:name w:val="纯文本 Char3"/>
    <w:semiHidden/>
    <w:uiPriority w:val="0"/>
    <w:rPr>
      <w:rFonts w:hint="eastAsia" w:ascii="宋体" w:hAnsi="Courier New" w:eastAsia="宋体" w:cs="Courier New"/>
      <w:sz w:val="21"/>
      <w:szCs w:val="21"/>
    </w:rPr>
  </w:style>
  <w:style w:type="character" w:customStyle="1" w:styleId="1162">
    <w:name w:val="页眉 Char3"/>
    <w:uiPriority w:val="0"/>
    <w:rPr>
      <w:sz w:val="18"/>
      <w:szCs w:val="18"/>
    </w:rPr>
  </w:style>
  <w:style w:type="character" w:customStyle="1" w:styleId="1163">
    <w:name w:val="正文首行缩进 2 Char3"/>
    <w:semiHidden/>
    <w:uiPriority w:val="0"/>
  </w:style>
  <w:style w:type="character" w:customStyle="1" w:styleId="1164">
    <w:name w:val="页脚 Char5"/>
    <w:uiPriority w:val="0"/>
    <w:rPr>
      <w:sz w:val="18"/>
      <w:szCs w:val="18"/>
    </w:rPr>
  </w:style>
  <w:style w:type="character" w:customStyle="1" w:styleId="1165">
    <w:name w:val="文档结构图 Char4"/>
    <w:semiHidden/>
    <w:uiPriority w:val="0"/>
    <w:rPr>
      <w:rFonts w:hint="eastAsia" w:ascii="宋体" w:hAnsi="宋体" w:eastAsia="宋体"/>
      <w:sz w:val="18"/>
      <w:szCs w:val="18"/>
    </w:rPr>
  </w:style>
  <w:style w:type="character" w:customStyle="1" w:styleId="1166">
    <w:name w:val="批注框文本 Char1"/>
    <w:uiPriority w:val="0"/>
    <w:rPr>
      <w:sz w:val="18"/>
      <w:szCs w:val="18"/>
    </w:rPr>
  </w:style>
  <w:style w:type="character" w:customStyle="1" w:styleId="1167">
    <w:name w:val="description"/>
    <w:uiPriority w:val="0"/>
  </w:style>
  <w:style w:type="paragraph" w:customStyle="1" w:styleId="1168">
    <w:name w:val="Char5"/>
    <w:basedOn w:val="1"/>
    <w:uiPriority w:val="0"/>
  </w:style>
  <w:style w:type="paragraph" w:customStyle="1" w:styleId="1169">
    <w:name w:val="Char4"/>
    <w:basedOn w:val="1"/>
    <w:uiPriority w:val="0"/>
  </w:style>
  <w:style w:type="table" w:customStyle="1" w:styleId="1170">
    <w:name w:val="网格型刘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171">
    <w:name w:val="正文2表格"/>
    <w:basedOn w:val="1"/>
    <w:uiPriority w:val="0"/>
    <w:pPr>
      <w:spacing w:line="400" w:lineRule="exact"/>
      <w:jc w:val="center"/>
    </w:pPr>
    <w:rPr>
      <w:rFonts w:ascii="宋体" w:hAnsi="宋体"/>
    </w:rPr>
  </w:style>
  <w:style w:type="paragraph" w:customStyle="1" w:styleId="1172">
    <w:name w:val="word"/>
    <w:basedOn w:val="1"/>
    <w:uiPriority w:val="0"/>
    <w:pPr>
      <w:widowControl/>
      <w:spacing w:before="100" w:beforeAutospacing="1" w:after="100" w:afterAutospacing="1"/>
      <w:jc w:val="left"/>
    </w:pPr>
    <w:rPr>
      <w:rFonts w:ascii="Calibri" w:hAnsi="Calibri"/>
      <w:color w:val="565656"/>
      <w:kern w:val="0"/>
      <w:sz w:val="18"/>
      <w:szCs w:val="18"/>
    </w:rPr>
  </w:style>
  <w:style w:type="paragraph" w:customStyle="1" w:styleId="1173">
    <w:name w:val="Body Text 22"/>
    <w:basedOn w:val="1"/>
    <w:uiPriority w:val="0"/>
    <w:pPr>
      <w:adjustRightInd w:val="0"/>
      <w:spacing w:line="440" w:lineRule="atLeast"/>
      <w:ind w:firstLine="480"/>
      <w:textAlignment w:val="baseline"/>
    </w:pPr>
    <w:rPr>
      <w:rFonts w:eastAsia="仿宋_GB2312"/>
      <w:sz w:val="24"/>
      <w:szCs w:val="20"/>
    </w:rPr>
  </w:style>
  <w:style w:type="character" w:customStyle="1" w:styleId="1174">
    <w:name w:val="texd1"/>
    <w:uiPriority w:val="0"/>
    <w:rPr>
      <w:rFonts w:hint="default"/>
      <w:sz w:val="20"/>
      <w:szCs w:val="20"/>
    </w:rPr>
  </w:style>
  <w:style w:type="paragraph" w:customStyle="1" w:styleId="1175">
    <w:name w:val="纯文本1"/>
    <w:basedOn w:val="1"/>
    <w:uiPriority w:val="0"/>
    <w:pPr>
      <w:autoSpaceDE w:val="0"/>
      <w:autoSpaceDN w:val="0"/>
      <w:adjustRightInd w:val="0"/>
      <w:textAlignment w:val="baseline"/>
    </w:pPr>
    <w:rPr>
      <w:rFonts w:ascii="宋体"/>
      <w:szCs w:val="20"/>
    </w:rPr>
  </w:style>
  <w:style w:type="character" w:customStyle="1" w:styleId="1176">
    <w:name w:val="未命名11"/>
    <w:uiPriority w:val="0"/>
    <w:rPr>
      <w:rFonts w:hint="eastAsia" w:ascii="宋体" w:hAnsi="宋体" w:eastAsia="宋体"/>
      <w:sz w:val="18"/>
      <w:szCs w:val="18"/>
    </w:rPr>
  </w:style>
  <w:style w:type="paragraph" w:customStyle="1" w:styleId="1177">
    <w:name w:val="样式 宋体 四号 行距: 固定值 24 磅"/>
    <w:basedOn w:val="1"/>
    <w:uiPriority w:val="0"/>
    <w:pPr>
      <w:spacing w:line="480" w:lineRule="exact"/>
    </w:pPr>
    <w:rPr>
      <w:rFonts w:ascii="宋体" w:hAnsi="宋体" w:cs="宋体"/>
      <w:sz w:val="24"/>
      <w:szCs w:val="20"/>
    </w:rPr>
  </w:style>
  <w:style w:type="paragraph" w:customStyle="1" w:styleId="1178">
    <w:name w:val="样式 正文文本缩进 + 行距: 固定值 24 磅"/>
    <w:basedOn w:val="35"/>
    <w:uiPriority w:val="0"/>
    <w:pPr>
      <w:spacing w:line="480" w:lineRule="exact"/>
      <w:ind w:firstLine="0"/>
    </w:pPr>
    <w:rPr>
      <w:rFonts w:ascii="宋体" w:hAnsi="宋体" w:cs="宋体"/>
      <w:kern w:val="0"/>
      <w:sz w:val="24"/>
      <w:szCs w:val="20"/>
    </w:rPr>
  </w:style>
  <w:style w:type="paragraph" w:customStyle="1" w:styleId="1179">
    <w:name w:val="样式 样式 正文文本缩进 + 行距: 固定值 24 磅1 + 首行缩进:  2 字符"/>
    <w:basedOn w:val="1"/>
    <w:uiPriority w:val="0"/>
    <w:pPr>
      <w:spacing w:line="480" w:lineRule="exact"/>
      <w:ind w:firstLine="480" w:firstLineChars="200"/>
    </w:pPr>
    <w:rPr>
      <w:rFonts w:ascii="宋体" w:hAnsi="宋体" w:cs="宋体"/>
      <w:sz w:val="24"/>
      <w:szCs w:val="20"/>
    </w:rPr>
  </w:style>
  <w:style w:type="character" w:customStyle="1" w:styleId="1180">
    <w:name w:val="ww"/>
    <w:basedOn w:val="97"/>
    <w:uiPriority w:val="0"/>
  </w:style>
  <w:style w:type="character" w:customStyle="1" w:styleId="1181">
    <w:name w:val="样式 四号"/>
    <w:uiPriority w:val="0"/>
    <w:rPr>
      <w:sz w:val="24"/>
    </w:rPr>
  </w:style>
  <w:style w:type="character" w:customStyle="1" w:styleId="1182">
    <w:name w:val="样式 宋体 四号 红色"/>
    <w:uiPriority w:val="0"/>
    <w:rPr>
      <w:rFonts w:ascii="宋体" w:hAnsi="宋体"/>
      <w:color w:val="FF0000"/>
      <w:sz w:val="24"/>
    </w:rPr>
  </w:style>
  <w:style w:type="character" w:customStyle="1" w:styleId="1183">
    <w:name w:val="样式 ww + 宋体 四号"/>
    <w:uiPriority w:val="0"/>
    <w:rPr>
      <w:rFonts w:ascii="宋体" w:hAnsi="宋体"/>
      <w:sz w:val="24"/>
    </w:rPr>
  </w:style>
  <w:style w:type="paragraph" w:customStyle="1" w:styleId="1184">
    <w:name w:val="样式 宋体 四号 行距: 固定值 24 磅1"/>
    <w:basedOn w:val="1"/>
    <w:uiPriority w:val="0"/>
    <w:pPr>
      <w:spacing w:line="480" w:lineRule="exact"/>
      <w:ind w:firstLine="560" w:firstLineChars="200"/>
    </w:pPr>
    <w:rPr>
      <w:rFonts w:ascii="宋体" w:hAnsi="宋体" w:cs="宋体"/>
      <w:sz w:val="24"/>
      <w:szCs w:val="20"/>
    </w:rPr>
  </w:style>
  <w:style w:type="paragraph" w:customStyle="1" w:styleId="1185">
    <w:name w:val="样式 正文文本缩进 + 行距: 固定值 24 磅2"/>
    <w:basedOn w:val="35"/>
    <w:uiPriority w:val="0"/>
    <w:pPr>
      <w:spacing w:line="480" w:lineRule="exact"/>
      <w:ind w:left="-59" w:leftChars="-28" w:firstLine="560" w:firstLineChars="200"/>
    </w:pPr>
    <w:rPr>
      <w:rFonts w:ascii="宋体" w:hAnsi="宋体" w:cs="宋体"/>
      <w:kern w:val="0"/>
      <w:sz w:val="24"/>
      <w:szCs w:val="20"/>
    </w:rPr>
  </w:style>
  <w:style w:type="paragraph" w:customStyle="1" w:styleId="1186">
    <w:name w:val="样式 宋体 四号 左 行距: 固定值 24 磅"/>
    <w:basedOn w:val="1"/>
    <w:uiPriority w:val="0"/>
    <w:pPr>
      <w:spacing w:line="480" w:lineRule="exact"/>
      <w:ind w:firstLine="560" w:firstLineChars="200"/>
      <w:jc w:val="left"/>
    </w:pPr>
    <w:rPr>
      <w:rFonts w:ascii="宋体" w:hAnsi="宋体" w:cs="宋体"/>
      <w:sz w:val="24"/>
      <w:szCs w:val="20"/>
    </w:rPr>
  </w:style>
  <w:style w:type="character" w:customStyle="1" w:styleId="1187">
    <w:name w:val="样式 宋体 四号 加粗"/>
    <w:uiPriority w:val="0"/>
    <w:rPr>
      <w:rFonts w:ascii="宋体" w:hAnsi="宋体"/>
      <w:b/>
      <w:bCs/>
      <w:sz w:val="24"/>
    </w:rPr>
  </w:style>
  <w:style w:type="character" w:customStyle="1" w:styleId="1188">
    <w:name w:val="样式 宋体 四号"/>
    <w:uiPriority w:val="0"/>
    <w:rPr>
      <w:rFonts w:ascii="宋体" w:hAnsi="宋体"/>
      <w:sz w:val="24"/>
    </w:rPr>
  </w:style>
  <w:style w:type="paragraph" w:customStyle="1" w:styleId="1189">
    <w:name w:val="样式 四号 行距: 固定值 24 磅"/>
    <w:basedOn w:val="1"/>
    <w:uiPriority w:val="0"/>
    <w:pPr>
      <w:spacing w:line="480" w:lineRule="exact"/>
      <w:ind w:firstLine="560" w:firstLineChars="200"/>
    </w:pPr>
    <w:rPr>
      <w:rFonts w:cs="宋体"/>
      <w:sz w:val="24"/>
      <w:szCs w:val="20"/>
    </w:rPr>
  </w:style>
  <w:style w:type="paragraph" w:customStyle="1" w:styleId="1190">
    <w:name w:val="样式 宋体 四号 行距: 固定值 22 磅"/>
    <w:basedOn w:val="1"/>
    <w:uiPriority w:val="0"/>
    <w:pPr>
      <w:spacing w:line="440" w:lineRule="exact"/>
      <w:ind w:firstLine="560" w:firstLineChars="200"/>
    </w:pPr>
    <w:rPr>
      <w:rFonts w:ascii="宋体" w:hAnsi="宋体" w:cs="宋体"/>
      <w:sz w:val="24"/>
      <w:szCs w:val="20"/>
    </w:rPr>
  </w:style>
  <w:style w:type="paragraph" w:customStyle="1" w:styleId="1191">
    <w:name w:val="样式 正文缩进 + 宋体 四号 首行缩进:  2 字符 行距: 固定值 22 磅"/>
    <w:basedOn w:val="21"/>
    <w:uiPriority w:val="0"/>
    <w:pPr>
      <w:spacing w:line="440" w:lineRule="exact"/>
      <w:ind w:firstLine="560" w:firstLineChars="200"/>
    </w:pPr>
    <w:rPr>
      <w:rFonts w:ascii="宋体" w:hAnsi="宋体" w:cs="宋体"/>
      <w:kern w:val="0"/>
      <w:sz w:val="24"/>
    </w:rPr>
  </w:style>
  <w:style w:type="character" w:customStyle="1" w:styleId="1192">
    <w:name w:val="样式 宋体 四号 蓝色"/>
    <w:uiPriority w:val="0"/>
    <w:rPr>
      <w:rFonts w:ascii="宋体" w:hAnsi="宋体"/>
      <w:color w:val="0000FF"/>
      <w:sz w:val="24"/>
    </w:rPr>
  </w:style>
  <w:style w:type="paragraph" w:customStyle="1" w:styleId="1193">
    <w:name w:val="表头样式1"/>
    <w:basedOn w:val="1"/>
    <w:uiPriority w:val="0"/>
    <w:pPr>
      <w:tabs>
        <w:tab w:val="left" w:pos="2310"/>
      </w:tabs>
      <w:autoSpaceDE w:val="0"/>
      <w:autoSpaceDN w:val="0"/>
      <w:adjustRightInd w:val="0"/>
      <w:spacing w:line="480" w:lineRule="exact"/>
      <w:jc w:val="center"/>
    </w:pPr>
    <w:rPr>
      <w:rFonts w:ascii="黑体" w:eastAsia="黑体"/>
      <w:b/>
      <w:bCs/>
      <w:kern w:val="0"/>
      <w:sz w:val="24"/>
    </w:rPr>
  </w:style>
  <w:style w:type="paragraph" w:customStyle="1" w:styleId="1194">
    <w:name w:val="表样式2"/>
    <w:basedOn w:val="1"/>
    <w:uiPriority w:val="0"/>
    <w:pPr>
      <w:jc w:val="center"/>
    </w:pPr>
    <w:rPr>
      <w:rFonts w:ascii="宋体" w:hAnsi="宋体"/>
      <w:bCs/>
    </w:rPr>
  </w:style>
  <w:style w:type="paragraph" w:customStyle="1" w:styleId="1195">
    <w:name w:val="图、表头文字"/>
    <w:basedOn w:val="1"/>
    <w:uiPriority w:val="0"/>
    <w:pPr>
      <w:autoSpaceDE w:val="0"/>
      <w:autoSpaceDN w:val="0"/>
      <w:adjustRightInd w:val="0"/>
      <w:spacing w:before="80" w:after="80"/>
      <w:jc w:val="center"/>
      <w:textAlignment w:val="baseline"/>
    </w:pPr>
    <w:rPr>
      <w:rFonts w:ascii="黑体" w:eastAsia="黑体"/>
      <w:kern w:val="0"/>
      <w:szCs w:val="20"/>
    </w:rPr>
  </w:style>
  <w:style w:type="character" w:customStyle="1" w:styleId="1196">
    <w:name w:val="liuqiao1"/>
    <w:basedOn w:val="97"/>
    <w:uiPriority w:val="0"/>
  </w:style>
  <w:style w:type="character" w:customStyle="1" w:styleId="1197">
    <w:name w:val="sb"/>
    <w:basedOn w:val="97"/>
    <w:uiPriority w:val="0"/>
  </w:style>
  <w:style w:type="character" w:customStyle="1" w:styleId="1198">
    <w:name w:val="xb"/>
    <w:basedOn w:val="97"/>
    <w:uiPriority w:val="0"/>
  </w:style>
  <w:style w:type="character" w:customStyle="1" w:styleId="1199">
    <w:name w:val="k15"/>
    <w:basedOn w:val="97"/>
    <w:uiPriority w:val="0"/>
  </w:style>
  <w:style w:type="character" w:customStyle="1" w:styleId="1200">
    <w:name w:val="big3"/>
    <w:uiPriority w:val="0"/>
    <w:rPr>
      <w:sz w:val="21"/>
      <w:szCs w:val="21"/>
    </w:rPr>
  </w:style>
  <w:style w:type="character" w:customStyle="1" w:styleId="1201">
    <w:name w:val="unnamed1"/>
    <w:basedOn w:val="97"/>
    <w:uiPriority w:val="0"/>
  </w:style>
  <w:style w:type="paragraph" w:customStyle="1" w:styleId="1202">
    <w:name w:val="表格，五宋"/>
    <w:uiPriority w:val="0"/>
    <w:pPr>
      <w:adjustRightInd w:val="0"/>
      <w:spacing w:line="360" w:lineRule="exact"/>
      <w:jc w:val="center"/>
    </w:pPr>
    <w:rPr>
      <w:rFonts w:ascii="Times New Roman" w:hAnsi="Times New Roman" w:eastAsia="宋体" w:cs="Times New Roman"/>
      <w:sz w:val="21"/>
      <w:lang w:val="en-US" w:eastAsia="zh-CN" w:bidi="ar-SA"/>
    </w:rPr>
  </w:style>
  <w:style w:type="paragraph" w:customStyle="1" w:styleId="1203">
    <w:name w:val=".66l.66l"/>
    <w:basedOn w:val="1"/>
    <w:uiPriority w:val="0"/>
    <w:pPr>
      <w:adjustRightInd w:val="0"/>
      <w:spacing w:line="312" w:lineRule="atLeast"/>
      <w:ind w:firstLine="570"/>
      <w:textAlignment w:val="baseline"/>
    </w:pPr>
    <w:rPr>
      <w:rFonts w:ascii="宋体"/>
      <w:kern w:val="0"/>
      <w:sz w:val="28"/>
      <w:szCs w:val="20"/>
    </w:rPr>
  </w:style>
  <w:style w:type="paragraph" w:customStyle="1" w:styleId="1204">
    <w:name w:val="项目符号1"/>
    <w:basedOn w:val="527"/>
    <w:uiPriority w:val="0"/>
    <w:pPr>
      <w:overflowPunct/>
      <w:autoSpaceDE/>
      <w:adjustRightInd/>
      <w:snapToGrid w:val="0"/>
      <w:spacing w:beforeLines="20" w:afterLines="20" w:line="312" w:lineRule="auto"/>
      <w:ind w:left="840" w:leftChars="100" w:hanging="600" w:hangingChars="250"/>
      <w:textAlignment w:val="auto"/>
    </w:pPr>
    <w:rPr>
      <w:rFonts w:ascii="宋体" w:hAnsi="宋体"/>
      <w:color w:val="000000"/>
      <w:kern w:val="2"/>
    </w:rPr>
  </w:style>
  <w:style w:type="paragraph" w:customStyle="1" w:styleId="1205">
    <w:name w:val="注解"/>
    <w:basedOn w:val="1"/>
    <w:uiPriority w:val="0"/>
    <w:pPr>
      <w:adjustRightInd w:val="0"/>
      <w:snapToGrid w:val="0"/>
      <w:ind w:left="624" w:right="170" w:hanging="454"/>
    </w:pPr>
    <w:rPr>
      <w:rFonts w:ascii="宋体" w:hAnsi="宋体"/>
      <w:color w:val="000000"/>
      <w:sz w:val="15"/>
      <w:szCs w:val="20"/>
    </w:rPr>
  </w:style>
  <w:style w:type="paragraph" w:customStyle="1" w:styleId="1206">
    <w:name w:val="表格内容格式"/>
    <w:basedOn w:val="1"/>
    <w:uiPriority w:val="0"/>
    <w:pPr>
      <w:adjustRightInd w:val="0"/>
      <w:spacing w:line="240" w:lineRule="atLeast"/>
      <w:jc w:val="center"/>
      <w:textAlignment w:val="baseline"/>
    </w:pPr>
    <w:rPr>
      <w:rFonts w:ascii="宋体" w:hAnsi="宋体"/>
      <w:snapToGrid w:val="0"/>
      <w:color w:val="000000"/>
      <w:kern w:val="0"/>
      <w:szCs w:val="21"/>
    </w:rPr>
  </w:style>
  <w:style w:type="paragraph" w:customStyle="1" w:styleId="1207">
    <w:name w:val="图文框"/>
    <w:basedOn w:val="1"/>
    <w:uiPriority w:val="0"/>
    <w:pPr>
      <w:adjustRightInd w:val="0"/>
      <w:snapToGrid w:val="0"/>
      <w:jc w:val="center"/>
    </w:pPr>
  </w:style>
  <w:style w:type="paragraph" w:customStyle="1" w:styleId="1208">
    <w:name w:val="正文文本 31"/>
    <w:basedOn w:val="1"/>
    <w:uiPriority w:val="0"/>
    <w:pPr>
      <w:adjustRightInd w:val="0"/>
      <w:spacing w:line="360" w:lineRule="atLeast"/>
      <w:jc w:val="center"/>
      <w:textAlignment w:val="baseline"/>
    </w:pPr>
    <w:rPr>
      <w:rFonts w:ascii="仿宋体" w:hAnsi="宋体" w:eastAsia="仿宋体"/>
      <w:kern w:val="0"/>
      <w:sz w:val="24"/>
      <w:szCs w:val="20"/>
    </w:rPr>
  </w:style>
  <w:style w:type="character" w:customStyle="1" w:styleId="1209">
    <w:name w:val="f9wen1"/>
    <w:uiPriority w:val="0"/>
    <w:rPr>
      <w:spacing w:val="12"/>
      <w:sz w:val="18"/>
      <w:szCs w:val="18"/>
      <w:u w:val="none"/>
    </w:rPr>
  </w:style>
  <w:style w:type="paragraph" w:customStyle="1" w:styleId="1210">
    <w:name w:val="表头名称"/>
    <w:basedOn w:val="21"/>
    <w:uiPriority w:val="0"/>
    <w:pPr>
      <w:autoSpaceDE w:val="0"/>
      <w:autoSpaceDN w:val="0"/>
      <w:adjustRightInd w:val="0"/>
      <w:spacing w:line="360" w:lineRule="auto"/>
      <w:ind w:firstLine="0"/>
      <w:jc w:val="center"/>
    </w:pPr>
    <w:rPr>
      <w:rFonts w:ascii="宋体" w:hAnsi="宋体"/>
      <w:b/>
      <w:kern w:val="0"/>
      <w:sz w:val="24"/>
    </w:rPr>
  </w:style>
  <w:style w:type="paragraph" w:customStyle="1" w:styleId="1211">
    <w:name w:val="表格文字2"/>
    <w:basedOn w:val="1"/>
    <w:uiPriority w:val="0"/>
    <w:pPr>
      <w:adjustRightInd w:val="0"/>
      <w:snapToGrid w:val="0"/>
      <w:spacing w:before="20"/>
      <w:jc w:val="center"/>
      <w:textAlignment w:val="baseline"/>
    </w:pPr>
    <w:rPr>
      <w:rFonts w:ascii="Arial" w:hAnsi="Arial"/>
      <w:sz w:val="24"/>
      <w:szCs w:val="20"/>
    </w:rPr>
  </w:style>
  <w:style w:type="paragraph" w:customStyle="1" w:styleId="1212">
    <w:name w:val="居中正文"/>
    <w:basedOn w:val="86"/>
    <w:uiPriority w:val="0"/>
    <w:pPr>
      <w:adjustRightInd w:val="0"/>
      <w:spacing w:before="120" w:after="0" w:line="360" w:lineRule="auto"/>
      <w:ind w:firstLine="0" w:firstLineChars="0"/>
      <w:jc w:val="center"/>
    </w:pPr>
    <w:rPr>
      <w:rFonts w:hint="eastAsia" w:ascii="宋体"/>
      <w:color w:val="FF00FF"/>
      <w:kern w:val="28"/>
      <w:sz w:val="24"/>
      <w:szCs w:val="20"/>
    </w:rPr>
  </w:style>
  <w:style w:type="paragraph" w:customStyle="1" w:styleId="1213">
    <w:name w:val="正文样式1"/>
    <w:basedOn w:val="1"/>
    <w:uiPriority w:val="0"/>
    <w:pPr>
      <w:adjustRightInd w:val="0"/>
      <w:ind w:firstLine="420" w:firstLineChars="200"/>
      <w:textAlignment w:val="baseline"/>
    </w:pPr>
    <w:rPr>
      <w:snapToGrid w:val="0"/>
      <w:kern w:val="0"/>
      <w:szCs w:val="20"/>
    </w:rPr>
  </w:style>
  <w:style w:type="paragraph" w:customStyle="1" w:styleId="1214">
    <w:name w:val="a3"/>
    <w:basedOn w:val="1"/>
    <w:uiPriority w:val="0"/>
    <w:pPr>
      <w:widowControl/>
      <w:spacing w:before="100" w:beforeAutospacing="1" w:after="100" w:afterAutospacing="1"/>
      <w:jc w:val="left"/>
    </w:pPr>
    <w:rPr>
      <w:rFonts w:ascii="宋体" w:hAnsi="宋体"/>
      <w:color w:val="000000"/>
      <w:kern w:val="0"/>
      <w:sz w:val="24"/>
    </w:rPr>
  </w:style>
  <w:style w:type="character" w:customStyle="1" w:styleId="1215">
    <w:name w:val="unnamed31"/>
    <w:uiPriority w:val="0"/>
    <w:rPr>
      <w:sz w:val="18"/>
      <w:szCs w:val="18"/>
    </w:rPr>
  </w:style>
  <w:style w:type="character" w:customStyle="1" w:styleId="1216">
    <w:name w:val="标题2"/>
    <w:basedOn w:val="97"/>
    <w:uiPriority w:val="0"/>
  </w:style>
  <w:style w:type="character" w:customStyle="1" w:styleId="1217">
    <w:name w:val="表头名称 Char"/>
    <w:uiPriority w:val="0"/>
    <w:rPr>
      <w:rFonts w:ascii="黑体" w:hAnsi="宋体" w:eastAsia="黑体"/>
      <w:kern w:val="2"/>
      <w:sz w:val="24"/>
      <w:szCs w:val="24"/>
      <w:lang w:val="en-US" w:eastAsia="zh-CN" w:bidi="ar-SA"/>
    </w:rPr>
  </w:style>
  <w:style w:type="character" w:customStyle="1" w:styleId="1218">
    <w:name w:val="dir"/>
    <w:basedOn w:val="97"/>
    <w:uiPriority w:val="0"/>
  </w:style>
  <w:style w:type="paragraph" w:customStyle="1" w:styleId="1219">
    <w:name w:val="105v"/>
    <w:basedOn w:val="1"/>
    <w:uiPriority w:val="0"/>
    <w:pPr>
      <w:widowControl/>
      <w:spacing w:before="100" w:beforeAutospacing="1" w:after="100" w:afterAutospacing="1"/>
      <w:jc w:val="left"/>
    </w:pPr>
    <w:rPr>
      <w:rFonts w:ascii="宋体" w:hAnsi="宋体" w:cs="宋体"/>
      <w:kern w:val="0"/>
      <w:sz w:val="24"/>
    </w:rPr>
  </w:style>
  <w:style w:type="character" w:customStyle="1" w:styleId="1220">
    <w:name w:val="Re Char"/>
    <w:uiPriority w:val="0"/>
    <w:rPr>
      <w:rFonts w:eastAsia="黑体"/>
      <w:b/>
      <w:bCs/>
      <w:snapToGrid w:val="0"/>
      <w:sz w:val="24"/>
      <w:szCs w:val="32"/>
      <w:lang w:val="en-US" w:eastAsia="zh-CN" w:bidi="ar-SA"/>
    </w:rPr>
  </w:style>
  <w:style w:type="paragraph" w:customStyle="1" w:styleId="1221">
    <w:name w:val="引用文章"/>
    <w:basedOn w:val="1"/>
    <w:link w:val="2762"/>
    <w:uiPriority w:val="0"/>
    <w:pPr>
      <w:spacing w:line="360" w:lineRule="auto"/>
      <w:ind w:firstLine="420" w:firstLineChars="200"/>
    </w:pPr>
    <w:rPr>
      <w:rFonts w:eastAsia="楷体_GB2312" w:cs="宋体"/>
      <w:sz w:val="24"/>
      <w:szCs w:val="20"/>
    </w:rPr>
  </w:style>
  <w:style w:type="paragraph" w:customStyle="1" w:styleId="1222">
    <w:name w:val="样式 题注 + 首行缩进:  2 字符"/>
    <w:basedOn w:val="22"/>
    <w:uiPriority w:val="0"/>
    <w:pPr>
      <w:widowControl w:val="0"/>
      <w:spacing w:before="152" w:after="160" w:line="360" w:lineRule="auto"/>
      <w:ind w:firstLine="400" w:firstLineChars="200"/>
      <w:jc w:val="both"/>
    </w:pPr>
    <w:rPr>
      <w:rFonts w:ascii="Arial" w:hAnsi="Arial" w:cs="宋体"/>
      <w:bCs w:val="0"/>
      <w:sz w:val="20"/>
    </w:rPr>
  </w:style>
  <w:style w:type="character" w:customStyle="1" w:styleId="1223">
    <w:name w:val="content151"/>
    <w:uiPriority w:val="0"/>
    <w:rPr>
      <w:sz w:val="18"/>
      <w:szCs w:val="18"/>
      <w:u w:val="none"/>
    </w:rPr>
  </w:style>
  <w:style w:type="character" w:customStyle="1" w:styleId="1224">
    <w:name w:val="13h-duanluo"/>
    <w:basedOn w:val="97"/>
    <w:uiPriority w:val="0"/>
  </w:style>
  <w:style w:type="character" w:customStyle="1" w:styleId="1225">
    <w:name w:val="fontstyle"/>
    <w:basedOn w:val="97"/>
    <w:uiPriority w:val="0"/>
  </w:style>
  <w:style w:type="paragraph" w:customStyle="1" w:styleId="1226">
    <w:name w:val="Body Text 21"/>
    <w:basedOn w:val="1"/>
    <w:uiPriority w:val="0"/>
    <w:pPr>
      <w:adjustRightInd w:val="0"/>
      <w:textAlignment w:val="baseline"/>
    </w:pPr>
    <w:rPr>
      <w:rFonts w:eastAsia="仿宋体"/>
      <w:sz w:val="24"/>
      <w:szCs w:val="20"/>
    </w:rPr>
  </w:style>
  <w:style w:type="paragraph" w:customStyle="1" w:styleId="1227">
    <w:name w:val="WW-表格1"/>
    <w:basedOn w:val="1"/>
    <w:uiPriority w:val="0"/>
    <w:pPr>
      <w:suppressAutoHyphens/>
      <w:snapToGrid w:val="0"/>
      <w:spacing w:before="20" w:after="20"/>
      <w:jc w:val="center"/>
    </w:pPr>
    <w:rPr>
      <w:kern w:val="1"/>
      <w:szCs w:val="20"/>
      <w:lang w:eastAsia="ar-SA"/>
    </w:rPr>
  </w:style>
  <w:style w:type="paragraph" w:customStyle="1" w:styleId="1228">
    <w:name w:val="大妹正文 Char"/>
    <w:basedOn w:val="3"/>
    <w:uiPriority w:val="0"/>
    <w:pPr>
      <w:keepNext w:val="0"/>
      <w:tabs>
        <w:tab w:val="left" w:pos="432"/>
        <w:tab w:val="clear" w:pos="360"/>
      </w:tabs>
      <w:spacing w:line="360" w:lineRule="auto"/>
      <w:ind w:left="432" w:right="-31" w:rightChars="-15" w:hanging="432" w:firstLineChars="0"/>
      <w:outlineLvl w:val="9"/>
    </w:pPr>
    <w:rPr>
      <w:rFonts w:ascii="宋体" w:eastAsia="宋体"/>
      <w:color w:val="000000"/>
      <w:kern w:val="44"/>
      <w:sz w:val="24"/>
    </w:rPr>
  </w:style>
  <w:style w:type="paragraph" w:customStyle="1" w:styleId="1229">
    <w:name w:val="font9"/>
    <w:basedOn w:val="1"/>
    <w:uiPriority w:val="0"/>
    <w:pPr>
      <w:widowControl/>
      <w:spacing w:before="100" w:beforeAutospacing="1" w:after="100" w:afterAutospacing="1"/>
      <w:jc w:val="left"/>
    </w:pPr>
    <w:rPr>
      <w:rFonts w:hint="eastAsia" w:ascii="黑体" w:hAnsi="宋体" w:eastAsia="黑体"/>
      <w:b/>
      <w:bCs/>
      <w:kern w:val="0"/>
      <w:sz w:val="36"/>
      <w:szCs w:val="36"/>
    </w:rPr>
  </w:style>
  <w:style w:type="character" w:customStyle="1" w:styleId="1230">
    <w:name w:val="middle1"/>
    <w:uiPriority w:val="0"/>
    <w:rPr>
      <w:rFonts w:hint="eastAsia" w:ascii="宋体" w:hAnsi="宋体" w:eastAsia="宋体"/>
      <w:sz w:val="24"/>
      <w:szCs w:val="24"/>
    </w:rPr>
  </w:style>
  <w:style w:type="paragraph" w:customStyle="1" w:styleId="1231">
    <w:name w:val="样式 小四 首行缩进:  2 字符"/>
    <w:basedOn w:val="1"/>
    <w:uiPriority w:val="0"/>
    <w:pPr>
      <w:spacing w:line="400" w:lineRule="exact"/>
      <w:ind w:firstLine="200" w:firstLineChars="200"/>
    </w:pPr>
    <w:rPr>
      <w:sz w:val="24"/>
      <w:szCs w:val="20"/>
    </w:rPr>
  </w:style>
  <w:style w:type="paragraph" w:customStyle="1" w:styleId="1232">
    <w:name w:val="条题"/>
    <w:basedOn w:val="1"/>
    <w:uiPriority w:val="0"/>
    <w:pPr>
      <w:tabs>
        <w:tab w:val="left" w:pos="1640"/>
      </w:tabs>
      <w:spacing w:beforeLines="50" w:line="480" w:lineRule="exact"/>
      <w:ind w:firstLine="560"/>
    </w:pPr>
    <w:rPr>
      <w:color w:val="000000"/>
      <w:sz w:val="24"/>
    </w:rPr>
  </w:style>
  <w:style w:type="paragraph" w:customStyle="1" w:styleId="1233">
    <w:name w:val="WW-普通文字"/>
    <w:basedOn w:val="1"/>
    <w:uiPriority w:val="0"/>
    <w:pPr>
      <w:suppressAutoHyphens/>
      <w:spacing w:line="360" w:lineRule="auto"/>
      <w:ind w:firstLine="200" w:firstLineChars="200"/>
    </w:pPr>
    <w:rPr>
      <w:rFonts w:ascii="宋体" w:hAnsi="宋体"/>
      <w:kern w:val="1"/>
      <w:sz w:val="24"/>
      <w:szCs w:val="20"/>
    </w:rPr>
  </w:style>
  <w:style w:type="character" w:customStyle="1" w:styleId="1234">
    <w:name w:val="WW-普通文字 Char"/>
    <w:uiPriority w:val="0"/>
    <w:rPr>
      <w:rFonts w:ascii="宋体" w:hAnsi="宋体" w:eastAsia="宋体"/>
      <w:kern w:val="1"/>
      <w:sz w:val="24"/>
      <w:lang w:val="en-US" w:bidi="ar-SA"/>
    </w:rPr>
  </w:style>
  <w:style w:type="character" w:customStyle="1" w:styleId="1235">
    <w:name w:val="标题 1 Char Char"/>
    <w:uiPriority w:val="0"/>
    <w:rPr>
      <w:rFonts w:eastAsia="黑体"/>
      <w:b/>
      <w:bCs/>
      <w:snapToGrid w:val="0"/>
      <w:sz w:val="24"/>
      <w:szCs w:val="44"/>
      <w:lang w:val="en-US" w:eastAsia="zh-CN" w:bidi="ar-SA"/>
    </w:rPr>
  </w:style>
  <w:style w:type="character" w:customStyle="1" w:styleId="1236">
    <w:name w:val="大妹正文 Char Char"/>
    <w:uiPriority w:val="0"/>
    <w:rPr>
      <w:rFonts w:ascii="宋体" w:eastAsia="宋体"/>
      <w:b/>
      <w:bCs/>
      <w:snapToGrid w:val="0"/>
      <w:color w:val="000000"/>
      <w:kern w:val="44"/>
      <w:sz w:val="24"/>
      <w:szCs w:val="24"/>
      <w:lang w:val="en-US" w:eastAsia="zh-CN" w:bidi="ar-SA"/>
    </w:rPr>
  </w:style>
  <w:style w:type="paragraph" w:customStyle="1" w:styleId="1237">
    <w:name w:val="生物中文名"/>
    <w:basedOn w:val="1"/>
    <w:uiPriority w:val="0"/>
    <w:pPr>
      <w:tabs>
        <w:tab w:val="left" w:pos="-120"/>
      </w:tabs>
      <w:overflowPunct w:val="0"/>
      <w:topLinePunct/>
      <w:autoSpaceDE w:val="0"/>
      <w:adjustRightInd w:val="0"/>
      <w:snapToGrid w:val="0"/>
      <w:spacing w:before="60" w:afterLines="50" w:line="0" w:lineRule="atLeast"/>
      <w:ind w:firstLine="454"/>
    </w:pPr>
    <w:rPr>
      <w:spacing w:val="20"/>
      <w:sz w:val="24"/>
      <w:szCs w:val="20"/>
    </w:rPr>
  </w:style>
  <w:style w:type="paragraph" w:customStyle="1" w:styleId="1238">
    <w:name w:val="mytitle2"/>
    <w:basedOn w:val="1"/>
    <w:next w:val="1"/>
    <w:uiPriority w:val="0"/>
    <w:pPr>
      <w:keepNext/>
      <w:keepLines/>
      <w:spacing w:after="330" w:line="460" w:lineRule="exact"/>
      <w:jc w:val="center"/>
      <w:outlineLvl w:val="1"/>
    </w:pPr>
    <w:rPr>
      <w:rFonts w:ascii="黑体" w:eastAsia="黑体"/>
      <w:b/>
      <w:bCs/>
      <w:color w:val="000000"/>
      <w:kern w:val="44"/>
      <w:sz w:val="24"/>
      <w:szCs w:val="44"/>
    </w:rPr>
  </w:style>
  <w:style w:type="character" w:customStyle="1" w:styleId="1239">
    <w:name w:val="段落文字 Char Char1 Char Char"/>
    <w:uiPriority w:val="0"/>
    <w:rPr>
      <w:rFonts w:eastAsia="仿宋_GB2312"/>
      <w:sz w:val="28"/>
      <w:szCs w:val="28"/>
      <w:lang w:val="en-US" w:eastAsia="zh-CN" w:bidi="ar-SA"/>
    </w:rPr>
  </w:style>
  <w:style w:type="paragraph" w:customStyle="1" w:styleId="1240">
    <w:name w:val="表名称"/>
    <w:link w:val="1375"/>
    <w:uiPriority w:val="0"/>
    <w:pPr>
      <w:widowControl w:val="0"/>
      <w:spacing w:before="240" w:line="288" w:lineRule="auto"/>
      <w:jc w:val="both"/>
    </w:pPr>
    <w:rPr>
      <w:rFonts w:ascii="Times New Roman" w:hAnsi="Times New Roman" w:eastAsia="宋体" w:cs="Times New Roman"/>
      <w:kern w:val="2"/>
      <w:sz w:val="24"/>
      <w:szCs w:val="24"/>
      <w:lang w:val="en-US" w:eastAsia="zh-CN" w:bidi="ar-SA"/>
    </w:rPr>
  </w:style>
  <w:style w:type="character" w:customStyle="1" w:styleId="1241">
    <w:name w:val="报告 Char"/>
    <w:link w:val="908"/>
    <w:uiPriority w:val="0"/>
    <w:rPr>
      <w:rFonts w:ascii="TimesNewRoman" w:hAnsi="TimesNewRoman"/>
      <w:sz w:val="24"/>
    </w:rPr>
  </w:style>
  <w:style w:type="paragraph" w:customStyle="1" w:styleId="1242">
    <w:name w:val="样式 宋体 小四 黑色 行距: 1.5 倍行距"/>
    <w:basedOn w:val="1"/>
    <w:uiPriority w:val="0"/>
    <w:pPr>
      <w:spacing w:line="360" w:lineRule="auto"/>
      <w:ind w:firstLine="200" w:firstLineChars="200"/>
    </w:pPr>
    <w:rPr>
      <w:rFonts w:ascii="宋体" w:hAnsi="宋体"/>
      <w:color w:val="000000"/>
      <w:sz w:val="24"/>
      <w:szCs w:val="20"/>
    </w:rPr>
  </w:style>
  <w:style w:type="paragraph" w:customStyle="1" w:styleId="1243">
    <w:name w:val="普通(网站)1"/>
    <w:basedOn w:val="1"/>
    <w:uiPriority w:val="0"/>
    <w:pPr>
      <w:widowControl/>
      <w:adjustRightInd w:val="0"/>
      <w:spacing w:before="100" w:after="100"/>
      <w:jc w:val="left"/>
      <w:textAlignment w:val="baseline"/>
    </w:pPr>
    <w:rPr>
      <w:rFonts w:ascii="宋体" w:hAnsi="宋体"/>
      <w:kern w:val="0"/>
      <w:sz w:val="24"/>
      <w:szCs w:val="28"/>
    </w:rPr>
  </w:style>
  <w:style w:type="paragraph" w:customStyle="1" w:styleId="1244">
    <w:name w:val="日期1"/>
    <w:basedOn w:val="1"/>
    <w:next w:val="1"/>
    <w:uiPriority w:val="0"/>
    <w:pPr>
      <w:adjustRightInd w:val="0"/>
      <w:spacing w:line="312" w:lineRule="atLeast"/>
      <w:textAlignment w:val="baseline"/>
    </w:pPr>
    <w:rPr>
      <w:rFonts w:ascii="宋体"/>
      <w:kern w:val="0"/>
      <w:sz w:val="28"/>
      <w:szCs w:val="20"/>
    </w:rPr>
  </w:style>
  <w:style w:type="paragraph" w:customStyle="1" w:styleId="1245">
    <w:name w:val="HTML 预先格式化"/>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kern w:val="0"/>
      <w:sz w:val="20"/>
      <w:szCs w:val="20"/>
    </w:rPr>
  </w:style>
  <w:style w:type="paragraph" w:customStyle="1" w:styleId="1246">
    <w:name w:val="正文报告"/>
    <w:basedOn w:val="1"/>
    <w:uiPriority w:val="0"/>
    <w:pPr>
      <w:tabs>
        <w:tab w:val="left" w:pos="510"/>
      </w:tabs>
      <w:adjustRightInd w:val="0"/>
      <w:spacing w:line="460" w:lineRule="exact"/>
      <w:ind w:firstLine="482"/>
      <w:textAlignment w:val="baseline"/>
    </w:pPr>
    <w:rPr>
      <w:kern w:val="0"/>
      <w:sz w:val="24"/>
      <w:szCs w:val="20"/>
    </w:rPr>
  </w:style>
  <w:style w:type="paragraph" w:customStyle="1" w:styleId="1247">
    <w:name w:val="正文4号"/>
    <w:basedOn w:val="1"/>
    <w:uiPriority w:val="0"/>
    <w:pPr>
      <w:spacing w:line="360" w:lineRule="auto"/>
      <w:ind w:firstLine="200" w:firstLineChars="200"/>
    </w:pPr>
    <w:rPr>
      <w:sz w:val="24"/>
    </w:rPr>
  </w:style>
  <w:style w:type="paragraph" w:customStyle="1" w:styleId="1248">
    <w:name w:val="样式 正文1 + Times New Roman 加粗"/>
    <w:basedOn w:val="1"/>
    <w:uiPriority w:val="0"/>
    <w:pPr>
      <w:adjustRightInd w:val="0"/>
      <w:spacing w:line="360" w:lineRule="auto"/>
      <w:ind w:firstLine="200" w:firstLineChars="200"/>
      <w:jc w:val="left"/>
      <w:textAlignment w:val="baseline"/>
    </w:pPr>
    <w:rPr>
      <w:b/>
      <w:bCs/>
      <w:kern w:val="0"/>
      <w:sz w:val="24"/>
    </w:rPr>
  </w:style>
  <w:style w:type="character" w:customStyle="1" w:styleId="1249">
    <w:name w:val="样式 正文1 + Times New Roman 加粗 Char"/>
    <w:uiPriority w:val="0"/>
    <w:rPr>
      <w:rFonts w:eastAsia="宋体"/>
      <w:b/>
      <w:bCs/>
      <w:sz w:val="24"/>
      <w:szCs w:val="24"/>
      <w:lang w:val="en-US" w:eastAsia="zh-CN" w:bidi="ar-SA"/>
    </w:rPr>
  </w:style>
  <w:style w:type="paragraph" w:customStyle="1" w:styleId="1250">
    <w:name w:val="样式 宋体 四号 行距: 1.5 倍行距"/>
    <w:basedOn w:val="1"/>
    <w:uiPriority w:val="0"/>
    <w:pPr>
      <w:spacing w:line="360" w:lineRule="auto"/>
      <w:ind w:firstLine="480" w:firstLineChars="200"/>
    </w:pPr>
    <w:rPr>
      <w:rFonts w:hAnsi="宋体"/>
      <w:sz w:val="24"/>
    </w:rPr>
  </w:style>
  <w:style w:type="paragraph" w:customStyle="1" w:styleId="1251">
    <w:name w:val="标准"/>
    <w:basedOn w:val="1"/>
    <w:uiPriority w:val="0"/>
    <w:pPr>
      <w:adjustRightInd w:val="0"/>
      <w:spacing w:line="312" w:lineRule="atLeast"/>
      <w:jc w:val="center"/>
      <w:textAlignment w:val="baseline"/>
    </w:pPr>
    <w:rPr>
      <w:kern w:val="0"/>
      <w:szCs w:val="20"/>
    </w:rPr>
  </w:style>
  <w:style w:type="paragraph" w:customStyle="1" w:styleId="1252">
    <w:name w:val="讲稿"/>
    <w:basedOn w:val="1"/>
    <w:uiPriority w:val="0"/>
    <w:pPr>
      <w:autoSpaceDE w:val="0"/>
      <w:autoSpaceDN w:val="0"/>
      <w:adjustRightInd w:val="0"/>
      <w:ind w:firstLine="431"/>
      <w:textAlignment w:val="baseline"/>
    </w:pPr>
    <w:rPr>
      <w:rFonts w:ascii="Arial" w:hAnsi="Arial"/>
      <w:kern w:val="0"/>
      <w:szCs w:val="20"/>
    </w:rPr>
  </w:style>
  <w:style w:type="paragraph" w:customStyle="1" w:styleId="1253">
    <w:name w:val="4号两端对齐"/>
    <w:uiPriority w:val="0"/>
    <w:pPr>
      <w:widowControl w:val="0"/>
      <w:spacing w:line="0" w:lineRule="atLeast"/>
      <w:jc w:val="center"/>
    </w:pPr>
    <w:rPr>
      <w:rFonts w:ascii="宋体" w:hAnsi="宋体" w:eastAsia="宋体" w:cs="Times New Roman"/>
      <w:kern w:val="2"/>
      <w:position w:val="-28"/>
      <w:sz w:val="24"/>
      <w:szCs w:val="24"/>
      <w:lang w:val="en-US" w:eastAsia="zh-CN" w:bidi="ar-SA"/>
    </w:rPr>
  </w:style>
  <w:style w:type="paragraph" w:customStyle="1" w:styleId="1254">
    <w:name w:val="默认段落字体 Para Char Char Char Char Char"/>
    <w:basedOn w:val="1"/>
    <w:uiPriority w:val="0"/>
  </w:style>
  <w:style w:type="paragraph" w:customStyle="1" w:styleId="1255">
    <w:name w:val="Char2 Char Char Char1"/>
    <w:basedOn w:val="1"/>
    <w:uiPriority w:val="0"/>
    <w:pPr>
      <w:spacing w:line="360" w:lineRule="auto"/>
      <w:ind w:firstLine="200" w:firstLineChars="200"/>
    </w:pPr>
    <w:rPr>
      <w:rFonts w:ascii="宋体" w:hAnsi="宋体" w:cs="宋体"/>
      <w:sz w:val="24"/>
    </w:rPr>
  </w:style>
  <w:style w:type="paragraph" w:customStyle="1" w:styleId="1256">
    <w:name w:val="Char Char Char Char Char Char Char Char Char Char1"/>
    <w:basedOn w:val="1"/>
    <w:uiPriority w:val="0"/>
  </w:style>
  <w:style w:type="character" w:customStyle="1" w:styleId="1257">
    <w:name w:val="Char Char23"/>
    <w:uiPriority w:val="0"/>
    <w:rPr>
      <w:rFonts w:ascii="宋体" w:hAnsi="Courier New" w:eastAsia="宋体"/>
      <w:kern w:val="2"/>
      <w:sz w:val="21"/>
      <w:lang w:val="en-US" w:eastAsia="zh-CN" w:bidi="ar-SA"/>
    </w:rPr>
  </w:style>
  <w:style w:type="paragraph" w:customStyle="1" w:styleId="1258">
    <w:name w:val="Char Char Char Char2"/>
    <w:basedOn w:val="1"/>
    <w:uiPriority w:val="0"/>
  </w:style>
  <w:style w:type="paragraph" w:customStyle="1" w:styleId="1259">
    <w:name w:val="CM2"/>
    <w:basedOn w:val="1"/>
    <w:next w:val="1"/>
    <w:uiPriority w:val="0"/>
    <w:pPr>
      <w:autoSpaceDE w:val="0"/>
      <w:autoSpaceDN w:val="0"/>
      <w:adjustRightInd w:val="0"/>
      <w:spacing w:line="626" w:lineRule="atLeast"/>
      <w:jc w:val="left"/>
    </w:pPr>
    <w:rPr>
      <w:rFonts w:ascii="黑体" w:eastAsia="黑体" w:cs="黑体"/>
      <w:kern w:val="0"/>
      <w:sz w:val="24"/>
    </w:rPr>
  </w:style>
  <w:style w:type="paragraph" w:customStyle="1" w:styleId="1260">
    <w:name w:val="章1"/>
    <w:basedOn w:val="1"/>
    <w:uiPriority w:val="0"/>
    <w:pPr>
      <w:adjustRightInd w:val="0"/>
      <w:snapToGrid w:val="0"/>
      <w:spacing w:line="312" w:lineRule="auto"/>
      <w:jc w:val="center"/>
      <w:outlineLvl w:val="0"/>
    </w:pPr>
    <w:rPr>
      <w:rFonts w:ascii="黑体" w:eastAsia="黑体"/>
      <w:b/>
      <w:bCs/>
      <w:color w:val="000000"/>
      <w:spacing w:val="6"/>
      <w:sz w:val="36"/>
      <w:szCs w:val="44"/>
    </w:rPr>
  </w:style>
  <w:style w:type="paragraph" w:customStyle="1" w:styleId="1261">
    <w:name w:val="CM74"/>
    <w:basedOn w:val="266"/>
    <w:next w:val="266"/>
    <w:uiPriority w:val="0"/>
    <w:pPr>
      <w:spacing w:after="555"/>
    </w:pPr>
    <w:rPr>
      <w:rFonts w:ascii="黑体" w:eastAsia="黑体" w:cs="黑体"/>
      <w:color w:val="auto"/>
    </w:rPr>
  </w:style>
  <w:style w:type="paragraph" w:customStyle="1" w:styleId="1262">
    <w:name w:val="CM70"/>
    <w:basedOn w:val="266"/>
    <w:next w:val="266"/>
    <w:uiPriority w:val="0"/>
    <w:pPr>
      <w:spacing w:after="1400"/>
    </w:pPr>
    <w:rPr>
      <w:rFonts w:ascii="黑体" w:eastAsia="黑体" w:cs="黑体"/>
      <w:color w:val="auto"/>
    </w:rPr>
  </w:style>
  <w:style w:type="paragraph" w:customStyle="1" w:styleId="1263">
    <w:name w:val="CM54"/>
    <w:basedOn w:val="266"/>
    <w:next w:val="266"/>
    <w:uiPriority w:val="0"/>
    <w:pPr>
      <w:spacing w:after="293"/>
    </w:pPr>
    <w:rPr>
      <w:rFonts w:ascii="黑体" w:eastAsia="黑体" w:cs="黑体"/>
      <w:color w:val="auto"/>
    </w:rPr>
  </w:style>
  <w:style w:type="paragraph" w:customStyle="1" w:styleId="1264">
    <w:name w:val="CM59"/>
    <w:basedOn w:val="266"/>
    <w:next w:val="266"/>
    <w:uiPriority w:val="0"/>
    <w:pPr>
      <w:spacing w:after="495"/>
    </w:pPr>
    <w:rPr>
      <w:rFonts w:ascii="黑体" w:eastAsia="黑体" w:cs="黑体"/>
      <w:color w:val="auto"/>
    </w:rPr>
  </w:style>
  <w:style w:type="character" w:customStyle="1" w:styleId="1265">
    <w:name w:val="a31"/>
    <w:uiPriority w:val="0"/>
    <w:rPr>
      <w:rFonts w:hint="default" w:ascii="ˎ̥" w:hAnsi="ˎ̥"/>
      <w:b/>
      <w:bCs/>
      <w:color w:val="3A3A3A"/>
      <w:sz w:val="30"/>
      <w:szCs w:val="30"/>
    </w:rPr>
  </w:style>
  <w:style w:type="character" w:customStyle="1" w:styleId="1266">
    <w:name w:val="Char Char72"/>
    <w:uiPriority w:val="0"/>
    <w:rPr>
      <w:sz w:val="28"/>
      <w:szCs w:val="28"/>
    </w:rPr>
  </w:style>
  <w:style w:type="character" w:customStyle="1" w:styleId="1267">
    <w:name w:val="Char Char112"/>
    <w:uiPriority w:val="0"/>
    <w:rPr>
      <w:rFonts w:ascii="Arial" w:hAnsi="Arial" w:eastAsia="黑体"/>
      <w:kern w:val="2"/>
      <w:sz w:val="21"/>
    </w:rPr>
  </w:style>
  <w:style w:type="character" w:customStyle="1" w:styleId="1268">
    <w:name w:val="Char Char102"/>
    <w:uiPriority w:val="0"/>
    <w:rPr>
      <w:rFonts w:ascii="宋体"/>
      <w:sz w:val="18"/>
      <w:szCs w:val="18"/>
    </w:rPr>
  </w:style>
  <w:style w:type="character" w:customStyle="1" w:styleId="1269">
    <w:name w:val="Char Char152"/>
    <w:uiPriority w:val="0"/>
    <w:rPr>
      <w:kern w:val="2"/>
      <w:sz w:val="18"/>
      <w:szCs w:val="18"/>
    </w:rPr>
  </w:style>
  <w:style w:type="character" w:customStyle="1" w:styleId="1270">
    <w:name w:val="Char Char92"/>
    <w:uiPriority w:val="0"/>
    <w:rPr>
      <w:rFonts w:ascii="宋体" w:hAnsi="宋体"/>
      <w:sz w:val="28"/>
    </w:rPr>
  </w:style>
  <w:style w:type="character" w:customStyle="1" w:styleId="1271">
    <w:name w:val="Char Char142"/>
    <w:uiPriority w:val="0"/>
    <w:rPr>
      <w:kern w:val="2"/>
      <w:sz w:val="18"/>
      <w:szCs w:val="18"/>
    </w:rPr>
  </w:style>
  <w:style w:type="character" w:customStyle="1" w:styleId="1272">
    <w:name w:val="Char Char132"/>
    <w:uiPriority w:val="0"/>
    <w:rPr>
      <w:sz w:val="24"/>
      <w:szCs w:val="24"/>
      <w:shd w:val="clear" w:color="auto" w:fill="000080"/>
    </w:rPr>
  </w:style>
  <w:style w:type="character" w:customStyle="1" w:styleId="1273">
    <w:name w:val="Char Char122"/>
    <w:uiPriority w:val="0"/>
    <w:rPr>
      <w:rFonts w:ascii="宋体" w:hAnsi="Arial" w:eastAsia="宋体"/>
      <w:iCs/>
      <w:kern w:val="28"/>
      <w:sz w:val="24"/>
      <w:lang w:val="en-US" w:eastAsia="zh-CN" w:bidi="ar-SA"/>
    </w:rPr>
  </w:style>
  <w:style w:type="character" w:customStyle="1" w:styleId="1274">
    <w:name w:val="标题6"/>
    <w:basedOn w:val="97"/>
    <w:semiHidden/>
    <w:uiPriority w:val="0"/>
  </w:style>
  <w:style w:type="character" w:customStyle="1" w:styleId="1275">
    <w:name w:val="Char Char212"/>
    <w:uiPriority w:val="0"/>
    <w:rPr>
      <w:rFonts w:ascii="宋体" w:hAnsi="Courier New" w:eastAsia="宋体"/>
      <w:kern w:val="2"/>
      <w:sz w:val="18"/>
      <w:lang w:val="en-US" w:eastAsia="zh-CN" w:bidi="ar-SA"/>
    </w:rPr>
  </w:style>
  <w:style w:type="character" w:customStyle="1" w:styleId="1276">
    <w:name w:val="Char Char222"/>
    <w:uiPriority w:val="0"/>
    <w:rPr>
      <w:rFonts w:eastAsia="宋体"/>
      <w:kern w:val="2"/>
      <w:sz w:val="18"/>
      <w:szCs w:val="18"/>
      <w:lang w:val="en-US" w:eastAsia="zh-CN" w:bidi="ar-SA"/>
    </w:rPr>
  </w:style>
  <w:style w:type="paragraph" w:customStyle="1" w:styleId="1277">
    <w:name w:val="Char Char Char Char Char Char Char Char Char1 Char Char Char1 Char Char Char Char Char Char Char2"/>
    <w:basedOn w:val="1"/>
    <w:uiPriority w:val="0"/>
    <w:pPr>
      <w:spacing w:line="360" w:lineRule="auto"/>
      <w:ind w:firstLine="200" w:firstLineChars="200"/>
    </w:pPr>
    <w:rPr>
      <w:rFonts w:ascii="宋体" w:hAnsi="宋体" w:cs="宋体"/>
      <w:sz w:val="24"/>
    </w:rPr>
  </w:style>
  <w:style w:type="paragraph" w:customStyle="1" w:styleId="1278">
    <w:name w:val="Char Char Char1 Char Char Char Char2"/>
    <w:basedOn w:val="1"/>
    <w:uiPriority w:val="0"/>
    <w:pPr>
      <w:spacing w:line="360" w:lineRule="auto"/>
      <w:ind w:firstLine="200" w:firstLineChars="200"/>
    </w:pPr>
    <w:rPr>
      <w:rFonts w:ascii="宋体" w:hAnsi="宋体" w:cs="宋体"/>
      <w:sz w:val="24"/>
    </w:rPr>
  </w:style>
  <w:style w:type="paragraph" w:customStyle="1" w:styleId="1279">
    <w:name w:val="Char32"/>
    <w:basedOn w:val="1"/>
    <w:uiPriority w:val="0"/>
    <w:pPr>
      <w:spacing w:line="360" w:lineRule="auto"/>
      <w:ind w:firstLine="200" w:firstLineChars="200"/>
    </w:pPr>
    <w:rPr>
      <w:rFonts w:ascii="宋体" w:hAnsi="宋体" w:cs="宋体"/>
      <w:sz w:val="24"/>
    </w:rPr>
  </w:style>
  <w:style w:type="paragraph" w:customStyle="1" w:styleId="1280">
    <w:name w:val="Char Char Char Char Char Char Char Char Char1 Char Char Char Char Char Char Char Char Char Char Char Char Char Char Char Char Char Char Char Char Char Char Char Char Char Char Char Char Char Char Char Char Char Char Char Char Char Char Char Char2"/>
    <w:basedOn w:val="1"/>
    <w:uiPriority w:val="0"/>
    <w:pPr>
      <w:spacing w:line="360" w:lineRule="auto"/>
      <w:ind w:firstLine="200" w:firstLineChars="200"/>
    </w:pPr>
    <w:rPr>
      <w:rFonts w:ascii="宋体" w:hAnsi="宋体" w:cs="宋体"/>
      <w:sz w:val="24"/>
    </w:rPr>
  </w:style>
  <w:style w:type="paragraph" w:customStyle="1" w:styleId="1281">
    <w:name w:val="Char Char Char Char Char Char Char Char Char1 Char Char Char Char Char Char Char Char Char Char Char Char Char Char Char Char Char Char Char Char Char Char Char Char Char Char Char Char Char Char Char Char Char Char Char Char Char2"/>
    <w:basedOn w:val="1"/>
    <w:uiPriority w:val="0"/>
    <w:pPr>
      <w:spacing w:line="360" w:lineRule="auto"/>
      <w:ind w:firstLine="200" w:firstLineChars="200"/>
    </w:pPr>
    <w:rPr>
      <w:rFonts w:ascii="宋体" w:hAnsi="宋体" w:cs="宋体"/>
      <w:sz w:val="24"/>
    </w:rPr>
  </w:style>
  <w:style w:type="paragraph" w:customStyle="1" w:styleId="1282">
    <w:name w:val="Char Char Char Char Char Char Char Char Char1 Char Char Char1 Char Char Char Char Char Char2"/>
    <w:basedOn w:val="1"/>
    <w:uiPriority w:val="0"/>
    <w:pPr>
      <w:spacing w:line="360" w:lineRule="auto"/>
      <w:ind w:firstLine="200" w:firstLineChars="200"/>
    </w:pPr>
    <w:rPr>
      <w:rFonts w:ascii="宋体" w:hAnsi="宋体" w:cs="宋体"/>
      <w:sz w:val="24"/>
    </w:rPr>
  </w:style>
  <w:style w:type="paragraph" w:customStyle="1" w:styleId="1283">
    <w:name w:val="Char Char Char Char Char2"/>
    <w:basedOn w:val="1"/>
    <w:uiPriority w:val="0"/>
    <w:pPr>
      <w:spacing w:line="360" w:lineRule="auto"/>
      <w:ind w:firstLine="200" w:firstLineChars="200"/>
    </w:pPr>
    <w:rPr>
      <w:rFonts w:ascii="宋体" w:hAnsi="宋体" w:cs="宋体"/>
      <w:sz w:val="24"/>
    </w:rPr>
  </w:style>
  <w:style w:type="paragraph" w:customStyle="1" w:styleId="1284">
    <w:name w:val="Char Char8 Char Char2"/>
    <w:basedOn w:val="1"/>
    <w:semiHidden/>
    <w:uiPriority w:val="0"/>
    <w:pPr>
      <w:adjustRightInd w:val="0"/>
      <w:snapToGrid w:val="0"/>
      <w:spacing w:line="360" w:lineRule="auto"/>
      <w:ind w:firstLine="200" w:firstLineChars="200"/>
    </w:pPr>
    <w:rPr>
      <w:rFonts w:ascii="宋体" w:hAnsi="宋体" w:cs="宋体"/>
      <w:sz w:val="24"/>
    </w:rPr>
  </w:style>
  <w:style w:type="paragraph" w:customStyle="1" w:styleId="1285">
    <w:name w:val="Char Char Char Char Char Char Char Char Char Char Char Char Char Char1 Char2"/>
    <w:basedOn w:val="1"/>
    <w:uiPriority w:val="0"/>
    <w:pPr>
      <w:spacing w:line="360" w:lineRule="auto"/>
      <w:ind w:firstLine="200" w:firstLineChars="200"/>
    </w:pPr>
    <w:rPr>
      <w:rFonts w:ascii="宋体" w:hAnsi="宋体" w:cs="宋体"/>
      <w:sz w:val="24"/>
    </w:rPr>
  </w:style>
  <w:style w:type="paragraph" w:customStyle="1" w:styleId="1286">
    <w:name w:val="Char1 Char Char Char2"/>
    <w:basedOn w:val="1"/>
    <w:uiPriority w:val="0"/>
    <w:rPr>
      <w:sz w:val="24"/>
    </w:rPr>
  </w:style>
  <w:style w:type="paragraph" w:customStyle="1" w:styleId="1287">
    <w:name w:val="正文5"/>
    <w:uiPriority w:val="0"/>
    <w:pPr>
      <w:widowControl w:val="0"/>
      <w:adjustRightInd w:val="0"/>
      <w:spacing w:line="240" w:lineRule="atLeast"/>
      <w:ind w:firstLine="567"/>
      <w:jc w:val="both"/>
      <w:textAlignment w:val="baseline"/>
    </w:pPr>
    <w:rPr>
      <w:rFonts w:ascii="仿宋体" w:hAnsi="Times New Roman" w:eastAsia="仿宋体" w:cs="Times New Roman"/>
      <w:sz w:val="32"/>
      <w:lang w:val="en-US" w:eastAsia="zh-CN" w:bidi="ar-SA"/>
    </w:rPr>
  </w:style>
  <w:style w:type="paragraph" w:customStyle="1" w:styleId="1288">
    <w:name w:val="Char Char Char Char Char Char2"/>
    <w:basedOn w:val="1"/>
    <w:uiPriority w:val="0"/>
    <w:pPr>
      <w:widowControl/>
      <w:spacing w:after="160" w:line="240" w:lineRule="exact"/>
      <w:jc w:val="left"/>
    </w:pPr>
    <w:rPr>
      <w:rFonts w:ascii="Verdana" w:hAnsi="Verdana"/>
      <w:kern w:val="0"/>
      <w:sz w:val="20"/>
      <w:szCs w:val="20"/>
      <w:lang w:eastAsia="en-US"/>
    </w:rPr>
  </w:style>
  <w:style w:type="paragraph" w:customStyle="1" w:styleId="1289">
    <w:name w:val="Char Char Char Char Char Char Char Char Char1 Char Char Char1 Char Char Char Char2"/>
    <w:basedOn w:val="1"/>
    <w:uiPriority w:val="0"/>
    <w:pPr>
      <w:spacing w:line="360" w:lineRule="auto"/>
      <w:ind w:firstLine="200" w:firstLineChars="200"/>
    </w:pPr>
    <w:rPr>
      <w:szCs w:val="20"/>
    </w:rPr>
  </w:style>
  <w:style w:type="paragraph" w:customStyle="1" w:styleId="1290">
    <w:name w:val="Char Char Char Char4"/>
    <w:basedOn w:val="1"/>
    <w:uiPriority w:val="0"/>
    <w:pPr>
      <w:adjustRightInd w:val="0"/>
      <w:snapToGrid w:val="0"/>
      <w:spacing w:line="360" w:lineRule="auto"/>
      <w:ind w:firstLine="620" w:firstLineChars="200"/>
    </w:pPr>
    <w:rPr>
      <w:kern w:val="0"/>
      <w:sz w:val="24"/>
    </w:rPr>
  </w:style>
  <w:style w:type="paragraph" w:customStyle="1" w:styleId="1291">
    <w:name w:val="Char Char Char Char Char Char Char3"/>
    <w:basedOn w:val="1"/>
    <w:link w:val="2523"/>
    <w:uiPriority w:val="0"/>
    <w:pPr>
      <w:spacing w:line="360" w:lineRule="auto"/>
      <w:ind w:firstLine="200" w:firstLineChars="200"/>
    </w:pPr>
    <w:rPr>
      <w:rFonts w:ascii="宋体" w:hAnsi="宋体" w:cs="宋体"/>
      <w:sz w:val="24"/>
    </w:rPr>
  </w:style>
  <w:style w:type="paragraph" w:customStyle="1" w:styleId="1292">
    <w:name w:val="Char22"/>
    <w:basedOn w:val="1"/>
    <w:uiPriority w:val="0"/>
    <w:pPr>
      <w:adjustRightInd w:val="0"/>
      <w:spacing w:line="360" w:lineRule="auto"/>
      <w:textAlignment w:val="baseline"/>
    </w:pPr>
    <w:rPr>
      <w:kern w:val="0"/>
      <w:sz w:val="24"/>
      <w:szCs w:val="28"/>
    </w:rPr>
  </w:style>
  <w:style w:type="paragraph" w:customStyle="1" w:styleId="1293">
    <w:name w:val="Char Char Char1 Char2"/>
    <w:basedOn w:val="1"/>
    <w:uiPriority w:val="0"/>
    <w:pPr>
      <w:spacing w:line="360" w:lineRule="auto"/>
      <w:ind w:firstLine="200" w:firstLineChars="200"/>
    </w:pPr>
    <w:rPr>
      <w:rFonts w:ascii="宋体" w:hAnsi="宋体" w:cs="宋体"/>
      <w:sz w:val="24"/>
    </w:rPr>
  </w:style>
  <w:style w:type="paragraph" w:customStyle="1" w:styleId="1294">
    <w:name w:val="Char Char Char Char Char Char Char Char Char Char Char Char Char Char Char Char2"/>
    <w:basedOn w:val="1"/>
    <w:uiPriority w:val="0"/>
    <w:pPr>
      <w:spacing w:line="360" w:lineRule="auto"/>
      <w:ind w:firstLine="200" w:firstLineChars="200"/>
    </w:pPr>
    <w:rPr>
      <w:kern w:val="0"/>
      <w:sz w:val="24"/>
    </w:rPr>
  </w:style>
  <w:style w:type="paragraph" w:customStyle="1" w:styleId="1295">
    <w:name w:val="Char Char Char Char Char Char Char Char Char Char3"/>
    <w:basedOn w:val="1"/>
    <w:uiPriority w:val="0"/>
  </w:style>
  <w:style w:type="paragraph" w:customStyle="1" w:styleId="1296">
    <w:name w:val="Char2 Char Char Char3"/>
    <w:basedOn w:val="1"/>
    <w:semiHidden/>
    <w:uiPriority w:val="0"/>
    <w:pPr>
      <w:spacing w:line="360" w:lineRule="auto"/>
      <w:ind w:firstLine="200" w:firstLineChars="200"/>
    </w:pPr>
    <w:rPr>
      <w:rFonts w:ascii="宋体" w:hAnsi="宋体" w:cs="宋体"/>
      <w:sz w:val="24"/>
    </w:rPr>
  </w:style>
  <w:style w:type="paragraph" w:customStyle="1" w:styleId="1297">
    <w:name w:val="Char1 Char Char Char1 Char Char Char2"/>
    <w:basedOn w:val="1"/>
    <w:semiHidden/>
    <w:uiPriority w:val="0"/>
    <w:pPr>
      <w:spacing w:line="360" w:lineRule="auto"/>
      <w:ind w:firstLine="200" w:firstLineChars="200"/>
    </w:pPr>
    <w:rPr>
      <w:rFonts w:ascii="宋体" w:hAnsi="宋体" w:cs="宋体"/>
      <w:sz w:val="24"/>
    </w:rPr>
  </w:style>
  <w:style w:type="paragraph" w:customStyle="1" w:styleId="1298">
    <w:name w:val="Char12"/>
    <w:basedOn w:val="1"/>
    <w:uiPriority w:val="0"/>
    <w:pPr>
      <w:spacing w:line="360" w:lineRule="auto"/>
    </w:pPr>
    <w:rPr>
      <w:sz w:val="24"/>
      <w:szCs w:val="20"/>
    </w:rPr>
  </w:style>
  <w:style w:type="paragraph" w:customStyle="1" w:styleId="1299">
    <w:name w:val="Char Char1 Char Char Char Char2"/>
    <w:basedOn w:val="1"/>
    <w:uiPriority w:val="0"/>
  </w:style>
  <w:style w:type="paragraph" w:customStyle="1" w:styleId="1300">
    <w:name w:val="Char92"/>
    <w:basedOn w:val="1"/>
    <w:semiHidden/>
    <w:uiPriority w:val="0"/>
    <w:pPr>
      <w:adjustRightInd w:val="0"/>
      <w:snapToGrid w:val="0"/>
      <w:spacing w:line="360" w:lineRule="auto"/>
      <w:ind w:firstLine="620" w:firstLineChars="200"/>
    </w:pPr>
    <w:rPr>
      <w:kern w:val="0"/>
      <w:sz w:val="24"/>
    </w:rPr>
  </w:style>
  <w:style w:type="paragraph" w:customStyle="1" w:styleId="1301">
    <w:name w:val="Char Char Char2 Char2"/>
    <w:basedOn w:val="1"/>
    <w:uiPriority w:val="0"/>
    <w:rPr>
      <w:szCs w:val="21"/>
    </w:rPr>
  </w:style>
  <w:style w:type="paragraph" w:customStyle="1" w:styleId="1302">
    <w:name w:val="CM45"/>
    <w:basedOn w:val="266"/>
    <w:next w:val="266"/>
    <w:uiPriority w:val="0"/>
    <w:pPr>
      <w:spacing w:line="626" w:lineRule="atLeast"/>
    </w:pPr>
    <w:rPr>
      <w:rFonts w:ascii="宋体"/>
      <w:color w:val="auto"/>
    </w:rPr>
  </w:style>
  <w:style w:type="paragraph" w:customStyle="1" w:styleId="1303">
    <w:name w:val="环评正文"/>
    <w:basedOn w:val="1"/>
    <w:link w:val="1674"/>
    <w:uiPriority w:val="0"/>
    <w:pPr>
      <w:ind w:firstLine="480"/>
    </w:pPr>
    <w:rPr>
      <w:rFonts w:ascii="宋体" w:cs="宋体"/>
    </w:rPr>
  </w:style>
  <w:style w:type="paragraph" w:customStyle="1" w:styleId="1304">
    <w:name w:val="CM3"/>
    <w:basedOn w:val="266"/>
    <w:next w:val="266"/>
    <w:uiPriority w:val="0"/>
    <w:rPr>
      <w:rFonts w:ascii="宋体"/>
      <w:color w:val="auto"/>
    </w:rPr>
  </w:style>
  <w:style w:type="paragraph" w:customStyle="1" w:styleId="1305">
    <w:name w:val="节1"/>
    <w:basedOn w:val="1"/>
    <w:uiPriority w:val="0"/>
    <w:pPr>
      <w:adjustRightInd w:val="0"/>
      <w:snapToGrid w:val="0"/>
      <w:spacing w:before="120" w:after="120" w:line="312" w:lineRule="auto"/>
      <w:ind w:firstLine="567"/>
    </w:pPr>
    <w:rPr>
      <w:rFonts w:ascii="宋体" w:hAnsi="宋体"/>
      <w:b/>
      <w:bCs/>
      <w:spacing w:val="6"/>
      <w:sz w:val="32"/>
      <w:szCs w:val="30"/>
    </w:rPr>
  </w:style>
  <w:style w:type="paragraph" w:customStyle="1" w:styleId="1306">
    <w:name w:val="CM7"/>
    <w:basedOn w:val="1"/>
    <w:next w:val="1"/>
    <w:uiPriority w:val="0"/>
    <w:pPr>
      <w:autoSpaceDE w:val="0"/>
      <w:autoSpaceDN w:val="0"/>
      <w:adjustRightInd w:val="0"/>
      <w:spacing w:line="626" w:lineRule="atLeast"/>
      <w:jc w:val="left"/>
    </w:pPr>
    <w:rPr>
      <w:rFonts w:ascii="黑体" w:eastAsia="黑体"/>
      <w:kern w:val="0"/>
      <w:sz w:val="24"/>
    </w:rPr>
  </w:style>
  <w:style w:type="paragraph" w:customStyle="1" w:styleId="1307">
    <w:name w:val="CM72"/>
    <w:basedOn w:val="266"/>
    <w:next w:val="266"/>
    <w:uiPriority w:val="0"/>
    <w:pPr>
      <w:spacing w:after="350"/>
    </w:pPr>
    <w:rPr>
      <w:rFonts w:ascii="宋体"/>
      <w:color w:val="auto"/>
    </w:rPr>
  </w:style>
  <w:style w:type="paragraph" w:customStyle="1" w:styleId="1308">
    <w:name w:val="正文小四"/>
    <w:uiPriority w:val="0"/>
    <w:pPr>
      <w:spacing w:line="360" w:lineRule="auto"/>
      <w:ind w:firstLine="200" w:firstLineChars="200"/>
    </w:pPr>
    <w:rPr>
      <w:rFonts w:ascii="Times New Roman" w:hAnsi="Times New Roman" w:eastAsia="宋体" w:cs="Times New Roman"/>
      <w:kern w:val="2"/>
      <w:sz w:val="24"/>
      <w:szCs w:val="24"/>
      <w:lang w:val="en-US" w:eastAsia="zh-CN" w:bidi="ar-SA"/>
    </w:rPr>
  </w:style>
  <w:style w:type="paragraph" w:customStyle="1" w:styleId="1309">
    <w:name w:val="1-正文"/>
    <w:basedOn w:val="1"/>
    <w:uiPriority w:val="0"/>
    <w:pPr>
      <w:spacing w:line="360" w:lineRule="auto"/>
      <w:ind w:firstLine="480" w:firstLineChars="200"/>
    </w:pPr>
    <w:rPr>
      <w:rFonts w:ascii="宋体" w:hAnsi="宋体"/>
      <w:sz w:val="24"/>
      <w:szCs w:val="20"/>
    </w:rPr>
  </w:style>
  <w:style w:type="paragraph" w:customStyle="1" w:styleId="1310">
    <w:name w:val="CM47"/>
    <w:basedOn w:val="1"/>
    <w:next w:val="1"/>
    <w:uiPriority w:val="0"/>
    <w:pPr>
      <w:autoSpaceDE w:val="0"/>
      <w:autoSpaceDN w:val="0"/>
      <w:adjustRightInd w:val="0"/>
      <w:spacing w:line="626" w:lineRule="atLeast"/>
      <w:jc w:val="left"/>
    </w:pPr>
    <w:rPr>
      <w:rFonts w:ascii="华文中宋" w:eastAsia="华文中宋"/>
      <w:kern w:val="0"/>
      <w:sz w:val="24"/>
    </w:rPr>
  </w:style>
  <w:style w:type="paragraph" w:customStyle="1" w:styleId="1311">
    <w:name w:val="CM1"/>
    <w:basedOn w:val="266"/>
    <w:next w:val="266"/>
    <w:uiPriority w:val="0"/>
    <w:pPr>
      <w:spacing w:line="623" w:lineRule="atLeast"/>
    </w:pPr>
    <w:rPr>
      <w:rFonts w:ascii="宋体"/>
      <w:color w:val="auto"/>
    </w:rPr>
  </w:style>
  <w:style w:type="paragraph" w:customStyle="1" w:styleId="1312">
    <w:name w:val="样式 样式 普通文字 + 首行缩进:  0.85 厘米 + 首行缩进:  2 字符"/>
    <w:basedOn w:val="1"/>
    <w:uiPriority w:val="0"/>
    <w:pPr>
      <w:spacing w:line="400" w:lineRule="exact"/>
      <w:ind w:firstLine="200" w:firstLineChars="200"/>
    </w:pPr>
    <w:rPr>
      <w:rFonts w:ascii="宋体" w:hAnsi="Courier New"/>
      <w:sz w:val="24"/>
    </w:rPr>
  </w:style>
  <w:style w:type="table" w:customStyle="1" w:styleId="1313">
    <w:name w:val="网格型 11"/>
    <w:basedOn w:val="88"/>
    <w:unhideWhenUsed/>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paragraph" w:customStyle="1" w:styleId="1314">
    <w:name w:val="正文-2"/>
    <w:link w:val="1315"/>
    <w:qFormat/>
    <w:uiPriority w:val="0"/>
    <w:pPr>
      <w:widowControl w:val="0"/>
      <w:spacing w:line="480" w:lineRule="exact"/>
      <w:ind w:firstLine="560" w:firstLineChars="200"/>
      <w:jc w:val="both"/>
    </w:pPr>
    <w:rPr>
      <w:rFonts w:ascii="Times New Roman" w:hAnsi="Times New Roman" w:eastAsia="仿宋_GB2312" w:cs="Times New Roman"/>
      <w:sz w:val="28"/>
      <w:szCs w:val="28"/>
      <w:lang w:val="en-US" w:eastAsia="zh-CN" w:bidi="ar-SA"/>
    </w:rPr>
  </w:style>
  <w:style w:type="character" w:customStyle="1" w:styleId="1315">
    <w:name w:val="正文-2 Char Char"/>
    <w:link w:val="1314"/>
    <w:uiPriority w:val="0"/>
    <w:rPr>
      <w:rFonts w:eastAsia="仿宋_GB2312"/>
      <w:sz w:val="28"/>
      <w:szCs w:val="28"/>
    </w:rPr>
  </w:style>
  <w:style w:type="character" w:customStyle="1" w:styleId="1316">
    <w:name w:val="公式 Char"/>
    <w:link w:val="1158"/>
    <w:uiPriority w:val="0"/>
    <w:rPr>
      <w:kern w:val="24"/>
      <w:sz w:val="24"/>
    </w:rPr>
  </w:style>
  <w:style w:type="character" w:customStyle="1" w:styleId="1317">
    <w:name w:val="文字缩进 Char"/>
    <w:uiPriority w:val="0"/>
    <w:rPr>
      <w:rFonts w:ascii="宋体" w:hAnsi="Courier New" w:eastAsia="宋体"/>
      <w:kern w:val="2"/>
      <w:sz w:val="21"/>
      <w:lang w:val="en-US" w:eastAsia="zh-CN" w:bidi="ar-SA"/>
    </w:rPr>
  </w:style>
  <w:style w:type="paragraph" w:customStyle="1" w:styleId="1318">
    <w:name w:val="+1."/>
    <w:basedOn w:val="1"/>
    <w:semiHidden/>
    <w:uiPriority w:val="0"/>
    <w:pPr>
      <w:numPr>
        <w:ilvl w:val="0"/>
        <w:numId w:val="2"/>
      </w:numPr>
      <w:adjustRightInd w:val="0"/>
      <w:spacing w:line="360" w:lineRule="auto"/>
    </w:pPr>
    <w:rPr>
      <w:rFonts w:eastAsia="仿宋_GB2312"/>
      <w:sz w:val="28"/>
      <w:szCs w:val="28"/>
    </w:rPr>
  </w:style>
  <w:style w:type="character" w:customStyle="1" w:styleId="1319">
    <w:name w:val="正文文本 (2)_"/>
    <w:link w:val="1320"/>
    <w:locked/>
    <w:uiPriority w:val="0"/>
    <w:rPr>
      <w:shd w:val="clear" w:color="auto" w:fill="FFFFFF"/>
    </w:rPr>
  </w:style>
  <w:style w:type="paragraph" w:customStyle="1" w:styleId="1320">
    <w:name w:val="正文文本 (2)"/>
    <w:basedOn w:val="1"/>
    <w:link w:val="1319"/>
    <w:uiPriority w:val="0"/>
    <w:pPr>
      <w:shd w:val="clear" w:color="auto" w:fill="FFFFFF"/>
      <w:jc w:val="left"/>
    </w:pPr>
    <w:rPr>
      <w:kern w:val="0"/>
      <w:sz w:val="20"/>
      <w:szCs w:val="20"/>
      <w:shd w:val="clear" w:color="auto" w:fill="FFFFFF"/>
    </w:rPr>
  </w:style>
  <w:style w:type="character" w:customStyle="1" w:styleId="1321">
    <w:name w:val="正文文本 (2) + SimSun"/>
    <w:uiPriority w:val="0"/>
    <w:rPr>
      <w:rFonts w:hint="eastAsia" w:ascii="宋体" w:hAnsi="宋体" w:eastAsia="宋体" w:cs="宋体"/>
      <w:color w:val="000000"/>
      <w:spacing w:val="0"/>
      <w:w w:val="100"/>
      <w:position w:val="0"/>
      <w:sz w:val="32"/>
      <w:szCs w:val="32"/>
      <w:shd w:val="clear" w:color="auto" w:fill="FFFFFF"/>
      <w:lang w:val="zh-TW" w:eastAsia="zh-TW" w:bidi="zh-TW"/>
    </w:rPr>
  </w:style>
  <w:style w:type="character" w:customStyle="1" w:styleId="1322">
    <w:name w:val="标题 1 Char"/>
    <w:locked/>
    <w:uiPriority w:val="0"/>
    <w:rPr>
      <w:rFonts w:ascii="Calibri" w:hAnsi="Calibri" w:eastAsia="宋体"/>
      <w:b/>
      <w:bCs/>
      <w:kern w:val="44"/>
      <w:sz w:val="44"/>
      <w:szCs w:val="44"/>
      <w:lang w:val="en-US" w:eastAsia="zh-CN" w:bidi="ar-SA"/>
    </w:rPr>
  </w:style>
  <w:style w:type="character" w:customStyle="1" w:styleId="1323">
    <w:name w:val="标题 3 Char"/>
    <w:locked/>
    <w:uiPriority w:val="0"/>
    <w:rPr>
      <w:rFonts w:ascii="Calibri" w:hAnsi="Calibri" w:eastAsia="宋体"/>
      <w:b/>
      <w:bCs/>
      <w:kern w:val="2"/>
      <w:sz w:val="32"/>
      <w:szCs w:val="32"/>
      <w:lang w:val="en-US" w:eastAsia="zh-CN" w:bidi="ar-SA"/>
    </w:rPr>
  </w:style>
  <w:style w:type="character" w:customStyle="1" w:styleId="1324">
    <w:name w:val="标题 4 Char"/>
    <w:locked/>
    <w:uiPriority w:val="0"/>
    <w:rPr>
      <w:rFonts w:ascii="Calibri Light" w:hAnsi="Calibri Light" w:eastAsia="宋体"/>
      <w:b/>
      <w:bCs/>
      <w:kern w:val="2"/>
      <w:sz w:val="28"/>
      <w:szCs w:val="28"/>
      <w:lang w:val="en-US" w:eastAsia="zh-CN" w:bidi="ar-SA"/>
    </w:rPr>
  </w:style>
  <w:style w:type="character" w:customStyle="1" w:styleId="1325">
    <w:name w:val="批注文字 Char"/>
    <w:locked/>
    <w:uiPriority w:val="0"/>
    <w:rPr>
      <w:rFonts w:ascii="Calibri" w:hAnsi="Calibri" w:eastAsia="宋体"/>
      <w:kern w:val="2"/>
      <w:sz w:val="21"/>
      <w:szCs w:val="22"/>
      <w:lang w:val="en-US" w:eastAsia="zh-CN" w:bidi="ar-SA"/>
    </w:rPr>
  </w:style>
  <w:style w:type="character" w:customStyle="1" w:styleId="1326">
    <w:name w:val="批注主题 Char"/>
    <w:locked/>
    <w:uiPriority w:val="0"/>
    <w:rPr>
      <w:rFonts w:ascii="Calibri" w:hAnsi="Calibri" w:eastAsia="宋体"/>
      <w:b/>
      <w:bCs/>
      <w:kern w:val="2"/>
      <w:sz w:val="21"/>
      <w:szCs w:val="22"/>
      <w:lang w:val="en-US" w:eastAsia="zh-CN" w:bidi="ar-SA"/>
    </w:rPr>
  </w:style>
  <w:style w:type="character" w:customStyle="1" w:styleId="1327">
    <w:name w:val="批注框文本 Char"/>
    <w:locked/>
    <w:uiPriority w:val="0"/>
    <w:rPr>
      <w:sz w:val="18"/>
      <w:szCs w:val="18"/>
      <w:lang w:bidi="ar-SA"/>
    </w:rPr>
  </w:style>
  <w:style w:type="paragraph" w:customStyle="1" w:styleId="1328">
    <w:name w:val="msolistparagraph"/>
    <w:basedOn w:val="1"/>
    <w:uiPriority w:val="0"/>
    <w:pPr>
      <w:ind w:firstLine="420" w:firstLineChars="200"/>
    </w:pPr>
    <w:rPr>
      <w:rFonts w:ascii="Calibri" w:hAnsi="Calibri"/>
      <w:szCs w:val="22"/>
    </w:rPr>
  </w:style>
  <w:style w:type="character" w:customStyle="1" w:styleId="1329">
    <w:name w:val="正文文本 (2) + 9.5 pt"/>
    <w:uiPriority w:val="0"/>
    <w:rPr>
      <w:color w:val="000000"/>
      <w:spacing w:val="0"/>
      <w:w w:val="100"/>
      <w:position w:val="0"/>
      <w:sz w:val="19"/>
      <w:szCs w:val="19"/>
      <w:u w:val="none"/>
      <w:shd w:val="clear" w:color="auto" w:fill="FFFFFF"/>
      <w:lang w:val="en-US" w:eastAsia="en-US" w:bidi="en-US"/>
    </w:rPr>
  </w:style>
  <w:style w:type="character" w:customStyle="1" w:styleId="1330">
    <w:name w:val="正文文本 (2) + Book Antiqua"/>
    <w:uiPriority w:val="0"/>
    <w:rPr>
      <w:rFonts w:ascii="Book Antiqua" w:hAnsi="Book Antiqua" w:eastAsia="Book Antiqua" w:cs="Book Antiqua"/>
      <w:color w:val="000000"/>
      <w:spacing w:val="0"/>
      <w:w w:val="100"/>
      <w:position w:val="0"/>
      <w:sz w:val="36"/>
      <w:szCs w:val="36"/>
      <w:u w:val="none"/>
      <w:shd w:val="clear" w:color="auto" w:fill="FFFFFF"/>
      <w:lang w:val="en-US" w:eastAsia="en-US" w:bidi="en-US"/>
    </w:rPr>
  </w:style>
  <w:style w:type="character" w:customStyle="1" w:styleId="1331">
    <w:name w:val="正文文本 (2) + 16 pt"/>
    <w:uiPriority w:val="0"/>
    <w:rPr>
      <w:color w:val="000000"/>
      <w:spacing w:val="50"/>
      <w:w w:val="100"/>
      <w:position w:val="0"/>
      <w:sz w:val="32"/>
      <w:szCs w:val="32"/>
      <w:u w:val="none"/>
      <w:shd w:val="clear" w:color="auto" w:fill="FFFFFF"/>
      <w:lang w:val="en-US" w:eastAsia="en-US" w:bidi="en-US"/>
    </w:rPr>
  </w:style>
  <w:style w:type="character" w:customStyle="1" w:styleId="1332">
    <w:name w:val="正文文本 (2) + 17 pt"/>
    <w:uiPriority w:val="0"/>
    <w:rPr>
      <w:color w:val="000000"/>
      <w:spacing w:val="0"/>
      <w:w w:val="100"/>
      <w:position w:val="0"/>
      <w:sz w:val="34"/>
      <w:szCs w:val="34"/>
      <w:u w:val="none"/>
      <w:shd w:val="clear" w:color="auto" w:fill="FFFFFF"/>
      <w:lang w:val="en-US" w:eastAsia="en-US" w:bidi="en-US"/>
    </w:rPr>
  </w:style>
  <w:style w:type="character" w:customStyle="1" w:styleId="1333">
    <w:name w:val="姜胜辉标题2 Char"/>
    <w:link w:val="1334"/>
    <w:uiPriority w:val="0"/>
    <w:rPr>
      <w:bCs/>
      <w:caps/>
      <w:kern w:val="2"/>
      <w:sz w:val="30"/>
      <w:szCs w:val="30"/>
    </w:rPr>
  </w:style>
  <w:style w:type="paragraph" w:customStyle="1" w:styleId="1334">
    <w:name w:val="姜胜辉标题2"/>
    <w:basedOn w:val="84"/>
    <w:link w:val="1333"/>
    <w:uiPriority w:val="0"/>
    <w:pPr>
      <w:adjustRightInd w:val="0"/>
      <w:snapToGrid w:val="0"/>
      <w:spacing w:before="120" w:after="120" w:line="360" w:lineRule="auto"/>
      <w:jc w:val="left"/>
      <w:outlineLvl w:val="1"/>
    </w:pPr>
    <w:rPr>
      <w:rFonts w:ascii="Times New Roman" w:hAnsi="Times New Roman"/>
      <w:b w:val="0"/>
      <w:bCs/>
      <w:caps/>
      <w:kern w:val="2"/>
      <w:sz w:val="30"/>
      <w:szCs w:val="30"/>
      <w:lang w:eastAsia="zh-CN"/>
    </w:rPr>
  </w:style>
  <w:style w:type="character" w:customStyle="1" w:styleId="1335">
    <w:name w:val="表 Char Char"/>
    <w:uiPriority w:val="0"/>
    <w:rPr>
      <w:rFonts w:ascii="宋体" w:hAnsi="宋体" w:eastAsia="宋体"/>
      <w:color w:val="000000"/>
      <w:kern w:val="2"/>
      <w:sz w:val="21"/>
      <w:szCs w:val="21"/>
      <w:lang w:val="en-US" w:eastAsia="zh-CN" w:bidi="ar-SA"/>
    </w:rPr>
  </w:style>
  <w:style w:type="paragraph" w:customStyle="1" w:styleId="1336">
    <w:name w:val="姜胜辉标题3"/>
    <w:basedOn w:val="1"/>
    <w:uiPriority w:val="0"/>
    <w:pPr>
      <w:adjustRightInd w:val="0"/>
      <w:snapToGrid w:val="0"/>
      <w:spacing w:before="120" w:after="120" w:line="360" w:lineRule="auto"/>
      <w:jc w:val="left"/>
      <w:outlineLvl w:val="2"/>
    </w:pPr>
    <w:rPr>
      <w:snapToGrid w:val="0"/>
      <w:kern w:val="0"/>
      <w:sz w:val="28"/>
    </w:rPr>
  </w:style>
  <w:style w:type="character" w:customStyle="1" w:styleId="1337">
    <w:name w:val="标题4 Char Char"/>
    <w:link w:val="1338"/>
    <w:uiPriority w:val="0"/>
    <w:rPr>
      <w:kern w:val="2"/>
      <w:sz w:val="24"/>
      <w:szCs w:val="24"/>
    </w:rPr>
  </w:style>
  <w:style w:type="paragraph" w:customStyle="1" w:styleId="1338">
    <w:name w:val="姜胜辉标题4"/>
    <w:basedOn w:val="1"/>
    <w:next w:val="1"/>
    <w:link w:val="1337"/>
    <w:uiPriority w:val="0"/>
    <w:pPr>
      <w:adjustRightInd w:val="0"/>
      <w:snapToGrid w:val="0"/>
      <w:spacing w:beforeLines="50" w:afterLines="50" w:line="360" w:lineRule="auto"/>
      <w:outlineLvl w:val="3"/>
    </w:pPr>
    <w:rPr>
      <w:sz w:val="24"/>
    </w:rPr>
  </w:style>
  <w:style w:type="paragraph" w:customStyle="1" w:styleId="1339">
    <w:name w:val="标题3 job"/>
    <w:basedOn w:val="1"/>
    <w:next w:val="1"/>
    <w:qFormat/>
    <w:uiPriority w:val="0"/>
    <w:pPr>
      <w:widowControl/>
      <w:spacing w:beforeLines="50" w:afterLines="50" w:line="360" w:lineRule="auto"/>
      <w:outlineLvl w:val="2"/>
    </w:pPr>
    <w:rPr>
      <w:b/>
      <w:bCs/>
      <w:sz w:val="24"/>
      <w:szCs w:val="28"/>
    </w:rPr>
  </w:style>
  <w:style w:type="table" w:customStyle="1" w:styleId="1340">
    <w:name w:val="cwk1"/>
    <w:basedOn w:val="88"/>
    <w:qFormat/>
    <w:uiPriority w:val="99"/>
    <w:pPr>
      <w:widowControl w:val="0"/>
      <w:jc w:val="center"/>
    </w:pPr>
    <w:tblPr>
      <w:tblBorders>
        <w:top w:val="single" w:color="auto" w:sz="8" w:space="0"/>
        <w:bottom w:val="single" w:color="auto" w:sz="8" w:space="0"/>
        <w:insideH w:val="single" w:color="auto" w:sz="2" w:space="0"/>
        <w:insideV w:val="single" w:color="auto" w:sz="2" w:space="0"/>
      </w:tblBorders>
      <w:tblLayout w:type="fixed"/>
      <w:tblCellMar>
        <w:top w:w="0" w:type="dxa"/>
        <w:left w:w="108" w:type="dxa"/>
        <w:bottom w:w="0" w:type="dxa"/>
        <w:right w:w="108" w:type="dxa"/>
      </w:tblCellMar>
    </w:tblPr>
    <w:tcPr>
      <w:vAlign w:val="center"/>
    </w:tcPr>
  </w:style>
  <w:style w:type="paragraph" w:customStyle="1" w:styleId="1341">
    <w:name w:val="图-题注"/>
    <w:basedOn w:val="1"/>
    <w:link w:val="1342"/>
    <w:semiHidden/>
    <w:uiPriority w:val="0"/>
    <w:pPr>
      <w:spacing w:line="336" w:lineRule="auto"/>
      <w:ind w:firstLine="200" w:firstLineChars="200"/>
      <w:jc w:val="center"/>
    </w:pPr>
    <w:rPr>
      <w:rFonts w:eastAsia="黑体"/>
      <w:snapToGrid w:val="0"/>
      <w:kern w:val="0"/>
      <w:sz w:val="24"/>
    </w:rPr>
  </w:style>
  <w:style w:type="character" w:customStyle="1" w:styleId="1342">
    <w:name w:val="图-题注 Char"/>
    <w:link w:val="1341"/>
    <w:semiHidden/>
    <w:uiPriority w:val="0"/>
    <w:rPr>
      <w:rFonts w:eastAsia="黑体"/>
      <w:snapToGrid w:val="0"/>
      <w:sz w:val="24"/>
      <w:szCs w:val="24"/>
    </w:rPr>
  </w:style>
  <w:style w:type="paragraph" w:customStyle="1" w:styleId="1343">
    <w:name w:val="Char Char Char Char1 Char Char Char"/>
    <w:basedOn w:val="1"/>
    <w:uiPriority w:val="0"/>
    <w:pPr>
      <w:spacing w:before="100" w:beforeAutospacing="1" w:after="100" w:afterAutospacing="1" w:line="288" w:lineRule="auto"/>
      <w:ind w:firstLine="200" w:firstLineChars="200"/>
    </w:pPr>
    <w:rPr>
      <w:rFonts w:eastAsia="黑体"/>
      <w:kern w:val="0"/>
      <w:sz w:val="24"/>
      <w:szCs w:val="21"/>
      <w:lang w:eastAsia="zh-TW"/>
    </w:rPr>
  </w:style>
  <w:style w:type="paragraph" w:customStyle="1" w:styleId="1344">
    <w:name w:val="表格-题注"/>
    <w:basedOn w:val="1"/>
    <w:link w:val="1345"/>
    <w:semiHidden/>
    <w:uiPriority w:val="0"/>
    <w:pPr>
      <w:spacing w:line="336" w:lineRule="auto"/>
      <w:ind w:firstLine="480" w:firstLineChars="200"/>
    </w:pPr>
    <w:rPr>
      <w:rFonts w:eastAsia="黑体"/>
      <w:snapToGrid w:val="0"/>
      <w:kern w:val="0"/>
      <w:sz w:val="24"/>
    </w:rPr>
  </w:style>
  <w:style w:type="character" w:customStyle="1" w:styleId="1345">
    <w:name w:val="表格-题注 Char"/>
    <w:link w:val="1344"/>
    <w:semiHidden/>
    <w:uiPriority w:val="0"/>
    <w:rPr>
      <w:rFonts w:eastAsia="黑体"/>
      <w:snapToGrid w:val="0"/>
      <w:sz w:val="24"/>
      <w:szCs w:val="24"/>
    </w:rPr>
  </w:style>
  <w:style w:type="character" w:customStyle="1" w:styleId="1346">
    <w:name w:val="样式 首行缩进:  2 字符1 Char"/>
    <w:link w:val="751"/>
    <w:uiPriority w:val="0"/>
    <w:rPr>
      <w:spacing w:val="20"/>
      <w:kern w:val="2"/>
      <w:sz w:val="28"/>
      <w:szCs w:val="24"/>
    </w:rPr>
  </w:style>
  <w:style w:type="paragraph" w:customStyle="1" w:styleId="1347">
    <w:name w:val="项目符号2"/>
    <w:basedOn w:val="1"/>
    <w:uiPriority w:val="0"/>
    <w:pPr>
      <w:numPr>
        <w:ilvl w:val="0"/>
        <w:numId w:val="3"/>
      </w:numPr>
      <w:tabs>
        <w:tab w:val="left" w:pos="360"/>
        <w:tab w:val="clear" w:pos="425"/>
      </w:tabs>
      <w:snapToGrid w:val="0"/>
      <w:spacing w:before="120" w:after="120" w:line="312" w:lineRule="auto"/>
      <w:ind w:left="850" w:firstLine="200" w:firstLineChars="200"/>
    </w:pPr>
    <w:rPr>
      <w:rFonts w:ascii="Arial" w:hAnsi="Arial" w:eastAsia="楷体_GB2312" w:cs="宋体"/>
      <w:kern w:val="0"/>
      <w:sz w:val="28"/>
      <w:szCs w:val="20"/>
    </w:rPr>
  </w:style>
  <w:style w:type="paragraph" w:customStyle="1" w:styleId="1348">
    <w:name w:val="z正文"/>
    <w:basedOn w:val="288"/>
    <w:next w:val="1349"/>
    <w:link w:val="1350"/>
    <w:uiPriority w:val="0"/>
    <w:pPr>
      <w:adjustRightInd w:val="0"/>
      <w:snapToGrid w:val="0"/>
      <w:spacing w:beforeLines="50" w:line="288" w:lineRule="auto"/>
    </w:pPr>
    <w:rPr>
      <w:rFonts w:ascii="Times New Roman" w:hAnsi="Times New Roman" w:eastAsia="楷体_GB2312"/>
      <w:snapToGrid w:val="0"/>
      <w:kern w:val="0"/>
      <w:sz w:val="18"/>
      <w:szCs w:val="18"/>
    </w:rPr>
  </w:style>
  <w:style w:type="paragraph" w:customStyle="1" w:styleId="1349">
    <w:name w:val="表格中的文字"/>
    <w:basedOn w:val="1"/>
    <w:link w:val="1385"/>
    <w:uiPriority w:val="0"/>
    <w:pPr>
      <w:widowControl/>
      <w:spacing w:after="200"/>
      <w:jc w:val="center"/>
    </w:pPr>
    <w:rPr>
      <w:rFonts w:ascii="宋体" w:hAnsi="宋体"/>
      <w:kern w:val="0"/>
      <w:sz w:val="20"/>
      <w:szCs w:val="20"/>
      <w:lang w:eastAsia="en-US" w:bidi="en-US"/>
    </w:rPr>
  </w:style>
  <w:style w:type="character" w:customStyle="1" w:styleId="1350">
    <w:name w:val="z正文 Char"/>
    <w:link w:val="1348"/>
    <w:uiPriority w:val="0"/>
    <w:rPr>
      <w:rFonts w:eastAsia="楷体_GB2312"/>
      <w:snapToGrid w:val="0"/>
      <w:sz w:val="18"/>
      <w:szCs w:val="18"/>
    </w:rPr>
  </w:style>
  <w:style w:type="paragraph" w:customStyle="1" w:styleId="1351">
    <w:name w:val="样式 四号 左 行距: 固定值 24 磅"/>
    <w:basedOn w:val="1"/>
    <w:uiPriority w:val="0"/>
    <w:pPr>
      <w:numPr>
        <w:ilvl w:val="0"/>
        <w:numId w:val="4"/>
      </w:numPr>
      <w:spacing w:line="480" w:lineRule="exact"/>
      <w:jc w:val="left"/>
    </w:pPr>
    <w:rPr>
      <w:rFonts w:cs="宋体"/>
      <w:sz w:val="28"/>
      <w:szCs w:val="20"/>
    </w:rPr>
  </w:style>
  <w:style w:type="character" w:customStyle="1" w:styleId="1352">
    <w:name w:val="列出段落 Char"/>
    <w:link w:val="148"/>
    <w:uiPriority w:val="34"/>
    <w:rPr>
      <w:kern w:val="2"/>
      <w:sz w:val="21"/>
      <w:szCs w:val="24"/>
    </w:rPr>
  </w:style>
  <w:style w:type="character" w:customStyle="1" w:styleId="1353">
    <w:name w:val="表题 Char"/>
    <w:link w:val="279"/>
    <w:uiPriority w:val="0"/>
    <w:rPr>
      <w:rFonts w:ascii="黑体" w:eastAsia="黑体"/>
      <w:kern w:val="16"/>
      <w:sz w:val="21"/>
    </w:rPr>
  </w:style>
  <w:style w:type="paragraph" w:customStyle="1" w:styleId="1354">
    <w:name w:val="5文章(治)"/>
    <w:basedOn w:val="1"/>
    <w:link w:val="1355"/>
    <w:qFormat/>
    <w:uiPriority w:val="0"/>
    <w:pPr>
      <w:spacing w:line="360" w:lineRule="auto"/>
      <w:ind w:firstLine="560" w:firstLineChars="200"/>
    </w:pPr>
    <w:rPr>
      <w:kern w:val="0"/>
      <w:sz w:val="24"/>
      <w:szCs w:val="20"/>
    </w:rPr>
  </w:style>
  <w:style w:type="character" w:customStyle="1" w:styleId="1355">
    <w:name w:val="5文章(治) Char"/>
    <w:link w:val="1354"/>
    <w:uiPriority w:val="0"/>
    <w:rPr>
      <w:sz w:val="24"/>
    </w:rPr>
  </w:style>
  <w:style w:type="paragraph" w:customStyle="1" w:styleId="1356">
    <w:name w:val="WPS Plain"/>
    <w:uiPriority w:val="0"/>
    <w:rPr>
      <w:rFonts w:ascii="Times New Roman" w:hAnsi="Times New Roman" w:eastAsia="宋体" w:cs="Times New Roman"/>
      <w:lang w:val="en-US" w:eastAsia="zh-CN" w:bidi="ar-SA"/>
    </w:rPr>
  </w:style>
  <w:style w:type="paragraph" w:customStyle="1" w:styleId="1357">
    <w:name w:val="表格标题"/>
    <w:basedOn w:val="22"/>
    <w:link w:val="1358"/>
    <w:uiPriority w:val="0"/>
    <w:pPr>
      <w:widowControl w:val="0"/>
      <w:adjustRightInd w:val="0"/>
      <w:snapToGrid w:val="0"/>
      <w:spacing w:line="360" w:lineRule="auto"/>
    </w:pPr>
    <w:rPr>
      <w:rFonts w:eastAsia="宋体" w:cs="Times New Roman"/>
      <w:b/>
      <w:bCs w:val="0"/>
      <w:kern w:val="2"/>
      <w:sz w:val="24"/>
      <w:szCs w:val="21"/>
    </w:rPr>
  </w:style>
  <w:style w:type="character" w:customStyle="1" w:styleId="1358">
    <w:name w:val="表格标题 Char"/>
    <w:link w:val="1357"/>
    <w:uiPriority w:val="0"/>
    <w:rPr>
      <w:b/>
      <w:kern w:val="2"/>
      <w:sz w:val="24"/>
      <w:szCs w:val="21"/>
    </w:rPr>
  </w:style>
  <w:style w:type="character" w:customStyle="1" w:styleId="1359">
    <w:name w:val="【表头】 Char"/>
    <w:link w:val="1360"/>
    <w:locked/>
    <w:uiPriority w:val="0"/>
    <w:rPr>
      <w:b/>
      <w:szCs w:val="24"/>
    </w:rPr>
  </w:style>
  <w:style w:type="paragraph" w:customStyle="1" w:styleId="1360">
    <w:name w:val="【表头】"/>
    <w:basedOn w:val="1"/>
    <w:link w:val="1359"/>
    <w:qFormat/>
    <w:uiPriority w:val="0"/>
    <w:pPr>
      <w:adjustRightInd w:val="0"/>
      <w:snapToGrid w:val="0"/>
      <w:spacing w:beforeLines="50" w:line="288" w:lineRule="auto"/>
      <w:jc w:val="center"/>
    </w:pPr>
    <w:rPr>
      <w:b/>
      <w:kern w:val="0"/>
      <w:sz w:val="20"/>
    </w:rPr>
  </w:style>
  <w:style w:type="paragraph" w:customStyle="1" w:styleId="1361">
    <w:name w:val="Char1 Char Char Char Char Char Char"/>
    <w:basedOn w:val="1"/>
    <w:uiPriority w:val="0"/>
    <w:pPr>
      <w:tabs>
        <w:tab w:val="left" w:pos="300"/>
      </w:tabs>
      <w:ind w:left="300" w:hanging="360"/>
    </w:pPr>
    <w:rPr>
      <w:sz w:val="24"/>
    </w:rPr>
  </w:style>
  <w:style w:type="character" w:customStyle="1" w:styleId="1362">
    <w:name w:val="无间隔 Char"/>
    <w:uiPriority w:val="1"/>
    <w:rPr>
      <w:b/>
      <w:snapToGrid w:val="0"/>
      <w:sz w:val="21"/>
      <w:szCs w:val="22"/>
      <w:lang w:bidi="ar-SA"/>
    </w:rPr>
  </w:style>
  <w:style w:type="character" w:customStyle="1" w:styleId="1363">
    <w:name w:val="脚注文本 Char"/>
    <w:uiPriority w:val="0"/>
    <w:rPr>
      <w:rFonts w:ascii="Calibri" w:hAnsi="Calibri" w:eastAsia="仿宋_GB2312"/>
      <w:kern w:val="2"/>
      <w:sz w:val="18"/>
      <w:szCs w:val="18"/>
      <w:lang w:eastAsia="en-US" w:bidi="en-US"/>
    </w:rPr>
  </w:style>
  <w:style w:type="paragraph" w:customStyle="1" w:styleId="1364">
    <w:name w:val="表格与图片标题"/>
    <w:basedOn w:val="8"/>
    <w:next w:val="1"/>
    <w:link w:val="2229"/>
    <w:uiPriority w:val="0"/>
    <w:pPr>
      <w:keepNext w:val="0"/>
      <w:tabs>
        <w:tab w:val="clear" w:pos="360"/>
      </w:tabs>
      <w:adjustRightInd/>
      <w:snapToGrid/>
      <w:spacing w:beforeLines="0" w:afterLines="0" w:line="360" w:lineRule="auto"/>
      <w:ind w:left="0" w:firstLine="0" w:firstLineChars="0"/>
      <w:jc w:val="center"/>
    </w:pPr>
    <w:rPr>
      <w:rFonts w:cs="宋体"/>
      <w:b w:val="0"/>
      <w:bCs w:val="0"/>
      <w:i/>
      <w:iCs/>
      <w:color w:val="243F60"/>
      <w:kern w:val="2"/>
      <w:sz w:val="22"/>
      <w:szCs w:val="21"/>
      <w:lang w:eastAsia="en-US" w:bidi="en-US"/>
    </w:rPr>
  </w:style>
  <w:style w:type="paragraph" w:customStyle="1" w:styleId="1365">
    <w:name w:val="标题3（李）"/>
    <w:basedOn w:val="5"/>
    <w:next w:val="1"/>
    <w:link w:val="1366"/>
    <w:uiPriority w:val="0"/>
    <w:pPr>
      <w:keepLines/>
      <w:widowControl/>
      <w:tabs>
        <w:tab w:val="clear" w:pos="360"/>
      </w:tabs>
      <w:adjustRightInd/>
      <w:snapToGrid/>
      <w:spacing w:beforeLines="100"/>
      <w:ind w:left="0" w:firstLine="0" w:firstLineChars="0"/>
      <w:jc w:val="left"/>
    </w:pPr>
    <w:rPr>
      <w:rFonts w:ascii="Cambria" w:hAnsi="Cambria" w:eastAsia="宋体"/>
      <w:b/>
      <w:bCs w:val="0"/>
      <w:color w:val="4F81BD"/>
      <w:kern w:val="28"/>
      <w:sz w:val="28"/>
      <w:szCs w:val="28"/>
      <w:lang w:eastAsia="en-US" w:bidi="en-US"/>
    </w:rPr>
  </w:style>
  <w:style w:type="character" w:customStyle="1" w:styleId="1366">
    <w:name w:val="标题3（李） Char"/>
    <w:link w:val="1365"/>
    <w:uiPriority w:val="0"/>
    <w:rPr>
      <w:rFonts w:ascii="Cambria" w:hAnsi="Cambria"/>
      <w:b/>
      <w:color w:val="4F81BD"/>
      <w:kern w:val="28"/>
      <w:sz w:val="28"/>
      <w:szCs w:val="28"/>
      <w:lang w:eastAsia="en-US" w:bidi="en-US"/>
    </w:rPr>
  </w:style>
  <w:style w:type="character" w:customStyle="1" w:styleId="1367">
    <w:name w:val="日期 Char"/>
    <w:uiPriority w:val="0"/>
    <w:rPr>
      <w:rFonts w:ascii="Calibri" w:hAnsi="Calibri" w:eastAsia="宋体"/>
      <w:kern w:val="24"/>
      <w:sz w:val="22"/>
      <w:lang w:eastAsia="en-US" w:bidi="en-US"/>
    </w:rPr>
  </w:style>
  <w:style w:type="character" w:customStyle="1" w:styleId="1368">
    <w:name w:val="正文文本 2 Char"/>
    <w:uiPriority w:val="0"/>
    <w:rPr>
      <w:rFonts w:ascii="Calibri" w:hAnsi="Calibri" w:eastAsia="宋体"/>
      <w:kern w:val="2"/>
      <w:sz w:val="21"/>
      <w:szCs w:val="24"/>
      <w:lang w:eastAsia="en-US" w:bidi="en-US"/>
    </w:rPr>
  </w:style>
  <w:style w:type="character" w:customStyle="1" w:styleId="1369">
    <w:name w:val="结束语 Char"/>
    <w:uiPriority w:val="0"/>
    <w:rPr>
      <w:rFonts w:ascii="Calibri" w:hAnsi="Calibri" w:eastAsia="宋体"/>
      <w:kern w:val="2"/>
      <w:sz w:val="21"/>
      <w:szCs w:val="24"/>
      <w:lang w:eastAsia="en-US" w:bidi="en-US"/>
    </w:rPr>
  </w:style>
  <w:style w:type="paragraph" w:customStyle="1" w:styleId="1370">
    <w:name w:val="我的样式（正文）"/>
    <w:basedOn w:val="1"/>
    <w:uiPriority w:val="0"/>
    <w:pPr>
      <w:widowControl/>
      <w:spacing w:after="200" w:line="440" w:lineRule="exact"/>
      <w:jc w:val="left"/>
    </w:pPr>
    <w:rPr>
      <w:rFonts w:ascii="Calibri" w:hAnsi="Calibri"/>
      <w:sz w:val="28"/>
      <w:szCs w:val="20"/>
      <w:lang w:eastAsia="en-US" w:bidi="en-US"/>
    </w:rPr>
  </w:style>
  <w:style w:type="paragraph" w:customStyle="1" w:styleId="1371">
    <w:name w:val="Char Char Char Char Char Char Char Char Char Char Char Char Char Char Char Char Char Char Char Char Char Char"/>
    <w:basedOn w:val="1"/>
    <w:uiPriority w:val="0"/>
    <w:pPr>
      <w:widowControl/>
      <w:spacing w:after="160" w:line="240" w:lineRule="exact"/>
      <w:jc w:val="left"/>
    </w:pPr>
    <w:rPr>
      <w:rFonts w:ascii="Verdana" w:hAnsi="Verdana"/>
      <w:kern w:val="0"/>
      <w:sz w:val="20"/>
      <w:szCs w:val="20"/>
      <w:lang w:eastAsia="en-US" w:bidi="en-US"/>
    </w:rPr>
  </w:style>
  <w:style w:type="paragraph" w:customStyle="1" w:styleId="1372">
    <w:name w:val="a8"/>
    <w:basedOn w:val="1"/>
    <w:uiPriority w:val="0"/>
    <w:pPr>
      <w:widowControl/>
      <w:spacing w:before="100" w:beforeAutospacing="1" w:after="100" w:afterAutospacing="1" w:line="360" w:lineRule="auto"/>
      <w:jc w:val="left"/>
    </w:pPr>
    <w:rPr>
      <w:rFonts w:ascii="Calibri" w:hAnsi="Calibri" w:cs="宋体"/>
      <w:kern w:val="0"/>
      <w:sz w:val="22"/>
      <w:lang w:eastAsia="en-US" w:bidi="en-US"/>
    </w:rPr>
  </w:style>
  <w:style w:type="paragraph" w:customStyle="1" w:styleId="1373">
    <w:name w:val="标题2（李）"/>
    <w:basedOn w:val="1"/>
    <w:next w:val="5"/>
    <w:link w:val="1374"/>
    <w:uiPriority w:val="0"/>
    <w:pPr>
      <w:keepNext/>
      <w:keepLines/>
      <w:widowControl/>
      <w:tabs>
        <w:tab w:val="left" w:pos="756"/>
      </w:tabs>
      <w:spacing w:before="240" w:after="120" w:line="360" w:lineRule="auto"/>
      <w:ind w:firstLine="200" w:firstLineChars="200"/>
      <w:jc w:val="left"/>
      <w:outlineLvl w:val="1"/>
    </w:pPr>
    <w:rPr>
      <w:rFonts w:ascii="Calibri" w:hAnsi="Calibri"/>
      <w:b/>
      <w:bCs/>
      <w:kern w:val="0"/>
      <w:sz w:val="30"/>
      <w:szCs w:val="30"/>
      <w:lang w:eastAsia="en-US" w:bidi="en-US"/>
    </w:rPr>
  </w:style>
  <w:style w:type="character" w:customStyle="1" w:styleId="1374">
    <w:name w:val="标题2（李） Char"/>
    <w:link w:val="1373"/>
    <w:uiPriority w:val="0"/>
    <w:rPr>
      <w:rFonts w:ascii="Calibri" w:hAnsi="Calibri"/>
      <w:b/>
      <w:bCs/>
      <w:sz w:val="30"/>
      <w:szCs w:val="30"/>
      <w:lang w:eastAsia="en-US" w:bidi="en-US"/>
    </w:rPr>
  </w:style>
  <w:style w:type="character" w:customStyle="1" w:styleId="1375">
    <w:name w:val="表名称 Char"/>
    <w:link w:val="1240"/>
    <w:uiPriority w:val="0"/>
    <w:rPr>
      <w:kern w:val="2"/>
      <w:sz w:val="24"/>
      <w:szCs w:val="24"/>
    </w:rPr>
  </w:style>
  <w:style w:type="paragraph" w:customStyle="1" w:styleId="1376">
    <w:name w:val="标题1（李1）"/>
    <w:basedOn w:val="3"/>
    <w:next w:val="1373"/>
    <w:link w:val="1377"/>
    <w:semiHidden/>
    <w:uiPriority w:val="0"/>
    <w:pPr>
      <w:keepLines/>
      <w:widowControl/>
      <w:tabs>
        <w:tab w:val="left" w:pos="445"/>
        <w:tab w:val="clear" w:pos="360"/>
      </w:tabs>
      <w:spacing w:before="240" w:after="240" w:line="360" w:lineRule="auto"/>
      <w:ind w:left="0" w:firstLine="0" w:firstLineChars="0"/>
      <w:jc w:val="left"/>
    </w:pPr>
    <w:rPr>
      <w:rFonts w:ascii="Cambria" w:hAnsi="Cambria" w:eastAsia="黑体"/>
      <w:b/>
      <w:color w:val="365F91"/>
      <w:kern w:val="28"/>
      <w:sz w:val="32"/>
      <w:szCs w:val="30"/>
      <w:lang w:eastAsia="en-US" w:bidi="en-US"/>
    </w:rPr>
  </w:style>
  <w:style w:type="character" w:customStyle="1" w:styleId="1377">
    <w:name w:val="标题1（李1） Char"/>
    <w:link w:val="1376"/>
    <w:semiHidden/>
    <w:uiPriority w:val="0"/>
    <w:rPr>
      <w:rFonts w:ascii="Cambria" w:hAnsi="Cambria" w:eastAsia="黑体"/>
      <w:b/>
      <w:color w:val="365F91"/>
      <w:kern w:val="28"/>
      <w:sz w:val="32"/>
      <w:szCs w:val="30"/>
      <w:lang w:eastAsia="en-US" w:bidi="en-US"/>
    </w:rPr>
  </w:style>
  <w:style w:type="paragraph" w:customStyle="1" w:styleId="1378">
    <w:name w:val="标题4（李）"/>
    <w:basedOn w:val="5"/>
    <w:next w:val="1"/>
    <w:link w:val="1379"/>
    <w:uiPriority w:val="0"/>
    <w:pPr>
      <w:keepLines/>
      <w:widowControl/>
      <w:tabs>
        <w:tab w:val="clear" w:pos="360"/>
      </w:tabs>
      <w:adjustRightInd/>
      <w:snapToGrid/>
      <w:spacing w:beforeLines="50"/>
      <w:ind w:left="0"/>
      <w:jc w:val="left"/>
      <w:outlineLvl w:val="3"/>
    </w:pPr>
    <w:rPr>
      <w:rFonts w:ascii="Cambria" w:hAnsi="Cambria" w:eastAsia="宋体"/>
      <w:b/>
      <w:bCs w:val="0"/>
      <w:color w:val="4F81BD"/>
      <w:kern w:val="0"/>
      <w:lang w:eastAsia="en-US" w:bidi="en-US"/>
    </w:rPr>
  </w:style>
  <w:style w:type="character" w:customStyle="1" w:styleId="1379">
    <w:name w:val="标题4（李） Char"/>
    <w:link w:val="1378"/>
    <w:uiPriority w:val="0"/>
    <w:rPr>
      <w:rFonts w:ascii="Cambria" w:hAnsi="Cambria"/>
      <w:b/>
      <w:color w:val="4F81BD"/>
      <w:sz w:val="24"/>
      <w:szCs w:val="24"/>
      <w:lang w:eastAsia="en-US" w:bidi="en-US"/>
    </w:rPr>
  </w:style>
  <w:style w:type="paragraph" w:customStyle="1" w:styleId="1380">
    <w:name w:val="正文（李）"/>
    <w:basedOn w:val="1"/>
    <w:link w:val="1381"/>
    <w:uiPriority w:val="0"/>
    <w:pPr>
      <w:widowControl/>
      <w:spacing w:after="200" w:line="360" w:lineRule="auto"/>
      <w:jc w:val="left"/>
    </w:pPr>
    <w:rPr>
      <w:rFonts w:ascii="Calibri" w:hAnsi="Calibri"/>
      <w:kern w:val="0"/>
      <w:sz w:val="22"/>
      <w:lang w:eastAsia="en-US" w:bidi="en-US"/>
    </w:rPr>
  </w:style>
  <w:style w:type="character" w:customStyle="1" w:styleId="1381">
    <w:name w:val="正文（李） Char"/>
    <w:link w:val="1380"/>
    <w:uiPriority w:val="0"/>
    <w:rPr>
      <w:rFonts w:ascii="Calibri" w:hAnsi="Calibri"/>
      <w:sz w:val="22"/>
      <w:szCs w:val="24"/>
      <w:lang w:eastAsia="en-US" w:bidi="en-US"/>
    </w:rPr>
  </w:style>
  <w:style w:type="paragraph" w:customStyle="1" w:styleId="1382">
    <w:name w:val="正文正文正文 1.5 倍行距"/>
    <w:basedOn w:val="1"/>
    <w:link w:val="1383"/>
    <w:uiPriority w:val="0"/>
    <w:pPr>
      <w:widowControl/>
      <w:spacing w:after="200" w:line="360" w:lineRule="auto"/>
      <w:ind w:firstLine="480"/>
      <w:jc w:val="left"/>
    </w:pPr>
    <w:rPr>
      <w:rFonts w:ascii="宋体" w:hAnsi="宋体"/>
      <w:kern w:val="0"/>
      <w:sz w:val="22"/>
      <w:szCs w:val="20"/>
      <w:lang w:eastAsia="en-US" w:bidi="en-US"/>
    </w:rPr>
  </w:style>
  <w:style w:type="character" w:customStyle="1" w:styleId="1383">
    <w:name w:val="正文正文正文 1.5 倍行距 Char"/>
    <w:link w:val="1382"/>
    <w:uiPriority w:val="0"/>
    <w:rPr>
      <w:rFonts w:ascii="宋体" w:hAnsi="宋体"/>
      <w:sz w:val="22"/>
      <w:lang w:eastAsia="en-US" w:bidi="en-US"/>
    </w:rPr>
  </w:style>
  <w:style w:type="table" w:customStyle="1" w:styleId="1384">
    <w:name w:val="正文表格样式"/>
    <w:basedOn w:val="89"/>
    <w:uiPriority w:val="0"/>
    <w:pPr>
      <w:spacing w:after="200" w:line="276" w:lineRule="auto"/>
    </w:pPr>
    <w:rPr>
      <w:lang w:eastAsia="en-US" w:bidi="en-US"/>
    </w:rPr>
    <w:tblPr>
      <w:jc w:val="center"/>
      <w:tblBorders>
        <w:insideH w:val="single" w:color="auto" w:sz="8" w:space="0"/>
        <w:insideV w:val="single" w:color="auto" w:sz="8" w:space="0"/>
      </w:tblBorders>
      <w:tblLayout w:type="fixed"/>
      <w:tblCellMar>
        <w:top w:w="0" w:type="dxa"/>
        <w:left w:w="108" w:type="dxa"/>
        <w:bottom w:w="0" w:type="dxa"/>
        <w:right w:w="108" w:type="dxa"/>
      </w:tblCellMar>
    </w:tblPr>
    <w:trPr>
      <w:jc w:val="center"/>
    </w:trPr>
    <w:tcPr>
      <w:vAlign w:val="center"/>
    </w:tcPr>
  </w:style>
  <w:style w:type="character" w:customStyle="1" w:styleId="1385">
    <w:name w:val="表格中的文字 Char"/>
    <w:link w:val="1349"/>
    <w:uiPriority w:val="0"/>
    <w:rPr>
      <w:rFonts w:ascii="宋体" w:hAnsi="宋体"/>
      <w:lang w:eastAsia="en-US" w:bidi="en-US"/>
    </w:rPr>
  </w:style>
  <w:style w:type="paragraph" w:customStyle="1" w:styleId="1386">
    <w:name w:val="四级标题"/>
    <w:basedOn w:val="1"/>
    <w:next w:val="1382"/>
    <w:link w:val="2598"/>
    <w:uiPriority w:val="0"/>
    <w:pPr>
      <w:widowControl/>
      <w:spacing w:after="200" w:line="360" w:lineRule="auto"/>
      <w:jc w:val="left"/>
    </w:pPr>
    <w:rPr>
      <w:rFonts w:ascii="宋体" w:hAnsi="宋体" w:cs="宋体"/>
      <w:b/>
      <w:bCs/>
      <w:kern w:val="0"/>
      <w:sz w:val="22"/>
      <w:szCs w:val="20"/>
      <w:lang w:eastAsia="en-US" w:bidi="en-US"/>
    </w:rPr>
  </w:style>
  <w:style w:type="paragraph" w:customStyle="1" w:styleId="1387">
    <w:name w:val="续表"/>
    <w:basedOn w:val="1386"/>
    <w:uiPriority w:val="0"/>
    <w:rPr>
      <w:sz w:val="21"/>
    </w:rPr>
  </w:style>
  <w:style w:type="paragraph" w:customStyle="1" w:styleId="1388">
    <w:name w:val="正文加粗"/>
    <w:basedOn w:val="1"/>
    <w:uiPriority w:val="0"/>
    <w:pPr>
      <w:widowControl/>
      <w:spacing w:after="200" w:line="360" w:lineRule="auto"/>
      <w:jc w:val="left"/>
      <w:textAlignment w:val="baseline"/>
    </w:pPr>
    <w:rPr>
      <w:rFonts w:ascii="宋体" w:hAnsi="宋体"/>
      <w:b/>
      <w:iCs/>
      <w:kern w:val="0"/>
      <w:sz w:val="22"/>
      <w:szCs w:val="21"/>
      <w:lang w:eastAsia="en-US" w:bidi="en-US"/>
    </w:rPr>
  </w:style>
  <w:style w:type="paragraph" w:customStyle="1" w:styleId="1389">
    <w:name w:val="标题 21"/>
    <w:basedOn w:val="1"/>
    <w:uiPriority w:val="0"/>
    <w:pPr>
      <w:widowControl/>
      <w:spacing w:after="200"/>
      <w:ind w:left="238"/>
      <w:jc w:val="left"/>
      <w:outlineLvl w:val="2"/>
    </w:pPr>
    <w:rPr>
      <w:rFonts w:ascii="Calibri" w:hAnsi="Calibri" w:eastAsia="Times New Roman"/>
      <w:b/>
      <w:bCs/>
      <w:kern w:val="0"/>
      <w:sz w:val="30"/>
      <w:szCs w:val="30"/>
      <w:lang w:eastAsia="en-US" w:bidi="en-US"/>
    </w:rPr>
  </w:style>
  <w:style w:type="paragraph" w:customStyle="1" w:styleId="1390">
    <w:name w:val="标题 11"/>
    <w:basedOn w:val="1"/>
    <w:uiPriority w:val="1"/>
    <w:pPr>
      <w:widowControl/>
      <w:spacing w:after="200"/>
      <w:ind w:left="158"/>
      <w:jc w:val="left"/>
      <w:outlineLvl w:val="1"/>
    </w:pPr>
    <w:rPr>
      <w:rFonts w:ascii="微软雅黑" w:hAnsi="微软雅黑" w:eastAsia="微软雅黑"/>
      <w:b/>
      <w:bCs/>
      <w:kern w:val="0"/>
      <w:sz w:val="32"/>
      <w:szCs w:val="32"/>
      <w:lang w:eastAsia="en-US" w:bidi="en-US"/>
    </w:rPr>
  </w:style>
  <w:style w:type="paragraph" w:customStyle="1" w:styleId="1391">
    <w:name w:val="安评报告节2"/>
    <w:basedOn w:val="1"/>
    <w:next w:val="87"/>
    <w:uiPriority w:val="0"/>
    <w:pPr>
      <w:widowControl/>
      <w:spacing w:after="200" w:line="360" w:lineRule="auto"/>
      <w:jc w:val="left"/>
    </w:pPr>
    <w:rPr>
      <w:rFonts w:ascii="幼圆" w:hAnsi="Courier New"/>
      <w:b/>
      <w:sz w:val="22"/>
      <w:lang w:eastAsia="en-US" w:bidi="en-US"/>
    </w:rPr>
  </w:style>
  <w:style w:type="paragraph" w:customStyle="1" w:styleId="1392">
    <w:name w:val="6表(图)头(治)"/>
    <w:next w:val="1"/>
    <w:link w:val="1393"/>
    <w:qFormat/>
    <w:uiPriority w:val="0"/>
    <w:pPr>
      <w:widowControl w:val="0"/>
      <w:spacing w:after="200" w:line="276" w:lineRule="auto"/>
      <w:jc w:val="center"/>
    </w:pPr>
    <w:rPr>
      <w:rFonts w:ascii="Times New Roman" w:hAnsi="Times New Roman" w:eastAsia="黑体" w:cs="Times New Roman"/>
      <w:sz w:val="24"/>
      <w:szCs w:val="24"/>
      <w:lang w:val="en-US" w:eastAsia="en-US" w:bidi="en-US"/>
    </w:rPr>
  </w:style>
  <w:style w:type="character" w:customStyle="1" w:styleId="1393">
    <w:name w:val="6表(图)头(治) Char"/>
    <w:link w:val="1392"/>
    <w:uiPriority w:val="0"/>
    <w:rPr>
      <w:rFonts w:eastAsia="黑体"/>
      <w:sz w:val="24"/>
      <w:szCs w:val="24"/>
      <w:lang w:eastAsia="en-US" w:bidi="en-US"/>
    </w:rPr>
  </w:style>
  <w:style w:type="paragraph" w:customStyle="1" w:styleId="1394">
    <w:name w:val="7表格(治)"/>
    <w:link w:val="1395"/>
    <w:qFormat/>
    <w:uiPriority w:val="0"/>
    <w:pPr>
      <w:spacing w:after="200" w:line="276" w:lineRule="auto"/>
      <w:jc w:val="center"/>
    </w:pPr>
    <w:rPr>
      <w:rFonts w:ascii="Times New Roman" w:hAnsi="Times New Roman" w:eastAsia="宋体" w:cs="Times New Roman"/>
      <w:sz w:val="22"/>
      <w:lang w:val="en-US" w:eastAsia="en-US" w:bidi="en-US"/>
    </w:rPr>
  </w:style>
  <w:style w:type="character" w:customStyle="1" w:styleId="1395">
    <w:name w:val="7表格(治) Char"/>
    <w:link w:val="1394"/>
    <w:uiPriority w:val="0"/>
    <w:rPr>
      <w:sz w:val="22"/>
      <w:lang w:eastAsia="en-US" w:bidi="en-US"/>
    </w:rPr>
  </w:style>
  <w:style w:type="paragraph" w:customStyle="1" w:styleId="1396">
    <w:name w:val="文章标题"/>
    <w:basedOn w:val="84"/>
    <w:uiPriority w:val="0"/>
    <w:pPr>
      <w:pBdr>
        <w:bottom w:val="single" w:color="4F81BD" w:sz="8" w:space="4"/>
      </w:pBdr>
      <w:spacing w:before="0" w:after="300"/>
      <w:contextualSpacing/>
      <w:jc w:val="left"/>
      <w:outlineLvl w:val="9"/>
    </w:pPr>
    <w:rPr>
      <w:rFonts w:ascii="Arial" w:hAnsi="Arial" w:cs="Arial"/>
      <w:b w:val="0"/>
      <w:color w:val="333333"/>
      <w:spacing w:val="5"/>
      <w:kern w:val="2"/>
      <w:sz w:val="30"/>
      <w:szCs w:val="18"/>
      <w:lang w:bidi="en-US"/>
    </w:rPr>
  </w:style>
  <w:style w:type="character" w:customStyle="1" w:styleId="1397">
    <w:name w:val="报告正文 Char"/>
    <w:uiPriority w:val="0"/>
    <w:rPr>
      <w:color w:val="000000"/>
      <w:sz w:val="24"/>
      <w:szCs w:val="24"/>
    </w:rPr>
  </w:style>
  <w:style w:type="paragraph" w:customStyle="1" w:styleId="1398">
    <w:name w:val="yyp"/>
    <w:basedOn w:val="1"/>
    <w:link w:val="1399"/>
    <w:uiPriority w:val="0"/>
    <w:pPr>
      <w:widowControl/>
      <w:spacing w:after="120" w:line="360" w:lineRule="auto"/>
      <w:ind w:firstLine="480"/>
      <w:jc w:val="left"/>
    </w:pPr>
    <w:rPr>
      <w:rFonts w:ascii="Calibri" w:hAnsi="Calibri"/>
      <w:kern w:val="0"/>
      <w:sz w:val="22"/>
      <w:lang w:eastAsia="en-US" w:bidi="en-US"/>
    </w:rPr>
  </w:style>
  <w:style w:type="character" w:customStyle="1" w:styleId="1399">
    <w:name w:val="yyp Char"/>
    <w:link w:val="1398"/>
    <w:uiPriority w:val="0"/>
    <w:rPr>
      <w:rFonts w:ascii="Calibri" w:hAnsi="Calibri"/>
      <w:sz w:val="22"/>
      <w:szCs w:val="24"/>
      <w:lang w:eastAsia="en-US" w:bidi="en-US"/>
    </w:rPr>
  </w:style>
  <w:style w:type="paragraph" w:customStyle="1" w:styleId="1400">
    <w:name w:val="正文格式"/>
    <w:basedOn w:val="1"/>
    <w:link w:val="1401"/>
    <w:qFormat/>
    <w:uiPriority w:val="0"/>
    <w:pPr>
      <w:widowControl/>
      <w:spacing w:after="200" w:line="360" w:lineRule="auto"/>
      <w:ind w:firstLine="482"/>
      <w:jc w:val="left"/>
    </w:pPr>
    <w:rPr>
      <w:rFonts w:ascii="宋体" w:hAnsi="宋体"/>
      <w:kern w:val="0"/>
      <w:sz w:val="22"/>
      <w:lang w:eastAsia="en-US" w:bidi="en-US"/>
    </w:rPr>
  </w:style>
  <w:style w:type="character" w:customStyle="1" w:styleId="1401">
    <w:name w:val="正文格式 Char"/>
    <w:link w:val="1400"/>
    <w:uiPriority w:val="0"/>
    <w:rPr>
      <w:rFonts w:ascii="宋体" w:hAnsi="宋体"/>
      <w:sz w:val="22"/>
      <w:szCs w:val="24"/>
      <w:lang w:eastAsia="en-US" w:bidi="en-US"/>
    </w:rPr>
  </w:style>
  <w:style w:type="character" w:customStyle="1" w:styleId="1402">
    <w:name w:val="标题 4 Char11"/>
    <w:uiPriority w:val="0"/>
    <w:rPr>
      <w:rFonts w:ascii="黑体" w:hAnsi="Arial" w:eastAsia="黑体"/>
      <w:b/>
      <w:bCs/>
      <w:kern w:val="2"/>
      <w:sz w:val="24"/>
      <w:szCs w:val="24"/>
    </w:rPr>
  </w:style>
  <w:style w:type="character" w:customStyle="1" w:styleId="1403">
    <w:name w:val="bold1"/>
    <w:uiPriority w:val="0"/>
    <w:rPr>
      <w:b/>
      <w:bCs/>
    </w:rPr>
  </w:style>
  <w:style w:type="character" w:customStyle="1" w:styleId="1404">
    <w:name w:val="图表标题 Char Char"/>
    <w:locked/>
    <w:uiPriority w:val="0"/>
    <w:rPr>
      <w:rFonts w:eastAsia="宋体"/>
      <w:sz w:val="24"/>
    </w:rPr>
  </w:style>
  <w:style w:type="character" w:customStyle="1" w:styleId="1405">
    <w:name w:val="样式5 Char Char"/>
    <w:locked/>
    <w:uiPriority w:val="0"/>
    <w:rPr>
      <w:rFonts w:ascii="Cambria" w:hAnsi="Cambria"/>
      <w:b/>
      <w:kern w:val="28"/>
      <w:sz w:val="26"/>
    </w:rPr>
  </w:style>
  <w:style w:type="table" w:customStyle="1" w:styleId="1406">
    <w:name w:val="正文表格样式1"/>
    <w:basedOn w:val="89"/>
    <w:semiHidden/>
    <w:uiPriority w:val="0"/>
    <w:pPr>
      <w:spacing w:after="200" w:line="276" w:lineRule="auto"/>
    </w:pPr>
    <w:rPr>
      <w:lang w:eastAsia="en-US" w:bidi="en-US"/>
    </w:rPr>
    <w:tblPr>
      <w:jc w:val="center"/>
      <w:tblBorders>
        <w:top w:val="single" w:color="auto" w:sz="12" w:space="0"/>
        <w:bottom w:val="single" w:color="auto" w:sz="12" w:space="0"/>
        <w:insideH w:val="single" w:color="auto" w:sz="8" w:space="0"/>
        <w:insideV w:val="single" w:color="auto" w:sz="8" w:space="0"/>
      </w:tblBorders>
      <w:tblLayout w:type="fixed"/>
      <w:tblCellMar>
        <w:top w:w="0" w:type="dxa"/>
        <w:left w:w="108" w:type="dxa"/>
        <w:bottom w:w="0" w:type="dxa"/>
        <w:right w:w="108" w:type="dxa"/>
      </w:tblCellMar>
    </w:tblPr>
    <w:trPr>
      <w:jc w:val="center"/>
    </w:trPr>
    <w:tcPr>
      <w:vAlign w:val="center"/>
    </w:tcPr>
  </w:style>
  <w:style w:type="character" w:customStyle="1" w:styleId="1407">
    <w:name w:val="副标题 Char"/>
    <w:uiPriority w:val="0"/>
    <w:rPr>
      <w:rFonts w:ascii="Cambria" w:hAnsi="Cambria" w:eastAsia="宋体"/>
      <w:i/>
      <w:iCs/>
      <w:color w:val="4F81BD"/>
      <w:spacing w:val="15"/>
      <w:sz w:val="24"/>
      <w:szCs w:val="24"/>
      <w:lang w:eastAsia="en-US" w:bidi="en-US"/>
    </w:rPr>
  </w:style>
  <w:style w:type="paragraph" w:styleId="1408">
    <w:name w:val="Quote"/>
    <w:basedOn w:val="1"/>
    <w:next w:val="1"/>
    <w:link w:val="1410"/>
    <w:qFormat/>
    <w:uiPriority w:val="0"/>
    <w:pPr>
      <w:widowControl/>
      <w:spacing w:after="200" w:line="276" w:lineRule="auto"/>
      <w:jc w:val="left"/>
    </w:pPr>
    <w:rPr>
      <w:rFonts w:ascii="Calibri" w:hAnsi="Calibri"/>
      <w:i/>
      <w:iCs/>
      <w:color w:val="000000"/>
      <w:kern w:val="0"/>
      <w:sz w:val="22"/>
      <w:szCs w:val="22"/>
      <w:lang w:eastAsia="en-US" w:bidi="en-US"/>
    </w:rPr>
  </w:style>
  <w:style w:type="character" w:customStyle="1" w:styleId="1409">
    <w:name w:val="引用 字符"/>
    <w:basedOn w:val="97"/>
    <w:uiPriority w:val="99"/>
    <w:rPr>
      <w:i/>
      <w:iCs/>
      <w:color w:val="3F3F3F" w:themeColor="text1" w:themeTint="BF"/>
      <w:kern w:val="2"/>
      <w:sz w:val="21"/>
      <w:szCs w:val="24"/>
    </w:rPr>
  </w:style>
  <w:style w:type="character" w:customStyle="1" w:styleId="1410">
    <w:name w:val="引用 Char"/>
    <w:link w:val="1408"/>
    <w:uiPriority w:val="0"/>
    <w:rPr>
      <w:rFonts w:ascii="Calibri" w:hAnsi="Calibri"/>
      <w:i/>
      <w:iCs/>
      <w:color w:val="000000"/>
      <w:sz w:val="22"/>
      <w:szCs w:val="22"/>
      <w:lang w:eastAsia="en-US" w:bidi="en-US"/>
    </w:rPr>
  </w:style>
  <w:style w:type="paragraph" w:styleId="1411">
    <w:name w:val="Intense Quote"/>
    <w:basedOn w:val="1"/>
    <w:next w:val="1"/>
    <w:link w:val="1413"/>
    <w:qFormat/>
    <w:uiPriority w:val="0"/>
    <w:pPr>
      <w:widowControl/>
      <w:pBdr>
        <w:bottom w:val="single" w:color="4F81BD" w:sz="4" w:space="4"/>
      </w:pBdr>
      <w:spacing w:before="200" w:after="280" w:line="276" w:lineRule="auto"/>
      <w:ind w:left="936" w:right="936"/>
      <w:jc w:val="left"/>
    </w:pPr>
    <w:rPr>
      <w:rFonts w:ascii="Calibri" w:hAnsi="Calibri"/>
      <w:b/>
      <w:bCs/>
      <w:i/>
      <w:iCs/>
      <w:color w:val="4F81BD"/>
      <w:kern w:val="0"/>
      <w:sz w:val="22"/>
      <w:szCs w:val="22"/>
      <w:lang w:eastAsia="en-US" w:bidi="en-US"/>
    </w:rPr>
  </w:style>
  <w:style w:type="character" w:customStyle="1" w:styleId="1412">
    <w:name w:val="明显引用 字符"/>
    <w:basedOn w:val="97"/>
    <w:uiPriority w:val="99"/>
    <w:rPr>
      <w:i/>
      <w:iCs/>
      <w:color w:val="4F81BD" w:themeColor="accent1"/>
      <w:kern w:val="2"/>
      <w:sz w:val="21"/>
      <w:szCs w:val="24"/>
    </w:rPr>
  </w:style>
  <w:style w:type="character" w:customStyle="1" w:styleId="1413">
    <w:name w:val="明显引用 Char"/>
    <w:link w:val="1411"/>
    <w:uiPriority w:val="0"/>
    <w:rPr>
      <w:rFonts w:ascii="Calibri" w:hAnsi="Calibri"/>
      <w:b/>
      <w:bCs/>
      <w:i/>
      <w:iCs/>
      <w:color w:val="4F81BD"/>
      <w:sz w:val="22"/>
      <w:szCs w:val="22"/>
      <w:lang w:eastAsia="en-US" w:bidi="en-US"/>
    </w:rPr>
  </w:style>
  <w:style w:type="character" w:customStyle="1" w:styleId="1414">
    <w:name w:val="Subtle Emphasis"/>
    <w:qFormat/>
    <w:uiPriority w:val="0"/>
    <w:rPr>
      <w:i/>
      <w:iCs/>
      <w:color w:val="808080"/>
    </w:rPr>
  </w:style>
  <w:style w:type="character" w:customStyle="1" w:styleId="1415">
    <w:name w:val="Intense Emphasis"/>
    <w:qFormat/>
    <w:uiPriority w:val="0"/>
    <w:rPr>
      <w:b/>
      <w:bCs/>
      <w:i/>
      <w:iCs/>
      <w:color w:val="4F81BD"/>
    </w:rPr>
  </w:style>
  <w:style w:type="character" w:customStyle="1" w:styleId="1416">
    <w:name w:val="Subtle Reference"/>
    <w:qFormat/>
    <w:uiPriority w:val="0"/>
    <w:rPr>
      <w:smallCaps/>
      <w:color w:val="C0504D"/>
      <w:u w:val="single"/>
    </w:rPr>
  </w:style>
  <w:style w:type="character" w:customStyle="1" w:styleId="1417">
    <w:name w:val="Intense Reference"/>
    <w:qFormat/>
    <w:uiPriority w:val="0"/>
    <w:rPr>
      <w:b/>
      <w:bCs/>
      <w:smallCaps/>
      <w:color w:val="C0504D"/>
      <w:spacing w:val="5"/>
      <w:u w:val="single"/>
    </w:rPr>
  </w:style>
  <w:style w:type="character" w:customStyle="1" w:styleId="1418">
    <w:name w:val="Book Title"/>
    <w:qFormat/>
    <w:uiPriority w:val="0"/>
    <w:rPr>
      <w:b/>
      <w:bCs/>
      <w:smallCaps/>
      <w:spacing w:val="5"/>
    </w:rPr>
  </w:style>
  <w:style w:type="table" w:customStyle="1" w:styleId="1419">
    <w:name w:val="表格类型1"/>
    <w:basedOn w:val="88"/>
    <w:uiPriority w:val="59"/>
    <w:pPr>
      <w:spacing w:after="200" w:line="276" w:lineRule="auto"/>
    </w:pPr>
    <w:rPr>
      <w:rFonts w:eastAsia="楷体_GB2312"/>
      <w:lang w:eastAsia="en-US" w:bidi="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1420">
    <w:name w:val="表格主题（安）1"/>
    <w:basedOn w:val="88"/>
    <w:uiPriority w:val="0"/>
    <w:pPr>
      <w:widowControl w:val="0"/>
      <w:spacing w:after="200" w:line="276" w:lineRule="auto"/>
      <w:jc w:val="center"/>
    </w:pPr>
    <w:rPr>
      <w:szCs w:val="21"/>
      <w:lang w:eastAsia="en-US" w:bidi="en-US"/>
    </w:rPr>
    <w:tblPr>
      <w:tblBorders>
        <w:top w:val="single" w:color="auto" w:sz="12" w:space="0"/>
        <w:bottom w:val="single" w:color="auto" w:sz="12" w:space="0"/>
        <w:insideH w:val="single" w:color="auto" w:sz="6" w:space="0"/>
        <w:insideV w:val="single" w:color="auto" w:sz="6" w:space="0"/>
      </w:tblBorders>
      <w:tblLayout w:type="fixed"/>
      <w:tblCellMar>
        <w:top w:w="0" w:type="dxa"/>
        <w:left w:w="108" w:type="dxa"/>
        <w:bottom w:w="0" w:type="dxa"/>
        <w:right w:w="108" w:type="dxa"/>
      </w:tblCellMar>
    </w:tblPr>
    <w:tcPr>
      <w:tcMar>
        <w:left w:w="57" w:type="dxa"/>
        <w:right w:w="57" w:type="dxa"/>
      </w:tcMar>
      <w:vAlign w:val="center"/>
    </w:tcPr>
  </w:style>
  <w:style w:type="table" w:customStyle="1" w:styleId="1421">
    <w:name w:val="网格型 81"/>
    <w:basedOn w:val="88"/>
    <w:semiHidden/>
    <w:uiPriority w:val="0"/>
    <w:pPr>
      <w:widowControl w:val="0"/>
      <w:spacing w:after="200" w:line="276" w:lineRule="auto"/>
      <w:jc w:val="center"/>
    </w:pPr>
    <w:rPr>
      <w:lang w:eastAsia="en-US" w:bidi="en-US"/>
    </w:rPr>
    <w:tblPr>
      <w:tblBorders>
        <w:top w:val="single" w:color="auto" w:sz="4" w:space="0"/>
        <w:bottom w:val="single" w:color="auto" w:sz="4" w:space="0"/>
        <w:insideH w:val="single" w:color="auto" w:sz="4" w:space="0"/>
        <w:insideV w:val="single" w:color="auto" w:sz="4" w:space="0"/>
      </w:tblBorders>
      <w:tblLayout w:type="fixed"/>
      <w:tblCellMar>
        <w:top w:w="0" w:type="dxa"/>
        <w:left w:w="108" w:type="dxa"/>
        <w:bottom w:w="0" w:type="dxa"/>
        <w:right w:w="108" w:type="dxa"/>
      </w:tblCellMar>
    </w:tblPr>
    <w:tcPr>
      <w:shd w:val="clear" w:color="auto" w:fill="auto"/>
    </w:tcPr>
    <w:tblStylePr w:type="firstRow">
      <w:rPr>
        <w:b/>
        <w:bCs/>
        <w:color w:val="FFFFFF"/>
      </w:rPr>
      <w:tcPr>
        <w:tcBorders>
          <w:tl2br w:val="nil"/>
          <w:tr2bl w:val="nil"/>
        </w:tcBorders>
        <w:shd w:val="solid" w:color="000080" w:fill="FFFFFF"/>
      </w:tcPr>
    </w:tblStylePr>
    <w:tblStylePr w:type="lastRow">
      <w:rPr>
        <w:b/>
        <w:bCs/>
        <w:color w:val="auto"/>
      </w:rPr>
      <w:tcPr>
        <w:tcBorders>
          <w:tl2br w:val="nil"/>
          <w:tr2bl w:val="nil"/>
        </w:tcBorders>
      </w:tcPr>
    </w:tblStylePr>
    <w:tblStylePr w:type="lastCol">
      <w:rPr>
        <w:b/>
        <w:bCs/>
        <w:color w:val="auto"/>
      </w:rPr>
      <w:tcPr>
        <w:tcBorders>
          <w:tl2br w:val="nil"/>
          <w:tr2bl w:val="nil"/>
        </w:tcBorders>
      </w:tcPr>
    </w:tblStylePr>
  </w:style>
  <w:style w:type="table" w:customStyle="1" w:styleId="1422">
    <w:name w:val="正文表格样式2"/>
    <w:basedOn w:val="89"/>
    <w:semiHidden/>
    <w:uiPriority w:val="0"/>
    <w:pPr>
      <w:spacing w:after="200" w:line="276" w:lineRule="auto"/>
    </w:pPr>
    <w:rPr>
      <w:lang w:eastAsia="en-US" w:bidi="en-US"/>
    </w:rPr>
    <w:tblPr>
      <w:jc w:val="center"/>
      <w:tblBorders>
        <w:insideH w:val="single" w:color="auto" w:sz="8" w:space="0"/>
        <w:insideV w:val="single" w:color="auto" w:sz="8" w:space="0"/>
      </w:tblBorders>
      <w:tblLayout w:type="fixed"/>
      <w:tblCellMar>
        <w:top w:w="0" w:type="dxa"/>
        <w:left w:w="108" w:type="dxa"/>
        <w:bottom w:w="0" w:type="dxa"/>
        <w:right w:w="108" w:type="dxa"/>
      </w:tblCellMar>
    </w:tblPr>
    <w:trPr>
      <w:jc w:val="center"/>
    </w:trPr>
    <w:tcPr>
      <w:vAlign w:val="center"/>
    </w:tcPr>
  </w:style>
  <w:style w:type="table" w:customStyle="1" w:styleId="1423">
    <w:name w:val="正文表格样式11"/>
    <w:basedOn w:val="89"/>
    <w:semiHidden/>
    <w:uiPriority w:val="0"/>
    <w:pPr>
      <w:spacing w:after="200" w:line="276" w:lineRule="auto"/>
    </w:pPr>
    <w:rPr>
      <w:lang w:eastAsia="en-US" w:bidi="en-US"/>
    </w:rPr>
    <w:tblPr>
      <w:jc w:val="center"/>
      <w:tblBorders>
        <w:top w:val="single" w:color="auto" w:sz="12" w:space="0"/>
        <w:bottom w:val="single" w:color="auto" w:sz="12" w:space="0"/>
        <w:insideH w:val="single" w:color="auto" w:sz="8" w:space="0"/>
        <w:insideV w:val="single" w:color="auto" w:sz="8" w:space="0"/>
      </w:tblBorders>
      <w:tblLayout w:type="fixed"/>
      <w:tblCellMar>
        <w:top w:w="0" w:type="dxa"/>
        <w:left w:w="108" w:type="dxa"/>
        <w:bottom w:w="0" w:type="dxa"/>
        <w:right w:w="108" w:type="dxa"/>
      </w:tblCellMar>
    </w:tblPr>
    <w:trPr>
      <w:jc w:val="center"/>
    </w:trPr>
    <w:tcPr>
      <w:vAlign w:val="center"/>
    </w:tcPr>
  </w:style>
  <w:style w:type="paragraph" w:customStyle="1" w:styleId="1424">
    <w:name w:val="表内文字边"/>
    <w:basedOn w:val="1"/>
    <w:uiPriority w:val="0"/>
    <w:pPr>
      <w:widowControl/>
      <w:autoSpaceDE w:val="0"/>
      <w:autoSpaceDN w:val="0"/>
      <w:contextualSpacing/>
      <w:jc w:val="center"/>
    </w:pPr>
    <w:rPr>
      <w:rFonts w:ascii="宋体"/>
      <w:kern w:val="21"/>
      <w:szCs w:val="21"/>
    </w:rPr>
  </w:style>
  <w:style w:type="paragraph" w:customStyle="1" w:styleId="1425">
    <w:name w:val="T正文"/>
    <w:link w:val="1426"/>
    <w:uiPriority w:val="0"/>
    <w:pPr>
      <w:widowControl w:val="0"/>
      <w:adjustRightInd w:val="0"/>
      <w:snapToGrid w:val="0"/>
      <w:spacing w:line="360" w:lineRule="auto"/>
      <w:ind w:firstLine="200" w:firstLineChars="200"/>
      <w:jc w:val="both"/>
    </w:pPr>
    <w:rPr>
      <w:rFonts w:ascii="Times New Roman" w:hAnsi="Times New Roman" w:eastAsia="宋体" w:cs="Times New Roman"/>
      <w:sz w:val="24"/>
      <w:lang w:val="en-US" w:eastAsia="zh-CN" w:bidi="ar-SA"/>
    </w:rPr>
  </w:style>
  <w:style w:type="character" w:customStyle="1" w:styleId="1426">
    <w:name w:val="T正文 Char"/>
    <w:link w:val="1425"/>
    <w:uiPriority w:val="0"/>
    <w:rPr>
      <w:sz w:val="24"/>
    </w:rPr>
  </w:style>
  <w:style w:type="paragraph" w:customStyle="1" w:styleId="1427">
    <w:name w:val="五宋"/>
    <w:basedOn w:val="45"/>
    <w:qFormat/>
    <w:uiPriority w:val="0"/>
    <w:pPr>
      <w:jc w:val="center"/>
    </w:pPr>
    <w:rPr>
      <w:rFonts w:ascii="Times New Roman" w:hAnsi="Times New Roman"/>
      <w:kern w:val="0"/>
      <w:sz w:val="20"/>
      <w:szCs w:val="21"/>
    </w:rPr>
  </w:style>
  <w:style w:type="paragraph" w:customStyle="1" w:styleId="1428">
    <w:name w:val="1表格头"/>
    <w:basedOn w:val="1"/>
    <w:uiPriority w:val="0"/>
    <w:pPr>
      <w:snapToGrid w:val="0"/>
      <w:spacing w:line="300" w:lineRule="auto"/>
      <w:jc w:val="center"/>
      <w:outlineLvl w:val="3"/>
    </w:pPr>
    <w:rPr>
      <w:rFonts w:eastAsia="黑体"/>
      <w:b/>
      <w:bCs/>
      <w:spacing w:val="4"/>
      <w:sz w:val="24"/>
    </w:rPr>
  </w:style>
  <w:style w:type="table" w:customStyle="1" w:styleId="1429">
    <w:name w:val="三线1"/>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430">
    <w:name w:val="表中正文"/>
    <w:basedOn w:val="1"/>
    <w:link w:val="1431"/>
    <w:uiPriority w:val="0"/>
    <w:pPr>
      <w:autoSpaceDE w:val="0"/>
      <w:autoSpaceDN w:val="0"/>
      <w:snapToGrid w:val="0"/>
      <w:spacing w:line="240" w:lineRule="atLeast"/>
      <w:ind w:firstLine="567"/>
    </w:pPr>
    <w:rPr>
      <w:rFonts w:ascii="宋体"/>
      <w:sz w:val="26"/>
      <w:szCs w:val="20"/>
    </w:rPr>
  </w:style>
  <w:style w:type="character" w:customStyle="1" w:styleId="1431">
    <w:name w:val="表中正文 Char"/>
    <w:link w:val="1430"/>
    <w:uiPriority w:val="0"/>
    <w:rPr>
      <w:rFonts w:ascii="宋体"/>
      <w:kern w:val="2"/>
      <w:sz w:val="26"/>
    </w:rPr>
  </w:style>
  <w:style w:type="character" w:customStyle="1" w:styleId="1432">
    <w:name w:val="样式 正文缩进文本条款表格标题正文（首行缩进两字） Char Char Char Char Char Char Char... Char"/>
    <w:link w:val="1433"/>
    <w:uiPriority w:val="0"/>
    <w:rPr>
      <w:rFonts w:cs="宋体"/>
      <w:sz w:val="28"/>
    </w:rPr>
  </w:style>
  <w:style w:type="paragraph" w:customStyle="1" w:styleId="1433">
    <w:name w:val="样式 正文缩进文本条款表格标题正文（首行缩进两字） Char Char Char Char Char Char Char..."/>
    <w:basedOn w:val="21"/>
    <w:link w:val="1432"/>
    <w:uiPriority w:val="0"/>
    <w:pPr>
      <w:tabs>
        <w:tab w:val="left" w:pos="283"/>
      </w:tabs>
      <w:adjustRightInd w:val="0"/>
      <w:snapToGrid w:val="0"/>
      <w:spacing w:line="520" w:lineRule="atLeast"/>
      <w:ind w:firstLine="560" w:firstLineChars="200"/>
    </w:pPr>
    <w:rPr>
      <w:rFonts w:cs="宋体"/>
      <w:kern w:val="0"/>
      <w:sz w:val="28"/>
    </w:rPr>
  </w:style>
  <w:style w:type="paragraph" w:customStyle="1" w:styleId="1434">
    <w:name w:val="正文文档"/>
    <w:basedOn w:val="1"/>
    <w:uiPriority w:val="0"/>
    <w:pPr>
      <w:snapToGrid w:val="0"/>
      <w:spacing w:line="360" w:lineRule="auto"/>
      <w:ind w:firstLine="420"/>
    </w:pPr>
    <w:rPr>
      <w:rFonts w:ascii="Arial" w:hAnsi="Arial"/>
      <w:sz w:val="24"/>
    </w:rPr>
  </w:style>
  <w:style w:type="character" w:customStyle="1" w:styleId="1435">
    <w:name w:val="样式6 Char"/>
    <w:link w:val="927"/>
    <w:uiPriority w:val="0"/>
    <w:rPr>
      <w:b/>
      <w:caps/>
      <w:kern w:val="2"/>
      <w:sz w:val="24"/>
    </w:rPr>
  </w:style>
  <w:style w:type="character" w:customStyle="1" w:styleId="1436">
    <w:name w:val="样式7 Char"/>
    <w:link w:val="759"/>
    <w:uiPriority w:val="0"/>
    <w:rPr>
      <w:rFonts w:hAnsi="宋体" w:eastAsia="Times New Roman"/>
      <w:sz w:val="24"/>
      <w:szCs w:val="24"/>
    </w:rPr>
  </w:style>
  <w:style w:type="paragraph" w:customStyle="1" w:styleId="1437">
    <w:name w:val="表的标题"/>
    <w:basedOn w:val="1"/>
    <w:next w:val="1430"/>
    <w:link w:val="1438"/>
    <w:uiPriority w:val="0"/>
    <w:pPr>
      <w:adjustRightInd w:val="0"/>
      <w:snapToGrid w:val="0"/>
      <w:jc w:val="center"/>
    </w:pPr>
    <w:rPr>
      <w:rFonts w:ascii="Arial" w:hAnsi="Arial"/>
      <w:sz w:val="24"/>
      <w:szCs w:val="20"/>
    </w:rPr>
  </w:style>
  <w:style w:type="character" w:customStyle="1" w:styleId="1438">
    <w:name w:val="表的标题 Char"/>
    <w:link w:val="1437"/>
    <w:uiPriority w:val="0"/>
    <w:rPr>
      <w:rFonts w:ascii="Arial" w:hAnsi="Arial"/>
      <w:kern w:val="2"/>
      <w:sz w:val="24"/>
    </w:rPr>
  </w:style>
  <w:style w:type="paragraph" w:customStyle="1" w:styleId="1439">
    <w:name w:val="二级无标题条"/>
    <w:basedOn w:val="1"/>
    <w:uiPriority w:val="0"/>
    <w:pPr>
      <w:widowControl/>
      <w:tabs>
        <w:tab w:val="left" w:pos="1680"/>
      </w:tabs>
      <w:ind w:left="1680" w:firstLine="539"/>
    </w:pPr>
  </w:style>
  <w:style w:type="paragraph" w:customStyle="1" w:styleId="1440">
    <w:name w:val="样式 宋体 小四 黑色 首行缩进:  2字符 行距: 1.5 倍"/>
    <w:basedOn w:val="1"/>
    <w:uiPriority w:val="0"/>
    <w:pPr>
      <w:autoSpaceDE w:val="0"/>
      <w:autoSpaceDN w:val="0"/>
      <w:adjustRightInd w:val="0"/>
      <w:snapToGrid w:val="0"/>
      <w:spacing w:line="360" w:lineRule="auto"/>
      <w:ind w:firstLine="480" w:firstLineChars="200"/>
    </w:pPr>
    <w:rPr>
      <w:rFonts w:ascii="宋体" w:hAnsi="宋体"/>
      <w:color w:val="000000"/>
      <w:sz w:val="24"/>
      <w:szCs w:val="20"/>
    </w:rPr>
  </w:style>
  <w:style w:type="paragraph" w:customStyle="1" w:styleId="1441">
    <w:name w:val="样式 宋体 小四 黑色 首行缩进:  0.74 厘米 行距: 1.5 倍行距"/>
    <w:basedOn w:val="1"/>
    <w:uiPriority w:val="0"/>
    <w:pPr>
      <w:spacing w:line="540" w:lineRule="atLeast"/>
      <w:ind w:firstLine="480" w:firstLineChars="200"/>
    </w:pPr>
    <w:rPr>
      <w:rFonts w:ascii="宋体" w:hAnsi="宋体" w:cs="Arial"/>
      <w:color w:val="000000"/>
      <w:kern w:val="0"/>
      <w:sz w:val="24"/>
      <w:szCs w:val="20"/>
    </w:rPr>
  </w:style>
  <w:style w:type="character" w:customStyle="1" w:styleId="1442">
    <w:name w:val="报告书正文 Char"/>
    <w:link w:val="1117"/>
    <w:uiPriority w:val="0"/>
    <w:rPr>
      <w:kern w:val="2"/>
      <w:sz w:val="24"/>
      <w:szCs w:val="24"/>
    </w:rPr>
  </w:style>
  <w:style w:type="paragraph" w:customStyle="1" w:styleId="1443">
    <w:name w:val="样式 首行缩进:  2 字符 行距: 1.5 倍行距"/>
    <w:basedOn w:val="1"/>
    <w:uiPriority w:val="0"/>
    <w:pPr>
      <w:spacing w:line="360" w:lineRule="auto"/>
      <w:ind w:firstLine="560" w:firstLineChars="200"/>
    </w:pPr>
    <w:rPr>
      <w:rFonts w:cs="宋体"/>
      <w:sz w:val="24"/>
      <w:szCs w:val="20"/>
    </w:rPr>
  </w:style>
  <w:style w:type="table" w:customStyle="1" w:styleId="1444">
    <w:name w:val="表格主题1"/>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445">
    <w:name w:val="正文张继伟"/>
    <w:basedOn w:val="1"/>
    <w:link w:val="1659"/>
    <w:uiPriority w:val="0"/>
    <w:pPr>
      <w:spacing w:line="360" w:lineRule="auto"/>
      <w:ind w:firstLine="200" w:firstLineChars="200"/>
    </w:pPr>
    <w:rPr>
      <w:sz w:val="24"/>
    </w:rPr>
  </w:style>
  <w:style w:type="paragraph" w:customStyle="1" w:styleId="1446">
    <w:name w:val="样式 仿宋_GB2312 四号 两端对齐 行距: 固定值 26 磅1 Char"/>
    <w:basedOn w:val="1"/>
    <w:link w:val="1573"/>
    <w:uiPriority w:val="0"/>
    <w:pPr>
      <w:adjustRightInd w:val="0"/>
      <w:spacing w:line="520" w:lineRule="exact"/>
      <w:ind w:firstLine="560" w:firstLineChars="200"/>
      <w:textAlignment w:val="baseline"/>
    </w:pPr>
    <w:rPr>
      <w:rFonts w:ascii="宋体"/>
      <w:kern w:val="0"/>
      <w:sz w:val="28"/>
      <w:szCs w:val="28"/>
    </w:rPr>
  </w:style>
  <w:style w:type="character" w:customStyle="1" w:styleId="1447">
    <w:name w:val="Char Char20"/>
    <w:uiPriority w:val="0"/>
    <w:rPr>
      <w:rFonts w:ascii="Arial" w:hAnsi="Arial" w:eastAsia="楷体_GB2312"/>
      <w:b/>
      <w:bCs/>
      <w:kern w:val="2"/>
      <w:sz w:val="30"/>
      <w:szCs w:val="30"/>
      <w:lang w:val="en-US" w:eastAsia="zh-CN" w:bidi="ar-SA"/>
    </w:rPr>
  </w:style>
  <w:style w:type="paragraph" w:customStyle="1" w:styleId="1448">
    <w:name w:val="ssssss"/>
    <w:uiPriority w:val="0"/>
    <w:pPr>
      <w:widowControl w:val="0"/>
      <w:spacing w:line="460" w:lineRule="exact"/>
      <w:jc w:val="both"/>
    </w:pPr>
    <w:rPr>
      <w:rFonts w:ascii="楷体_GB2312" w:hAnsi="Times New Roman" w:eastAsia="楷体_GB2312" w:cs="Times New Roman"/>
      <w:kern w:val="2"/>
      <w:sz w:val="24"/>
      <w:szCs w:val="24"/>
      <w:lang w:val="en-US" w:eastAsia="zh-CN" w:bidi="ar-SA"/>
    </w:rPr>
  </w:style>
  <w:style w:type="paragraph" w:customStyle="1" w:styleId="1449">
    <w:name w:val="1 Char Char Char Char Char Char Char Char Char Char Char Char Char Char Char Char"/>
    <w:basedOn w:val="1"/>
    <w:semiHidden/>
    <w:uiPriority w:val="0"/>
    <w:pPr>
      <w:widowControl/>
      <w:jc w:val="left"/>
    </w:pPr>
    <w:rPr>
      <w:rFonts w:ascii="宋体" w:hAnsi="宋体" w:cs="宋体"/>
      <w:kern w:val="0"/>
    </w:rPr>
  </w:style>
  <w:style w:type="character" w:customStyle="1" w:styleId="1450">
    <w:name w:val="正文z1 Char"/>
    <w:link w:val="1451"/>
    <w:uiPriority w:val="0"/>
    <w:rPr>
      <w:rFonts w:ascii="Arial" w:hAnsi="Arial"/>
      <w:sz w:val="24"/>
    </w:rPr>
  </w:style>
  <w:style w:type="paragraph" w:customStyle="1" w:styleId="1451">
    <w:name w:val="正文z1"/>
    <w:basedOn w:val="1"/>
    <w:link w:val="1450"/>
    <w:qFormat/>
    <w:uiPriority w:val="0"/>
    <w:pPr>
      <w:adjustRightInd w:val="0"/>
      <w:snapToGrid w:val="0"/>
      <w:spacing w:line="360" w:lineRule="auto"/>
      <w:ind w:firstLine="480" w:firstLineChars="200"/>
      <w:textAlignment w:val="baseline"/>
    </w:pPr>
    <w:rPr>
      <w:rFonts w:ascii="Arial" w:hAnsi="Arial"/>
      <w:kern w:val="0"/>
      <w:sz w:val="24"/>
      <w:szCs w:val="20"/>
    </w:rPr>
  </w:style>
  <w:style w:type="paragraph" w:customStyle="1" w:styleId="1452">
    <w:name w:val="表格文字Z1"/>
    <w:basedOn w:val="1"/>
    <w:uiPriority w:val="0"/>
    <w:pPr>
      <w:jc w:val="center"/>
    </w:pPr>
    <w:rPr>
      <w:szCs w:val="20"/>
    </w:rPr>
  </w:style>
  <w:style w:type="paragraph" w:customStyle="1" w:styleId="1453">
    <w:name w:val="表名Z1"/>
    <w:basedOn w:val="1"/>
    <w:link w:val="1454"/>
    <w:qFormat/>
    <w:uiPriority w:val="0"/>
    <w:pPr>
      <w:adjustRightInd w:val="0"/>
      <w:snapToGrid w:val="0"/>
      <w:spacing w:line="360" w:lineRule="auto"/>
      <w:jc w:val="center"/>
    </w:pPr>
    <w:rPr>
      <w:rFonts w:ascii="Arial" w:hAnsi="Arial"/>
      <w:b/>
      <w:sz w:val="24"/>
      <w:szCs w:val="20"/>
    </w:rPr>
  </w:style>
  <w:style w:type="character" w:customStyle="1" w:styleId="1454">
    <w:name w:val="表名Z1 Char"/>
    <w:link w:val="1453"/>
    <w:uiPriority w:val="0"/>
    <w:rPr>
      <w:rFonts w:ascii="Arial" w:hAnsi="Arial"/>
      <w:b/>
      <w:kern w:val="2"/>
      <w:sz w:val="24"/>
    </w:rPr>
  </w:style>
  <w:style w:type="paragraph" w:customStyle="1" w:styleId="1455">
    <w:name w:val="表格五号"/>
    <w:basedOn w:val="1"/>
    <w:qFormat/>
    <w:uiPriority w:val="0"/>
    <w:pPr>
      <w:widowControl/>
      <w:jc w:val="center"/>
      <w:textAlignment w:val="center"/>
    </w:pPr>
    <w:rPr>
      <w:rFonts w:ascii="宋体" w:hAnsi="宋体" w:cs="宋体"/>
      <w:sz w:val="24"/>
    </w:rPr>
  </w:style>
  <w:style w:type="paragraph" w:customStyle="1" w:styleId="1456">
    <w:name w:val="样式 小四2"/>
    <w:basedOn w:val="1"/>
    <w:link w:val="1457"/>
    <w:uiPriority w:val="0"/>
    <w:pPr>
      <w:spacing w:line="360" w:lineRule="auto"/>
      <w:ind w:firstLine="200" w:firstLineChars="200"/>
    </w:pPr>
    <w:rPr>
      <w:sz w:val="24"/>
    </w:rPr>
  </w:style>
  <w:style w:type="character" w:customStyle="1" w:styleId="1457">
    <w:name w:val="样式 小四2 Char"/>
    <w:link w:val="1456"/>
    <w:uiPriority w:val="0"/>
    <w:rPr>
      <w:kern w:val="2"/>
      <w:sz w:val="24"/>
      <w:szCs w:val="24"/>
    </w:rPr>
  </w:style>
  <w:style w:type="character" w:customStyle="1" w:styleId="1458">
    <w:name w:val="列表项目符号 Char"/>
    <w:uiPriority w:val="0"/>
    <w:rPr>
      <w:rFonts w:hint="eastAsia" w:ascii="宋体" w:hAnsi="宋体" w:eastAsia="宋体"/>
      <w:kern w:val="2"/>
      <w:sz w:val="21"/>
      <w:lang w:val="en-US" w:eastAsia="zh-CN"/>
    </w:rPr>
  </w:style>
  <w:style w:type="character" w:customStyle="1" w:styleId="1459">
    <w:name w:val="我要正文 Char"/>
    <w:uiPriority w:val="0"/>
    <w:rPr>
      <w:rFonts w:hint="eastAsia" w:ascii="宋体" w:hAnsi="宋体" w:eastAsia="宋体"/>
      <w:kern w:val="2"/>
      <w:sz w:val="24"/>
      <w:lang w:val="en-US" w:eastAsia="zh-CN"/>
    </w:rPr>
  </w:style>
  <w:style w:type="character" w:customStyle="1" w:styleId="1460">
    <w:name w:val="a9b"/>
    <w:uiPriority w:val="0"/>
    <w:rPr>
      <w:rFonts w:hint="eastAsia" w:ascii="宋体" w:hAnsi="宋体" w:eastAsia="宋体"/>
      <w:sz w:val="24"/>
    </w:rPr>
  </w:style>
  <w:style w:type="character" w:customStyle="1" w:styleId="1461">
    <w:name w:val="1.2.sssss Char"/>
    <w:uiPriority w:val="0"/>
    <w:rPr>
      <w:rFonts w:hint="eastAsia" w:ascii="黑体" w:eastAsia="黑体"/>
      <w:kern w:val="2"/>
      <w:sz w:val="28"/>
      <w:lang w:val="en-US" w:eastAsia="zh-CN"/>
    </w:rPr>
  </w:style>
  <w:style w:type="character" w:customStyle="1" w:styleId="1462">
    <w:name w:val="正文OK Char"/>
    <w:uiPriority w:val="0"/>
    <w:rPr>
      <w:rFonts w:hint="eastAsia" w:ascii="宋体" w:hAnsi="宋体" w:eastAsia="宋体"/>
      <w:sz w:val="24"/>
      <w:lang w:val="en-US" w:eastAsia="zh-CN"/>
    </w:rPr>
  </w:style>
  <w:style w:type="character" w:customStyle="1" w:styleId="1463">
    <w:name w:val="正文首行缩进 2 Char Char Char"/>
    <w:uiPriority w:val="0"/>
    <w:rPr>
      <w:rFonts w:eastAsia="宋体"/>
      <w:kern w:val="2"/>
      <w:sz w:val="21"/>
      <w:lang w:val="en-US" w:eastAsia="zh-CN"/>
    </w:rPr>
  </w:style>
  <w:style w:type="character" w:customStyle="1" w:styleId="1464">
    <w:name w:val="hei141"/>
    <w:uiPriority w:val="0"/>
    <w:rPr>
      <w:color w:val="000000"/>
      <w:sz w:val="21"/>
    </w:rPr>
  </w:style>
  <w:style w:type="character" w:customStyle="1" w:styleId="1465">
    <w:name w:val="ssssss Char"/>
    <w:uiPriority w:val="0"/>
    <w:rPr>
      <w:rFonts w:hint="eastAsia" w:ascii="宋体" w:hAnsi="宋体" w:eastAsia="宋体"/>
      <w:kern w:val="2"/>
      <w:sz w:val="24"/>
      <w:lang w:val="en-US" w:eastAsia="zh-CN"/>
    </w:rPr>
  </w:style>
  <w:style w:type="character" w:customStyle="1" w:styleId="1466">
    <w:name w:val="正2小四 Char Char Char Char Char"/>
    <w:uiPriority w:val="0"/>
    <w:rPr>
      <w:rFonts w:hint="eastAsia" w:ascii="宋体" w:hAnsi="宋体" w:eastAsia="宋体"/>
      <w:kern w:val="2"/>
      <w:sz w:val="24"/>
      <w:lang w:val="en-US" w:eastAsia="zh-CN"/>
    </w:rPr>
  </w:style>
  <w:style w:type="character" w:customStyle="1" w:styleId="1467">
    <w:name w:val="highlight1"/>
    <w:uiPriority w:val="0"/>
    <w:rPr>
      <w:sz w:val="21"/>
    </w:rPr>
  </w:style>
  <w:style w:type="character" w:customStyle="1" w:styleId="1468">
    <w:name w:val="表内5 Char Char"/>
    <w:uiPriority w:val="0"/>
    <w:rPr>
      <w:rFonts w:hint="eastAsia" w:ascii="宋体" w:hAnsi="宋体" w:eastAsia="宋体"/>
      <w:kern w:val="2"/>
      <w:sz w:val="21"/>
      <w:lang w:val="en-US" w:eastAsia="zh-CN"/>
    </w:rPr>
  </w:style>
  <w:style w:type="character" w:customStyle="1" w:styleId="1469">
    <w:name w:val="正文—左齐 Char"/>
    <w:uiPriority w:val="0"/>
    <w:rPr>
      <w:rFonts w:hint="eastAsia" w:ascii="宋体" w:hAnsi="宋体" w:eastAsia="宋体"/>
      <w:kern w:val="2"/>
      <w:sz w:val="24"/>
      <w:lang w:val="en-US" w:eastAsia="zh-CN"/>
    </w:rPr>
  </w:style>
  <w:style w:type="character" w:customStyle="1" w:styleId="1470">
    <w:name w:val="正2小四 Char Char"/>
    <w:link w:val="750"/>
    <w:uiPriority w:val="0"/>
    <w:rPr>
      <w:kern w:val="2"/>
      <w:sz w:val="24"/>
    </w:rPr>
  </w:style>
  <w:style w:type="character" w:customStyle="1" w:styleId="1471">
    <w:name w:val="表内5-左齐 Char Char Char Char Char Char Char Char Char Char Char Char Char"/>
    <w:uiPriority w:val="0"/>
    <w:rPr>
      <w:rFonts w:hint="eastAsia" w:ascii="宋体" w:hAnsi="宋体" w:eastAsia="宋体"/>
      <w:kern w:val="2"/>
      <w:sz w:val="21"/>
      <w:lang w:val="en-US" w:eastAsia="zh-CN"/>
    </w:rPr>
  </w:style>
  <w:style w:type="character" w:customStyle="1" w:styleId="1472">
    <w:name w:val="style11"/>
    <w:uiPriority w:val="0"/>
    <w:rPr>
      <w:sz w:val="18"/>
    </w:rPr>
  </w:style>
  <w:style w:type="paragraph" w:customStyle="1" w:styleId="1473">
    <w:name w:val="aff2"/>
    <w:basedOn w:val="1"/>
    <w:uiPriority w:val="0"/>
    <w:pPr>
      <w:widowControl/>
      <w:spacing w:before="100" w:beforeAutospacing="1" w:after="100" w:afterAutospacing="1"/>
      <w:jc w:val="left"/>
    </w:pPr>
    <w:rPr>
      <w:rFonts w:ascii="宋体" w:hAnsi="宋体"/>
      <w:kern w:val="0"/>
      <w:sz w:val="24"/>
      <w:szCs w:val="20"/>
    </w:rPr>
  </w:style>
  <w:style w:type="paragraph" w:customStyle="1" w:styleId="1474">
    <w:name w:val="正文—左齐"/>
    <w:basedOn w:val="1"/>
    <w:uiPriority w:val="0"/>
    <w:pPr>
      <w:adjustRightInd w:val="0"/>
      <w:snapToGrid w:val="0"/>
      <w:spacing w:beforeLines="50" w:line="360" w:lineRule="auto"/>
      <w:jc w:val="left"/>
    </w:pPr>
    <w:rPr>
      <w:rFonts w:hint="eastAsia" w:ascii="宋体" w:hAnsi="宋体"/>
      <w:sz w:val="24"/>
      <w:szCs w:val="20"/>
    </w:rPr>
  </w:style>
  <w:style w:type="paragraph" w:customStyle="1" w:styleId="1475">
    <w:name w:val="a9"/>
    <w:basedOn w:val="1"/>
    <w:uiPriority w:val="0"/>
    <w:pPr>
      <w:widowControl/>
      <w:spacing w:before="100" w:beforeAutospacing="1" w:after="100" w:afterAutospacing="1"/>
      <w:jc w:val="left"/>
    </w:pPr>
    <w:rPr>
      <w:rFonts w:ascii="宋体" w:hAnsi="宋体"/>
      <w:kern w:val="0"/>
      <w:sz w:val="24"/>
      <w:szCs w:val="20"/>
    </w:rPr>
  </w:style>
  <w:style w:type="paragraph" w:customStyle="1" w:styleId="1476">
    <w:name w:val="我要正文"/>
    <w:basedOn w:val="1"/>
    <w:uiPriority w:val="0"/>
    <w:pPr>
      <w:spacing w:line="360" w:lineRule="auto"/>
      <w:ind w:firstLine="480" w:firstLineChars="200"/>
    </w:pPr>
    <w:rPr>
      <w:rFonts w:hint="eastAsia" w:ascii="宋体" w:hAnsi="宋体"/>
      <w:sz w:val="24"/>
      <w:szCs w:val="20"/>
    </w:rPr>
  </w:style>
  <w:style w:type="paragraph" w:customStyle="1" w:styleId="1477">
    <w:name w:val="样式 标题 3 + 段前: 1 行"/>
    <w:basedOn w:val="5"/>
    <w:uiPriority w:val="0"/>
    <w:pPr>
      <w:keepNext w:val="0"/>
      <w:keepLines/>
      <w:tabs>
        <w:tab w:val="left" w:pos="1260"/>
        <w:tab w:val="left" w:pos="2160"/>
        <w:tab w:val="clear" w:pos="360"/>
      </w:tabs>
      <w:autoSpaceDE w:val="0"/>
      <w:autoSpaceDN w:val="0"/>
      <w:adjustRightInd/>
      <w:snapToGrid/>
      <w:spacing w:beforeLines="100"/>
      <w:ind w:left="1260" w:hanging="420" w:firstLineChars="0"/>
    </w:pPr>
    <w:rPr>
      <w:rFonts w:ascii="Times New Roman" w:hAnsi="Times New Roman" w:eastAsia="楷体_GB2312"/>
      <w:b/>
      <w:bCs w:val="0"/>
      <w:sz w:val="32"/>
      <w:szCs w:val="20"/>
    </w:rPr>
  </w:style>
  <w:style w:type="paragraph" w:customStyle="1" w:styleId="1478">
    <w:name w:val="1章(治)"/>
    <w:basedOn w:val="1"/>
    <w:next w:val="1"/>
    <w:uiPriority w:val="0"/>
    <w:pPr>
      <w:spacing w:line="360" w:lineRule="auto"/>
      <w:jc w:val="center"/>
      <w:outlineLvl w:val="0"/>
    </w:pPr>
    <w:rPr>
      <w:rFonts w:eastAsia="黑体"/>
      <w:b/>
      <w:sz w:val="44"/>
      <w:szCs w:val="20"/>
    </w:rPr>
  </w:style>
  <w:style w:type="paragraph" w:customStyle="1" w:styleId="1479">
    <w:name w:val="afa"/>
    <w:basedOn w:val="1"/>
    <w:uiPriority w:val="0"/>
    <w:pPr>
      <w:widowControl/>
      <w:spacing w:before="100" w:beforeAutospacing="1" w:after="100" w:afterAutospacing="1"/>
      <w:jc w:val="left"/>
    </w:pPr>
    <w:rPr>
      <w:rFonts w:ascii="宋体" w:hAnsi="宋体"/>
      <w:kern w:val="0"/>
      <w:sz w:val="24"/>
      <w:szCs w:val="20"/>
    </w:rPr>
  </w:style>
  <w:style w:type="paragraph" w:customStyle="1" w:styleId="1480">
    <w:name w:val="ab"/>
    <w:basedOn w:val="1"/>
    <w:uiPriority w:val="0"/>
    <w:pPr>
      <w:widowControl/>
      <w:spacing w:before="100" w:beforeAutospacing="1" w:after="100" w:afterAutospacing="1"/>
      <w:jc w:val="left"/>
    </w:pPr>
    <w:rPr>
      <w:rFonts w:ascii="宋体" w:hAnsi="宋体"/>
      <w:kern w:val="0"/>
      <w:sz w:val="24"/>
      <w:szCs w:val="20"/>
    </w:rPr>
  </w:style>
  <w:style w:type="paragraph" w:customStyle="1" w:styleId="1481">
    <w:name w:val="afff8"/>
    <w:basedOn w:val="1"/>
    <w:uiPriority w:val="0"/>
    <w:pPr>
      <w:widowControl/>
      <w:spacing w:before="100" w:beforeAutospacing="1" w:after="100" w:afterAutospacing="1"/>
      <w:jc w:val="left"/>
    </w:pPr>
    <w:rPr>
      <w:rFonts w:ascii="宋体" w:hAnsi="宋体"/>
      <w:kern w:val="0"/>
      <w:sz w:val="24"/>
      <w:szCs w:val="20"/>
    </w:rPr>
  </w:style>
  <w:style w:type="paragraph" w:customStyle="1" w:styleId="1482">
    <w:name w:val="a2"/>
    <w:basedOn w:val="1"/>
    <w:uiPriority w:val="0"/>
    <w:pPr>
      <w:spacing w:beforeLines="50" w:line="460" w:lineRule="exact"/>
      <w:ind w:firstLine="360" w:firstLineChars="150"/>
      <w:jc w:val="left"/>
      <w:outlineLvl w:val="1"/>
    </w:pPr>
    <w:rPr>
      <w:rFonts w:ascii="宋体" w:hAnsi="宋体"/>
      <w:sz w:val="24"/>
      <w:szCs w:val="20"/>
    </w:rPr>
  </w:style>
  <w:style w:type="paragraph" w:customStyle="1" w:styleId="1483">
    <w:name w:val="1标题2级"/>
    <w:basedOn w:val="1"/>
    <w:uiPriority w:val="0"/>
    <w:pPr>
      <w:keepNext/>
      <w:snapToGrid w:val="0"/>
      <w:spacing w:line="360" w:lineRule="auto"/>
      <w:outlineLvl w:val="1"/>
    </w:pPr>
    <w:rPr>
      <w:rFonts w:eastAsia="黑体"/>
      <w:b/>
      <w:sz w:val="30"/>
      <w:szCs w:val="20"/>
    </w:rPr>
  </w:style>
  <w:style w:type="paragraph" w:customStyle="1" w:styleId="1484">
    <w:name w:val="样式 宋体 四号 首行缩进:  1 厘米 行距: 多倍行距 1.25 字行"/>
    <w:basedOn w:val="1"/>
    <w:uiPriority w:val="0"/>
    <w:pPr>
      <w:spacing w:line="300" w:lineRule="auto"/>
      <w:ind w:firstLine="567"/>
    </w:pPr>
    <w:rPr>
      <w:rFonts w:ascii="宋体"/>
      <w:spacing w:val="6"/>
      <w:kern w:val="0"/>
      <w:sz w:val="24"/>
      <w:szCs w:val="20"/>
    </w:rPr>
  </w:style>
  <w:style w:type="paragraph" w:customStyle="1" w:styleId="1485">
    <w:name w:val="Title.1"/>
    <w:uiPriority w:val="0"/>
    <w:pPr>
      <w:keepNext/>
      <w:keepLines/>
      <w:adjustRightInd w:val="0"/>
      <w:snapToGrid w:val="0"/>
      <w:spacing w:beforeLines="100" w:afterLines="100"/>
      <w:jc w:val="center"/>
      <w:outlineLvl w:val="0"/>
    </w:pPr>
    <w:rPr>
      <w:rFonts w:ascii="Times New Roman" w:hAnsi="Times New Roman" w:eastAsia="黑体" w:cs="Times New Roman"/>
      <w:sz w:val="30"/>
      <w:lang w:val="en-US" w:eastAsia="zh-CN" w:bidi="ar-SA"/>
    </w:rPr>
  </w:style>
  <w:style w:type="paragraph" w:customStyle="1" w:styleId="1486">
    <w:name w:val="1.1.1.1ssss"/>
    <w:basedOn w:val="1487"/>
    <w:next w:val="1448"/>
    <w:uiPriority w:val="0"/>
    <w:pPr>
      <w:outlineLvl w:val="3"/>
    </w:pPr>
    <w:rPr>
      <w:kern w:val="2"/>
    </w:rPr>
  </w:style>
  <w:style w:type="paragraph" w:customStyle="1" w:styleId="1487">
    <w:name w:val="1.1.1sssss"/>
    <w:basedOn w:val="1488"/>
    <w:next w:val="1"/>
    <w:uiPriority w:val="0"/>
    <w:pPr>
      <w:snapToGrid w:val="0"/>
      <w:spacing w:line="460" w:lineRule="exact"/>
      <w:outlineLvl w:val="2"/>
    </w:pPr>
    <w:rPr>
      <w:rFonts w:hAnsi="宋体"/>
      <w:kern w:val="24"/>
      <w:sz w:val="24"/>
    </w:rPr>
  </w:style>
  <w:style w:type="paragraph" w:customStyle="1" w:styleId="1488">
    <w:name w:val="1.2.sssss"/>
    <w:basedOn w:val="1"/>
    <w:uiPriority w:val="0"/>
    <w:pPr>
      <w:adjustRightInd w:val="0"/>
      <w:spacing w:line="315" w:lineRule="atLeast"/>
      <w:jc w:val="left"/>
    </w:pPr>
    <w:rPr>
      <w:rFonts w:hint="eastAsia" w:ascii="黑体" w:eastAsia="黑体"/>
      <w:sz w:val="28"/>
      <w:szCs w:val="20"/>
    </w:rPr>
  </w:style>
  <w:style w:type="paragraph" w:customStyle="1" w:styleId="1489">
    <w:name w:val="表字"/>
    <w:link w:val="2640"/>
    <w:qFormat/>
    <w:uiPriority w:val="0"/>
    <w:rPr>
      <w:rFonts w:ascii="Times New Roman" w:hAnsi="Times New Roman" w:eastAsia="楷体_GB2312" w:cs="Times New Roman"/>
      <w:kern w:val="2"/>
      <w:sz w:val="24"/>
      <w:lang w:val="en-US" w:eastAsia="zh-CN" w:bidi="ar-SA"/>
    </w:rPr>
  </w:style>
  <w:style w:type="paragraph" w:customStyle="1" w:styleId="1490">
    <w:name w:val="图表—居中"/>
    <w:basedOn w:val="1"/>
    <w:uiPriority w:val="0"/>
    <w:pPr>
      <w:adjustRightInd w:val="0"/>
      <w:snapToGrid w:val="0"/>
      <w:spacing w:beforeLines="50" w:line="360" w:lineRule="auto"/>
      <w:ind w:firstLine="480" w:firstLineChars="200"/>
      <w:jc w:val="center"/>
    </w:pPr>
    <w:rPr>
      <w:kern w:val="0"/>
      <w:sz w:val="24"/>
      <w:szCs w:val="20"/>
    </w:rPr>
  </w:style>
  <w:style w:type="paragraph" w:customStyle="1" w:styleId="1491">
    <w:name w:val="a7"/>
    <w:basedOn w:val="1"/>
    <w:uiPriority w:val="0"/>
    <w:pPr>
      <w:widowControl/>
      <w:spacing w:before="100" w:beforeAutospacing="1" w:after="100" w:afterAutospacing="1"/>
      <w:jc w:val="left"/>
    </w:pPr>
    <w:rPr>
      <w:rFonts w:ascii="宋体" w:hAnsi="宋体"/>
      <w:kern w:val="0"/>
      <w:sz w:val="24"/>
      <w:szCs w:val="20"/>
    </w:rPr>
  </w:style>
  <w:style w:type="paragraph" w:customStyle="1" w:styleId="1492">
    <w:name w:val="Title.4"/>
    <w:next w:val="1"/>
    <w:uiPriority w:val="0"/>
    <w:pPr>
      <w:keepNext/>
      <w:keepLines/>
      <w:spacing w:beforeLines="50" w:line="360" w:lineRule="auto"/>
      <w:outlineLvl w:val="3"/>
    </w:pPr>
    <w:rPr>
      <w:rFonts w:ascii="Times New Roman" w:hAnsi="Times New Roman" w:eastAsia="仿宋_GB2312" w:cs="Times New Roman"/>
      <w:sz w:val="28"/>
      <w:lang w:val="en-US" w:eastAsia="zh-CN" w:bidi="ar-SA"/>
    </w:rPr>
  </w:style>
  <w:style w:type="paragraph" w:customStyle="1" w:styleId="1493">
    <w:name w:val="图表—注解"/>
    <w:basedOn w:val="1"/>
    <w:uiPriority w:val="0"/>
    <w:pPr>
      <w:snapToGrid w:val="0"/>
      <w:spacing w:beforeLines="20" w:line="280" w:lineRule="exact"/>
      <w:ind w:firstLine="525" w:firstLineChars="250"/>
      <w:jc w:val="left"/>
    </w:pPr>
    <w:rPr>
      <w:kern w:val="0"/>
      <w:sz w:val="18"/>
      <w:szCs w:val="20"/>
    </w:rPr>
  </w:style>
  <w:style w:type="paragraph" w:customStyle="1" w:styleId="1494">
    <w:name w:val="1 Char Char Char Char"/>
    <w:basedOn w:val="1"/>
    <w:uiPriority w:val="0"/>
    <w:pPr>
      <w:widowControl/>
      <w:snapToGrid w:val="0"/>
      <w:spacing w:after="160" w:line="240" w:lineRule="exact"/>
      <w:jc w:val="left"/>
    </w:pPr>
    <w:rPr>
      <w:rFonts w:eastAsia="仿宋_GB2312"/>
      <w:kern w:val="0"/>
      <w:sz w:val="28"/>
      <w:szCs w:val="20"/>
      <w:lang w:eastAsia="en-US"/>
    </w:rPr>
  </w:style>
  <w:style w:type="paragraph" w:customStyle="1" w:styleId="1495">
    <w:name w:val="Title.3"/>
    <w:next w:val="1"/>
    <w:uiPriority w:val="0"/>
    <w:pPr>
      <w:keepNext/>
      <w:keepLines/>
      <w:spacing w:beforeLines="50" w:line="360" w:lineRule="auto"/>
      <w:outlineLvl w:val="2"/>
    </w:pPr>
    <w:rPr>
      <w:rFonts w:ascii="Times New Roman" w:hAnsi="Times New Roman" w:eastAsia="仿宋_GB2312" w:cs="Times New Roman"/>
      <w:sz w:val="28"/>
      <w:lang w:val="en-US" w:eastAsia="zh-CN" w:bidi="ar-SA"/>
    </w:rPr>
  </w:style>
  <w:style w:type="paragraph" w:customStyle="1" w:styleId="1496">
    <w:name w:val="表内小四中"/>
    <w:uiPriority w:val="0"/>
    <w:pPr>
      <w:adjustRightInd w:val="0"/>
      <w:ind w:left="-50"/>
      <w:jc w:val="center"/>
    </w:pPr>
    <w:rPr>
      <w:rFonts w:ascii="Times New Roman" w:hAnsi="Times New Roman" w:eastAsia="宋体" w:cs="Times New Roman"/>
      <w:sz w:val="24"/>
      <w:lang w:val="en-US" w:eastAsia="zh-CN" w:bidi="ar-SA"/>
    </w:rPr>
  </w:style>
  <w:style w:type="paragraph" w:customStyle="1" w:styleId="1497">
    <w:name w:val="封—单位名称"/>
    <w:basedOn w:val="1"/>
    <w:uiPriority w:val="0"/>
    <w:pPr>
      <w:adjustRightInd w:val="0"/>
      <w:snapToGrid w:val="0"/>
      <w:spacing w:beforeLines="50" w:line="360" w:lineRule="auto"/>
      <w:ind w:firstLine="480" w:firstLineChars="200"/>
      <w:jc w:val="center"/>
    </w:pPr>
    <w:rPr>
      <w:kern w:val="0"/>
      <w:sz w:val="32"/>
      <w:szCs w:val="20"/>
    </w:rPr>
  </w:style>
  <w:style w:type="paragraph" w:customStyle="1" w:styleId="1498">
    <w:name w:val="af9"/>
    <w:basedOn w:val="1"/>
    <w:uiPriority w:val="0"/>
    <w:pPr>
      <w:widowControl/>
      <w:spacing w:before="100" w:beforeAutospacing="1" w:after="100" w:afterAutospacing="1"/>
      <w:jc w:val="left"/>
    </w:pPr>
    <w:rPr>
      <w:rFonts w:ascii="宋体" w:hAnsi="宋体"/>
      <w:kern w:val="0"/>
      <w:sz w:val="24"/>
      <w:szCs w:val="20"/>
    </w:rPr>
  </w:style>
  <w:style w:type="paragraph" w:customStyle="1" w:styleId="1499">
    <w:name w:val="表—名称"/>
    <w:basedOn w:val="1"/>
    <w:uiPriority w:val="0"/>
    <w:pPr>
      <w:adjustRightInd w:val="0"/>
      <w:snapToGrid w:val="0"/>
      <w:jc w:val="center"/>
    </w:pPr>
    <w:rPr>
      <w:kern w:val="0"/>
      <w:sz w:val="24"/>
      <w:szCs w:val="20"/>
    </w:rPr>
  </w:style>
  <w:style w:type="paragraph" w:customStyle="1" w:styleId="1500">
    <w:name w:val="图表—左齐"/>
    <w:basedOn w:val="1"/>
    <w:uiPriority w:val="0"/>
    <w:pPr>
      <w:snapToGrid w:val="0"/>
      <w:spacing w:beforeLines="50" w:afterLines="50" w:line="360" w:lineRule="auto"/>
      <w:jc w:val="center"/>
    </w:pPr>
    <w:rPr>
      <w:rFonts w:ascii="宋体" w:hAnsi="宋体"/>
      <w:kern w:val="0"/>
      <w:szCs w:val="20"/>
    </w:rPr>
  </w:style>
  <w:style w:type="paragraph" w:customStyle="1" w:styleId="1501">
    <w:name w:val="1说明"/>
    <w:basedOn w:val="1"/>
    <w:uiPriority w:val="0"/>
    <w:pPr>
      <w:snapToGrid w:val="0"/>
      <w:spacing w:line="360" w:lineRule="auto"/>
      <w:ind w:firstLine="454"/>
      <w:outlineLvl w:val="4"/>
    </w:pPr>
    <w:rPr>
      <w:spacing w:val="4"/>
      <w:szCs w:val="20"/>
    </w:rPr>
  </w:style>
  <w:style w:type="paragraph" w:customStyle="1" w:styleId="1502">
    <w:name w:val="afff6"/>
    <w:basedOn w:val="1"/>
    <w:uiPriority w:val="0"/>
    <w:pPr>
      <w:widowControl/>
      <w:spacing w:before="100" w:beforeAutospacing="1" w:after="100" w:afterAutospacing="1"/>
      <w:jc w:val="left"/>
    </w:pPr>
    <w:rPr>
      <w:rFonts w:ascii="宋体" w:hAnsi="宋体"/>
      <w:kern w:val="0"/>
      <w:sz w:val="24"/>
      <w:szCs w:val="20"/>
    </w:rPr>
  </w:style>
  <w:style w:type="paragraph" w:customStyle="1" w:styleId="1503">
    <w:name w:val="1标题3级"/>
    <w:basedOn w:val="1"/>
    <w:uiPriority w:val="0"/>
    <w:pPr>
      <w:keepNext/>
      <w:snapToGrid w:val="0"/>
      <w:spacing w:line="360" w:lineRule="auto"/>
      <w:outlineLvl w:val="2"/>
    </w:pPr>
    <w:rPr>
      <w:rFonts w:eastAsia="黑体"/>
      <w:b/>
      <w:sz w:val="28"/>
      <w:szCs w:val="20"/>
    </w:rPr>
  </w:style>
  <w:style w:type="paragraph" w:customStyle="1" w:styleId="1504">
    <w:name w:val="1标题4级"/>
    <w:basedOn w:val="1"/>
    <w:uiPriority w:val="0"/>
    <w:pPr>
      <w:keepNext/>
      <w:snapToGrid w:val="0"/>
      <w:spacing w:line="420" w:lineRule="auto"/>
      <w:outlineLvl w:val="2"/>
    </w:pPr>
    <w:rPr>
      <w:rFonts w:eastAsia="黑体"/>
      <w:b/>
      <w:sz w:val="28"/>
      <w:szCs w:val="20"/>
    </w:rPr>
  </w:style>
  <w:style w:type="paragraph" w:customStyle="1" w:styleId="1505">
    <w:name w:val="zhang正文"/>
    <w:basedOn w:val="35"/>
    <w:link w:val="2539"/>
    <w:uiPriority w:val="0"/>
    <w:pPr>
      <w:autoSpaceDE w:val="0"/>
      <w:autoSpaceDN w:val="0"/>
      <w:adjustRightInd w:val="0"/>
      <w:snapToGrid w:val="0"/>
      <w:spacing w:line="360" w:lineRule="auto"/>
      <w:ind w:firstLine="539"/>
    </w:pPr>
    <w:rPr>
      <w:rFonts w:eastAsia="楷体_GB2312"/>
      <w:kern w:val="0"/>
      <w:sz w:val="28"/>
      <w:szCs w:val="20"/>
    </w:rPr>
  </w:style>
  <w:style w:type="paragraph" w:customStyle="1" w:styleId="1506">
    <w:name w:val="样式 封—单位名称 + 首行缩进:  2 字符"/>
    <w:basedOn w:val="1497"/>
    <w:uiPriority w:val="0"/>
    <w:pPr>
      <w:ind w:firstLine="0" w:firstLineChars="0"/>
    </w:pPr>
    <w:rPr>
      <w:rFonts w:ascii="楷体_GB2312" w:hAnsi="华文仿宋" w:eastAsia="楷体_GB2312"/>
      <w:b/>
      <w:sz w:val="48"/>
    </w:rPr>
  </w:style>
  <w:style w:type="paragraph" w:customStyle="1" w:styleId="1507">
    <w:name w:val="az"/>
    <w:basedOn w:val="1"/>
    <w:uiPriority w:val="0"/>
    <w:pPr>
      <w:spacing w:line="360" w:lineRule="auto"/>
      <w:ind w:firstLine="480" w:firstLineChars="200"/>
    </w:pPr>
    <w:rPr>
      <w:color w:val="FF0000"/>
      <w:sz w:val="24"/>
      <w:szCs w:val="20"/>
    </w:rPr>
  </w:style>
  <w:style w:type="paragraph" w:customStyle="1" w:styleId="1508">
    <w:name w:val="Char Char Char2 Char Char Char Char Char Char Char Char Char Char"/>
    <w:basedOn w:val="1"/>
    <w:uiPriority w:val="0"/>
    <w:pPr>
      <w:spacing w:line="360" w:lineRule="auto"/>
      <w:ind w:firstLine="200" w:firstLineChars="200"/>
    </w:pPr>
    <w:rPr>
      <w:rFonts w:ascii="宋体" w:hAnsi="宋体"/>
      <w:sz w:val="24"/>
      <w:szCs w:val="20"/>
    </w:rPr>
  </w:style>
  <w:style w:type="paragraph" w:customStyle="1" w:styleId="1509">
    <w:name w:val="afb"/>
    <w:basedOn w:val="1"/>
    <w:uiPriority w:val="0"/>
    <w:pPr>
      <w:widowControl/>
      <w:spacing w:before="100" w:beforeAutospacing="1" w:after="100" w:afterAutospacing="1"/>
      <w:jc w:val="left"/>
    </w:pPr>
    <w:rPr>
      <w:rFonts w:ascii="宋体" w:hAnsi="宋体"/>
      <w:kern w:val="0"/>
      <w:sz w:val="24"/>
      <w:szCs w:val="20"/>
    </w:rPr>
  </w:style>
  <w:style w:type="paragraph" w:customStyle="1" w:styleId="1510">
    <w:name w:val="4标题(治)"/>
    <w:basedOn w:val="1"/>
    <w:next w:val="1"/>
    <w:link w:val="1804"/>
    <w:qFormat/>
    <w:uiPriority w:val="0"/>
    <w:pPr>
      <w:adjustRightInd w:val="0"/>
      <w:snapToGrid w:val="0"/>
      <w:spacing w:line="360" w:lineRule="auto"/>
      <w:outlineLvl w:val="3"/>
    </w:pPr>
    <w:rPr>
      <w:rFonts w:eastAsia="黑体"/>
      <w:kern w:val="0"/>
      <w:sz w:val="24"/>
      <w:szCs w:val="20"/>
    </w:rPr>
  </w:style>
  <w:style w:type="paragraph" w:customStyle="1" w:styleId="1511">
    <w:name w:val="图表—缩进"/>
    <w:basedOn w:val="1500"/>
    <w:uiPriority w:val="0"/>
    <w:pPr>
      <w:ind w:firstLine="360" w:firstLineChars="200"/>
      <w:jc w:val="left"/>
    </w:pPr>
    <w:rPr>
      <w:sz w:val="18"/>
    </w:rPr>
  </w:style>
  <w:style w:type="paragraph" w:customStyle="1" w:styleId="1512">
    <w:name w:val="T表格"/>
    <w:uiPriority w:val="0"/>
    <w:pPr>
      <w:jc w:val="center"/>
    </w:pPr>
    <w:rPr>
      <w:rFonts w:ascii="Times New Roman" w:hAnsi="Times New Roman" w:eastAsia="宋体" w:cs="Times New Roman"/>
      <w:sz w:val="21"/>
      <w:lang w:val="en-US" w:eastAsia="zh-CN" w:bidi="ar-SA"/>
    </w:rPr>
  </w:style>
  <w:style w:type="paragraph" w:customStyle="1" w:styleId="1513">
    <w:name w:val="0式样"/>
    <w:basedOn w:val="1"/>
    <w:uiPriority w:val="0"/>
    <w:pPr>
      <w:spacing w:beforeLines="50" w:line="360" w:lineRule="auto"/>
      <w:jc w:val="left"/>
    </w:pPr>
    <w:rPr>
      <w:kern w:val="0"/>
      <w:sz w:val="24"/>
      <w:szCs w:val="20"/>
    </w:rPr>
  </w:style>
  <w:style w:type="paragraph" w:customStyle="1" w:styleId="1514">
    <w:name w:val="aff6"/>
    <w:basedOn w:val="1"/>
    <w:uiPriority w:val="0"/>
    <w:pPr>
      <w:widowControl/>
      <w:spacing w:before="100" w:beforeAutospacing="1" w:after="100" w:afterAutospacing="1"/>
      <w:jc w:val="left"/>
    </w:pPr>
    <w:rPr>
      <w:rFonts w:ascii="宋体" w:hAnsi="宋体"/>
      <w:kern w:val="0"/>
      <w:sz w:val="24"/>
      <w:szCs w:val="20"/>
    </w:rPr>
  </w:style>
  <w:style w:type="paragraph" w:customStyle="1" w:styleId="1515">
    <w:name w:val="样式 标题 1 + 自动设置"/>
    <w:basedOn w:val="3"/>
    <w:uiPriority w:val="0"/>
    <w:pPr>
      <w:keepLines/>
      <w:tabs>
        <w:tab w:val="left" w:pos="700"/>
        <w:tab w:val="left" w:pos="885"/>
        <w:tab w:val="clear" w:pos="360"/>
      </w:tabs>
      <w:autoSpaceDE w:val="0"/>
      <w:autoSpaceDN w:val="0"/>
      <w:adjustRightInd w:val="0"/>
      <w:spacing w:before="120" w:after="60"/>
      <w:ind w:left="885" w:hanging="405" w:firstLineChars="0"/>
      <w:jc w:val="left"/>
    </w:pPr>
    <w:rPr>
      <w:rFonts w:eastAsia="宋体"/>
      <w:b/>
      <w:kern w:val="44"/>
      <w:sz w:val="28"/>
      <w:szCs w:val="20"/>
    </w:rPr>
  </w:style>
  <w:style w:type="paragraph" w:customStyle="1" w:styleId="1516">
    <w:name w:val="af2"/>
    <w:basedOn w:val="1"/>
    <w:uiPriority w:val="0"/>
    <w:pPr>
      <w:widowControl/>
      <w:spacing w:before="100" w:beforeAutospacing="1" w:after="100" w:afterAutospacing="1"/>
      <w:jc w:val="left"/>
    </w:pPr>
    <w:rPr>
      <w:rFonts w:ascii="宋体" w:hAnsi="宋体"/>
      <w:kern w:val="0"/>
      <w:sz w:val="24"/>
      <w:szCs w:val="20"/>
    </w:rPr>
  </w:style>
  <w:style w:type="paragraph" w:customStyle="1" w:styleId="1517">
    <w:name w:val="1.ssss"/>
    <w:basedOn w:val="1"/>
    <w:next w:val="1488"/>
    <w:uiPriority w:val="0"/>
    <w:pPr>
      <w:tabs>
        <w:tab w:val="left" w:pos="0"/>
        <w:tab w:val="left" w:pos="360"/>
        <w:tab w:val="left" w:pos="1140"/>
      </w:tabs>
      <w:adjustRightInd w:val="0"/>
      <w:snapToGrid w:val="0"/>
      <w:spacing w:beforeLines="200" w:line="480" w:lineRule="auto"/>
      <w:jc w:val="left"/>
      <w:outlineLvl w:val="0"/>
    </w:pPr>
    <w:rPr>
      <w:rFonts w:eastAsia="黑体"/>
      <w:sz w:val="32"/>
      <w:szCs w:val="20"/>
    </w:rPr>
  </w:style>
  <w:style w:type="paragraph" w:customStyle="1" w:styleId="1518">
    <w:name w:val="aff0"/>
    <w:basedOn w:val="1"/>
    <w:uiPriority w:val="0"/>
    <w:pPr>
      <w:widowControl/>
      <w:spacing w:before="100" w:beforeAutospacing="1" w:after="100" w:afterAutospacing="1"/>
      <w:jc w:val="left"/>
    </w:pPr>
    <w:rPr>
      <w:rFonts w:ascii="宋体" w:hAnsi="宋体"/>
      <w:kern w:val="0"/>
      <w:sz w:val="24"/>
      <w:szCs w:val="20"/>
    </w:rPr>
  </w:style>
  <w:style w:type="character" w:customStyle="1" w:styleId="1519">
    <w:name w:val="注释标题 Char"/>
    <w:uiPriority w:val="0"/>
    <w:rPr>
      <w:rFonts w:eastAsia="宋体"/>
      <w:kern w:val="21"/>
      <w:sz w:val="28"/>
    </w:rPr>
  </w:style>
  <w:style w:type="paragraph" w:customStyle="1" w:styleId="1520">
    <w:name w:val="af7"/>
    <w:basedOn w:val="1"/>
    <w:uiPriority w:val="0"/>
    <w:pPr>
      <w:widowControl/>
      <w:spacing w:before="100" w:beforeAutospacing="1" w:after="100" w:afterAutospacing="1"/>
      <w:jc w:val="left"/>
    </w:pPr>
    <w:rPr>
      <w:rFonts w:ascii="宋体" w:hAnsi="宋体"/>
      <w:kern w:val="0"/>
      <w:sz w:val="24"/>
      <w:szCs w:val="20"/>
    </w:rPr>
  </w:style>
  <w:style w:type="paragraph" w:customStyle="1" w:styleId="1521">
    <w:name w:val="样式 标题 4常用标题 4 + 段前: 6 磅 段后: 6 磅 行距: 固定值 26 磅"/>
    <w:basedOn w:val="6"/>
    <w:uiPriority w:val="0"/>
    <w:pPr>
      <w:tabs>
        <w:tab w:val="clear" w:pos="360"/>
      </w:tabs>
      <w:spacing w:before="120" w:after="120"/>
      <w:ind w:left="0" w:firstLine="0" w:firstLineChars="0"/>
      <w:jc w:val="both"/>
    </w:pPr>
    <w:rPr>
      <w:rFonts w:hAnsi="Times New Roman" w:eastAsia="黑体"/>
      <w:bCs w:val="0"/>
      <w:sz w:val="28"/>
      <w:szCs w:val="20"/>
    </w:rPr>
  </w:style>
  <w:style w:type="paragraph" w:customStyle="1" w:styleId="1522">
    <w:name w:val="page"/>
    <w:basedOn w:val="1"/>
    <w:uiPriority w:val="0"/>
    <w:pPr>
      <w:widowControl/>
      <w:spacing w:before="100" w:beforeAutospacing="1" w:after="100" w:afterAutospacing="1" w:line="280" w:lineRule="atLeast"/>
      <w:ind w:firstLine="20"/>
      <w:jc w:val="left"/>
    </w:pPr>
    <w:rPr>
      <w:rFonts w:ascii="宋体" w:hAnsi="宋体"/>
      <w:spacing w:val="20"/>
      <w:kern w:val="0"/>
      <w:sz w:val="18"/>
      <w:szCs w:val="20"/>
    </w:rPr>
  </w:style>
  <w:style w:type="paragraph" w:customStyle="1" w:styleId="1523">
    <w:name w:val="a1"/>
    <w:basedOn w:val="1"/>
    <w:uiPriority w:val="0"/>
    <w:pPr>
      <w:spacing w:beforeLines="50" w:afterLines="50"/>
      <w:jc w:val="center"/>
      <w:outlineLvl w:val="0"/>
    </w:pPr>
    <w:rPr>
      <w:rFonts w:eastAsia="黑体"/>
      <w:sz w:val="36"/>
      <w:szCs w:val="20"/>
    </w:rPr>
  </w:style>
  <w:style w:type="paragraph" w:customStyle="1" w:styleId="1524">
    <w:name w:val="xzz"/>
    <w:basedOn w:val="1"/>
    <w:uiPriority w:val="0"/>
    <w:pPr>
      <w:ind w:firstLine="480" w:firstLineChars="200"/>
    </w:pPr>
    <w:rPr>
      <w:sz w:val="24"/>
      <w:szCs w:val="20"/>
    </w:rPr>
  </w:style>
  <w:style w:type="paragraph" w:customStyle="1" w:styleId="1525">
    <w:name w:val="封面—工程名称"/>
    <w:basedOn w:val="1"/>
    <w:uiPriority w:val="0"/>
    <w:pPr>
      <w:spacing w:beforeLines="50" w:line="360" w:lineRule="auto"/>
      <w:ind w:firstLine="200" w:firstLineChars="200"/>
      <w:jc w:val="center"/>
    </w:pPr>
    <w:rPr>
      <w:rFonts w:eastAsia="楷体_GB2312"/>
      <w:kern w:val="0"/>
      <w:sz w:val="32"/>
      <w:szCs w:val="20"/>
    </w:rPr>
  </w:style>
  <w:style w:type="paragraph" w:customStyle="1" w:styleId="1526">
    <w:name w:val="封面—报告书"/>
    <w:basedOn w:val="1"/>
    <w:uiPriority w:val="0"/>
    <w:pPr>
      <w:adjustRightInd w:val="0"/>
      <w:snapToGrid w:val="0"/>
      <w:spacing w:beforeLines="50" w:line="360" w:lineRule="auto"/>
      <w:jc w:val="center"/>
    </w:pPr>
    <w:rPr>
      <w:rFonts w:ascii="楷体_GB2312" w:eastAsia="楷体_GB2312"/>
      <w:b/>
      <w:kern w:val="0"/>
      <w:sz w:val="72"/>
      <w:szCs w:val="20"/>
    </w:rPr>
  </w:style>
  <w:style w:type="paragraph" w:customStyle="1" w:styleId="1527">
    <w:name w:val="1标题1级"/>
    <w:basedOn w:val="1"/>
    <w:uiPriority w:val="0"/>
    <w:pPr>
      <w:keepNext/>
      <w:snapToGrid w:val="0"/>
      <w:spacing w:line="360" w:lineRule="auto"/>
      <w:outlineLvl w:val="0"/>
    </w:pPr>
    <w:rPr>
      <w:rFonts w:eastAsia="黑体"/>
      <w:b/>
      <w:sz w:val="32"/>
      <w:szCs w:val="20"/>
    </w:rPr>
  </w:style>
  <w:style w:type="paragraph" w:customStyle="1" w:styleId="1528">
    <w:name w:val="aa"/>
    <w:basedOn w:val="1"/>
    <w:uiPriority w:val="0"/>
    <w:pPr>
      <w:widowControl/>
      <w:spacing w:before="100" w:beforeAutospacing="1" w:after="100" w:afterAutospacing="1"/>
      <w:jc w:val="left"/>
    </w:pPr>
    <w:rPr>
      <w:rFonts w:ascii="宋体" w:hAnsi="宋体"/>
      <w:kern w:val="0"/>
      <w:sz w:val="24"/>
      <w:szCs w:val="20"/>
    </w:rPr>
  </w:style>
  <w:style w:type="paragraph" w:customStyle="1" w:styleId="1529">
    <w:name w:val="正文12 Char"/>
    <w:basedOn w:val="21"/>
    <w:uiPriority w:val="0"/>
    <w:pPr>
      <w:spacing w:line="360" w:lineRule="auto"/>
      <w:ind w:firstLine="480" w:firstLineChars="200"/>
    </w:pPr>
    <w:rPr>
      <w:color w:val="000000"/>
      <w:sz w:val="24"/>
    </w:rPr>
  </w:style>
  <w:style w:type="paragraph" w:customStyle="1" w:styleId="1530">
    <w:name w:val="xz2"/>
    <w:basedOn w:val="1"/>
    <w:uiPriority w:val="0"/>
    <w:pPr>
      <w:spacing w:beforeLines="50"/>
      <w:jc w:val="left"/>
      <w:outlineLvl w:val="1"/>
    </w:pPr>
    <w:rPr>
      <w:rFonts w:ascii="楷体_GB2312" w:eastAsia="楷体_GB2312"/>
      <w:b/>
      <w:sz w:val="32"/>
      <w:szCs w:val="20"/>
    </w:rPr>
  </w:style>
  <w:style w:type="paragraph" w:customStyle="1" w:styleId="1531">
    <w:name w:val="封—项目名称"/>
    <w:basedOn w:val="1"/>
    <w:uiPriority w:val="0"/>
    <w:pPr>
      <w:adjustRightInd w:val="0"/>
      <w:snapToGrid w:val="0"/>
      <w:spacing w:beforeLines="50" w:line="360" w:lineRule="auto"/>
      <w:jc w:val="center"/>
    </w:pPr>
    <w:rPr>
      <w:rFonts w:eastAsia="楷体_GB2312"/>
      <w:kern w:val="0"/>
      <w:sz w:val="44"/>
      <w:szCs w:val="20"/>
    </w:rPr>
  </w:style>
  <w:style w:type="paragraph" w:customStyle="1" w:styleId="1532">
    <w:name w:val="样式 标题 3样式　标题 3　自动设置标题 3 Char章 + Times New 表题3"/>
    <w:basedOn w:val="5"/>
    <w:uiPriority w:val="0"/>
    <w:pPr>
      <w:keepLines/>
      <w:tabs>
        <w:tab w:val="left" w:pos="3800"/>
        <w:tab w:val="left" w:pos="5200"/>
        <w:tab w:val="clear" w:pos="360"/>
      </w:tabs>
      <w:autoSpaceDE w:val="0"/>
      <w:autoSpaceDN w:val="0"/>
      <w:snapToGrid/>
      <w:spacing w:before="120" w:after="120" w:line="240" w:lineRule="auto"/>
      <w:ind w:left="0" w:firstLine="0" w:firstLineChars="0"/>
    </w:pPr>
    <w:rPr>
      <w:rFonts w:ascii="Times New Roman" w:hAnsi="Times New Roman" w:eastAsia="黑体"/>
      <w:b/>
      <w:bCs w:val="0"/>
      <w:color w:val="000000"/>
      <w:sz w:val="28"/>
      <w:szCs w:val="20"/>
    </w:rPr>
  </w:style>
  <w:style w:type="paragraph" w:customStyle="1" w:styleId="1533">
    <w:name w:val="a表格"/>
    <w:basedOn w:val="1"/>
    <w:uiPriority w:val="0"/>
    <w:pPr>
      <w:snapToGrid w:val="0"/>
      <w:jc w:val="center"/>
    </w:pPr>
    <w:rPr>
      <w:szCs w:val="20"/>
    </w:rPr>
  </w:style>
  <w:style w:type="paragraph" w:customStyle="1" w:styleId="1534">
    <w:name w:val="a6"/>
    <w:basedOn w:val="1"/>
    <w:uiPriority w:val="0"/>
    <w:pPr>
      <w:widowControl/>
      <w:spacing w:before="100" w:beforeAutospacing="1" w:after="100" w:afterAutospacing="1"/>
      <w:jc w:val="left"/>
    </w:pPr>
    <w:rPr>
      <w:rFonts w:ascii="宋体" w:hAnsi="宋体"/>
      <w:kern w:val="0"/>
      <w:sz w:val="24"/>
      <w:szCs w:val="20"/>
    </w:rPr>
  </w:style>
  <w:style w:type="paragraph" w:customStyle="1" w:styleId="1535">
    <w:name w:val="TK"/>
    <w:basedOn w:val="1"/>
    <w:uiPriority w:val="0"/>
    <w:pPr>
      <w:adjustRightInd w:val="0"/>
      <w:spacing w:before="40" w:after="40"/>
      <w:jc w:val="center"/>
    </w:pPr>
    <w:rPr>
      <w:kern w:val="0"/>
      <w:szCs w:val="20"/>
    </w:rPr>
  </w:style>
  <w:style w:type="paragraph" w:customStyle="1" w:styleId="1536">
    <w:name w:val="发布部门"/>
    <w:next w:val="1"/>
    <w:uiPriority w:val="0"/>
    <w:pPr>
      <w:jc w:val="center"/>
    </w:pPr>
    <w:rPr>
      <w:rFonts w:ascii="宋体" w:hAnsi="Times New Roman" w:eastAsia="宋体" w:cs="Times New Roman"/>
      <w:b/>
      <w:spacing w:val="20"/>
      <w:w w:val="135"/>
      <w:sz w:val="36"/>
      <w:lang w:val="en-US" w:eastAsia="zh-CN" w:bidi="ar-SA"/>
    </w:rPr>
  </w:style>
  <w:style w:type="paragraph" w:customStyle="1" w:styleId="1537">
    <w:name w:val="a表头"/>
    <w:basedOn w:val="1"/>
    <w:link w:val="2697"/>
    <w:uiPriority w:val="0"/>
    <w:pPr>
      <w:jc w:val="center"/>
      <w:outlineLvl w:val="2"/>
    </w:pPr>
    <w:rPr>
      <w:rFonts w:eastAsia="楷体_GB2312"/>
      <w:b/>
      <w:sz w:val="24"/>
      <w:szCs w:val="20"/>
    </w:rPr>
  </w:style>
  <w:style w:type="paragraph" w:customStyle="1" w:styleId="1538">
    <w:name w:val="样式 标题2　自动设置"/>
    <w:basedOn w:val="4"/>
    <w:uiPriority w:val="0"/>
    <w:pPr>
      <w:tabs>
        <w:tab w:val="left" w:pos="1320"/>
        <w:tab w:val="clear" w:pos="360"/>
      </w:tabs>
      <w:spacing w:before="120" w:after="60" w:line="240" w:lineRule="auto"/>
      <w:ind w:left="1320" w:hanging="420" w:firstLineChars="0"/>
    </w:pPr>
    <w:rPr>
      <w:rFonts w:ascii="宋体" w:hAnsi="宋体" w:eastAsia="宋体"/>
      <w:bCs w:val="0"/>
      <w:kern w:val="0"/>
      <w:sz w:val="28"/>
      <w:szCs w:val="20"/>
    </w:rPr>
  </w:style>
  <w:style w:type="paragraph" w:customStyle="1" w:styleId="1539">
    <w:name w:val="xz1"/>
    <w:basedOn w:val="1"/>
    <w:uiPriority w:val="0"/>
    <w:pPr>
      <w:spacing w:beforeLines="50" w:afterLines="50"/>
      <w:jc w:val="center"/>
      <w:outlineLvl w:val="0"/>
    </w:pPr>
    <w:rPr>
      <w:rFonts w:eastAsia="黑体"/>
      <w:sz w:val="36"/>
      <w:szCs w:val="20"/>
    </w:rPr>
  </w:style>
  <w:style w:type="paragraph" w:customStyle="1" w:styleId="1540">
    <w:name w:val="3标题(治)"/>
    <w:basedOn w:val="5"/>
    <w:link w:val="1803"/>
    <w:uiPriority w:val="0"/>
    <w:pPr>
      <w:keepLines/>
      <w:tabs>
        <w:tab w:val="clear" w:pos="360"/>
      </w:tabs>
      <w:snapToGrid/>
      <w:ind w:left="0" w:firstLine="0" w:firstLineChars="0"/>
    </w:pPr>
    <w:rPr>
      <w:rFonts w:ascii="Times New Roman" w:hAnsi="Times New Roman" w:eastAsia="宋体"/>
      <w:bCs w:val="0"/>
      <w:kern w:val="0"/>
      <w:szCs w:val="20"/>
    </w:rPr>
  </w:style>
  <w:style w:type="paragraph" w:customStyle="1" w:styleId="1541">
    <w:name w:val="Title.2"/>
    <w:uiPriority w:val="0"/>
    <w:pPr>
      <w:keepNext/>
      <w:keepLines/>
      <w:spacing w:beforeLines="50"/>
      <w:outlineLvl w:val="1"/>
    </w:pPr>
    <w:rPr>
      <w:rFonts w:ascii="Times New Roman" w:hAnsi="Times New Roman" w:eastAsia="黑体" w:cs="Times New Roman"/>
      <w:sz w:val="28"/>
      <w:lang w:val="en-US" w:eastAsia="zh-CN" w:bidi="ar-SA"/>
    </w:rPr>
  </w:style>
  <w:style w:type="paragraph" w:customStyle="1" w:styleId="1542">
    <w:name w:val="我要标题四"/>
    <w:basedOn w:val="1"/>
    <w:uiPriority w:val="0"/>
    <w:pPr>
      <w:spacing w:line="360" w:lineRule="auto"/>
    </w:pPr>
    <w:rPr>
      <w:rFonts w:ascii="Arial" w:hAnsi="Arial"/>
      <w:sz w:val="24"/>
      <w:szCs w:val="20"/>
    </w:rPr>
  </w:style>
  <w:style w:type="paragraph" w:customStyle="1" w:styleId="1543">
    <w:name w:val="aff1"/>
    <w:basedOn w:val="1"/>
    <w:uiPriority w:val="0"/>
    <w:pPr>
      <w:widowControl/>
      <w:spacing w:before="100" w:beforeAutospacing="1" w:after="100" w:afterAutospacing="1"/>
      <w:jc w:val="left"/>
    </w:pPr>
    <w:rPr>
      <w:rFonts w:ascii="宋体" w:hAnsi="宋体"/>
      <w:kern w:val="0"/>
      <w:sz w:val="24"/>
      <w:szCs w:val="20"/>
    </w:rPr>
  </w:style>
  <w:style w:type="paragraph" w:customStyle="1" w:styleId="1544">
    <w:name w:val="afff4"/>
    <w:basedOn w:val="1"/>
    <w:uiPriority w:val="0"/>
    <w:pPr>
      <w:widowControl/>
      <w:spacing w:before="100" w:beforeAutospacing="1" w:after="100" w:afterAutospacing="1"/>
      <w:jc w:val="left"/>
    </w:pPr>
    <w:rPr>
      <w:rFonts w:ascii="宋体" w:hAnsi="宋体"/>
      <w:kern w:val="0"/>
      <w:sz w:val="24"/>
      <w:szCs w:val="20"/>
    </w:rPr>
  </w:style>
  <w:style w:type="paragraph" w:customStyle="1" w:styleId="1545">
    <w:name w:val="xz3"/>
    <w:basedOn w:val="1530"/>
    <w:uiPriority w:val="0"/>
    <w:pPr>
      <w:outlineLvl w:val="2"/>
    </w:pPr>
    <w:rPr>
      <w:sz w:val="30"/>
    </w:rPr>
  </w:style>
  <w:style w:type="paragraph" w:customStyle="1" w:styleId="1546">
    <w:name w:val="正文文字"/>
    <w:basedOn w:val="1"/>
    <w:uiPriority w:val="0"/>
    <w:pPr>
      <w:widowControl/>
      <w:adjustRightInd w:val="0"/>
      <w:snapToGrid w:val="0"/>
      <w:spacing w:afterLines="50" w:line="360" w:lineRule="auto"/>
      <w:ind w:firstLine="720"/>
    </w:pPr>
    <w:rPr>
      <w:rFonts w:ascii="宋体" w:hAnsi="宋体"/>
      <w:spacing w:val="-5"/>
      <w:kern w:val="0"/>
      <w:sz w:val="32"/>
      <w:szCs w:val="20"/>
    </w:rPr>
  </w:style>
  <w:style w:type="paragraph" w:customStyle="1" w:styleId="1547">
    <w:name w:val="T表头"/>
    <w:next w:val="1"/>
    <w:uiPriority w:val="0"/>
    <w:pPr>
      <w:keepNext/>
      <w:keepLines/>
      <w:spacing w:line="360" w:lineRule="auto"/>
      <w:jc w:val="center"/>
    </w:pPr>
    <w:rPr>
      <w:rFonts w:ascii="Times New Roman" w:hAnsi="Times New Roman" w:eastAsia="黑体" w:cs="Times New Roman"/>
      <w:sz w:val="28"/>
      <w:lang w:val="en-US" w:eastAsia="zh-CN" w:bidi="ar-SA"/>
    </w:rPr>
  </w:style>
  <w:style w:type="paragraph" w:customStyle="1" w:styleId="1548">
    <w:name w:val="af1"/>
    <w:basedOn w:val="1"/>
    <w:uiPriority w:val="0"/>
    <w:pPr>
      <w:widowControl/>
      <w:spacing w:before="100" w:beforeAutospacing="1" w:after="100" w:afterAutospacing="1"/>
      <w:jc w:val="left"/>
    </w:pPr>
    <w:rPr>
      <w:rFonts w:ascii="宋体" w:hAnsi="宋体"/>
      <w:kern w:val="0"/>
      <w:sz w:val="24"/>
      <w:szCs w:val="20"/>
    </w:rPr>
  </w:style>
  <w:style w:type="paragraph" w:customStyle="1" w:styleId="1549">
    <w:name w:val="正文（首行 Char Char Char"/>
    <w:basedOn w:val="1"/>
    <w:uiPriority w:val="0"/>
    <w:rPr>
      <w:szCs w:val="20"/>
    </w:rPr>
  </w:style>
  <w:style w:type="paragraph" w:customStyle="1" w:styleId="1550">
    <w:name w:val="1文章"/>
    <w:basedOn w:val="1"/>
    <w:uiPriority w:val="0"/>
    <w:pPr>
      <w:snapToGrid w:val="0"/>
      <w:spacing w:line="360" w:lineRule="auto"/>
      <w:ind w:firstLine="573"/>
      <w:outlineLvl w:val="4"/>
    </w:pPr>
    <w:rPr>
      <w:rFonts w:eastAsia="仿宋_GB2312"/>
      <w:sz w:val="28"/>
      <w:szCs w:val="20"/>
    </w:rPr>
  </w:style>
  <w:style w:type="paragraph" w:customStyle="1" w:styleId="1551">
    <w:name w:val="af8"/>
    <w:basedOn w:val="1"/>
    <w:uiPriority w:val="0"/>
    <w:pPr>
      <w:widowControl/>
      <w:spacing w:before="100" w:beforeAutospacing="1" w:after="100" w:afterAutospacing="1"/>
      <w:jc w:val="left"/>
    </w:pPr>
    <w:rPr>
      <w:rFonts w:ascii="宋体" w:hAnsi="宋体"/>
      <w:kern w:val="0"/>
      <w:sz w:val="24"/>
      <w:szCs w:val="20"/>
    </w:rPr>
  </w:style>
  <w:style w:type="paragraph" w:customStyle="1" w:styleId="1552">
    <w:name w:val="图片"/>
    <w:basedOn w:val="982"/>
    <w:next w:val="1"/>
    <w:uiPriority w:val="0"/>
    <w:pPr>
      <w:adjustRightInd/>
      <w:snapToGrid/>
    </w:pPr>
    <w:rPr>
      <w:rFonts w:ascii="Times New Roman" w:hAnsi="Times New Roman" w:eastAsia="黑体"/>
      <w:sz w:val="21"/>
    </w:rPr>
  </w:style>
  <w:style w:type="paragraph" w:customStyle="1" w:styleId="1553">
    <w:name w:val="affe"/>
    <w:basedOn w:val="1"/>
    <w:uiPriority w:val="0"/>
    <w:pPr>
      <w:widowControl/>
      <w:spacing w:before="100" w:beforeAutospacing="1" w:after="100" w:afterAutospacing="1"/>
      <w:jc w:val="left"/>
    </w:pPr>
    <w:rPr>
      <w:rFonts w:ascii="宋体" w:hAnsi="宋体"/>
      <w:kern w:val="0"/>
      <w:sz w:val="24"/>
      <w:szCs w:val="20"/>
    </w:rPr>
  </w:style>
  <w:style w:type="paragraph" w:customStyle="1" w:styleId="1554">
    <w:name w:val="2标题(治)"/>
    <w:basedOn w:val="4"/>
    <w:link w:val="1726"/>
    <w:uiPriority w:val="0"/>
    <w:pPr>
      <w:tabs>
        <w:tab w:val="clear" w:pos="360"/>
      </w:tabs>
      <w:spacing w:before="0" w:after="0" w:line="360" w:lineRule="auto"/>
      <w:ind w:left="0" w:firstLine="0" w:firstLineChars="0"/>
    </w:pPr>
    <w:rPr>
      <w:rFonts w:ascii="Times New Roman" w:hAnsi="Times New Roman"/>
      <w:bCs w:val="0"/>
      <w:color w:val="000000"/>
      <w:szCs w:val="20"/>
    </w:rPr>
  </w:style>
  <w:style w:type="character" w:customStyle="1" w:styleId="1555">
    <w:name w:val="强调2"/>
    <w:uiPriority w:val="0"/>
    <w:rPr>
      <w:color w:val="CC0033"/>
      <w:u w:val="single"/>
    </w:rPr>
  </w:style>
  <w:style w:type="paragraph" w:customStyle="1" w:styleId="1556">
    <w:name w:val="表内五"/>
    <w:basedOn w:val="1"/>
    <w:uiPriority w:val="0"/>
    <w:rPr>
      <w:rFonts w:ascii="宋体" w:hAnsi="宋体" w:cs="宋体"/>
      <w:spacing w:val="20"/>
      <w:sz w:val="24"/>
      <w:szCs w:val="20"/>
    </w:rPr>
  </w:style>
  <w:style w:type="paragraph" w:customStyle="1" w:styleId="1557">
    <w:name w:val="样式 标题 3条标题1.1.1Reh3level 2 subhead. (1.1.1)标题 3 Char Char ..."/>
    <w:basedOn w:val="5"/>
    <w:uiPriority w:val="0"/>
    <w:pPr>
      <w:keepLines/>
      <w:tabs>
        <w:tab w:val="clear" w:pos="360"/>
      </w:tabs>
      <w:ind w:left="0" w:firstLine="482"/>
    </w:pPr>
    <w:rPr>
      <w:rFonts w:eastAsia="宋体" w:cs="宋体"/>
      <w:b/>
      <w:sz w:val="28"/>
      <w:szCs w:val="20"/>
    </w:rPr>
  </w:style>
  <w:style w:type="paragraph" w:customStyle="1" w:styleId="1558">
    <w:name w:val="样式 样式 标题 3条标题1.1.1Reh3level 2 subhead. (1.1.1)标题 3 Char Char ......"/>
    <w:basedOn w:val="1557"/>
    <w:uiPriority w:val="0"/>
    <w:pPr>
      <w:ind w:left="100" w:leftChars="100" w:right="100" w:rightChars="100" w:firstLine="562"/>
    </w:pPr>
  </w:style>
  <w:style w:type="paragraph" w:customStyle="1" w:styleId="1559">
    <w:name w:val="1图名文字式样："/>
    <w:basedOn w:val="1"/>
    <w:link w:val="1560"/>
    <w:uiPriority w:val="0"/>
    <w:pPr>
      <w:adjustRightInd w:val="0"/>
      <w:snapToGrid w:val="0"/>
      <w:spacing w:line="360" w:lineRule="auto"/>
      <w:jc w:val="center"/>
    </w:pPr>
    <w:rPr>
      <w:rFonts w:ascii="Arial" w:hAnsi="Arial"/>
      <w:b/>
      <w:sz w:val="24"/>
      <w:szCs w:val="20"/>
    </w:rPr>
  </w:style>
  <w:style w:type="character" w:customStyle="1" w:styleId="1560">
    <w:name w:val="1图名文字式样： Char"/>
    <w:link w:val="1559"/>
    <w:uiPriority w:val="0"/>
    <w:rPr>
      <w:rFonts w:ascii="Arial" w:hAnsi="Arial"/>
      <w:b/>
      <w:kern w:val="2"/>
      <w:sz w:val="24"/>
    </w:rPr>
  </w:style>
  <w:style w:type="paragraph" w:customStyle="1" w:styleId="1561">
    <w:name w:val="样式 标题 3条标题1.1.1. (1.1.1)标题 3 Char Char Char Char标题 3 Char Ch..."/>
    <w:basedOn w:val="5"/>
    <w:uiPriority w:val="0"/>
    <w:pPr>
      <w:keepLines/>
      <w:tabs>
        <w:tab w:val="clear" w:pos="360"/>
      </w:tabs>
      <w:spacing w:before="400" w:after="120"/>
      <w:ind w:left="0" w:firstLine="0" w:firstLineChars="0"/>
    </w:pPr>
    <w:rPr>
      <w:rFonts w:eastAsia="楷体" w:cs="宋体"/>
      <w:b/>
      <w:sz w:val="32"/>
      <w:szCs w:val="20"/>
    </w:rPr>
  </w:style>
  <w:style w:type="paragraph" w:customStyle="1" w:styleId="1562">
    <w:name w:val="表内文字"/>
    <w:basedOn w:val="1"/>
    <w:link w:val="1563"/>
    <w:uiPriority w:val="0"/>
    <w:pPr>
      <w:widowControl/>
      <w:autoSpaceDE w:val="0"/>
      <w:autoSpaceDN w:val="0"/>
      <w:adjustRightInd w:val="0"/>
      <w:jc w:val="center"/>
      <w:textAlignment w:val="baseline"/>
    </w:pPr>
    <w:rPr>
      <w:kern w:val="0"/>
      <w:szCs w:val="20"/>
    </w:rPr>
  </w:style>
  <w:style w:type="character" w:customStyle="1" w:styleId="1563">
    <w:name w:val="表内文字 Char"/>
    <w:link w:val="1562"/>
    <w:uiPriority w:val="0"/>
    <w:rPr>
      <w:sz w:val="21"/>
    </w:rPr>
  </w:style>
  <w:style w:type="character" w:customStyle="1" w:styleId="1564">
    <w:name w:val="binomial"/>
    <w:uiPriority w:val="0"/>
  </w:style>
  <w:style w:type="paragraph" w:customStyle="1" w:styleId="1565">
    <w:name w:val="样式 标题 2 + 首行缩进:  2 字符"/>
    <w:basedOn w:val="4"/>
    <w:uiPriority w:val="0"/>
    <w:pPr>
      <w:tabs>
        <w:tab w:val="clear" w:pos="360"/>
      </w:tabs>
      <w:spacing w:before="480" w:after="240" w:line="360" w:lineRule="auto"/>
      <w:ind w:left="0" w:firstLine="0" w:firstLineChars="0"/>
    </w:pPr>
    <w:rPr>
      <w:rFonts w:cs="宋体"/>
      <w:szCs w:val="20"/>
    </w:rPr>
  </w:style>
  <w:style w:type="paragraph" w:customStyle="1" w:styleId="1566">
    <w:name w:val="样式 样式 标题 3 + 首行缩进:  2 字符1 + 左"/>
    <w:basedOn w:val="1"/>
    <w:uiPriority w:val="0"/>
    <w:pPr>
      <w:keepNext/>
      <w:keepLines/>
      <w:spacing w:before="240" w:after="120" w:line="360" w:lineRule="auto"/>
      <w:jc w:val="left"/>
      <w:outlineLvl w:val="2"/>
    </w:pPr>
    <w:rPr>
      <w:rFonts w:eastAsia="楷体_GB2312" w:cs="宋体"/>
      <w:b/>
      <w:bCs/>
      <w:sz w:val="30"/>
      <w:szCs w:val="20"/>
    </w:rPr>
  </w:style>
  <w:style w:type="paragraph" w:customStyle="1" w:styleId="1567">
    <w:name w:val="报告2"/>
    <w:link w:val="1568"/>
    <w:uiPriority w:val="0"/>
    <w:pPr>
      <w:spacing w:before="480" w:after="240" w:line="360" w:lineRule="auto"/>
    </w:pPr>
    <w:rPr>
      <w:rFonts w:ascii="Times New Roman" w:hAnsi="Times New Roman" w:eastAsia="宋体" w:cs="Times New Roman"/>
      <w:b/>
      <w:kern w:val="2"/>
      <w:sz w:val="32"/>
      <w:szCs w:val="24"/>
      <w:lang w:val="en-US" w:eastAsia="zh-CN" w:bidi="ar-SA"/>
    </w:rPr>
  </w:style>
  <w:style w:type="character" w:customStyle="1" w:styleId="1568">
    <w:name w:val="报告2 Char"/>
    <w:link w:val="1567"/>
    <w:uiPriority w:val="0"/>
    <w:rPr>
      <w:b/>
      <w:kern w:val="2"/>
      <w:sz w:val="32"/>
      <w:szCs w:val="24"/>
    </w:rPr>
  </w:style>
  <w:style w:type="paragraph" w:customStyle="1" w:styleId="1569">
    <w:name w:val="样式9"/>
    <w:basedOn w:val="1"/>
    <w:uiPriority w:val="0"/>
    <w:pPr>
      <w:autoSpaceDE w:val="0"/>
      <w:autoSpaceDN w:val="0"/>
      <w:adjustRightInd w:val="0"/>
      <w:snapToGrid w:val="0"/>
      <w:spacing w:line="360" w:lineRule="auto"/>
      <w:ind w:firstLine="480" w:firstLineChars="200"/>
    </w:pPr>
    <w:rPr>
      <w:rFonts w:ascii="宋体"/>
      <w:sz w:val="28"/>
    </w:rPr>
  </w:style>
  <w:style w:type="paragraph" w:customStyle="1" w:styleId="1570">
    <w:name w:val="样式 样式 标题 3 + 首行缩进:  1.06 厘米 + 首行缩进:  2 字符"/>
    <w:basedOn w:val="1"/>
    <w:uiPriority w:val="0"/>
    <w:pPr>
      <w:keepNext/>
      <w:keepLines/>
      <w:spacing w:line="360" w:lineRule="auto"/>
      <w:outlineLvl w:val="2"/>
    </w:pPr>
    <w:rPr>
      <w:rFonts w:eastAsia="楷体_GB2312" w:cs="宋体"/>
      <w:b/>
      <w:bCs/>
      <w:sz w:val="28"/>
      <w:szCs w:val="20"/>
    </w:rPr>
  </w:style>
  <w:style w:type="paragraph" w:customStyle="1" w:styleId="1571">
    <w:name w:val="样式 标题 3 + 首行缩进:  2 字符1"/>
    <w:basedOn w:val="5"/>
    <w:uiPriority w:val="0"/>
    <w:pPr>
      <w:keepLines/>
      <w:tabs>
        <w:tab w:val="clear" w:pos="360"/>
      </w:tabs>
      <w:adjustRightInd/>
      <w:snapToGrid/>
      <w:spacing w:before="240" w:after="120"/>
      <w:ind w:left="0" w:firstLine="0" w:firstLineChars="0"/>
    </w:pPr>
    <w:rPr>
      <w:rFonts w:ascii="Times New Roman" w:hAnsi="Times New Roman" w:eastAsia="楷体_GB2312" w:cs="宋体"/>
      <w:b/>
      <w:sz w:val="32"/>
      <w:szCs w:val="20"/>
    </w:rPr>
  </w:style>
  <w:style w:type="paragraph" w:customStyle="1" w:styleId="1572">
    <w:name w:val="样式 样式 样式 标题 3 + 首行缩进:  1.06 厘米 + 首行缩进:  2 字符 + 首行缩进:  0.85 厘米"/>
    <w:basedOn w:val="1570"/>
    <w:uiPriority w:val="0"/>
  </w:style>
  <w:style w:type="character" w:customStyle="1" w:styleId="1573">
    <w:name w:val="样式 仿宋_GB2312 四号 两端对齐 行距: 固定值 26 磅1 Char Char"/>
    <w:link w:val="1446"/>
    <w:uiPriority w:val="0"/>
    <w:rPr>
      <w:rFonts w:ascii="宋体"/>
      <w:sz w:val="28"/>
      <w:szCs w:val="28"/>
    </w:rPr>
  </w:style>
  <w:style w:type="paragraph" w:customStyle="1" w:styleId="1574">
    <w:name w:val="新表格"/>
    <w:basedOn w:val="1"/>
    <w:uiPriority w:val="0"/>
    <w:pPr>
      <w:spacing w:line="360" w:lineRule="auto"/>
      <w:ind w:left="420"/>
      <w:jc w:val="center"/>
    </w:pPr>
    <w:rPr>
      <w:b/>
      <w:bCs/>
      <w:sz w:val="24"/>
    </w:rPr>
  </w:style>
  <w:style w:type="paragraph" w:customStyle="1" w:styleId="1575">
    <w:name w:val="报告标题3"/>
    <w:uiPriority w:val="0"/>
    <w:pPr>
      <w:spacing w:before="240" w:after="240" w:line="560" w:lineRule="atLeast"/>
    </w:pPr>
    <w:rPr>
      <w:rFonts w:ascii="Times New Roman" w:hAnsi="Times New Roman" w:eastAsia="楷体_GB2312" w:cs="Times New Roman"/>
      <w:b/>
      <w:kern w:val="2"/>
      <w:sz w:val="30"/>
      <w:szCs w:val="24"/>
      <w:lang w:val="en-US" w:eastAsia="zh-CN" w:bidi="ar-SA"/>
    </w:rPr>
  </w:style>
  <w:style w:type="character" w:customStyle="1" w:styleId="1576">
    <w:name w:val="表头1 Char"/>
    <w:link w:val="856"/>
    <w:uiPriority w:val="0"/>
    <w:rPr>
      <w:rFonts w:ascii="宋体"/>
      <w:kern w:val="2"/>
      <w:sz w:val="24"/>
      <w:szCs w:val="24"/>
    </w:rPr>
  </w:style>
  <w:style w:type="paragraph" w:customStyle="1" w:styleId="1577">
    <w:name w:val="Char Char Char Char Char Char Char Char Char Char Char"/>
    <w:basedOn w:val="1"/>
    <w:next w:val="1"/>
    <w:link w:val="1578"/>
    <w:uiPriority w:val="0"/>
    <w:pPr>
      <w:spacing w:line="360" w:lineRule="auto"/>
      <w:ind w:firstLine="200" w:firstLineChars="200"/>
    </w:pPr>
    <w:rPr>
      <w:rFonts w:ascii="宋体" w:hAnsi="宋体"/>
      <w:sz w:val="24"/>
    </w:rPr>
  </w:style>
  <w:style w:type="character" w:customStyle="1" w:styleId="1578">
    <w:name w:val="Char Char Char Char Char Char Char Char Char Char Char Char"/>
    <w:link w:val="1577"/>
    <w:uiPriority w:val="0"/>
    <w:rPr>
      <w:rFonts w:ascii="宋体" w:hAnsi="宋体"/>
      <w:kern w:val="2"/>
      <w:sz w:val="24"/>
      <w:szCs w:val="24"/>
    </w:rPr>
  </w:style>
  <w:style w:type="paragraph" w:customStyle="1" w:styleId="1579">
    <w:name w:val="表格内字体"/>
    <w:basedOn w:val="1"/>
    <w:next w:val="1"/>
    <w:link w:val="1580"/>
    <w:qFormat/>
    <w:uiPriority w:val="0"/>
    <w:pPr>
      <w:tabs>
        <w:tab w:val="left" w:pos="1320"/>
      </w:tabs>
      <w:ind w:left="1320" w:hanging="420"/>
      <w:jc w:val="center"/>
    </w:pPr>
    <w:rPr>
      <w:rFonts w:ascii="宋体" w:hAnsi="宋体"/>
    </w:rPr>
  </w:style>
  <w:style w:type="character" w:customStyle="1" w:styleId="1580">
    <w:name w:val="表格内字体 Char"/>
    <w:link w:val="1579"/>
    <w:uiPriority w:val="0"/>
    <w:rPr>
      <w:rFonts w:ascii="宋体" w:hAnsi="宋体"/>
      <w:kern w:val="2"/>
      <w:sz w:val="21"/>
      <w:szCs w:val="24"/>
    </w:rPr>
  </w:style>
  <w:style w:type="paragraph" w:customStyle="1" w:styleId="1581">
    <w:name w:val="正文格式42"/>
    <w:basedOn w:val="1"/>
    <w:uiPriority w:val="0"/>
    <w:pPr>
      <w:tabs>
        <w:tab w:val="left" w:pos="2160"/>
      </w:tabs>
      <w:spacing w:line="360" w:lineRule="auto"/>
      <w:ind w:firstLine="482"/>
    </w:pPr>
    <w:rPr>
      <w:rFonts w:ascii="宋体" w:hAnsi="宋体"/>
      <w:sz w:val="24"/>
    </w:rPr>
  </w:style>
  <w:style w:type="paragraph" w:customStyle="1" w:styleId="1582">
    <w:name w:val="样式 样式 正文111 + 首行缩进:  2 字符 + 首行缩进:  2 字符"/>
    <w:basedOn w:val="1"/>
    <w:link w:val="1583"/>
    <w:uiPriority w:val="0"/>
    <w:pPr>
      <w:adjustRightInd w:val="0"/>
      <w:snapToGrid w:val="0"/>
      <w:spacing w:line="360" w:lineRule="auto"/>
      <w:ind w:firstLine="560" w:firstLineChars="200"/>
    </w:pPr>
    <w:rPr>
      <w:b/>
      <w:sz w:val="28"/>
      <w:szCs w:val="20"/>
    </w:rPr>
  </w:style>
  <w:style w:type="character" w:customStyle="1" w:styleId="1583">
    <w:name w:val="样式 样式 正文111 + 首行缩进:  2 字符 + 首行缩进:  2 字符 Char"/>
    <w:link w:val="1582"/>
    <w:uiPriority w:val="0"/>
    <w:rPr>
      <w:b/>
      <w:kern w:val="2"/>
      <w:sz w:val="28"/>
    </w:rPr>
  </w:style>
  <w:style w:type="paragraph" w:customStyle="1" w:styleId="1584">
    <w:name w:val="自定正文"/>
    <w:basedOn w:val="1"/>
    <w:link w:val="1585"/>
    <w:uiPriority w:val="0"/>
    <w:pPr>
      <w:snapToGrid w:val="0"/>
      <w:spacing w:line="360" w:lineRule="auto"/>
      <w:ind w:firstLine="200" w:firstLineChars="200"/>
      <w:textAlignment w:val="center"/>
    </w:pPr>
    <w:rPr>
      <w:rFonts w:ascii="Arial" w:hAnsi="Arial"/>
      <w:snapToGrid w:val="0"/>
      <w:color w:val="000000"/>
      <w:sz w:val="26"/>
      <w:szCs w:val="20"/>
    </w:rPr>
  </w:style>
  <w:style w:type="character" w:customStyle="1" w:styleId="1585">
    <w:name w:val="自定正文 Char"/>
    <w:link w:val="1584"/>
    <w:uiPriority w:val="0"/>
    <w:rPr>
      <w:rFonts w:ascii="Arial" w:hAnsi="Arial"/>
      <w:snapToGrid w:val="0"/>
      <w:color w:val="000000"/>
      <w:kern w:val="2"/>
      <w:sz w:val="26"/>
    </w:rPr>
  </w:style>
  <w:style w:type="paragraph" w:customStyle="1" w:styleId="1586">
    <w:name w:val="插图名称"/>
    <w:basedOn w:val="1"/>
    <w:next w:val="1"/>
    <w:uiPriority w:val="0"/>
    <w:pPr>
      <w:jc w:val="center"/>
    </w:pPr>
    <w:rPr>
      <w:rFonts w:ascii="黑体" w:hAnsi="Plotter" w:eastAsia="黑体" w:cs="Plotter"/>
      <w:b/>
      <w:sz w:val="24"/>
    </w:rPr>
  </w:style>
  <w:style w:type="character" w:customStyle="1" w:styleId="1587">
    <w:name w:val="尾注文本 Char"/>
    <w:uiPriority w:val="0"/>
    <w:rPr>
      <w:rFonts w:eastAsia="宋体"/>
      <w:kern w:val="2"/>
      <w:sz w:val="24"/>
      <w:szCs w:val="22"/>
    </w:rPr>
  </w:style>
  <w:style w:type="character" w:customStyle="1" w:styleId="1588">
    <w:name w:val="正文文本 (3)_"/>
    <w:link w:val="1589"/>
    <w:locked/>
    <w:uiPriority w:val="0"/>
    <w:rPr>
      <w:rFonts w:ascii="宋体"/>
      <w:sz w:val="18"/>
      <w:szCs w:val="18"/>
      <w:shd w:val="clear" w:color="auto" w:fill="FFFFFF"/>
    </w:rPr>
  </w:style>
  <w:style w:type="paragraph" w:customStyle="1" w:styleId="1589">
    <w:name w:val="正文文本 (3)1"/>
    <w:basedOn w:val="1"/>
    <w:link w:val="1588"/>
    <w:uiPriority w:val="0"/>
    <w:pPr>
      <w:widowControl/>
      <w:shd w:val="clear" w:color="auto" w:fill="FFFFFF"/>
      <w:spacing w:line="499" w:lineRule="exact"/>
      <w:jc w:val="left"/>
    </w:pPr>
    <w:rPr>
      <w:rFonts w:ascii="宋体"/>
      <w:kern w:val="0"/>
      <w:sz w:val="18"/>
      <w:szCs w:val="18"/>
      <w:shd w:val="clear" w:color="auto" w:fill="FFFFFF"/>
    </w:rPr>
  </w:style>
  <w:style w:type="character" w:customStyle="1" w:styleId="1590">
    <w:name w:val="正文文本 (60)_"/>
    <w:link w:val="1591"/>
    <w:locked/>
    <w:uiPriority w:val="0"/>
    <w:rPr>
      <w:szCs w:val="21"/>
      <w:shd w:val="clear" w:color="auto" w:fill="FFFFFF"/>
    </w:rPr>
  </w:style>
  <w:style w:type="paragraph" w:customStyle="1" w:styleId="1591">
    <w:name w:val="正文文本 (60)"/>
    <w:basedOn w:val="1"/>
    <w:link w:val="1590"/>
    <w:uiPriority w:val="0"/>
    <w:pPr>
      <w:widowControl/>
      <w:shd w:val="clear" w:color="auto" w:fill="FFFFFF"/>
      <w:spacing w:line="240" w:lineRule="atLeast"/>
      <w:jc w:val="left"/>
    </w:pPr>
    <w:rPr>
      <w:kern w:val="0"/>
      <w:sz w:val="20"/>
      <w:szCs w:val="21"/>
      <w:shd w:val="clear" w:color="auto" w:fill="FFFFFF"/>
    </w:rPr>
  </w:style>
  <w:style w:type="character" w:customStyle="1" w:styleId="1592">
    <w:name w:val="正文文本 (11)_"/>
    <w:link w:val="1593"/>
    <w:locked/>
    <w:uiPriority w:val="0"/>
    <w:rPr>
      <w:rFonts w:ascii="宋体"/>
      <w:sz w:val="17"/>
      <w:szCs w:val="17"/>
      <w:shd w:val="clear" w:color="auto" w:fill="FFFFFF"/>
    </w:rPr>
  </w:style>
  <w:style w:type="paragraph" w:customStyle="1" w:styleId="1593">
    <w:name w:val="正文文本 (11)1"/>
    <w:basedOn w:val="1"/>
    <w:link w:val="1592"/>
    <w:uiPriority w:val="0"/>
    <w:pPr>
      <w:widowControl/>
      <w:shd w:val="clear" w:color="auto" w:fill="FFFFFF"/>
      <w:spacing w:line="240" w:lineRule="atLeast"/>
      <w:jc w:val="left"/>
    </w:pPr>
    <w:rPr>
      <w:rFonts w:ascii="宋体"/>
      <w:kern w:val="0"/>
      <w:sz w:val="17"/>
      <w:szCs w:val="17"/>
      <w:shd w:val="clear" w:color="auto" w:fill="FFFFFF"/>
    </w:rPr>
  </w:style>
  <w:style w:type="character" w:customStyle="1" w:styleId="1594">
    <w:name w:val="正文文本 (21)_"/>
    <w:link w:val="1595"/>
    <w:locked/>
    <w:uiPriority w:val="0"/>
    <w:rPr>
      <w:rFonts w:ascii="宋体"/>
      <w:b/>
      <w:bCs/>
      <w:sz w:val="16"/>
      <w:szCs w:val="16"/>
      <w:shd w:val="clear" w:color="auto" w:fill="FFFFFF"/>
    </w:rPr>
  </w:style>
  <w:style w:type="paragraph" w:customStyle="1" w:styleId="1595">
    <w:name w:val="正文文本 (21)1"/>
    <w:basedOn w:val="1"/>
    <w:link w:val="1594"/>
    <w:uiPriority w:val="0"/>
    <w:pPr>
      <w:widowControl/>
      <w:shd w:val="clear" w:color="auto" w:fill="FFFFFF"/>
      <w:spacing w:line="240" w:lineRule="atLeast"/>
      <w:jc w:val="left"/>
    </w:pPr>
    <w:rPr>
      <w:rFonts w:ascii="宋体"/>
      <w:b/>
      <w:bCs/>
      <w:kern w:val="0"/>
      <w:sz w:val="16"/>
      <w:szCs w:val="16"/>
      <w:shd w:val="clear" w:color="auto" w:fill="FFFFFF"/>
    </w:rPr>
  </w:style>
  <w:style w:type="character" w:customStyle="1" w:styleId="1596">
    <w:name w:val="正文文本 (64)_"/>
    <w:link w:val="1597"/>
    <w:locked/>
    <w:uiPriority w:val="0"/>
    <w:rPr>
      <w:i/>
      <w:iCs/>
      <w:sz w:val="19"/>
      <w:szCs w:val="19"/>
      <w:shd w:val="clear" w:color="auto" w:fill="FFFFFF"/>
    </w:rPr>
  </w:style>
  <w:style w:type="paragraph" w:customStyle="1" w:styleId="1597">
    <w:name w:val="正文文本 (64)"/>
    <w:basedOn w:val="1"/>
    <w:link w:val="1596"/>
    <w:uiPriority w:val="0"/>
    <w:pPr>
      <w:widowControl/>
      <w:shd w:val="clear" w:color="auto" w:fill="FFFFFF"/>
      <w:spacing w:line="240" w:lineRule="atLeast"/>
      <w:jc w:val="left"/>
    </w:pPr>
    <w:rPr>
      <w:i/>
      <w:iCs/>
      <w:kern w:val="0"/>
      <w:sz w:val="19"/>
      <w:szCs w:val="19"/>
      <w:shd w:val="clear" w:color="auto" w:fill="FFFFFF"/>
    </w:rPr>
  </w:style>
  <w:style w:type="character" w:customStyle="1" w:styleId="1598">
    <w:name w:val="图片标题_"/>
    <w:link w:val="1599"/>
    <w:locked/>
    <w:uiPriority w:val="0"/>
    <w:rPr>
      <w:rFonts w:ascii="宋体"/>
      <w:b/>
      <w:bCs/>
      <w:shd w:val="clear" w:color="auto" w:fill="FFFFFF"/>
    </w:rPr>
  </w:style>
  <w:style w:type="paragraph" w:customStyle="1" w:styleId="1599">
    <w:name w:val="图片标题"/>
    <w:basedOn w:val="1"/>
    <w:link w:val="1598"/>
    <w:uiPriority w:val="0"/>
    <w:pPr>
      <w:widowControl/>
      <w:shd w:val="clear" w:color="auto" w:fill="FFFFFF"/>
      <w:spacing w:line="240" w:lineRule="atLeast"/>
      <w:jc w:val="left"/>
    </w:pPr>
    <w:rPr>
      <w:rFonts w:ascii="宋体"/>
      <w:b/>
      <w:bCs/>
      <w:kern w:val="0"/>
      <w:sz w:val="20"/>
      <w:szCs w:val="20"/>
      <w:shd w:val="clear" w:color="auto" w:fill="FFFFFF"/>
    </w:rPr>
  </w:style>
  <w:style w:type="character" w:customStyle="1" w:styleId="1600">
    <w:name w:val="正文文本 (4)_"/>
    <w:link w:val="1601"/>
    <w:locked/>
    <w:uiPriority w:val="0"/>
    <w:rPr>
      <w:rFonts w:ascii="宋体"/>
      <w:b/>
      <w:bCs/>
      <w:shd w:val="clear" w:color="auto" w:fill="FFFFFF"/>
    </w:rPr>
  </w:style>
  <w:style w:type="paragraph" w:customStyle="1" w:styleId="1601">
    <w:name w:val="正文文本 (4)"/>
    <w:basedOn w:val="1"/>
    <w:link w:val="1600"/>
    <w:uiPriority w:val="0"/>
    <w:pPr>
      <w:widowControl/>
      <w:shd w:val="clear" w:color="auto" w:fill="FFFFFF"/>
      <w:spacing w:before="600" w:after="120" w:line="240" w:lineRule="atLeast"/>
      <w:ind w:hanging="740"/>
      <w:jc w:val="left"/>
    </w:pPr>
    <w:rPr>
      <w:rFonts w:ascii="宋体"/>
      <w:b/>
      <w:bCs/>
      <w:kern w:val="0"/>
      <w:sz w:val="20"/>
      <w:szCs w:val="20"/>
      <w:shd w:val="clear" w:color="auto" w:fill="FFFFFF"/>
    </w:rPr>
  </w:style>
  <w:style w:type="character" w:customStyle="1" w:styleId="1602">
    <w:name w:val="正文文本 (7)_"/>
    <w:link w:val="1603"/>
    <w:locked/>
    <w:uiPriority w:val="0"/>
    <w:rPr>
      <w:rFonts w:ascii="宋体"/>
      <w:spacing w:val="-10"/>
      <w:shd w:val="clear" w:color="auto" w:fill="FFFFFF"/>
    </w:rPr>
  </w:style>
  <w:style w:type="paragraph" w:customStyle="1" w:styleId="1603">
    <w:name w:val="正文文本 (7)"/>
    <w:basedOn w:val="1"/>
    <w:link w:val="1602"/>
    <w:uiPriority w:val="0"/>
    <w:pPr>
      <w:widowControl/>
      <w:shd w:val="clear" w:color="auto" w:fill="FFFFFF"/>
      <w:spacing w:line="240" w:lineRule="atLeast"/>
      <w:jc w:val="left"/>
    </w:pPr>
    <w:rPr>
      <w:rFonts w:ascii="宋体"/>
      <w:spacing w:val="-10"/>
      <w:kern w:val="0"/>
      <w:sz w:val="20"/>
      <w:szCs w:val="20"/>
      <w:shd w:val="clear" w:color="auto" w:fill="FFFFFF"/>
    </w:rPr>
  </w:style>
  <w:style w:type="character" w:customStyle="1" w:styleId="1604">
    <w:name w:val="表格标题 (2)_"/>
    <w:link w:val="1605"/>
    <w:locked/>
    <w:uiPriority w:val="0"/>
    <w:rPr>
      <w:rFonts w:ascii="宋体"/>
      <w:shd w:val="clear" w:color="auto" w:fill="FFFFFF"/>
    </w:rPr>
  </w:style>
  <w:style w:type="paragraph" w:customStyle="1" w:styleId="1605">
    <w:name w:val="表格标题 (2)1"/>
    <w:basedOn w:val="1"/>
    <w:link w:val="1604"/>
    <w:uiPriority w:val="0"/>
    <w:pPr>
      <w:widowControl/>
      <w:shd w:val="clear" w:color="auto" w:fill="FFFFFF"/>
      <w:spacing w:line="240" w:lineRule="atLeast"/>
      <w:jc w:val="left"/>
    </w:pPr>
    <w:rPr>
      <w:rFonts w:ascii="宋体"/>
      <w:kern w:val="0"/>
      <w:sz w:val="20"/>
      <w:szCs w:val="20"/>
      <w:shd w:val="clear" w:color="auto" w:fill="FFFFFF"/>
    </w:rPr>
  </w:style>
  <w:style w:type="character" w:customStyle="1" w:styleId="1606">
    <w:name w:val="正文文本 (8)_"/>
    <w:link w:val="1607"/>
    <w:locked/>
    <w:uiPriority w:val="0"/>
    <w:rPr>
      <w:rFonts w:ascii="宋体"/>
      <w:i/>
      <w:iCs/>
      <w:sz w:val="18"/>
      <w:szCs w:val="18"/>
      <w:shd w:val="clear" w:color="auto" w:fill="FFFFFF"/>
    </w:rPr>
  </w:style>
  <w:style w:type="paragraph" w:customStyle="1" w:styleId="1607">
    <w:name w:val="正文文本 (8)"/>
    <w:basedOn w:val="1"/>
    <w:link w:val="1606"/>
    <w:uiPriority w:val="0"/>
    <w:pPr>
      <w:widowControl/>
      <w:shd w:val="clear" w:color="auto" w:fill="FFFFFF"/>
      <w:spacing w:line="240" w:lineRule="atLeast"/>
      <w:jc w:val="left"/>
    </w:pPr>
    <w:rPr>
      <w:rFonts w:ascii="宋体"/>
      <w:i/>
      <w:iCs/>
      <w:kern w:val="0"/>
      <w:sz w:val="18"/>
      <w:szCs w:val="18"/>
      <w:shd w:val="clear" w:color="auto" w:fill="FFFFFF"/>
    </w:rPr>
  </w:style>
  <w:style w:type="paragraph" w:customStyle="1" w:styleId="1608">
    <w:name w:val="new Char Char Char Char Char Char Char Char Char Char Char Char Char Char Char Char Char Char"/>
    <w:basedOn w:val="1"/>
    <w:next w:val="1"/>
    <w:uiPriority w:val="0"/>
    <w:pPr>
      <w:spacing w:line="360" w:lineRule="auto"/>
      <w:ind w:firstLine="200" w:firstLineChars="200"/>
    </w:pPr>
    <w:rPr>
      <w:rFonts w:ascii="宋体" w:hAnsi="宋体" w:cs="宋体"/>
      <w:sz w:val="24"/>
    </w:rPr>
  </w:style>
  <w:style w:type="paragraph" w:customStyle="1" w:styleId="1609">
    <w:name w:val="new Char Char Char Char Char Char Char Char Char Char Char Char Char Char Char Char Char Char Char Char Char Char Char Char"/>
    <w:basedOn w:val="1"/>
    <w:next w:val="1"/>
    <w:uiPriority w:val="0"/>
    <w:pPr>
      <w:spacing w:line="360" w:lineRule="auto"/>
      <w:ind w:firstLine="200" w:firstLineChars="200"/>
    </w:pPr>
    <w:rPr>
      <w:rFonts w:ascii="宋体" w:hAnsi="宋体" w:cs="宋体"/>
      <w:sz w:val="24"/>
    </w:rPr>
  </w:style>
  <w:style w:type="paragraph" w:customStyle="1" w:styleId="1610">
    <w:name w:val="new Char Char Char Char Char Char Char Char Char Char Char Char Char Char Char Char Char Char Char Char Char Char Char Char Char Char Char Char Char Char Char Char Char Char Char Char Char Char Char Char Char Char"/>
    <w:basedOn w:val="1"/>
    <w:next w:val="1"/>
    <w:uiPriority w:val="0"/>
    <w:pPr>
      <w:spacing w:line="360" w:lineRule="auto"/>
      <w:ind w:firstLine="200" w:firstLineChars="200"/>
    </w:pPr>
    <w:rPr>
      <w:rFonts w:ascii="宋体" w:hAnsi="宋体" w:cs="宋体"/>
      <w:sz w:val="24"/>
    </w:rPr>
  </w:style>
  <w:style w:type="character" w:customStyle="1" w:styleId="1611">
    <w:name w:val="样式 标题 3 + 楷体_GB2312 红色 Char"/>
    <w:link w:val="1612"/>
    <w:locked/>
    <w:uiPriority w:val="0"/>
    <w:rPr>
      <w:rFonts w:ascii="楷体_GB2312" w:hAnsi="楷体_GB2312"/>
      <w:b/>
      <w:bCs/>
      <w:color w:val="FF0000"/>
      <w:sz w:val="24"/>
      <w:szCs w:val="32"/>
    </w:rPr>
  </w:style>
  <w:style w:type="paragraph" w:customStyle="1" w:styleId="1612">
    <w:name w:val="样式 标题 3 + 楷体_GB2312 红色"/>
    <w:basedOn w:val="5"/>
    <w:link w:val="1611"/>
    <w:uiPriority w:val="0"/>
    <w:pPr>
      <w:keepLines/>
      <w:tabs>
        <w:tab w:val="clear" w:pos="360"/>
      </w:tabs>
      <w:adjustRightInd/>
      <w:snapToGrid/>
      <w:ind w:left="0" w:firstLine="0" w:firstLineChars="0"/>
    </w:pPr>
    <w:rPr>
      <w:rFonts w:ascii="楷体_GB2312" w:hAnsi="楷体_GB2312" w:eastAsia="宋体"/>
      <w:b/>
      <w:color w:val="FF0000"/>
      <w:kern w:val="0"/>
      <w:szCs w:val="32"/>
    </w:rPr>
  </w:style>
  <w:style w:type="paragraph" w:customStyle="1" w:styleId="1613">
    <w:name w:val="样式 正文1 + 首行缩进:  2 字符"/>
    <w:basedOn w:val="1"/>
    <w:uiPriority w:val="0"/>
    <w:pPr>
      <w:spacing w:line="520" w:lineRule="exact"/>
      <w:ind w:firstLine="200" w:firstLineChars="200"/>
    </w:pPr>
    <w:rPr>
      <w:rFonts w:cs="宋体"/>
      <w:sz w:val="28"/>
      <w:szCs w:val="28"/>
    </w:rPr>
  </w:style>
  <w:style w:type="character" w:customStyle="1" w:styleId="1614">
    <w:name w:val="gray9 l score s2"/>
    <w:uiPriority w:val="0"/>
  </w:style>
  <w:style w:type="character" w:customStyle="1" w:styleId="1615">
    <w:name w:val="editterm1"/>
    <w:uiPriority w:val="0"/>
  </w:style>
  <w:style w:type="character" w:customStyle="1" w:styleId="1616">
    <w:name w:val="more2"/>
    <w:uiPriority w:val="0"/>
    <w:rPr>
      <w:sz w:val="18"/>
      <w:szCs w:val="18"/>
    </w:rPr>
  </w:style>
  <w:style w:type="paragraph" w:customStyle="1" w:styleId="1617">
    <w:name w:val="样式 (符号) 宋体 小四 黑色 首行缩进:  2 字符"/>
    <w:basedOn w:val="1"/>
    <w:uiPriority w:val="0"/>
    <w:pPr>
      <w:spacing w:line="440" w:lineRule="exact"/>
      <w:ind w:firstLine="480" w:firstLineChars="200"/>
    </w:pPr>
    <w:rPr>
      <w:rFonts w:hAnsi="宋体" w:cs="宋体"/>
      <w:color w:val="000000"/>
      <w:sz w:val="24"/>
      <w:szCs w:val="20"/>
    </w:rPr>
  </w:style>
  <w:style w:type="paragraph" w:customStyle="1" w:styleId="1618">
    <w:name w:val="大纲正文"/>
    <w:basedOn w:val="1"/>
    <w:link w:val="1619"/>
    <w:uiPriority w:val="0"/>
    <w:pPr>
      <w:widowControl/>
      <w:adjustRightInd w:val="0"/>
      <w:snapToGrid w:val="0"/>
      <w:spacing w:line="300" w:lineRule="auto"/>
      <w:ind w:firstLine="200" w:firstLineChars="200"/>
    </w:pPr>
    <w:rPr>
      <w:sz w:val="24"/>
      <w:szCs w:val="20"/>
    </w:rPr>
  </w:style>
  <w:style w:type="character" w:customStyle="1" w:styleId="1619">
    <w:name w:val="大纲正文 Char"/>
    <w:link w:val="1618"/>
    <w:uiPriority w:val="0"/>
    <w:rPr>
      <w:kern w:val="2"/>
      <w:sz w:val="24"/>
    </w:rPr>
  </w:style>
  <w:style w:type="paragraph" w:customStyle="1" w:styleId="1620">
    <w:name w:val="表格内正文 Char"/>
    <w:basedOn w:val="1"/>
    <w:link w:val="1621"/>
    <w:uiPriority w:val="0"/>
    <w:pPr>
      <w:jc w:val="center"/>
    </w:pPr>
    <w:rPr>
      <w:szCs w:val="21"/>
    </w:rPr>
  </w:style>
  <w:style w:type="character" w:customStyle="1" w:styleId="1621">
    <w:name w:val="表格内正文 Char Char"/>
    <w:link w:val="1620"/>
    <w:uiPriority w:val="0"/>
    <w:rPr>
      <w:kern w:val="2"/>
      <w:sz w:val="21"/>
      <w:szCs w:val="21"/>
    </w:rPr>
  </w:style>
  <w:style w:type="paragraph" w:customStyle="1" w:styleId="1622">
    <w:name w:val="表格内正文"/>
    <w:basedOn w:val="1"/>
    <w:uiPriority w:val="0"/>
    <w:pPr>
      <w:jc w:val="center"/>
    </w:pPr>
    <w:rPr>
      <w:szCs w:val="21"/>
    </w:rPr>
  </w:style>
  <w:style w:type="paragraph" w:customStyle="1" w:styleId="1623">
    <w:name w:val="首行缩进正文"/>
    <w:basedOn w:val="1"/>
    <w:uiPriority w:val="0"/>
    <w:pPr>
      <w:adjustRightInd w:val="0"/>
      <w:snapToGrid w:val="0"/>
      <w:spacing w:beforeLines="50" w:line="300" w:lineRule="auto"/>
      <w:ind w:firstLine="480" w:firstLineChars="200"/>
    </w:pPr>
    <w:rPr>
      <w:sz w:val="24"/>
    </w:rPr>
  </w:style>
  <w:style w:type="character" w:customStyle="1" w:styleId="1624">
    <w:name w:val="zfgb_xl_xbt1"/>
    <w:uiPriority w:val="0"/>
    <w:rPr>
      <w:color w:val="494949"/>
      <w:sz w:val="27"/>
      <w:szCs w:val="27"/>
    </w:rPr>
  </w:style>
  <w:style w:type="paragraph" w:customStyle="1" w:styleId="1625">
    <w:name w:val="X12       表格文字"/>
    <w:basedOn w:val="1"/>
    <w:uiPriority w:val="0"/>
    <w:pPr>
      <w:snapToGrid w:val="0"/>
      <w:jc w:val="center"/>
    </w:pPr>
  </w:style>
  <w:style w:type="paragraph" w:customStyle="1" w:styleId="1626">
    <w:name w:val="样式 表中文字 + 两端对齐"/>
    <w:basedOn w:val="985"/>
    <w:semiHidden/>
    <w:uiPriority w:val="0"/>
    <w:pPr>
      <w:tabs>
        <w:tab w:val="left" w:pos="3286"/>
        <w:tab w:val="left" w:pos="8362"/>
      </w:tabs>
      <w:snapToGrid w:val="0"/>
      <w:spacing w:line="320" w:lineRule="exact"/>
    </w:pPr>
    <w:rPr>
      <w:rFonts w:ascii="Arial" w:hAnsi="Arial" w:cs="宋体"/>
      <w:sz w:val="21"/>
      <w:szCs w:val="21"/>
      <w:shd w:val="clear" w:color="auto" w:fill="FFFFFF"/>
    </w:rPr>
  </w:style>
  <w:style w:type="paragraph" w:customStyle="1" w:styleId="1627">
    <w:name w:val="正文LA"/>
    <w:uiPriority w:val="0"/>
    <w:pPr>
      <w:tabs>
        <w:tab w:val="left" w:pos="0"/>
      </w:tabs>
      <w:adjustRightInd w:val="0"/>
      <w:spacing w:beforeLines="50" w:line="360" w:lineRule="auto"/>
      <w:ind w:firstLine="225" w:firstLineChars="225"/>
      <w:jc w:val="both"/>
    </w:pPr>
    <w:rPr>
      <w:rFonts w:ascii="宋体" w:hAnsi="宋体" w:eastAsia="宋体" w:cs="Times New Roman"/>
      <w:snapToGrid w:val="0"/>
      <w:sz w:val="24"/>
      <w:lang w:val="en-US" w:eastAsia="zh-CN" w:bidi="ar-SA"/>
    </w:rPr>
  </w:style>
  <w:style w:type="paragraph" w:customStyle="1" w:styleId="1628">
    <w:name w:val="1 Char Char Char Char Char Char1 Char"/>
    <w:basedOn w:val="1"/>
    <w:uiPriority w:val="0"/>
  </w:style>
  <w:style w:type="character" w:customStyle="1" w:styleId="1629">
    <w:name w:val="表中文字 Char Char"/>
    <w:link w:val="1630"/>
    <w:uiPriority w:val="0"/>
    <w:rPr>
      <w:rFonts w:ascii="宋体"/>
    </w:rPr>
  </w:style>
  <w:style w:type="paragraph" w:customStyle="1" w:styleId="1630">
    <w:name w:val="表中文字 Char"/>
    <w:basedOn w:val="1"/>
    <w:link w:val="1629"/>
    <w:uiPriority w:val="0"/>
    <w:pPr>
      <w:widowControl/>
      <w:spacing w:line="240" w:lineRule="atLeast"/>
      <w:ind w:left="-24" w:leftChars="-10" w:right="-20" w:rightChars="-20"/>
      <w:jc w:val="center"/>
    </w:pPr>
    <w:rPr>
      <w:rFonts w:ascii="宋体"/>
      <w:kern w:val="0"/>
      <w:sz w:val="20"/>
      <w:szCs w:val="20"/>
    </w:rPr>
  </w:style>
  <w:style w:type="character" w:customStyle="1" w:styleId="1631">
    <w:name w:val="正文修改 Char"/>
    <w:link w:val="1632"/>
    <w:uiPriority w:val="0"/>
    <w:rPr>
      <w:rFonts w:ascii="宋体" w:hAnsi="宋体"/>
      <w:color w:val="000000"/>
      <w:sz w:val="24"/>
    </w:rPr>
  </w:style>
  <w:style w:type="paragraph" w:customStyle="1" w:styleId="1632">
    <w:name w:val="正文修改"/>
    <w:basedOn w:val="1633"/>
    <w:link w:val="1631"/>
    <w:uiPriority w:val="0"/>
    <w:pPr>
      <w:tabs>
        <w:tab w:val="left" w:pos="4680"/>
      </w:tabs>
      <w:ind w:left="240" w:leftChars="100" w:right="100" w:rightChars="100" w:firstLine="454" w:firstLineChars="0"/>
    </w:pPr>
    <w:rPr>
      <w:kern w:val="0"/>
      <w:sz w:val="24"/>
    </w:rPr>
  </w:style>
  <w:style w:type="paragraph" w:customStyle="1" w:styleId="1633">
    <w:name w:val="燕山正文"/>
    <w:basedOn w:val="1"/>
    <w:link w:val="1634"/>
    <w:uiPriority w:val="0"/>
    <w:pPr>
      <w:tabs>
        <w:tab w:val="left" w:pos="4680"/>
      </w:tabs>
      <w:adjustRightInd w:val="0"/>
      <w:snapToGrid w:val="0"/>
      <w:spacing w:line="360" w:lineRule="auto"/>
      <w:ind w:firstLine="560" w:firstLineChars="200"/>
    </w:pPr>
    <w:rPr>
      <w:rFonts w:ascii="宋体" w:hAnsi="宋体"/>
      <w:color w:val="000000"/>
      <w:sz w:val="28"/>
      <w:szCs w:val="20"/>
    </w:rPr>
  </w:style>
  <w:style w:type="character" w:customStyle="1" w:styleId="1634">
    <w:name w:val="燕山正文 Char"/>
    <w:link w:val="1633"/>
    <w:uiPriority w:val="0"/>
    <w:rPr>
      <w:rFonts w:ascii="宋体" w:hAnsi="宋体"/>
      <w:color w:val="000000"/>
      <w:kern w:val="2"/>
      <w:sz w:val="28"/>
    </w:rPr>
  </w:style>
  <w:style w:type="paragraph" w:customStyle="1" w:styleId="1635">
    <w:name w:val="_Style 87"/>
    <w:basedOn w:val="1"/>
    <w:uiPriority w:val="0"/>
    <w:rPr>
      <w:szCs w:val="20"/>
    </w:rPr>
  </w:style>
  <w:style w:type="paragraph" w:customStyle="1" w:styleId="1636">
    <w:name w:val="项目编号"/>
    <w:basedOn w:val="1"/>
    <w:next w:val="1"/>
    <w:uiPriority w:val="0"/>
    <w:pPr>
      <w:spacing w:before="120" w:after="120" w:line="360" w:lineRule="auto"/>
    </w:pPr>
    <w:rPr>
      <w:sz w:val="24"/>
      <w:szCs w:val="20"/>
    </w:rPr>
  </w:style>
  <w:style w:type="paragraph" w:customStyle="1" w:styleId="1637">
    <w:name w:val="Char Char Char Char Char Char1 Char"/>
    <w:basedOn w:val="1"/>
    <w:link w:val="1638"/>
    <w:uiPriority w:val="0"/>
    <w:pPr>
      <w:spacing w:line="360" w:lineRule="auto"/>
      <w:ind w:firstLine="200" w:firstLineChars="200"/>
    </w:pPr>
    <w:rPr>
      <w:rFonts w:ascii="宋体" w:hAnsi="宋体"/>
      <w:sz w:val="24"/>
    </w:rPr>
  </w:style>
  <w:style w:type="character" w:customStyle="1" w:styleId="1638">
    <w:name w:val="Char Char Char Char Char Char1 Char Char"/>
    <w:link w:val="1637"/>
    <w:uiPriority w:val="0"/>
    <w:rPr>
      <w:rFonts w:ascii="宋体" w:hAnsi="宋体"/>
      <w:kern w:val="2"/>
      <w:sz w:val="24"/>
      <w:szCs w:val="24"/>
    </w:rPr>
  </w:style>
  <w:style w:type="character" w:customStyle="1" w:styleId="1639">
    <w:name w:val="a3 Char"/>
    <w:uiPriority w:val="0"/>
    <w:rPr>
      <w:rFonts w:eastAsia="楷体_GB2312"/>
      <w:b/>
      <w:kern w:val="2"/>
      <w:sz w:val="30"/>
      <w:szCs w:val="24"/>
      <w:lang w:val="en-US" w:eastAsia="zh-CN" w:bidi="ar-SA"/>
    </w:rPr>
  </w:style>
  <w:style w:type="character" w:customStyle="1" w:styleId="1640">
    <w:name w:val="jbm正文 Char"/>
    <w:link w:val="1115"/>
    <w:uiPriority w:val="0"/>
    <w:rPr>
      <w:rFonts w:ascii="宋体" w:hAnsi="Arial"/>
      <w:kern w:val="2"/>
      <w:sz w:val="28"/>
      <w:szCs w:val="28"/>
    </w:rPr>
  </w:style>
  <w:style w:type="paragraph" w:customStyle="1" w:styleId="1641">
    <w:name w:val="FHDI中文报告正文缩进"/>
    <w:basedOn w:val="1"/>
    <w:next w:val="1"/>
    <w:link w:val="1642"/>
    <w:uiPriority w:val="0"/>
    <w:pPr>
      <w:adjustRightInd w:val="0"/>
      <w:snapToGrid w:val="0"/>
      <w:spacing w:line="360" w:lineRule="auto"/>
      <w:ind w:firstLine="480" w:firstLineChars="200"/>
    </w:pPr>
    <w:rPr>
      <w:kern w:val="0"/>
      <w:sz w:val="24"/>
    </w:rPr>
  </w:style>
  <w:style w:type="character" w:customStyle="1" w:styleId="1642">
    <w:name w:val="FHDI中文报告正文缩进 Char"/>
    <w:link w:val="1641"/>
    <w:uiPriority w:val="0"/>
    <w:rPr>
      <w:sz w:val="24"/>
      <w:szCs w:val="24"/>
    </w:rPr>
  </w:style>
  <w:style w:type="character" w:customStyle="1" w:styleId="1643">
    <w:name w:val="样式2 Char"/>
    <w:link w:val="886"/>
    <w:uiPriority w:val="0"/>
    <w:rPr>
      <w:rFonts w:ascii="宋体" w:hAnsi="Courier New"/>
      <w:color w:val="993366"/>
      <w:kern w:val="24"/>
      <w:szCs w:val="24"/>
    </w:rPr>
  </w:style>
  <w:style w:type="paragraph" w:customStyle="1" w:styleId="1644">
    <w:name w:val="表文"/>
    <w:uiPriority w:val="0"/>
    <w:pPr>
      <w:spacing w:line="320" w:lineRule="atLeast"/>
    </w:pPr>
    <w:rPr>
      <w:rFonts w:ascii="Times New Roman" w:hAnsi="Times New Roman" w:eastAsia="宋体" w:cs="Times New Roman"/>
      <w:sz w:val="21"/>
      <w:lang w:val="en-US" w:eastAsia="zh-CN" w:bidi="ar-SA"/>
    </w:rPr>
  </w:style>
  <w:style w:type="character" w:customStyle="1" w:styleId="1645">
    <w:name w:val="HTML 预设格式 Char"/>
    <w:uiPriority w:val="0"/>
    <w:rPr>
      <w:rFonts w:ascii="宋体" w:hAnsi="宋体" w:eastAsia="宋体" w:cs="宋体"/>
      <w:sz w:val="24"/>
      <w:szCs w:val="24"/>
    </w:rPr>
  </w:style>
  <w:style w:type="paragraph" w:customStyle="1" w:styleId="1646">
    <w:name w:val="(1)"/>
    <w:basedOn w:val="1"/>
    <w:uiPriority w:val="0"/>
    <w:pPr>
      <w:spacing w:line="360" w:lineRule="auto"/>
      <w:ind w:firstLine="224" w:firstLineChars="224"/>
    </w:pPr>
    <w:rPr>
      <w:rFonts w:ascii="宋体" w:hAnsi="宋体"/>
      <w:b/>
      <w:sz w:val="24"/>
    </w:rPr>
  </w:style>
  <w:style w:type="paragraph" w:customStyle="1" w:styleId="1647">
    <w:name w:val="样式 宋体 小四 黑色 首行缩进:  2字符 行距: 1.5 倍行距1"/>
    <w:basedOn w:val="1"/>
    <w:uiPriority w:val="0"/>
    <w:pPr>
      <w:autoSpaceDE w:val="0"/>
      <w:autoSpaceDN w:val="0"/>
      <w:adjustRightInd w:val="0"/>
      <w:snapToGrid w:val="0"/>
      <w:spacing w:line="360" w:lineRule="auto"/>
      <w:ind w:firstLine="200" w:firstLineChars="200"/>
    </w:pPr>
    <w:rPr>
      <w:rFonts w:ascii="宋体" w:hAnsi="宋体"/>
      <w:color w:val="000000"/>
      <w:sz w:val="24"/>
      <w:szCs w:val="20"/>
    </w:rPr>
  </w:style>
  <w:style w:type="character" w:customStyle="1" w:styleId="1648">
    <w:name w:val="p11"/>
    <w:uiPriority w:val="0"/>
    <w:rPr>
      <w:rFonts w:hint="eastAsia" w:ascii="宋体" w:hAnsi="宋体" w:eastAsia="宋体"/>
      <w:sz w:val="18"/>
      <w:szCs w:val="18"/>
    </w:rPr>
  </w:style>
  <w:style w:type="paragraph" w:customStyle="1" w:styleId="1649">
    <w:name w:val="table1"/>
    <w:basedOn w:val="1"/>
    <w:uiPriority w:val="0"/>
    <w:pPr>
      <w:adjustRightInd w:val="0"/>
      <w:spacing w:line="240" w:lineRule="atLeast"/>
      <w:jc w:val="center"/>
      <w:textAlignment w:val="baseline"/>
    </w:pPr>
    <w:rPr>
      <w:rFonts w:eastAsia="黑体"/>
      <w:kern w:val="0"/>
      <w:sz w:val="24"/>
    </w:rPr>
  </w:style>
  <w:style w:type="paragraph" w:customStyle="1" w:styleId="1650">
    <w:name w:val="样式1.1.1"/>
    <w:basedOn w:val="1"/>
    <w:uiPriority w:val="0"/>
    <w:pPr>
      <w:spacing w:line="460" w:lineRule="exact"/>
    </w:pPr>
    <w:rPr>
      <w:b/>
      <w:sz w:val="28"/>
      <w:szCs w:val="20"/>
    </w:rPr>
  </w:style>
  <w:style w:type="paragraph" w:customStyle="1" w:styleId="1651">
    <w:name w:val="表格文本"/>
    <w:basedOn w:val="1"/>
    <w:next w:val="1"/>
    <w:uiPriority w:val="0"/>
    <w:pPr>
      <w:adjustRightInd w:val="0"/>
      <w:snapToGrid w:val="0"/>
      <w:spacing w:line="240" w:lineRule="exact"/>
    </w:pPr>
    <w:rPr>
      <w:szCs w:val="20"/>
    </w:rPr>
  </w:style>
  <w:style w:type="paragraph" w:customStyle="1" w:styleId="1652">
    <w:name w:val="样式 仿宋_GB2312 四号 两端对齐 行距: 固定值 26 磅"/>
    <w:basedOn w:val="1"/>
    <w:uiPriority w:val="0"/>
    <w:pPr>
      <w:adjustRightInd w:val="0"/>
      <w:spacing w:line="360" w:lineRule="auto"/>
      <w:ind w:firstLine="567"/>
      <w:textAlignment w:val="baseline"/>
    </w:pPr>
    <w:rPr>
      <w:rFonts w:ascii="仿宋_GB2312" w:eastAsia="仿宋_GB2312" w:cs="宋体"/>
      <w:kern w:val="0"/>
      <w:sz w:val="28"/>
      <w:szCs w:val="20"/>
    </w:rPr>
  </w:style>
  <w:style w:type="paragraph" w:customStyle="1" w:styleId="1653">
    <w:name w:val="样式 标题 3条标题1.1.1 + Times New Roman"/>
    <w:basedOn w:val="5"/>
    <w:link w:val="1654"/>
    <w:uiPriority w:val="0"/>
    <w:pPr>
      <w:keepLines/>
      <w:tabs>
        <w:tab w:val="clear" w:pos="360"/>
      </w:tabs>
      <w:adjustRightInd/>
      <w:snapToGrid/>
      <w:spacing w:beforeLines="50" w:afterLines="20" w:line="520" w:lineRule="exact"/>
      <w:ind w:left="0" w:firstLine="0" w:firstLineChars="0"/>
    </w:pPr>
    <w:rPr>
      <w:rFonts w:eastAsia="宋体"/>
      <w:b/>
    </w:rPr>
  </w:style>
  <w:style w:type="character" w:customStyle="1" w:styleId="1654">
    <w:name w:val="样式 标题 3条标题1.1.1 + Times New Roman Char"/>
    <w:link w:val="1653"/>
    <w:uiPriority w:val="0"/>
    <w:rPr>
      <w:rFonts w:ascii="Arial" w:hAnsi="Arial"/>
      <w:b/>
      <w:bCs/>
      <w:kern w:val="2"/>
      <w:sz w:val="24"/>
      <w:szCs w:val="24"/>
    </w:rPr>
  </w:style>
  <w:style w:type="character" w:customStyle="1" w:styleId="1655">
    <w:name w:val="yxJump"/>
    <w:uiPriority w:val="0"/>
    <w:rPr>
      <w:rFonts w:ascii="Courier New" w:hAnsi="Courier New"/>
      <w:color w:val="008080"/>
    </w:rPr>
  </w:style>
  <w:style w:type="paragraph" w:customStyle="1" w:styleId="1656">
    <w:name w:val="样式 居中"/>
    <w:basedOn w:val="1"/>
    <w:uiPriority w:val="0"/>
    <w:pPr>
      <w:spacing w:line="360" w:lineRule="auto"/>
      <w:jc w:val="center"/>
    </w:pPr>
    <w:rPr>
      <w:sz w:val="24"/>
      <w:szCs w:val="20"/>
    </w:rPr>
  </w:style>
  <w:style w:type="paragraph" w:customStyle="1" w:styleId="1657">
    <w:name w:val="样式 四号 行距: 固定值 28 磅"/>
    <w:basedOn w:val="1"/>
    <w:link w:val="1928"/>
    <w:uiPriority w:val="0"/>
    <w:pPr>
      <w:spacing w:line="600" w:lineRule="exact"/>
      <w:ind w:firstLine="200" w:firstLineChars="200"/>
    </w:pPr>
    <w:rPr>
      <w:sz w:val="28"/>
      <w:szCs w:val="20"/>
    </w:rPr>
  </w:style>
  <w:style w:type="paragraph" w:customStyle="1" w:styleId="1658">
    <w:name w:val="Char Char Char Char Char Char Char Char Char Char Char Char Char Char Char Char Char Char Char Char Char Char Char Char Char"/>
    <w:basedOn w:val="1"/>
    <w:uiPriority w:val="0"/>
  </w:style>
  <w:style w:type="character" w:customStyle="1" w:styleId="1659">
    <w:name w:val="正文张继伟 Char"/>
    <w:link w:val="1445"/>
    <w:uiPriority w:val="0"/>
    <w:rPr>
      <w:kern w:val="2"/>
      <w:sz w:val="24"/>
      <w:szCs w:val="24"/>
    </w:rPr>
  </w:style>
  <w:style w:type="character" w:customStyle="1" w:styleId="1660">
    <w:name w:val="postbody1"/>
    <w:uiPriority w:val="0"/>
    <w:rPr>
      <w:sz w:val="21"/>
      <w:szCs w:val="21"/>
    </w:rPr>
  </w:style>
  <w:style w:type="paragraph" w:customStyle="1" w:styleId="1661">
    <w:name w:val="bt3"/>
    <w:basedOn w:val="5"/>
    <w:semiHidden/>
    <w:uiPriority w:val="0"/>
    <w:pPr>
      <w:keepLines/>
      <w:tabs>
        <w:tab w:val="clear" w:pos="360"/>
      </w:tabs>
      <w:adjustRightInd/>
      <w:snapToGrid/>
      <w:spacing w:afterLines="50"/>
      <w:ind w:left="0" w:firstLine="0" w:firstLineChars="0"/>
    </w:pPr>
    <w:rPr>
      <w:rFonts w:eastAsia="宋体"/>
      <w:bCs w:val="0"/>
      <w:sz w:val="28"/>
      <w:szCs w:val="20"/>
    </w:rPr>
  </w:style>
  <w:style w:type="paragraph" w:customStyle="1" w:styleId="1662">
    <w:name w:val="样式 标题 2 + Times New Roman 左侧:  0 厘米 悬挂缩进: 5.67 字符"/>
    <w:basedOn w:val="4"/>
    <w:uiPriority w:val="0"/>
    <w:pPr>
      <w:tabs>
        <w:tab w:val="clear" w:pos="360"/>
      </w:tabs>
      <w:adjustRightInd w:val="0"/>
      <w:snapToGrid w:val="0"/>
      <w:spacing w:beforeLines="100" w:afterLines="100" w:line="420" w:lineRule="auto"/>
      <w:ind w:left="0" w:firstLine="0" w:firstLineChars="0"/>
    </w:pPr>
    <w:rPr>
      <w:rFonts w:ascii="Times New Roman" w:hAnsi="Times New Roman" w:cs="宋体"/>
      <w:szCs w:val="20"/>
    </w:rPr>
  </w:style>
  <w:style w:type="character" w:customStyle="1" w:styleId="1663">
    <w:name w:val="datatitle1"/>
    <w:uiPriority w:val="0"/>
    <w:rPr>
      <w:b/>
      <w:bCs/>
      <w:color w:val="10619F"/>
      <w:sz w:val="19"/>
      <w:szCs w:val="19"/>
    </w:rPr>
  </w:style>
  <w:style w:type="table" w:customStyle="1" w:styleId="1664">
    <w:name w:val="毛的表格"/>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paragraph" w:customStyle="1" w:styleId="1665">
    <w:name w:val="样式 标题 3段标题. (1.1.1)标题 3 Char Char Char Char标题 3 Char Char Ch..."/>
    <w:basedOn w:val="5"/>
    <w:uiPriority w:val="0"/>
    <w:pPr>
      <w:keepLines/>
      <w:tabs>
        <w:tab w:val="clear" w:pos="360"/>
      </w:tabs>
      <w:adjustRightInd/>
      <w:snapToGrid/>
      <w:spacing w:before="300"/>
      <w:ind w:left="0" w:firstLine="0" w:firstLineChars="0"/>
    </w:pPr>
    <w:rPr>
      <w:rFonts w:eastAsia="黑体" w:cs="宋体"/>
      <w:b/>
      <w:sz w:val="28"/>
      <w:szCs w:val="20"/>
    </w:rPr>
  </w:style>
  <w:style w:type="paragraph" w:customStyle="1" w:styleId="1666">
    <w:name w:val="样式 样式 标题 3标题3 + + (西文) Times New Roman (中文) 宋体1"/>
    <w:basedOn w:val="1"/>
    <w:link w:val="1667"/>
    <w:uiPriority w:val="0"/>
    <w:pPr>
      <w:keepNext/>
      <w:keepLines/>
      <w:spacing w:before="260" w:afterLines="50" w:line="400" w:lineRule="atLeast"/>
      <w:outlineLvl w:val="2"/>
    </w:pPr>
    <w:rPr>
      <w:rFonts w:eastAsia="黑体"/>
      <w:b/>
      <w:bCs/>
      <w:kern w:val="0"/>
      <w:sz w:val="24"/>
      <w:szCs w:val="20"/>
    </w:rPr>
  </w:style>
  <w:style w:type="character" w:customStyle="1" w:styleId="1667">
    <w:name w:val="样式 样式 标题 3标题3 + + (西文) Times New Roman (中文) 宋体1 Char"/>
    <w:link w:val="1666"/>
    <w:uiPriority w:val="0"/>
    <w:rPr>
      <w:rFonts w:eastAsia="黑体"/>
      <w:b/>
      <w:bCs/>
      <w:sz w:val="24"/>
    </w:rPr>
  </w:style>
  <w:style w:type="paragraph" w:customStyle="1" w:styleId="1668">
    <w:name w:val="Char Char Char Char Char Char Char Char Char Char Char Char Char Char Char Char Char Char Char Char Char Char Char Char"/>
    <w:basedOn w:val="1"/>
    <w:uiPriority w:val="0"/>
    <w:pPr>
      <w:spacing w:line="360" w:lineRule="auto"/>
      <w:ind w:firstLine="200" w:firstLineChars="200"/>
    </w:pPr>
    <w:rPr>
      <w:rFonts w:ascii="宋体" w:hAnsi="宋体" w:cs="宋体"/>
      <w:sz w:val="24"/>
    </w:rPr>
  </w:style>
  <w:style w:type="paragraph" w:customStyle="1" w:styleId="1669">
    <w:name w:val="正文2002"/>
    <w:basedOn w:val="1"/>
    <w:uiPriority w:val="0"/>
    <w:pPr>
      <w:widowControl/>
      <w:spacing w:line="320" w:lineRule="exact"/>
      <w:jc w:val="center"/>
    </w:pPr>
    <w:rPr>
      <w:rFonts w:ascii="宋体" w:hAnsi="宋体"/>
      <w:color w:val="0000FF"/>
      <w:kern w:val="0"/>
      <w:szCs w:val="21"/>
    </w:rPr>
  </w:style>
  <w:style w:type="character" w:customStyle="1" w:styleId="1670">
    <w:name w:val="样式 仿宋_GB2312 小四"/>
    <w:uiPriority w:val="0"/>
    <w:rPr>
      <w:rFonts w:ascii="仿宋_GB2312" w:hAnsi="仿宋_GB2312" w:eastAsia="仿宋_GB2312"/>
      <w:sz w:val="28"/>
    </w:rPr>
  </w:style>
  <w:style w:type="paragraph" w:customStyle="1" w:styleId="1671">
    <w:name w:val="正文首行缩进 2 + Times New Roman"/>
    <w:basedOn w:val="1"/>
    <w:uiPriority w:val="0"/>
    <w:pPr>
      <w:tabs>
        <w:tab w:val="left" w:pos="0"/>
        <w:tab w:val="left" w:pos="870"/>
        <w:tab w:val="left" w:pos="3150"/>
      </w:tabs>
      <w:autoSpaceDE w:val="0"/>
      <w:autoSpaceDN w:val="0"/>
      <w:spacing w:line="360" w:lineRule="auto"/>
      <w:ind w:firstLine="480" w:firstLineChars="200"/>
      <w:jc w:val="left"/>
    </w:pPr>
    <w:rPr>
      <w:kern w:val="0"/>
      <w:sz w:val="24"/>
    </w:rPr>
  </w:style>
  <w:style w:type="character" w:customStyle="1" w:styleId="1672">
    <w:name w:val="实德题注 Char Char"/>
    <w:uiPriority w:val="0"/>
    <w:rPr>
      <w:rFonts w:ascii="宋体" w:hAnsi="宋体" w:eastAsia="宋体" w:cs="Arial"/>
      <w:kern w:val="2"/>
      <w:sz w:val="24"/>
      <w:lang w:val="en-US" w:eastAsia="zh-CN" w:bidi="ar-SA"/>
    </w:rPr>
  </w:style>
  <w:style w:type="table" w:customStyle="1" w:styleId="1673">
    <w:name w:val="网格型刘2"/>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character" w:customStyle="1" w:styleId="1674">
    <w:name w:val="环评正文 Char"/>
    <w:link w:val="1303"/>
    <w:uiPriority w:val="0"/>
    <w:rPr>
      <w:rFonts w:ascii="宋体" w:cs="宋体"/>
      <w:kern w:val="2"/>
      <w:sz w:val="21"/>
      <w:szCs w:val="24"/>
    </w:rPr>
  </w:style>
  <w:style w:type="character" w:customStyle="1" w:styleId="1675">
    <w:name w:val="show_page_left"/>
    <w:uiPriority w:val="0"/>
  </w:style>
  <w:style w:type="paragraph" w:customStyle="1" w:styleId="1676">
    <w:name w:val="样式 标题 2 + (西文) Times New Roman (中文) 宋体 加粗 段后: 2 磅 行距: 单倍行距"/>
    <w:basedOn w:val="4"/>
    <w:uiPriority w:val="0"/>
    <w:pPr>
      <w:keepNext w:val="0"/>
      <w:keepLines w:val="0"/>
      <w:tabs>
        <w:tab w:val="left" w:pos="-3"/>
        <w:tab w:val="clear" w:pos="360"/>
      </w:tabs>
      <w:spacing w:before="190" w:afterLines="50" w:line="500" w:lineRule="exact"/>
      <w:ind w:left="0" w:firstLine="0" w:firstLineChars="0"/>
    </w:pPr>
    <w:rPr>
      <w:rFonts w:ascii="黑体" w:hAnsi="Times New Roman" w:cs="宋体"/>
      <w:bCs w:val="0"/>
      <w:sz w:val="28"/>
      <w:szCs w:val="20"/>
    </w:rPr>
  </w:style>
  <w:style w:type="paragraph" w:customStyle="1" w:styleId="1677">
    <w:name w:val="样式 标题 3 + (西文) Times New Roman (中文) 宋体 行距: 固定值 24 磅1"/>
    <w:basedOn w:val="5"/>
    <w:uiPriority w:val="0"/>
    <w:pPr>
      <w:keepNext w:val="0"/>
      <w:tabs>
        <w:tab w:val="left" w:pos="0"/>
        <w:tab w:val="clear" w:pos="360"/>
      </w:tabs>
      <w:adjustRightInd/>
      <w:snapToGrid/>
      <w:spacing w:line="500" w:lineRule="exact"/>
      <w:ind w:left="0" w:firstLine="562"/>
    </w:pPr>
    <w:rPr>
      <w:rFonts w:ascii="Times New Roman" w:hAnsi="Times New Roman" w:eastAsia="宋体"/>
      <w:sz w:val="28"/>
      <w:szCs w:val="20"/>
    </w:rPr>
  </w:style>
  <w:style w:type="character" w:customStyle="1" w:styleId="1678">
    <w:name w:val="样式 标题 3 + (西文) Times New Roman (中文) 宋体 Char"/>
    <w:uiPriority w:val="0"/>
    <w:rPr>
      <w:rFonts w:ascii="仿宋_GB2312" w:eastAsia="宋体"/>
      <w:b/>
      <w:bCs/>
      <w:kern w:val="2"/>
      <w:sz w:val="28"/>
      <w:lang w:val="en-US" w:eastAsia="zh-CN" w:bidi="ar-SA"/>
    </w:rPr>
  </w:style>
  <w:style w:type="paragraph" w:customStyle="1" w:styleId="1679">
    <w:name w:val="正文+首行缩进"/>
    <w:basedOn w:val="1"/>
    <w:link w:val="1680"/>
    <w:uiPriority w:val="0"/>
    <w:pPr>
      <w:overflowPunct w:val="0"/>
      <w:topLinePunct/>
      <w:adjustRightInd w:val="0"/>
      <w:spacing w:line="460" w:lineRule="atLeast"/>
      <w:ind w:firstLine="200" w:firstLineChars="200"/>
      <w:jc w:val="left"/>
      <w:textAlignment w:val="baseline"/>
    </w:pPr>
    <w:rPr>
      <w:kern w:val="0"/>
      <w:sz w:val="28"/>
      <w:szCs w:val="20"/>
    </w:rPr>
  </w:style>
  <w:style w:type="character" w:customStyle="1" w:styleId="1680">
    <w:name w:val="正文+首行缩进 Char"/>
    <w:link w:val="1679"/>
    <w:uiPriority w:val="0"/>
    <w:rPr>
      <w:sz w:val="28"/>
    </w:rPr>
  </w:style>
  <w:style w:type="paragraph" w:customStyle="1" w:styleId="1681">
    <w:name w:val="样式 正文首行缩进 + 首行缩进:  1 字符"/>
    <w:basedOn w:val="86"/>
    <w:uiPriority w:val="0"/>
    <w:pPr>
      <w:overflowPunct w:val="0"/>
      <w:topLinePunct/>
      <w:adjustRightInd w:val="0"/>
      <w:spacing w:after="0" w:line="480" w:lineRule="exact"/>
      <w:ind w:firstLine="599" w:firstLineChars="214"/>
      <w:jc w:val="left"/>
      <w:textAlignment w:val="baseline"/>
    </w:pPr>
    <w:rPr>
      <w:rFonts w:cs="宋体"/>
      <w:kern w:val="0"/>
      <w:sz w:val="28"/>
      <w:szCs w:val="20"/>
    </w:rPr>
  </w:style>
  <w:style w:type="paragraph" w:customStyle="1" w:styleId="1682">
    <w:name w:val="样式 标题 3 + (西文) Times New Roman (中文) 宋体 行距: 固定值 24 磅"/>
    <w:basedOn w:val="5"/>
    <w:uiPriority w:val="0"/>
    <w:pPr>
      <w:keepNext w:val="0"/>
      <w:tabs>
        <w:tab w:val="left" w:pos="0"/>
        <w:tab w:val="clear" w:pos="360"/>
      </w:tabs>
      <w:adjustRightInd/>
      <w:snapToGrid/>
      <w:spacing w:line="480" w:lineRule="exact"/>
      <w:ind w:left="0" w:firstLine="627" w:firstLineChars="224"/>
    </w:pPr>
    <w:rPr>
      <w:rFonts w:ascii="宋体" w:hAnsi="宋体" w:eastAsia="宋体" w:cs="宋体"/>
      <w:sz w:val="28"/>
      <w:szCs w:val="28"/>
    </w:rPr>
  </w:style>
  <w:style w:type="character" w:customStyle="1" w:styleId="1683">
    <w:name w:val="样式 正文缩进 + 首行缩进:  2 字符 Char"/>
    <w:link w:val="874"/>
    <w:uiPriority w:val="0"/>
    <w:rPr>
      <w:rFonts w:cs="宋体"/>
      <w:sz w:val="28"/>
    </w:rPr>
  </w:style>
  <w:style w:type="character" w:customStyle="1" w:styleId="1684">
    <w:name w:val="3zw1"/>
    <w:uiPriority w:val="0"/>
    <w:rPr>
      <w:color w:val="000000"/>
      <w:spacing w:val="360"/>
      <w:sz w:val="21"/>
      <w:szCs w:val="21"/>
    </w:rPr>
  </w:style>
  <w:style w:type="paragraph" w:customStyle="1" w:styleId="1685">
    <w:name w:val="样式 样式 正文缩进文本条款表格标题正文（首行缩进两字） Char Char Char Char Char Char Char...."/>
    <w:basedOn w:val="1"/>
    <w:uiPriority w:val="0"/>
    <w:pPr>
      <w:adjustRightInd w:val="0"/>
      <w:snapToGrid w:val="0"/>
      <w:spacing w:line="520" w:lineRule="atLeast"/>
      <w:ind w:firstLine="549" w:firstLineChars="200"/>
    </w:pPr>
    <w:rPr>
      <w:rFonts w:cs="宋体"/>
      <w:color w:val="000000"/>
      <w:sz w:val="28"/>
      <w:szCs w:val="20"/>
    </w:rPr>
  </w:style>
  <w:style w:type="paragraph" w:customStyle="1" w:styleId="1686">
    <w:name w:val="样式 标题 3 + (西文) Times New Roman (中文) 宋体 行距: 固定值 24 磅2"/>
    <w:basedOn w:val="5"/>
    <w:uiPriority w:val="0"/>
    <w:pPr>
      <w:keepNext w:val="0"/>
      <w:tabs>
        <w:tab w:val="left" w:pos="0"/>
        <w:tab w:val="clear" w:pos="360"/>
      </w:tabs>
      <w:adjustRightInd/>
      <w:snapToGrid/>
      <w:spacing w:line="500" w:lineRule="exact"/>
      <w:ind w:left="0" w:firstLine="560"/>
    </w:pPr>
    <w:rPr>
      <w:rFonts w:ascii="Times New Roman" w:hAnsi="Times New Roman" w:eastAsia="宋体" w:cs="宋体"/>
      <w:sz w:val="28"/>
      <w:szCs w:val="20"/>
    </w:rPr>
  </w:style>
  <w:style w:type="paragraph" w:customStyle="1" w:styleId="1687">
    <w:name w:val="font10"/>
    <w:basedOn w:val="1"/>
    <w:uiPriority w:val="0"/>
    <w:pPr>
      <w:widowControl/>
      <w:spacing w:before="100" w:beforeAutospacing="1" w:after="100" w:afterAutospacing="1"/>
      <w:jc w:val="left"/>
    </w:pPr>
    <w:rPr>
      <w:rFonts w:eastAsia="Arial Unicode MS"/>
      <w:b/>
      <w:bCs/>
      <w:kern w:val="0"/>
      <w:sz w:val="22"/>
      <w:szCs w:val="22"/>
    </w:rPr>
  </w:style>
  <w:style w:type="paragraph" w:customStyle="1" w:styleId="1688">
    <w:name w:val="font11"/>
    <w:basedOn w:val="1"/>
    <w:uiPriority w:val="0"/>
    <w:pPr>
      <w:widowControl/>
      <w:spacing w:before="100" w:beforeAutospacing="1" w:after="100" w:afterAutospacing="1"/>
      <w:jc w:val="left"/>
    </w:pPr>
    <w:rPr>
      <w:rFonts w:eastAsia="Arial Unicode MS"/>
      <w:kern w:val="0"/>
      <w:sz w:val="22"/>
      <w:szCs w:val="22"/>
    </w:rPr>
  </w:style>
  <w:style w:type="paragraph" w:customStyle="1" w:styleId="1689">
    <w:name w:val="font12"/>
    <w:basedOn w:val="1"/>
    <w:uiPriority w:val="0"/>
    <w:pPr>
      <w:widowControl/>
      <w:spacing w:before="100" w:beforeAutospacing="1" w:after="100" w:afterAutospacing="1"/>
      <w:jc w:val="left"/>
    </w:pPr>
    <w:rPr>
      <w:rFonts w:hint="eastAsia" w:ascii="宋体" w:hAnsi="宋体" w:cs="Arial Unicode MS"/>
      <w:kern w:val="0"/>
      <w:sz w:val="22"/>
      <w:szCs w:val="22"/>
    </w:rPr>
  </w:style>
  <w:style w:type="paragraph" w:customStyle="1" w:styleId="1690">
    <w:name w:val="样式 样式 样式3 + 首行缩进:  3.01 字符 + 首行缩进:  2 字符"/>
    <w:basedOn w:val="1"/>
    <w:uiPriority w:val="0"/>
    <w:pPr>
      <w:autoSpaceDE w:val="0"/>
      <w:autoSpaceDN w:val="0"/>
      <w:adjustRightInd w:val="0"/>
      <w:snapToGrid w:val="0"/>
      <w:spacing w:line="480" w:lineRule="exact"/>
      <w:ind w:firstLine="560" w:firstLineChars="200"/>
    </w:pPr>
    <w:rPr>
      <w:rFonts w:ascii="宋体" w:hAnsi="宋体" w:cs="宋体"/>
      <w:sz w:val="28"/>
      <w:szCs w:val="20"/>
    </w:rPr>
  </w:style>
  <w:style w:type="paragraph" w:customStyle="1" w:styleId="1691">
    <w:name w:val="表格小四"/>
    <w:basedOn w:val="1"/>
    <w:uiPriority w:val="0"/>
    <w:pPr>
      <w:adjustRightInd w:val="0"/>
      <w:snapToGrid w:val="0"/>
      <w:spacing w:line="480" w:lineRule="exact"/>
    </w:pPr>
    <w:rPr>
      <w:rFonts w:ascii="宋体" w:hAnsi="宋体"/>
      <w:sz w:val="24"/>
    </w:rPr>
  </w:style>
  <w:style w:type="character" w:customStyle="1" w:styleId="1692">
    <w:name w:val="表格小四 Char"/>
    <w:uiPriority w:val="0"/>
    <w:rPr>
      <w:rFonts w:ascii="宋体" w:hAnsi="宋体" w:eastAsia="宋体"/>
      <w:kern w:val="2"/>
      <w:sz w:val="24"/>
      <w:szCs w:val="24"/>
      <w:lang w:val="en-US" w:eastAsia="zh-CN" w:bidi="ar-SA"/>
    </w:rPr>
  </w:style>
  <w:style w:type="paragraph" w:customStyle="1" w:styleId="1693">
    <w:name w:val="样式 标题 1 + 黑体 段前: 15 磅 段后: 15 磅 行距: 单倍行距"/>
    <w:basedOn w:val="3"/>
    <w:uiPriority w:val="0"/>
    <w:pPr>
      <w:keepLines/>
      <w:tabs>
        <w:tab w:val="left" w:pos="1794"/>
        <w:tab w:val="clear" w:pos="360"/>
      </w:tabs>
      <w:adjustRightInd w:val="0"/>
      <w:snapToGrid w:val="0"/>
      <w:spacing w:before="300" w:after="300"/>
      <w:ind w:left="0" w:firstLine="0" w:firstLineChars="0"/>
    </w:pPr>
    <w:rPr>
      <w:rFonts w:ascii="黑体" w:hAnsi="黑体" w:eastAsia="黑体" w:cs="宋体"/>
      <w:b/>
      <w:bCs/>
      <w:kern w:val="44"/>
      <w:sz w:val="44"/>
      <w:szCs w:val="20"/>
    </w:rPr>
  </w:style>
  <w:style w:type="paragraph" w:customStyle="1" w:styleId="1694">
    <w:name w:val="样式 标题 3 + (西文) Times New Roman (中文) 宋体 段前: 12.5 磅 行距: 固定值 24 磅"/>
    <w:basedOn w:val="5"/>
    <w:uiPriority w:val="0"/>
    <w:pPr>
      <w:keepNext w:val="0"/>
      <w:tabs>
        <w:tab w:val="left" w:pos="1560"/>
        <w:tab w:val="clear" w:pos="360"/>
      </w:tabs>
      <w:adjustRightInd/>
      <w:snapToGrid/>
      <w:spacing w:before="250" w:line="480" w:lineRule="exact"/>
      <w:ind w:left="0" w:firstLine="0" w:firstLineChars="0"/>
    </w:pPr>
    <w:rPr>
      <w:rFonts w:ascii="Times New Roman" w:hAnsi="Times New Roman" w:eastAsia="宋体" w:cs="宋体"/>
      <w:b/>
      <w:sz w:val="28"/>
      <w:szCs w:val="20"/>
    </w:rPr>
  </w:style>
  <w:style w:type="paragraph" w:customStyle="1" w:styleId="1695">
    <w:name w:val="样式 标题 3 + (西文) Times New Roman (中文) 宋体"/>
    <w:basedOn w:val="5"/>
    <w:uiPriority w:val="0"/>
    <w:pPr>
      <w:keepNext w:val="0"/>
      <w:tabs>
        <w:tab w:val="left" w:pos="1560"/>
        <w:tab w:val="clear" w:pos="360"/>
      </w:tabs>
      <w:adjustRightInd/>
      <w:snapToGrid/>
      <w:spacing w:line="560" w:lineRule="atLeast"/>
      <w:ind w:left="0" w:firstLine="630" w:firstLineChars="224"/>
    </w:pPr>
    <w:rPr>
      <w:rFonts w:ascii="Times New Roman" w:hAnsi="Times New Roman" w:eastAsia="宋体"/>
      <w:b/>
      <w:sz w:val="28"/>
      <w:szCs w:val="20"/>
    </w:rPr>
  </w:style>
  <w:style w:type="paragraph" w:customStyle="1" w:styleId="1696">
    <w:name w:val="正文首行缩进 + 首行缩进:  2 字符"/>
    <w:basedOn w:val="1"/>
    <w:uiPriority w:val="0"/>
    <w:pPr>
      <w:overflowPunct w:val="0"/>
      <w:topLinePunct/>
      <w:adjustRightInd w:val="0"/>
      <w:spacing w:line="460" w:lineRule="atLeast"/>
      <w:ind w:firstLine="480" w:firstLineChars="200"/>
      <w:jc w:val="left"/>
      <w:textAlignment w:val="baseline"/>
    </w:pPr>
    <w:rPr>
      <w:rFonts w:cs="宋体"/>
      <w:kern w:val="0"/>
      <w:sz w:val="28"/>
      <w:szCs w:val="20"/>
    </w:rPr>
  </w:style>
  <w:style w:type="paragraph" w:customStyle="1" w:styleId="1697">
    <w:name w:val="表格比选"/>
    <w:basedOn w:val="1455"/>
    <w:uiPriority w:val="0"/>
    <w:pPr>
      <w:widowControl w:val="0"/>
      <w:overflowPunct w:val="0"/>
      <w:topLinePunct/>
      <w:adjustRightInd w:val="0"/>
      <w:spacing w:line="400" w:lineRule="exact"/>
      <w:jc w:val="left"/>
      <w:textAlignment w:val="baseline"/>
    </w:pPr>
    <w:rPr>
      <w:rFonts w:cs="Times New Roman"/>
      <w:kern w:val="0"/>
      <w:sz w:val="21"/>
      <w:szCs w:val="21"/>
    </w:rPr>
  </w:style>
  <w:style w:type="paragraph" w:customStyle="1" w:styleId="1698">
    <w:name w:val="样式 正文首行缩进 + 首行缩进:  1 字符2"/>
    <w:basedOn w:val="86"/>
    <w:uiPriority w:val="0"/>
    <w:pPr>
      <w:overflowPunct w:val="0"/>
      <w:topLinePunct/>
      <w:adjustRightInd w:val="0"/>
      <w:spacing w:after="0" w:line="480" w:lineRule="exact"/>
      <w:ind w:firstLine="524" w:firstLineChars="187"/>
      <w:jc w:val="left"/>
      <w:textAlignment w:val="baseline"/>
    </w:pPr>
    <w:rPr>
      <w:rFonts w:cs="宋体"/>
      <w:kern w:val="0"/>
      <w:sz w:val="28"/>
      <w:szCs w:val="20"/>
    </w:rPr>
  </w:style>
  <w:style w:type="paragraph" w:customStyle="1" w:styleId="1699">
    <w:name w:val="样式 正文首行缩进 + 首行缩进:  1 字符5"/>
    <w:basedOn w:val="86"/>
    <w:uiPriority w:val="0"/>
    <w:pPr>
      <w:overflowPunct w:val="0"/>
      <w:topLinePunct/>
      <w:adjustRightInd w:val="0"/>
      <w:spacing w:after="0" w:line="480" w:lineRule="exact"/>
      <w:ind w:firstLine="560" w:firstLineChars="200"/>
      <w:jc w:val="left"/>
      <w:textAlignment w:val="baseline"/>
    </w:pPr>
    <w:rPr>
      <w:rFonts w:cs="宋体"/>
      <w:kern w:val="0"/>
      <w:sz w:val="28"/>
      <w:szCs w:val="20"/>
    </w:rPr>
  </w:style>
  <w:style w:type="paragraph" w:customStyle="1" w:styleId="1700">
    <w:name w:val="样式 四号 正文 + 首行缩进:  2 字符1"/>
    <w:basedOn w:val="1"/>
    <w:uiPriority w:val="0"/>
    <w:pPr>
      <w:numPr>
        <w:ilvl w:val="0"/>
        <w:numId w:val="6"/>
      </w:numPr>
      <w:tabs>
        <w:tab w:val="clear" w:pos="144"/>
      </w:tabs>
      <w:spacing w:line="360" w:lineRule="auto"/>
      <w:ind w:left="0" w:firstLine="200" w:firstLineChars="200"/>
    </w:pPr>
    <w:rPr>
      <w:rFonts w:cs="宋体"/>
      <w:sz w:val="28"/>
      <w:szCs w:val="20"/>
    </w:rPr>
  </w:style>
  <w:style w:type="paragraph" w:customStyle="1" w:styleId="1701">
    <w:name w:val="样式 标题 1章标题 1b1H1PIM 1标书1-*+1st levelSection Headl1L1 H..."/>
    <w:basedOn w:val="3"/>
    <w:uiPriority w:val="0"/>
    <w:pPr>
      <w:keepLines/>
      <w:numPr>
        <w:ilvl w:val="0"/>
        <w:numId w:val="7"/>
      </w:numPr>
      <w:adjustRightInd w:val="0"/>
      <w:snapToGrid w:val="0"/>
      <w:spacing w:before="360" w:after="360" w:line="360" w:lineRule="auto"/>
      <w:ind w:firstLine="0" w:firstLineChars="0"/>
      <w:jc w:val="both"/>
    </w:pPr>
    <w:rPr>
      <w:rFonts w:eastAsia="黑体"/>
      <w:b/>
      <w:bCs/>
      <w:kern w:val="44"/>
      <w:sz w:val="28"/>
      <w:szCs w:val="44"/>
    </w:rPr>
  </w:style>
  <w:style w:type="paragraph" w:customStyle="1" w:styleId="1702">
    <w:name w:val="图名A"/>
    <w:basedOn w:val="1"/>
    <w:uiPriority w:val="0"/>
    <w:pPr>
      <w:widowControl/>
      <w:tabs>
        <w:tab w:val="left" w:pos="0"/>
      </w:tabs>
      <w:adjustRightInd w:val="0"/>
      <w:snapToGrid w:val="0"/>
      <w:spacing w:beforeLines="20" w:afterLines="80"/>
      <w:jc w:val="center"/>
    </w:pPr>
    <w:rPr>
      <w:b/>
      <w:snapToGrid w:val="0"/>
      <w:kern w:val="0"/>
      <w:szCs w:val="20"/>
    </w:rPr>
  </w:style>
  <w:style w:type="paragraph" w:customStyle="1" w:styleId="1703">
    <w:name w:val="样式 样式 列表 + 左侧:  0 厘米 悬挂缩进: 2 字符 + 段前: 0.5 行"/>
    <w:basedOn w:val="1"/>
    <w:uiPriority w:val="0"/>
    <w:pPr>
      <w:snapToGrid w:val="0"/>
      <w:spacing w:beforeLines="50" w:line="520" w:lineRule="atLeast"/>
      <w:jc w:val="center"/>
    </w:pPr>
    <w:rPr>
      <w:rFonts w:cs="宋体"/>
      <w:b/>
      <w:bCs/>
      <w:sz w:val="28"/>
      <w:szCs w:val="20"/>
    </w:rPr>
  </w:style>
  <w:style w:type="paragraph" w:customStyle="1" w:styleId="1704">
    <w:name w:val="样式 项目符号 +1"/>
    <w:basedOn w:val="1"/>
    <w:uiPriority w:val="0"/>
    <w:pPr>
      <w:tabs>
        <w:tab w:val="left" w:pos="0"/>
        <w:tab w:val="left" w:pos="620"/>
      </w:tabs>
      <w:snapToGrid w:val="0"/>
      <w:spacing w:line="520" w:lineRule="atLeast"/>
      <w:ind w:firstLine="567"/>
    </w:pPr>
    <w:rPr>
      <w:kern w:val="0"/>
      <w:sz w:val="28"/>
      <w:szCs w:val="20"/>
    </w:rPr>
  </w:style>
  <w:style w:type="paragraph" w:customStyle="1" w:styleId="1705">
    <w:name w:val="表头+times new roma"/>
    <w:basedOn w:val="1"/>
    <w:uiPriority w:val="0"/>
    <w:pPr>
      <w:spacing w:line="360" w:lineRule="auto"/>
      <w:ind w:firstLine="200" w:firstLineChars="200"/>
    </w:pPr>
    <w:rPr>
      <w:szCs w:val="20"/>
    </w:rPr>
  </w:style>
  <w:style w:type="paragraph" w:customStyle="1" w:styleId="1706">
    <w:name w:val="表头3"/>
    <w:basedOn w:val="1"/>
    <w:next w:val="21"/>
    <w:uiPriority w:val="0"/>
    <w:pPr>
      <w:numPr>
        <w:ilvl w:val="0"/>
        <w:numId w:val="8"/>
      </w:numPr>
      <w:tabs>
        <w:tab w:val="left" w:pos="930"/>
      </w:tabs>
      <w:snapToGrid w:val="0"/>
      <w:spacing w:before="109" w:line="520" w:lineRule="atLeast"/>
    </w:pPr>
    <w:rPr>
      <w:b/>
      <w:sz w:val="28"/>
      <w:szCs w:val="20"/>
    </w:rPr>
  </w:style>
  <w:style w:type="paragraph" w:customStyle="1" w:styleId="1707">
    <w:name w:val="样式 四号 首行缩进:  1.13 厘米 行距: 1.5 倍行距"/>
    <w:basedOn w:val="1"/>
    <w:uiPriority w:val="0"/>
    <w:pPr>
      <w:spacing w:line="360" w:lineRule="auto"/>
      <w:ind w:firstLine="640"/>
    </w:pPr>
    <w:rPr>
      <w:rFonts w:cs="宋体"/>
      <w:sz w:val="28"/>
      <w:szCs w:val="20"/>
    </w:rPr>
  </w:style>
  <w:style w:type="paragraph" w:customStyle="1" w:styleId="1708">
    <w:name w:val="Char Char Char Char Char Char Char Char Char Char Char Char1 Char"/>
    <w:basedOn w:val="1"/>
    <w:semiHidden/>
    <w:uiPriority w:val="0"/>
    <w:pPr>
      <w:spacing w:line="360" w:lineRule="auto"/>
      <w:ind w:firstLine="200" w:firstLineChars="200"/>
    </w:pPr>
    <w:rPr>
      <w:rFonts w:ascii="宋体" w:hAnsi="宋体" w:cs="宋体"/>
      <w:sz w:val="24"/>
    </w:rPr>
  </w:style>
  <w:style w:type="paragraph" w:customStyle="1" w:styleId="1709">
    <w:name w:val="样式 正文首行缩进 2 + 小四 首行缩进:  2 字符"/>
    <w:basedOn w:val="87"/>
    <w:uiPriority w:val="0"/>
    <w:pPr>
      <w:tabs>
        <w:tab w:val="left" w:pos="1560"/>
        <w:tab w:val="left" w:pos="1800"/>
      </w:tabs>
      <w:spacing w:after="0" w:line="360" w:lineRule="auto"/>
      <w:ind w:left="0" w:leftChars="0" w:firstLine="527" w:firstLineChars="0"/>
    </w:pPr>
    <w:rPr>
      <w:sz w:val="24"/>
    </w:rPr>
  </w:style>
  <w:style w:type="character" w:customStyle="1" w:styleId="1710">
    <w:name w:val="123YJ Char Char1"/>
    <w:uiPriority w:val="0"/>
    <w:rPr>
      <w:sz w:val="18"/>
      <w:szCs w:val="18"/>
    </w:rPr>
  </w:style>
  <w:style w:type="paragraph" w:customStyle="1" w:styleId="1711">
    <w:name w:val="8"/>
    <w:basedOn w:val="1"/>
    <w:next w:val="35"/>
    <w:uiPriority w:val="0"/>
    <w:pPr>
      <w:spacing w:afterLines="20" w:line="400" w:lineRule="exact"/>
      <w:ind w:firstLine="480" w:firstLineChars="200"/>
    </w:pPr>
    <w:rPr>
      <w:sz w:val="24"/>
    </w:rPr>
  </w:style>
  <w:style w:type="character" w:customStyle="1" w:styleId="1712">
    <w:name w:val="样式 小四3"/>
    <w:uiPriority w:val="0"/>
    <w:rPr>
      <w:sz w:val="24"/>
    </w:rPr>
  </w:style>
  <w:style w:type="paragraph" w:customStyle="1" w:styleId="1713">
    <w:name w:val="样式 LNG-正文 + 首行缩进:  2 字符"/>
    <w:basedOn w:val="1"/>
    <w:uiPriority w:val="0"/>
    <w:pPr>
      <w:spacing w:line="360" w:lineRule="auto"/>
      <w:ind w:firstLine="480" w:firstLineChars="200"/>
    </w:pPr>
    <w:rPr>
      <w:rFonts w:ascii="宋体" w:hAnsi="宋体"/>
      <w:kern w:val="0"/>
      <w:sz w:val="24"/>
      <w:szCs w:val="20"/>
    </w:rPr>
  </w:style>
  <w:style w:type="paragraph" w:customStyle="1" w:styleId="1714">
    <w:name w:val="FHDI中文报告二级标题"/>
    <w:basedOn w:val="1"/>
    <w:next w:val="1"/>
    <w:uiPriority w:val="0"/>
    <w:pPr>
      <w:numPr>
        <w:ilvl w:val="1"/>
        <w:numId w:val="9"/>
      </w:numPr>
      <w:adjustRightInd w:val="0"/>
      <w:snapToGrid w:val="0"/>
      <w:spacing w:beforeLines="50" w:afterLines="50" w:line="288" w:lineRule="auto"/>
      <w:outlineLvl w:val="1"/>
    </w:pPr>
    <w:rPr>
      <w:rFonts w:ascii="Arial" w:hAnsi="Arial"/>
      <w:b/>
      <w:sz w:val="28"/>
      <w:szCs w:val="28"/>
    </w:rPr>
  </w:style>
  <w:style w:type="paragraph" w:customStyle="1" w:styleId="1715">
    <w:name w:val="FHDI中文报告六级标题"/>
    <w:basedOn w:val="1"/>
    <w:next w:val="1"/>
    <w:uiPriority w:val="0"/>
    <w:pPr>
      <w:numPr>
        <w:ilvl w:val="5"/>
        <w:numId w:val="9"/>
      </w:numPr>
      <w:tabs>
        <w:tab w:val="left" w:pos="0"/>
      </w:tabs>
      <w:adjustRightInd w:val="0"/>
      <w:snapToGrid w:val="0"/>
      <w:spacing w:beforeLines="50" w:afterLines="50" w:line="288" w:lineRule="auto"/>
    </w:pPr>
    <w:rPr>
      <w:rFonts w:ascii="Arial" w:hAnsi="Arial"/>
      <w:sz w:val="28"/>
      <w:szCs w:val="28"/>
    </w:rPr>
  </w:style>
  <w:style w:type="paragraph" w:customStyle="1" w:styleId="1716">
    <w:name w:val="FHDI中文报告三级标题"/>
    <w:basedOn w:val="1"/>
    <w:next w:val="1"/>
    <w:link w:val="1720"/>
    <w:uiPriority w:val="0"/>
    <w:pPr>
      <w:numPr>
        <w:ilvl w:val="2"/>
        <w:numId w:val="9"/>
      </w:numPr>
      <w:adjustRightInd w:val="0"/>
      <w:snapToGrid w:val="0"/>
      <w:spacing w:beforeLines="50" w:afterLines="50" w:line="288" w:lineRule="auto"/>
      <w:outlineLvl w:val="2"/>
    </w:pPr>
    <w:rPr>
      <w:rFonts w:ascii="Arial" w:hAnsi="Arial"/>
      <w:b/>
      <w:sz w:val="28"/>
      <w:szCs w:val="28"/>
    </w:rPr>
  </w:style>
  <w:style w:type="paragraph" w:customStyle="1" w:styleId="1717">
    <w:name w:val="FHDI中文报告四级标题"/>
    <w:basedOn w:val="1"/>
    <w:next w:val="1"/>
    <w:uiPriority w:val="0"/>
    <w:pPr>
      <w:adjustRightInd w:val="0"/>
      <w:snapToGrid w:val="0"/>
      <w:spacing w:beforeLines="50" w:afterLines="50" w:line="288" w:lineRule="auto"/>
      <w:ind w:firstLine="482" w:firstLineChars="200"/>
      <w:outlineLvl w:val="3"/>
    </w:pPr>
    <w:rPr>
      <w:rFonts w:ascii="Arial" w:hAnsi="Arial"/>
      <w:b/>
      <w:color w:val="000000"/>
      <w:sz w:val="24"/>
    </w:rPr>
  </w:style>
  <w:style w:type="paragraph" w:customStyle="1" w:styleId="1718">
    <w:name w:val="FHDI中文报告五级标题"/>
    <w:basedOn w:val="1"/>
    <w:next w:val="1"/>
    <w:uiPriority w:val="0"/>
    <w:pPr>
      <w:numPr>
        <w:ilvl w:val="4"/>
        <w:numId w:val="9"/>
      </w:numPr>
      <w:tabs>
        <w:tab w:val="left" w:pos="900"/>
        <w:tab w:val="left" w:pos="1080"/>
      </w:tabs>
      <w:adjustRightInd w:val="0"/>
      <w:snapToGrid w:val="0"/>
      <w:spacing w:beforeLines="50" w:afterLines="50" w:line="288" w:lineRule="auto"/>
      <w:outlineLvl w:val="4"/>
    </w:pPr>
    <w:rPr>
      <w:rFonts w:ascii="Arial" w:hAnsi="Arial"/>
      <w:bCs/>
      <w:sz w:val="28"/>
      <w:szCs w:val="28"/>
    </w:rPr>
  </w:style>
  <w:style w:type="paragraph" w:customStyle="1" w:styleId="1719">
    <w:name w:val="FHDI中文报告一级标题"/>
    <w:basedOn w:val="1"/>
    <w:next w:val="1"/>
    <w:uiPriority w:val="0"/>
    <w:pPr>
      <w:numPr>
        <w:ilvl w:val="0"/>
        <w:numId w:val="9"/>
      </w:numPr>
      <w:adjustRightInd w:val="0"/>
      <w:snapToGrid w:val="0"/>
      <w:spacing w:beforeLines="100" w:afterLines="50" w:line="288" w:lineRule="auto"/>
      <w:jc w:val="center"/>
      <w:outlineLvl w:val="0"/>
    </w:pPr>
    <w:rPr>
      <w:rFonts w:ascii="Arial" w:hAnsi="Arial"/>
      <w:b/>
      <w:bCs/>
      <w:sz w:val="32"/>
      <w:szCs w:val="32"/>
    </w:rPr>
  </w:style>
  <w:style w:type="character" w:customStyle="1" w:styleId="1720">
    <w:name w:val="FHDI中文报告三级标题 Char"/>
    <w:link w:val="1716"/>
    <w:uiPriority w:val="0"/>
    <w:rPr>
      <w:rFonts w:ascii="Arial" w:hAnsi="Arial"/>
      <w:b/>
      <w:kern w:val="2"/>
      <w:sz w:val="28"/>
      <w:szCs w:val="28"/>
    </w:rPr>
  </w:style>
  <w:style w:type="paragraph" w:customStyle="1" w:styleId="1721">
    <w:name w:val="FHDI中文报告正文"/>
    <w:basedOn w:val="1"/>
    <w:link w:val="1722"/>
    <w:uiPriority w:val="0"/>
    <w:pPr>
      <w:adjustRightInd w:val="0"/>
      <w:snapToGrid w:val="0"/>
      <w:spacing w:beforeLines="50" w:afterLines="50" w:line="288" w:lineRule="auto"/>
    </w:pPr>
    <w:rPr>
      <w:rFonts w:ascii="Arial" w:hAnsi="Arial"/>
      <w:sz w:val="28"/>
      <w:szCs w:val="28"/>
    </w:rPr>
  </w:style>
  <w:style w:type="character" w:customStyle="1" w:styleId="1722">
    <w:name w:val="FHDI中文报告正文 Char"/>
    <w:link w:val="1721"/>
    <w:uiPriority w:val="0"/>
    <w:rPr>
      <w:rFonts w:ascii="Arial" w:hAnsi="Arial"/>
      <w:kern w:val="2"/>
      <w:sz w:val="28"/>
      <w:szCs w:val="28"/>
    </w:rPr>
  </w:style>
  <w:style w:type="paragraph" w:customStyle="1" w:styleId="1723">
    <w:name w:val="样式 样式 宋体 首行缩进:  2 字符 + 首行缩进:  2 字符"/>
    <w:basedOn w:val="1"/>
    <w:uiPriority w:val="0"/>
    <w:pPr>
      <w:spacing w:line="500" w:lineRule="exact"/>
      <w:ind w:firstLine="200" w:firstLineChars="200"/>
    </w:pPr>
    <w:rPr>
      <w:rFonts w:ascii="宋体" w:hAnsi="宋体" w:cs="宋体"/>
      <w:sz w:val="28"/>
      <w:szCs w:val="20"/>
    </w:rPr>
  </w:style>
  <w:style w:type="paragraph" w:customStyle="1" w:styleId="1724">
    <w:name w:val="a4"/>
    <w:basedOn w:val="1"/>
    <w:uiPriority w:val="0"/>
    <w:pPr>
      <w:suppressAutoHyphens/>
      <w:spacing w:line="360" w:lineRule="auto"/>
      <w:jc w:val="left"/>
      <w:outlineLvl w:val="3"/>
    </w:pPr>
    <w:rPr>
      <w:b/>
      <w:kern w:val="24"/>
      <w:sz w:val="28"/>
    </w:rPr>
  </w:style>
  <w:style w:type="paragraph" w:customStyle="1" w:styleId="1725">
    <w:name w:val="附表标题"/>
    <w:basedOn w:val="1"/>
    <w:next w:val="66"/>
    <w:uiPriority w:val="0"/>
    <w:pPr>
      <w:keepNext/>
      <w:numPr>
        <w:ilvl w:val="0"/>
        <w:numId w:val="10"/>
      </w:numPr>
      <w:tabs>
        <w:tab w:val="left" w:pos="480"/>
      </w:tabs>
      <w:adjustRightInd w:val="0"/>
      <w:spacing w:beforeLines="100" w:line="360" w:lineRule="auto"/>
      <w:jc w:val="center"/>
      <w:textAlignment w:val="baseline"/>
    </w:pPr>
    <w:rPr>
      <w:b/>
      <w:kern w:val="0"/>
      <w:sz w:val="24"/>
      <w:szCs w:val="20"/>
    </w:rPr>
  </w:style>
  <w:style w:type="character" w:customStyle="1" w:styleId="1726">
    <w:name w:val="2标题(治) Char"/>
    <w:link w:val="1554"/>
    <w:uiPriority w:val="0"/>
    <w:rPr>
      <w:rFonts w:eastAsia="黑体"/>
      <w:b/>
      <w:color w:val="000000"/>
      <w:kern w:val="2"/>
      <w:sz w:val="32"/>
    </w:rPr>
  </w:style>
  <w:style w:type="paragraph" w:customStyle="1" w:styleId="1727">
    <w:name w:val="正文(首行缩进)"/>
    <w:basedOn w:val="1"/>
    <w:link w:val="1728"/>
    <w:uiPriority w:val="0"/>
    <w:pPr>
      <w:spacing w:line="360" w:lineRule="auto"/>
      <w:ind w:firstLine="540" w:firstLineChars="225"/>
    </w:pPr>
    <w:rPr>
      <w:snapToGrid w:val="0"/>
      <w:color w:val="000000"/>
      <w:kern w:val="0"/>
      <w:sz w:val="24"/>
    </w:rPr>
  </w:style>
  <w:style w:type="character" w:customStyle="1" w:styleId="1728">
    <w:name w:val="正文(首行缩进) Char"/>
    <w:link w:val="1727"/>
    <w:uiPriority w:val="0"/>
    <w:rPr>
      <w:snapToGrid w:val="0"/>
      <w:color w:val="000000"/>
      <w:sz w:val="24"/>
      <w:szCs w:val="24"/>
    </w:rPr>
  </w:style>
  <w:style w:type="paragraph" w:customStyle="1" w:styleId="1729">
    <w:name w:val="表、图名"/>
    <w:basedOn w:val="1"/>
    <w:uiPriority w:val="0"/>
    <w:pPr>
      <w:adjustRightInd w:val="0"/>
      <w:snapToGrid w:val="0"/>
      <w:spacing w:line="240" w:lineRule="exact"/>
    </w:pPr>
    <w:rPr>
      <w:rFonts w:hAnsi="宋体"/>
      <w:b/>
      <w:color w:val="000000"/>
      <w:szCs w:val="21"/>
    </w:rPr>
  </w:style>
  <w:style w:type="paragraph" w:customStyle="1" w:styleId="1730">
    <w:name w:val="正文-第几条"/>
    <w:basedOn w:val="1"/>
    <w:uiPriority w:val="0"/>
    <w:pPr>
      <w:spacing w:line="360" w:lineRule="auto"/>
    </w:pPr>
    <w:rPr>
      <w:b/>
      <w:sz w:val="24"/>
    </w:rPr>
  </w:style>
  <w:style w:type="paragraph" w:customStyle="1" w:styleId="1731">
    <w:name w:val="样式 样式 左侧:  2 字符 段后: 0.5 行 + 首行缩进:  2 字符 段后: 0.5 行"/>
    <w:basedOn w:val="1"/>
    <w:uiPriority w:val="0"/>
    <w:pPr>
      <w:spacing w:after="156" w:line="360" w:lineRule="auto"/>
      <w:ind w:firstLine="560" w:firstLineChars="200"/>
    </w:pPr>
    <w:rPr>
      <w:rFonts w:eastAsia="仿宋_GB2312"/>
      <w:sz w:val="28"/>
      <w:szCs w:val="20"/>
    </w:rPr>
  </w:style>
  <w:style w:type="paragraph" w:customStyle="1" w:styleId="1732">
    <w:name w:val="正文样式新"/>
    <w:basedOn w:val="1"/>
    <w:link w:val="1733"/>
    <w:uiPriority w:val="0"/>
    <w:pPr>
      <w:spacing w:line="360" w:lineRule="auto"/>
      <w:ind w:firstLine="600" w:firstLineChars="250"/>
    </w:pPr>
    <w:rPr>
      <w:rFonts w:ascii="宋体" w:hAnsi="宋体"/>
      <w:sz w:val="24"/>
    </w:rPr>
  </w:style>
  <w:style w:type="character" w:customStyle="1" w:styleId="1733">
    <w:name w:val="正文样式新 Char"/>
    <w:link w:val="1732"/>
    <w:uiPriority w:val="0"/>
    <w:rPr>
      <w:rFonts w:ascii="宋体" w:hAnsi="宋体"/>
      <w:kern w:val="2"/>
      <w:sz w:val="24"/>
      <w:szCs w:val="24"/>
    </w:rPr>
  </w:style>
  <w:style w:type="paragraph" w:customStyle="1" w:styleId="1734">
    <w:name w:val="正文m"/>
    <w:basedOn w:val="1"/>
    <w:uiPriority w:val="0"/>
    <w:pPr>
      <w:spacing w:line="360" w:lineRule="auto"/>
      <w:ind w:firstLine="480" w:firstLineChars="200"/>
    </w:pPr>
    <w:rPr>
      <w:rFonts w:ascii="黑体" w:hAnsi="新宋体" w:eastAsia="仿宋_GB2312"/>
      <w:sz w:val="24"/>
    </w:rPr>
  </w:style>
  <w:style w:type="paragraph" w:customStyle="1" w:styleId="1735">
    <w:name w:val="样式 样式 正文缩进四号表正文正文非缩进特点ALT+Z水上软件段1 + 首行缩进:  2 字符 + 首行缩进:  2 字符"/>
    <w:basedOn w:val="1"/>
    <w:uiPriority w:val="0"/>
    <w:pPr>
      <w:spacing w:line="480" w:lineRule="exact"/>
      <w:ind w:firstLine="560" w:firstLineChars="200"/>
    </w:pPr>
    <w:rPr>
      <w:rFonts w:ascii="宋体" w:hAnsi="宋体" w:cs="宋体"/>
      <w:sz w:val="28"/>
      <w:szCs w:val="20"/>
    </w:rPr>
  </w:style>
  <w:style w:type="character" w:customStyle="1" w:styleId="1736">
    <w:name w:val="正文样式 Char"/>
    <w:link w:val="218"/>
    <w:uiPriority w:val="0"/>
    <w:rPr>
      <w:kern w:val="2"/>
      <w:sz w:val="28"/>
      <w:szCs w:val="28"/>
    </w:rPr>
  </w:style>
  <w:style w:type="paragraph" w:customStyle="1" w:styleId="1737">
    <w:name w:val="结论样式"/>
    <w:basedOn w:val="1"/>
    <w:link w:val="1738"/>
    <w:uiPriority w:val="0"/>
    <w:pPr>
      <w:adjustRightInd w:val="0"/>
      <w:snapToGrid w:val="0"/>
      <w:spacing w:line="360" w:lineRule="auto"/>
      <w:ind w:firstLine="200" w:firstLineChars="200"/>
    </w:pPr>
    <w:rPr>
      <w:rFonts w:eastAsia="黑体"/>
      <w:b/>
      <w:color w:val="000000"/>
      <w:sz w:val="24"/>
      <w:shd w:val="pct10" w:color="auto" w:fill="FFFFFF"/>
    </w:rPr>
  </w:style>
  <w:style w:type="character" w:customStyle="1" w:styleId="1738">
    <w:name w:val="结论样式 Char"/>
    <w:link w:val="1737"/>
    <w:uiPriority w:val="0"/>
    <w:rPr>
      <w:rFonts w:eastAsia="黑体"/>
      <w:b/>
      <w:color w:val="000000"/>
      <w:kern w:val="2"/>
      <w:sz w:val="24"/>
      <w:szCs w:val="24"/>
    </w:rPr>
  </w:style>
  <w:style w:type="paragraph" w:customStyle="1" w:styleId="1739">
    <w:name w:val="8--"/>
    <w:basedOn w:val="1"/>
    <w:uiPriority w:val="0"/>
    <w:pPr>
      <w:adjustRightInd w:val="0"/>
      <w:spacing w:line="360" w:lineRule="atLeast"/>
      <w:jc w:val="left"/>
      <w:textAlignment w:val="baseline"/>
    </w:pPr>
    <w:rPr>
      <w:kern w:val="0"/>
      <w:sz w:val="24"/>
      <w:szCs w:val="20"/>
    </w:rPr>
  </w:style>
  <w:style w:type="paragraph" w:customStyle="1" w:styleId="1740">
    <w:name w:val="正文11 Char"/>
    <w:basedOn w:val="1"/>
    <w:uiPriority w:val="0"/>
    <w:pPr>
      <w:spacing w:line="520" w:lineRule="atLeast"/>
      <w:ind w:firstLine="480" w:firstLineChars="200"/>
    </w:pPr>
    <w:rPr>
      <w:sz w:val="24"/>
    </w:rPr>
  </w:style>
  <w:style w:type="paragraph" w:customStyle="1" w:styleId="1741">
    <w:name w:val="样式 标题 2标题 1.1 + 宋体 小三 黑色"/>
    <w:basedOn w:val="4"/>
    <w:uiPriority w:val="0"/>
    <w:pPr>
      <w:tabs>
        <w:tab w:val="left" w:pos="576"/>
        <w:tab w:val="clear" w:pos="360"/>
      </w:tabs>
      <w:spacing w:before="0" w:after="0" w:line="240" w:lineRule="auto"/>
      <w:ind w:left="576" w:hanging="576" w:firstLineChars="0"/>
      <w:jc w:val="left"/>
    </w:pPr>
    <w:rPr>
      <w:rFonts w:ascii="宋体" w:hAnsi="宋体" w:eastAsia="宋体"/>
      <w:b w:val="0"/>
      <w:bCs w:val="0"/>
      <w:color w:val="000000"/>
      <w:sz w:val="28"/>
      <w:szCs w:val="30"/>
    </w:rPr>
  </w:style>
  <w:style w:type="paragraph" w:customStyle="1" w:styleId="1742">
    <w:name w:val="样式 标题 3 + 黑体 小四 黑色"/>
    <w:basedOn w:val="5"/>
    <w:uiPriority w:val="0"/>
    <w:pPr>
      <w:keepLines/>
      <w:tabs>
        <w:tab w:val="left" w:pos="1080"/>
        <w:tab w:val="clear" w:pos="360"/>
      </w:tabs>
      <w:adjustRightInd/>
      <w:snapToGrid/>
      <w:spacing w:line="480" w:lineRule="exact"/>
      <w:ind w:left="1080" w:hanging="720" w:firstLineChars="0"/>
      <w:jc w:val="left"/>
    </w:pPr>
    <w:rPr>
      <w:rFonts w:ascii="黑体" w:hAnsi="黑体" w:eastAsia="宋体"/>
      <w:bCs w:val="0"/>
      <w:color w:val="000000"/>
    </w:rPr>
  </w:style>
  <w:style w:type="paragraph" w:customStyle="1" w:styleId="1743">
    <w:name w:val="大田正文"/>
    <w:basedOn w:val="35"/>
    <w:uiPriority w:val="0"/>
    <w:pPr>
      <w:spacing w:line="520" w:lineRule="exact"/>
      <w:ind w:firstLine="567"/>
    </w:pPr>
    <w:rPr>
      <w:sz w:val="28"/>
      <w:szCs w:val="20"/>
    </w:rPr>
  </w:style>
  <w:style w:type="character" w:customStyle="1" w:styleId="1744">
    <w:name w:val="样式 首行缩进:  2 字符1 Char Char"/>
    <w:uiPriority w:val="0"/>
    <w:rPr>
      <w:rFonts w:ascii="Times New Roman" w:hAnsi="Times New Roman" w:eastAsia="宋体" w:cs="Times New Roman"/>
      <w:spacing w:val="20"/>
      <w:sz w:val="28"/>
      <w:szCs w:val="20"/>
    </w:rPr>
  </w:style>
  <w:style w:type="paragraph" w:customStyle="1" w:styleId="1745">
    <w:name w:val="Char Char1 Char Char Char Char Char Char Char Char Char Char Char Char Char Char Char Char Char Char"/>
    <w:basedOn w:val="1"/>
    <w:uiPriority w:val="0"/>
    <w:pPr>
      <w:spacing w:line="360" w:lineRule="auto"/>
      <w:ind w:firstLine="200" w:firstLineChars="200"/>
    </w:pPr>
    <w:rPr>
      <w:rFonts w:ascii="宋体" w:hAnsi="宋体" w:cs="宋体"/>
      <w:sz w:val="24"/>
    </w:rPr>
  </w:style>
  <w:style w:type="paragraph" w:customStyle="1" w:styleId="1746">
    <w:name w:val="标准条文"/>
    <w:basedOn w:val="266"/>
    <w:next w:val="266"/>
    <w:uiPriority w:val="0"/>
    <w:rPr>
      <w:rFonts w:ascii="宋体"/>
      <w:color w:val="auto"/>
    </w:rPr>
  </w:style>
  <w:style w:type="paragraph" w:customStyle="1" w:styleId="1747">
    <w:name w:val="表内字"/>
    <w:uiPriority w:val="0"/>
    <w:pPr>
      <w:widowControl w:val="0"/>
      <w:snapToGrid w:val="0"/>
      <w:jc w:val="center"/>
    </w:pPr>
    <w:rPr>
      <w:rFonts w:ascii="Times New Roman" w:hAnsi="Times New Roman" w:eastAsia="宋体" w:cs="Times New Roman"/>
      <w:color w:val="000000"/>
      <w:kern w:val="2"/>
      <w:sz w:val="21"/>
      <w:szCs w:val="28"/>
      <w:lang w:val="en-US" w:eastAsia="zh-CN" w:bidi="ar-SA"/>
    </w:rPr>
  </w:style>
  <w:style w:type="paragraph" w:customStyle="1" w:styleId="1748">
    <w:name w:val="字元 字元2"/>
    <w:basedOn w:val="1"/>
    <w:uiPriority w:val="0"/>
    <w:pPr>
      <w:widowControl/>
      <w:spacing w:before="100" w:beforeAutospacing="1" w:after="100" w:afterAutospacing="1"/>
      <w:ind w:firstLine="200" w:firstLineChars="200"/>
      <w:jc w:val="left"/>
    </w:pPr>
    <w:rPr>
      <w:rFonts w:ascii="Verdana" w:hAnsi="Verdana" w:eastAsia="仿宋_GB2312"/>
      <w:kern w:val="0"/>
      <w:sz w:val="20"/>
      <w:szCs w:val="21"/>
      <w:lang w:eastAsia="en-US"/>
    </w:rPr>
  </w:style>
  <w:style w:type="paragraph" w:customStyle="1" w:styleId="1749">
    <w:name w:val="[正文格式]"/>
    <w:basedOn w:val="1"/>
    <w:link w:val="1750"/>
    <w:uiPriority w:val="0"/>
    <w:pPr>
      <w:spacing w:line="440" w:lineRule="exact"/>
      <w:ind w:firstLine="500" w:firstLineChars="200"/>
    </w:pPr>
    <w:rPr>
      <w:sz w:val="25"/>
      <w:szCs w:val="20"/>
    </w:rPr>
  </w:style>
  <w:style w:type="character" w:customStyle="1" w:styleId="1750">
    <w:name w:val="[正文格式] Char"/>
    <w:link w:val="1749"/>
    <w:uiPriority w:val="0"/>
    <w:rPr>
      <w:kern w:val="2"/>
      <w:sz w:val="25"/>
    </w:rPr>
  </w:style>
  <w:style w:type="paragraph" w:customStyle="1" w:styleId="1751">
    <w:name w:val="【表格文字】"/>
    <w:basedOn w:val="1"/>
    <w:next w:val="1"/>
    <w:uiPriority w:val="0"/>
    <w:pPr>
      <w:spacing w:line="320" w:lineRule="atLeast"/>
      <w:jc w:val="center"/>
    </w:pPr>
  </w:style>
  <w:style w:type="paragraph" w:customStyle="1" w:styleId="1752">
    <w:name w:val="污水处理工艺"/>
    <w:uiPriority w:val="0"/>
    <w:rPr>
      <w:rFonts w:ascii="Times New Roman" w:hAnsi="Times New Roman" w:eastAsia="宋体" w:cs="Times New Roman"/>
      <w:b/>
      <w:bCs/>
      <w:sz w:val="21"/>
      <w:lang w:val="en-US" w:eastAsia="zh-CN" w:bidi="ar-SA"/>
    </w:rPr>
  </w:style>
  <w:style w:type="paragraph" w:customStyle="1" w:styleId="1753">
    <w:name w:val="条文"/>
    <w:basedOn w:val="21"/>
    <w:uiPriority w:val="0"/>
    <w:pPr>
      <w:numPr>
        <w:ilvl w:val="0"/>
        <w:numId w:val="11"/>
      </w:numPr>
      <w:tabs>
        <w:tab w:val="left" w:pos="1472"/>
      </w:tabs>
      <w:spacing w:beforeLines="50" w:line="360" w:lineRule="auto"/>
      <w:ind w:firstLine="0"/>
    </w:pPr>
    <w:rPr>
      <w:sz w:val="28"/>
    </w:rPr>
  </w:style>
  <w:style w:type="paragraph" w:customStyle="1" w:styleId="1754">
    <w:name w:val="工艺流程图"/>
    <w:basedOn w:val="1"/>
    <w:uiPriority w:val="0"/>
    <w:pPr>
      <w:jc w:val="center"/>
    </w:pPr>
    <w:rPr>
      <w:b/>
      <w:bCs/>
      <w:snapToGrid w:val="0"/>
      <w:kern w:val="0"/>
      <w:szCs w:val="20"/>
    </w:rPr>
  </w:style>
  <w:style w:type="paragraph" w:customStyle="1" w:styleId="1755">
    <w:name w:val="公式编辑器"/>
    <w:basedOn w:val="21"/>
    <w:uiPriority w:val="0"/>
    <w:pPr>
      <w:ind w:firstLine="200" w:firstLineChars="200"/>
    </w:pPr>
    <w:rPr>
      <w:sz w:val="25"/>
    </w:rPr>
  </w:style>
  <w:style w:type="paragraph" w:customStyle="1" w:styleId="1756">
    <w:name w:val="法规"/>
    <w:basedOn w:val="1"/>
    <w:uiPriority w:val="0"/>
    <w:pPr>
      <w:tabs>
        <w:tab w:val="left" w:pos="1304"/>
      </w:tabs>
      <w:spacing w:line="440" w:lineRule="exact"/>
      <w:ind w:left="1304" w:hanging="850"/>
    </w:pPr>
    <w:rPr>
      <w:spacing w:val="-4"/>
      <w:sz w:val="25"/>
      <w:szCs w:val="20"/>
    </w:rPr>
  </w:style>
  <w:style w:type="paragraph" w:customStyle="1" w:styleId="1757">
    <w:name w:val="条例"/>
    <w:basedOn w:val="1"/>
    <w:uiPriority w:val="0"/>
    <w:pPr>
      <w:spacing w:line="500" w:lineRule="exact"/>
      <w:ind w:right="-63"/>
      <w:jc w:val="center"/>
    </w:pPr>
    <w:rPr>
      <w:sz w:val="25"/>
      <w:szCs w:val="20"/>
    </w:rPr>
  </w:style>
  <w:style w:type="paragraph" w:customStyle="1" w:styleId="1758">
    <w:name w:val="附件"/>
    <w:basedOn w:val="1"/>
    <w:uiPriority w:val="0"/>
    <w:pPr>
      <w:snapToGrid w:val="0"/>
      <w:jc w:val="center"/>
    </w:pPr>
    <w:rPr>
      <w:rFonts w:eastAsia="黑体"/>
      <w:sz w:val="24"/>
      <w:szCs w:val="20"/>
    </w:rPr>
  </w:style>
  <w:style w:type="paragraph" w:customStyle="1" w:styleId="1759">
    <w:name w:val="备注"/>
    <w:basedOn w:val="1"/>
    <w:uiPriority w:val="0"/>
    <w:pPr>
      <w:snapToGrid w:val="0"/>
      <w:ind w:firstLine="100" w:firstLineChars="100"/>
      <w:jc w:val="left"/>
    </w:pPr>
    <w:rPr>
      <w:sz w:val="24"/>
      <w:szCs w:val="20"/>
    </w:rPr>
  </w:style>
  <w:style w:type="paragraph" w:customStyle="1" w:styleId="1760">
    <w:name w:val="二级条文"/>
    <w:basedOn w:val="1753"/>
    <w:uiPriority w:val="0"/>
    <w:pPr>
      <w:numPr>
        <w:numId w:val="0"/>
      </w:numPr>
      <w:tabs>
        <w:tab w:val="left" w:pos="927"/>
        <w:tab w:val="clear" w:pos="1472"/>
      </w:tabs>
      <w:spacing w:beforeLines="0" w:line="440" w:lineRule="exact"/>
      <w:ind w:firstLine="567"/>
    </w:pPr>
    <w:rPr>
      <w:sz w:val="25"/>
    </w:rPr>
  </w:style>
  <w:style w:type="paragraph" w:customStyle="1" w:styleId="1761">
    <w:name w:val="小标题1"/>
    <w:basedOn w:val="1"/>
    <w:uiPriority w:val="0"/>
    <w:pPr>
      <w:tabs>
        <w:tab w:val="left" w:pos="591"/>
        <w:tab w:val="left" w:pos="900"/>
        <w:tab w:val="left" w:pos="7280"/>
      </w:tabs>
      <w:ind w:left="900"/>
      <w:jc w:val="left"/>
    </w:pPr>
    <w:rPr>
      <w:b/>
      <w:bCs/>
      <w:sz w:val="28"/>
      <w:szCs w:val="20"/>
    </w:rPr>
  </w:style>
  <w:style w:type="paragraph" w:customStyle="1" w:styleId="1762">
    <w:name w:val="小标题2"/>
    <w:basedOn w:val="1753"/>
    <w:uiPriority w:val="0"/>
    <w:pPr>
      <w:numPr>
        <w:ilvl w:val="0"/>
        <w:numId w:val="0"/>
      </w:numPr>
      <w:tabs>
        <w:tab w:val="left" w:pos="840"/>
        <w:tab w:val="left" w:pos="900"/>
        <w:tab w:val="left" w:pos="5894"/>
      </w:tabs>
      <w:spacing w:beforeLines="0" w:line="440" w:lineRule="exact"/>
      <w:ind w:left="900" w:hanging="420"/>
    </w:pPr>
    <w:rPr>
      <w:sz w:val="25"/>
    </w:rPr>
  </w:style>
  <w:style w:type="paragraph" w:customStyle="1" w:styleId="1763">
    <w:name w:val="不定式样"/>
    <w:basedOn w:val="1764"/>
    <w:uiPriority w:val="0"/>
    <w:pPr>
      <w:adjustRightInd w:val="0"/>
      <w:snapToGrid w:val="0"/>
      <w:spacing w:before="0"/>
      <w:ind w:left="0" w:leftChars="0" w:right="0" w:firstLine="0" w:firstLineChars="0"/>
    </w:pPr>
    <w:rPr>
      <w:rFonts w:ascii="楷体_GB2312"/>
      <w:bCs/>
      <w:sz w:val="28"/>
    </w:rPr>
  </w:style>
  <w:style w:type="paragraph" w:customStyle="1" w:styleId="1764">
    <w:name w:val="填表大字"/>
    <w:basedOn w:val="1"/>
    <w:uiPriority w:val="0"/>
    <w:pPr>
      <w:spacing w:before="360"/>
      <w:ind w:left="-8" w:leftChars="-4" w:right="-113" w:hanging="3" w:hangingChars="1"/>
      <w:jc w:val="center"/>
    </w:pPr>
    <w:rPr>
      <w:rFonts w:eastAsia="楷体_GB2312"/>
      <w:sz w:val="30"/>
      <w:szCs w:val="20"/>
    </w:rPr>
  </w:style>
  <w:style w:type="paragraph" w:customStyle="1" w:styleId="1765">
    <w:name w:val="填表小字"/>
    <w:basedOn w:val="1764"/>
    <w:uiPriority w:val="0"/>
    <w:pPr>
      <w:spacing w:before="0"/>
      <w:ind w:left="0" w:leftChars="0" w:right="0" w:firstLine="0" w:firstLineChars="0"/>
    </w:pPr>
    <w:rPr>
      <w:bCs/>
      <w:sz w:val="18"/>
    </w:rPr>
  </w:style>
  <w:style w:type="paragraph" w:customStyle="1" w:styleId="1766">
    <w:name w:val="编制依据"/>
    <w:basedOn w:val="21"/>
    <w:uiPriority w:val="0"/>
    <w:pPr>
      <w:tabs>
        <w:tab w:val="left" w:pos="1304"/>
      </w:tabs>
      <w:spacing w:line="440" w:lineRule="exact"/>
      <w:ind w:left="1304" w:hanging="850"/>
    </w:pPr>
    <w:rPr>
      <w:spacing w:val="-4"/>
      <w:sz w:val="25"/>
    </w:rPr>
  </w:style>
  <w:style w:type="paragraph" w:customStyle="1" w:styleId="1767">
    <w:name w:val="工艺流程（数据）"/>
    <w:basedOn w:val="1"/>
    <w:uiPriority w:val="0"/>
    <w:pPr>
      <w:adjustRightInd w:val="0"/>
      <w:jc w:val="center"/>
      <w:textAlignment w:val="baseline"/>
    </w:pPr>
    <w:rPr>
      <w:b/>
      <w:bCs/>
      <w:snapToGrid w:val="0"/>
      <w:kern w:val="0"/>
      <w:szCs w:val="20"/>
    </w:rPr>
  </w:style>
  <w:style w:type="paragraph" w:customStyle="1" w:styleId="1768">
    <w:name w:val="文本框"/>
    <w:basedOn w:val="1"/>
    <w:uiPriority w:val="0"/>
    <w:pPr>
      <w:jc w:val="center"/>
    </w:pPr>
    <w:rPr>
      <w:sz w:val="24"/>
      <w:szCs w:val="20"/>
    </w:rPr>
  </w:style>
  <w:style w:type="paragraph" w:customStyle="1" w:styleId="1769">
    <w:name w:val="条文2"/>
    <w:basedOn w:val="21"/>
    <w:uiPriority w:val="0"/>
    <w:pPr>
      <w:tabs>
        <w:tab w:val="left" w:pos="900"/>
      </w:tabs>
      <w:spacing w:line="540" w:lineRule="exact"/>
      <w:ind w:left="900" w:hanging="420"/>
    </w:pPr>
    <w:rPr>
      <w:sz w:val="25"/>
    </w:rPr>
  </w:style>
  <w:style w:type="character" w:customStyle="1" w:styleId="1770">
    <w:name w:val="称呼 Char"/>
    <w:uiPriority w:val="0"/>
    <w:rPr>
      <w:kern w:val="2"/>
      <w:sz w:val="28"/>
      <w:szCs w:val="24"/>
    </w:rPr>
  </w:style>
  <w:style w:type="paragraph" w:customStyle="1" w:styleId="1771">
    <w:name w:val="表格标注"/>
    <w:basedOn w:val="21"/>
    <w:uiPriority w:val="0"/>
    <w:pPr>
      <w:ind w:firstLine="412" w:firstLineChars="200"/>
      <w:jc w:val="left"/>
    </w:pPr>
    <w:rPr>
      <w:b/>
    </w:rPr>
  </w:style>
  <w:style w:type="character" w:customStyle="1" w:styleId="1772">
    <w:name w:val="title1"/>
    <w:uiPriority w:val="0"/>
    <w:rPr>
      <w:b/>
      <w:bCs/>
      <w:color w:val="FF0000"/>
      <w:sz w:val="39"/>
      <w:szCs w:val="39"/>
    </w:rPr>
  </w:style>
  <w:style w:type="character" w:customStyle="1" w:styleId="1773">
    <w:name w:val="chapter1"/>
    <w:uiPriority w:val="0"/>
    <w:rPr>
      <w:b/>
      <w:bCs/>
      <w:color w:val="008080"/>
      <w:sz w:val="27"/>
      <w:szCs w:val="27"/>
    </w:rPr>
  </w:style>
  <w:style w:type="paragraph" w:customStyle="1" w:styleId="1774">
    <w:name w:val="工艺流程数据"/>
    <w:basedOn w:val="1"/>
    <w:uiPriority w:val="0"/>
    <w:pPr>
      <w:widowControl/>
      <w:jc w:val="center"/>
    </w:pPr>
    <w:rPr>
      <w:bCs/>
      <w:kern w:val="0"/>
      <w:sz w:val="25"/>
      <w:szCs w:val="20"/>
    </w:rPr>
  </w:style>
  <w:style w:type="paragraph" w:customStyle="1" w:styleId="1775">
    <w:name w:val="样式 首行缩进:  0 字符"/>
    <w:basedOn w:val="1"/>
    <w:uiPriority w:val="0"/>
    <w:pPr>
      <w:spacing w:line="440" w:lineRule="exact"/>
      <w:ind w:firstLine="480"/>
    </w:pPr>
    <w:rPr>
      <w:rFonts w:cs="宋体"/>
      <w:sz w:val="24"/>
      <w:szCs w:val="20"/>
    </w:rPr>
  </w:style>
  <w:style w:type="paragraph" w:customStyle="1" w:styleId="1776">
    <w:name w:val="样式 正文格式 + 小四 首行缩进:  2 字符"/>
    <w:basedOn w:val="1"/>
    <w:uiPriority w:val="0"/>
    <w:pPr>
      <w:spacing w:line="440" w:lineRule="exact"/>
      <w:ind w:firstLine="482"/>
    </w:pPr>
    <w:rPr>
      <w:rFonts w:cs="宋体"/>
      <w:sz w:val="24"/>
      <w:szCs w:val="20"/>
    </w:rPr>
  </w:style>
  <w:style w:type="paragraph" w:customStyle="1" w:styleId="1777">
    <w:name w:val="样式 样式 (符号) 宋体 小四 黑色 首行缩进:  2 字符 + 首行缩进:  0.85 厘米 行距: 固定值 22 磅 Char"/>
    <w:basedOn w:val="1617"/>
    <w:link w:val="1778"/>
    <w:uiPriority w:val="0"/>
    <w:pPr>
      <w:ind w:firstLine="482"/>
    </w:pPr>
    <w:rPr>
      <w:rFonts w:cs="Times New Roman"/>
      <w:szCs w:val="24"/>
    </w:rPr>
  </w:style>
  <w:style w:type="character" w:customStyle="1" w:styleId="1778">
    <w:name w:val="样式 样式 (符号) 宋体 小四 黑色 首行缩进:  2 字符 + 首行缩进:  0.85 厘米 行距: 固定值 22 磅 Char Char"/>
    <w:link w:val="1777"/>
    <w:uiPriority w:val="0"/>
    <w:rPr>
      <w:rFonts w:hAnsi="宋体"/>
      <w:color w:val="000000"/>
      <w:kern w:val="2"/>
      <w:sz w:val="24"/>
      <w:szCs w:val="24"/>
    </w:rPr>
  </w:style>
  <w:style w:type="paragraph" w:customStyle="1" w:styleId="1779">
    <w:name w:val="样式 样式 (符号) 宋体 小四 黑色 首行缩进:  2 字符 + 首行缩进:  0.85 厘米 行距: 固定值 22 磅"/>
    <w:basedOn w:val="1617"/>
    <w:uiPriority w:val="0"/>
    <w:pPr>
      <w:ind w:firstLine="482"/>
    </w:pPr>
    <w:rPr>
      <w:szCs w:val="24"/>
    </w:rPr>
  </w:style>
  <w:style w:type="paragraph" w:customStyle="1" w:styleId="1780">
    <w:name w:val="表格标题（居中）"/>
    <w:basedOn w:val="45"/>
    <w:uiPriority w:val="0"/>
    <w:pPr>
      <w:spacing w:beforeLines="50" w:afterLines="50" w:line="440" w:lineRule="exact"/>
      <w:ind w:firstLine="200" w:firstLineChars="200"/>
      <w:jc w:val="center"/>
      <w:outlineLvl w:val="3"/>
    </w:pPr>
    <w:rPr>
      <w:rFonts w:ascii="Times New Roman" w:hAnsi="Times New Roman" w:eastAsia="黑体"/>
      <w:sz w:val="24"/>
      <w:szCs w:val="20"/>
    </w:rPr>
  </w:style>
  <w:style w:type="character" w:customStyle="1" w:styleId="1781">
    <w:name w:val="myfont11"/>
    <w:uiPriority w:val="0"/>
    <w:rPr>
      <w:rFonts w:hint="default"/>
      <w:color w:val="000000"/>
      <w:sz w:val="18"/>
      <w:szCs w:val="18"/>
    </w:rPr>
  </w:style>
  <w:style w:type="paragraph" w:customStyle="1" w:styleId="1782">
    <w:name w:val="k正文"/>
    <w:basedOn w:val="1"/>
    <w:uiPriority w:val="0"/>
    <w:pPr>
      <w:adjustRightInd w:val="0"/>
      <w:snapToGrid w:val="0"/>
      <w:spacing w:line="360" w:lineRule="auto"/>
      <w:ind w:firstLine="539"/>
    </w:pPr>
    <w:rPr>
      <w:rFonts w:eastAsia="仿宋_GB2312"/>
      <w:sz w:val="28"/>
    </w:rPr>
  </w:style>
  <w:style w:type="character" w:customStyle="1" w:styleId="1783">
    <w:name w:val="newsbody1"/>
    <w:uiPriority w:val="0"/>
    <w:rPr>
      <w:color w:val="363636"/>
      <w:sz w:val="21"/>
      <w:szCs w:val="21"/>
    </w:rPr>
  </w:style>
  <w:style w:type="character" w:customStyle="1" w:styleId="1784">
    <w:name w:val="style9"/>
    <w:uiPriority w:val="0"/>
  </w:style>
  <w:style w:type="paragraph" w:customStyle="1" w:styleId="1785">
    <w:name w:val="图文本框中字（小四）"/>
    <w:basedOn w:val="30"/>
    <w:uiPriority w:val="0"/>
    <w:pPr>
      <w:widowControl w:val="0"/>
      <w:adjustRightInd/>
      <w:snapToGrid/>
      <w:spacing w:line="240" w:lineRule="auto"/>
      <w:ind w:firstLine="0" w:firstLineChars="0"/>
      <w:jc w:val="center"/>
    </w:pPr>
    <w:rPr>
      <w:b/>
      <w:kern w:val="2"/>
      <w:szCs w:val="24"/>
    </w:rPr>
  </w:style>
  <w:style w:type="paragraph" w:customStyle="1" w:styleId="1786">
    <w:name w:val="册除格式 Char"/>
    <w:uiPriority w:val="0"/>
    <w:pPr>
      <w:spacing w:line="360" w:lineRule="auto"/>
      <w:ind w:firstLine="482"/>
    </w:pPr>
    <w:rPr>
      <w:rFonts w:ascii="黑体" w:hAnsi="Arial" w:eastAsia="宋体" w:cs="Arial"/>
      <w:snapToGrid w:val="0"/>
      <w:spacing w:val="4"/>
      <w:kern w:val="18"/>
      <w:sz w:val="24"/>
      <w:szCs w:val="28"/>
      <w:lang w:val="en-US" w:eastAsia="zh-CN" w:bidi="ar-SA"/>
    </w:rPr>
  </w:style>
  <w:style w:type="paragraph" w:customStyle="1" w:styleId="1787">
    <w:name w:val="y表格"/>
    <w:basedOn w:val="34"/>
    <w:uiPriority w:val="0"/>
    <w:pPr>
      <w:widowControl/>
      <w:snapToGrid w:val="0"/>
      <w:jc w:val="center"/>
    </w:pPr>
    <w:rPr>
      <w:rFonts w:eastAsia="宋体"/>
      <w:kern w:val="0"/>
      <w:sz w:val="21"/>
    </w:rPr>
  </w:style>
  <w:style w:type="paragraph" w:customStyle="1" w:styleId="1788">
    <w:name w:val="图标注"/>
    <w:basedOn w:val="1"/>
    <w:uiPriority w:val="0"/>
    <w:pPr>
      <w:spacing w:beforeLines="50" w:line="360" w:lineRule="auto"/>
      <w:jc w:val="center"/>
    </w:pPr>
    <w:rPr>
      <w:rFonts w:ascii="仿宋_GB2312" w:hAnsi="Calibri"/>
      <w:sz w:val="24"/>
      <w:szCs w:val="21"/>
    </w:rPr>
  </w:style>
  <w:style w:type="character" w:customStyle="1" w:styleId="1789">
    <w:name w:val="正 文 1 Char Char"/>
    <w:uiPriority w:val="0"/>
    <w:rPr>
      <w:rFonts w:ascii="宋体" w:hAnsi="Courier New" w:eastAsia="宋体" w:cs="Times New Roman"/>
      <w:szCs w:val="20"/>
    </w:rPr>
  </w:style>
  <w:style w:type="paragraph" w:customStyle="1" w:styleId="1790">
    <w:name w:val="陈表格中内容"/>
    <w:basedOn w:val="1"/>
    <w:next w:val="1"/>
    <w:link w:val="1791"/>
    <w:uiPriority w:val="0"/>
    <w:pPr>
      <w:spacing w:beforeLines="50" w:line="360" w:lineRule="auto"/>
      <w:jc w:val="center"/>
    </w:pPr>
    <w:rPr>
      <w:rFonts w:eastAsia="仿宋_GB2312"/>
      <w:sz w:val="24"/>
      <w:szCs w:val="21"/>
    </w:rPr>
  </w:style>
  <w:style w:type="character" w:customStyle="1" w:styleId="1791">
    <w:name w:val="陈表格中内容 Char"/>
    <w:link w:val="1790"/>
    <w:uiPriority w:val="0"/>
    <w:rPr>
      <w:rFonts w:eastAsia="仿宋_GB2312"/>
      <w:kern w:val="2"/>
      <w:sz w:val="24"/>
      <w:szCs w:val="21"/>
    </w:rPr>
  </w:style>
  <w:style w:type="paragraph" w:customStyle="1" w:styleId="1792">
    <w:name w:val="样式 标题 3 + (西文) Times New Roman (中文) 楷体_GB2312 小三 左 段前: 7.8 磅..."/>
    <w:basedOn w:val="5"/>
    <w:uiPriority w:val="0"/>
    <w:pPr>
      <w:keepLines/>
      <w:tabs>
        <w:tab w:val="clear" w:pos="360"/>
      </w:tabs>
      <w:adjustRightInd/>
      <w:snapToGrid/>
      <w:ind w:left="0" w:firstLine="0" w:firstLineChars="0"/>
      <w:jc w:val="left"/>
    </w:pPr>
    <w:rPr>
      <w:rFonts w:ascii="Times New Roman" w:hAnsi="Times New Roman" w:eastAsia="楷体_GB2312" w:cs="宋体"/>
      <w:b/>
      <w:kern w:val="0"/>
      <w:sz w:val="32"/>
      <w:szCs w:val="20"/>
    </w:rPr>
  </w:style>
  <w:style w:type="character" w:customStyle="1" w:styleId="1793">
    <w:name w:val="grame"/>
    <w:uiPriority w:val="0"/>
  </w:style>
  <w:style w:type="character" w:customStyle="1" w:styleId="1794">
    <w:name w:val="showtitle1"/>
    <w:uiPriority w:val="0"/>
    <w:rPr>
      <w:b/>
      <w:bCs/>
      <w:color w:val="CC0500"/>
      <w:sz w:val="20"/>
      <w:szCs w:val="20"/>
    </w:rPr>
  </w:style>
  <w:style w:type="character" w:customStyle="1" w:styleId="1795">
    <w:name w:val="正文缩进2"/>
    <w:uiPriority w:val="0"/>
    <w:rPr>
      <w:rFonts w:eastAsia="宋体"/>
      <w:kern w:val="2"/>
      <w:sz w:val="24"/>
      <w:lang w:val="en-US" w:eastAsia="zh-CN" w:bidi="ar-SA"/>
    </w:rPr>
  </w:style>
  <w:style w:type="paragraph" w:customStyle="1" w:styleId="1796">
    <w:name w:val="样式 样式 宋体 小四 黑色 首行缩进:  2字符 行距: 1.5 倍行距 + 首行缩进:  2 字符"/>
    <w:basedOn w:val="1"/>
    <w:uiPriority w:val="0"/>
    <w:pPr>
      <w:autoSpaceDE w:val="0"/>
      <w:autoSpaceDN w:val="0"/>
      <w:adjustRightInd w:val="0"/>
      <w:snapToGrid w:val="0"/>
      <w:spacing w:line="500" w:lineRule="atLeast"/>
      <w:ind w:firstLine="480" w:firstLineChars="200"/>
    </w:pPr>
    <w:rPr>
      <w:rFonts w:ascii="宋体" w:hAnsi="宋体"/>
      <w:color w:val="000000"/>
      <w:kern w:val="0"/>
      <w:sz w:val="24"/>
      <w:szCs w:val="20"/>
    </w:rPr>
  </w:style>
  <w:style w:type="character" w:customStyle="1" w:styleId="1797">
    <w:name w:val="ptbrand3"/>
    <w:uiPriority w:val="0"/>
  </w:style>
  <w:style w:type="character" w:customStyle="1" w:styleId="1798">
    <w:name w:val="binding4"/>
    <w:uiPriority w:val="0"/>
  </w:style>
  <w:style w:type="paragraph" w:customStyle="1" w:styleId="1799">
    <w:name w:val="a"/>
    <w:basedOn w:val="1"/>
    <w:uiPriority w:val="0"/>
    <w:pPr>
      <w:widowControl/>
      <w:spacing w:before="100" w:beforeAutospacing="1" w:after="100" w:afterAutospacing="1"/>
      <w:jc w:val="left"/>
    </w:pPr>
    <w:rPr>
      <w:rFonts w:ascii="宋体" w:hAnsi="宋体" w:cs="宋体"/>
      <w:kern w:val="0"/>
      <w:sz w:val="24"/>
    </w:rPr>
  </w:style>
  <w:style w:type="paragraph" w:customStyle="1" w:styleId="1800">
    <w:name w:val="马迹山表5-1"/>
    <w:basedOn w:val="1"/>
    <w:uiPriority w:val="0"/>
    <w:pPr>
      <w:numPr>
        <w:ilvl w:val="0"/>
        <w:numId w:val="12"/>
      </w:numPr>
    </w:pPr>
  </w:style>
  <w:style w:type="paragraph" w:customStyle="1" w:styleId="1801">
    <w:name w:val="1-1图漳州核电"/>
    <w:basedOn w:val="1800"/>
    <w:link w:val="1802"/>
    <w:qFormat/>
    <w:uiPriority w:val="0"/>
    <w:pPr>
      <w:spacing w:afterLines="100" w:line="360" w:lineRule="auto"/>
      <w:jc w:val="center"/>
    </w:pPr>
    <w:rPr>
      <w:b/>
    </w:rPr>
  </w:style>
  <w:style w:type="character" w:customStyle="1" w:styleId="1802">
    <w:name w:val="1-1图漳州核电 Char"/>
    <w:link w:val="1801"/>
    <w:uiPriority w:val="0"/>
    <w:rPr>
      <w:b/>
      <w:kern w:val="2"/>
      <w:sz w:val="21"/>
      <w:szCs w:val="24"/>
    </w:rPr>
  </w:style>
  <w:style w:type="character" w:customStyle="1" w:styleId="1803">
    <w:name w:val="3标题(治) Char"/>
    <w:link w:val="1540"/>
    <w:uiPriority w:val="0"/>
    <w:rPr>
      <w:sz w:val="24"/>
    </w:rPr>
  </w:style>
  <w:style w:type="character" w:customStyle="1" w:styleId="1804">
    <w:name w:val="4标题(治) Char"/>
    <w:link w:val="1510"/>
    <w:uiPriority w:val="0"/>
    <w:rPr>
      <w:rFonts w:eastAsia="黑体"/>
      <w:sz w:val="24"/>
    </w:rPr>
  </w:style>
  <w:style w:type="paragraph" w:customStyle="1" w:styleId="1805">
    <w:name w:val="8说明(治)"/>
    <w:basedOn w:val="1"/>
    <w:next w:val="1354"/>
    <w:link w:val="2203"/>
    <w:uiPriority w:val="0"/>
    <w:pPr>
      <w:ind w:firstLine="435"/>
    </w:pPr>
    <w:rPr>
      <w:rFonts w:eastAsia="仿宋_GB2312"/>
    </w:rPr>
  </w:style>
  <w:style w:type="paragraph" w:customStyle="1" w:styleId="1806">
    <w:name w:val="慈溪表一"/>
    <w:basedOn w:val="35"/>
    <w:link w:val="1807"/>
    <w:qFormat/>
    <w:uiPriority w:val="0"/>
    <w:pPr>
      <w:widowControl/>
      <w:numPr>
        <w:ilvl w:val="0"/>
        <w:numId w:val="13"/>
      </w:numPr>
      <w:spacing w:beforeLines="100" w:line="360" w:lineRule="auto"/>
      <w:ind w:left="0"/>
      <w:jc w:val="center"/>
    </w:pPr>
    <w:rPr>
      <w:b/>
      <w:szCs w:val="21"/>
    </w:rPr>
  </w:style>
  <w:style w:type="character" w:customStyle="1" w:styleId="1807">
    <w:name w:val="慈溪表一 Char"/>
    <w:link w:val="1806"/>
    <w:uiPriority w:val="0"/>
    <w:rPr>
      <w:b/>
      <w:kern w:val="2"/>
      <w:sz w:val="21"/>
      <w:szCs w:val="21"/>
    </w:rPr>
  </w:style>
  <w:style w:type="paragraph" w:customStyle="1" w:styleId="1808">
    <w:name w:val="慈溪图一"/>
    <w:basedOn w:val="1806"/>
    <w:link w:val="1809"/>
    <w:uiPriority w:val="0"/>
    <w:pPr>
      <w:numPr>
        <w:ilvl w:val="0"/>
        <w:numId w:val="5"/>
      </w:numPr>
      <w:spacing w:afterLines="100"/>
    </w:pPr>
    <w:rPr>
      <w:b w:val="0"/>
    </w:rPr>
  </w:style>
  <w:style w:type="character" w:customStyle="1" w:styleId="1809">
    <w:name w:val="慈溪图一 Char"/>
    <w:link w:val="1808"/>
    <w:uiPriority w:val="0"/>
    <w:rPr>
      <w:kern w:val="2"/>
      <w:sz w:val="21"/>
      <w:szCs w:val="21"/>
    </w:rPr>
  </w:style>
  <w:style w:type="character" w:customStyle="1" w:styleId="1810">
    <w:name w:val="1白龙3级 Char"/>
    <w:link w:val="1811"/>
    <w:uiPriority w:val="0"/>
    <w:rPr>
      <w:b/>
      <w:kern w:val="2"/>
      <w:sz w:val="24"/>
      <w:szCs w:val="24"/>
    </w:rPr>
  </w:style>
  <w:style w:type="paragraph" w:customStyle="1" w:styleId="1811">
    <w:name w:val="1白龙3级"/>
    <w:basedOn w:val="1812"/>
    <w:link w:val="1810"/>
    <w:qFormat/>
    <w:uiPriority w:val="0"/>
    <w:pPr>
      <w:numPr>
        <w:ilvl w:val="2"/>
      </w:numPr>
      <w:tabs>
        <w:tab w:val="left" w:pos="567"/>
      </w:tabs>
      <w:ind w:hanging="1418"/>
      <w:jc w:val="left"/>
      <w:outlineLvl w:val="2"/>
    </w:pPr>
    <w:rPr>
      <w:sz w:val="24"/>
      <w:szCs w:val="24"/>
    </w:rPr>
  </w:style>
  <w:style w:type="paragraph" w:customStyle="1" w:styleId="1812">
    <w:name w:val="1白龙2级"/>
    <w:basedOn w:val="1"/>
    <w:qFormat/>
    <w:uiPriority w:val="0"/>
    <w:pPr>
      <w:numPr>
        <w:ilvl w:val="1"/>
        <w:numId w:val="14"/>
      </w:numPr>
      <w:tabs>
        <w:tab w:val="left" w:pos="567"/>
        <w:tab w:val="clear" w:pos="1505"/>
      </w:tabs>
      <w:spacing w:line="360" w:lineRule="auto"/>
      <w:ind w:left="567"/>
      <w:outlineLvl w:val="1"/>
    </w:pPr>
    <w:rPr>
      <w:b/>
      <w:sz w:val="28"/>
      <w:szCs w:val="28"/>
    </w:rPr>
  </w:style>
  <w:style w:type="paragraph" w:customStyle="1" w:styleId="1813">
    <w:name w:val="1白龙4级"/>
    <w:basedOn w:val="1811"/>
    <w:link w:val="1817"/>
    <w:qFormat/>
    <w:uiPriority w:val="0"/>
    <w:pPr>
      <w:numPr>
        <w:ilvl w:val="3"/>
      </w:numPr>
      <w:tabs>
        <w:tab w:val="clear" w:pos="567"/>
      </w:tabs>
      <w:jc w:val="both"/>
      <w:outlineLvl w:val="3"/>
    </w:pPr>
    <w:rPr>
      <w:color w:val="000000"/>
    </w:rPr>
  </w:style>
  <w:style w:type="paragraph" w:customStyle="1" w:styleId="1814">
    <w:name w:val="1表3"/>
    <w:basedOn w:val="1"/>
    <w:uiPriority w:val="0"/>
    <w:pPr>
      <w:numPr>
        <w:ilvl w:val="0"/>
        <w:numId w:val="15"/>
      </w:numPr>
      <w:jc w:val="center"/>
    </w:pPr>
    <w:rPr>
      <w:b/>
    </w:rPr>
  </w:style>
  <w:style w:type="paragraph" w:customStyle="1" w:styleId="1815">
    <w:name w:val="3-1表漳州核电"/>
    <w:basedOn w:val="1814"/>
    <w:link w:val="1816"/>
    <w:qFormat/>
    <w:uiPriority w:val="0"/>
    <w:pPr>
      <w:spacing w:beforeLines="100" w:line="360" w:lineRule="auto"/>
    </w:pPr>
    <w:rPr>
      <w:rFonts w:hAnsi="宋体"/>
      <w:bCs/>
      <w:szCs w:val="21"/>
    </w:rPr>
  </w:style>
  <w:style w:type="character" w:customStyle="1" w:styleId="1816">
    <w:name w:val="3-1表漳州核电 Char"/>
    <w:link w:val="1815"/>
    <w:uiPriority w:val="0"/>
    <w:rPr>
      <w:rFonts w:hAnsi="宋体"/>
      <w:b/>
      <w:bCs/>
      <w:kern w:val="2"/>
      <w:sz w:val="21"/>
      <w:szCs w:val="21"/>
    </w:rPr>
  </w:style>
  <w:style w:type="character" w:customStyle="1" w:styleId="1817">
    <w:name w:val="1白龙4级 Char"/>
    <w:link w:val="1813"/>
    <w:uiPriority w:val="0"/>
    <w:rPr>
      <w:b/>
      <w:color w:val="000000"/>
      <w:kern w:val="2"/>
      <w:sz w:val="24"/>
      <w:szCs w:val="24"/>
    </w:rPr>
  </w:style>
  <w:style w:type="paragraph" w:customStyle="1" w:styleId="1818">
    <w:name w:val="上海LNG2"/>
    <w:basedOn w:val="1"/>
    <w:link w:val="1819"/>
    <w:qFormat/>
    <w:uiPriority w:val="0"/>
    <w:pPr>
      <w:numPr>
        <w:ilvl w:val="1"/>
        <w:numId w:val="16"/>
      </w:numPr>
      <w:spacing w:line="360" w:lineRule="auto"/>
      <w:outlineLvl w:val="1"/>
    </w:pPr>
    <w:rPr>
      <w:b/>
      <w:sz w:val="24"/>
    </w:rPr>
  </w:style>
  <w:style w:type="character" w:customStyle="1" w:styleId="1819">
    <w:name w:val="上海LNG2 Char"/>
    <w:link w:val="1818"/>
    <w:uiPriority w:val="0"/>
    <w:rPr>
      <w:b/>
      <w:kern w:val="2"/>
      <w:sz w:val="24"/>
      <w:szCs w:val="24"/>
    </w:rPr>
  </w:style>
  <w:style w:type="character" w:customStyle="1" w:styleId="1820">
    <w:name w:val="font21"/>
    <w:uiPriority w:val="0"/>
    <w:rPr>
      <w:rFonts w:hint="eastAsia" w:ascii="宋体" w:hAnsi="宋体" w:eastAsia="宋体" w:cs="宋体"/>
      <w:i/>
      <w:color w:val="000000"/>
      <w:sz w:val="20"/>
      <w:szCs w:val="20"/>
      <w:u w:val="none"/>
    </w:rPr>
  </w:style>
  <w:style w:type="character" w:customStyle="1" w:styleId="1821">
    <w:name w:val="font31"/>
    <w:uiPriority w:val="0"/>
    <w:rPr>
      <w:rFonts w:hint="eastAsia" w:ascii="宋体" w:hAnsi="宋体" w:eastAsia="宋体" w:cs="宋体"/>
      <w:i/>
      <w:color w:val="000000"/>
      <w:sz w:val="20"/>
      <w:szCs w:val="20"/>
      <w:u w:val="none"/>
    </w:rPr>
  </w:style>
  <w:style w:type="paragraph" w:customStyle="1" w:styleId="1822">
    <w:name w:val="样式 样式 正文首行缩进 + (符号) 宋体 四号 +"/>
    <w:basedOn w:val="1"/>
    <w:uiPriority w:val="0"/>
    <w:pPr>
      <w:spacing w:line="560" w:lineRule="exact"/>
      <w:ind w:firstLine="560" w:firstLineChars="200"/>
    </w:pPr>
    <w:rPr>
      <w:kern w:val="0"/>
      <w:sz w:val="28"/>
      <w:szCs w:val="28"/>
    </w:rPr>
  </w:style>
  <w:style w:type="character" w:customStyle="1" w:styleId="1823">
    <w:name w:val="文字 Char"/>
    <w:link w:val="851"/>
    <w:qFormat/>
    <w:uiPriority w:val="0"/>
    <w:rPr>
      <w:rFonts w:ascii="宋体" w:hAnsi="宋体"/>
      <w:snapToGrid w:val="0"/>
      <w:color w:val="000000"/>
      <w:spacing w:val="6"/>
      <w:kern w:val="2"/>
      <w:sz w:val="28"/>
    </w:rPr>
  </w:style>
  <w:style w:type="character" w:customStyle="1" w:styleId="1824">
    <w:name w:val="Char Char27"/>
    <w:uiPriority w:val="0"/>
    <w:rPr>
      <w:rFonts w:ascii="微软雅黑" w:hAnsi="微软雅黑" w:eastAsia="微软雅黑"/>
      <w:bCs/>
      <w:kern w:val="44"/>
      <w:sz w:val="44"/>
      <w:szCs w:val="44"/>
    </w:rPr>
  </w:style>
  <w:style w:type="character" w:customStyle="1" w:styleId="1825">
    <w:name w:val="Char Char16"/>
    <w:uiPriority w:val="0"/>
    <w:rPr>
      <w:b/>
      <w:bCs/>
      <w:kern w:val="44"/>
      <w:sz w:val="44"/>
      <w:szCs w:val="44"/>
      <w:lang w:val="en-US" w:eastAsia="zh-CN" w:bidi="ar-SA"/>
    </w:rPr>
  </w:style>
  <w:style w:type="character" w:customStyle="1" w:styleId="1826">
    <w:name w:val="Char Char19"/>
    <w:uiPriority w:val="0"/>
    <w:rPr>
      <w:rFonts w:eastAsia="黑体"/>
      <w:b/>
      <w:bCs/>
      <w:kern w:val="44"/>
      <w:sz w:val="44"/>
      <w:szCs w:val="44"/>
      <w:lang w:val="en-US" w:eastAsia="zh-CN" w:bidi="ar-SA"/>
    </w:rPr>
  </w:style>
  <w:style w:type="character" w:customStyle="1" w:styleId="1827">
    <w:name w:val="Char Char25"/>
    <w:uiPriority w:val="0"/>
    <w:rPr>
      <w:rFonts w:ascii="Times New Roman" w:hAnsi="Times New Roman"/>
      <w:b/>
      <w:bCs/>
      <w:kern w:val="2"/>
      <w:sz w:val="28"/>
      <w:szCs w:val="28"/>
    </w:rPr>
  </w:style>
  <w:style w:type="character" w:customStyle="1" w:styleId="1828">
    <w:name w:val="Char Char17"/>
    <w:uiPriority w:val="0"/>
    <w:rPr>
      <w:rFonts w:ascii="Times New Roman" w:hAnsi="Times New Roman"/>
      <w:kern w:val="2"/>
      <w:sz w:val="18"/>
      <w:szCs w:val="18"/>
    </w:rPr>
  </w:style>
  <w:style w:type="character" w:customStyle="1" w:styleId="1829">
    <w:name w:val="Char Char18"/>
    <w:uiPriority w:val="0"/>
    <w:rPr>
      <w:rFonts w:ascii="Times New Roman" w:hAnsi="Times New Roman"/>
      <w:kern w:val="2"/>
      <w:sz w:val="18"/>
      <w:szCs w:val="18"/>
    </w:rPr>
  </w:style>
  <w:style w:type="character" w:customStyle="1" w:styleId="1830">
    <w:name w:val="书籍标题2"/>
    <w:qFormat/>
    <w:uiPriority w:val="0"/>
    <w:rPr>
      <w:rFonts w:ascii="Times New Roman" w:hAnsi="Times New Roman" w:eastAsia="黑体"/>
      <w:b/>
      <w:bCs/>
      <w:smallCaps/>
      <w:color w:val="auto"/>
      <w:spacing w:val="5"/>
      <w:sz w:val="44"/>
      <w:u w:val="none"/>
    </w:rPr>
  </w:style>
  <w:style w:type="character" w:customStyle="1" w:styleId="1831">
    <w:name w:val="四号 正文 Char"/>
    <w:uiPriority w:val="0"/>
    <w:rPr>
      <w:rFonts w:eastAsia="宋体"/>
      <w:spacing w:val="6"/>
      <w:kern w:val="2"/>
      <w:sz w:val="28"/>
    </w:rPr>
  </w:style>
  <w:style w:type="character" w:customStyle="1" w:styleId="1832">
    <w:name w:val="小四 Char"/>
    <w:link w:val="1833"/>
    <w:uiPriority w:val="0"/>
    <w:rPr>
      <w:rFonts w:ascii="宋体" w:hAnsi="宋体"/>
      <w:sz w:val="24"/>
      <w:szCs w:val="24"/>
    </w:rPr>
  </w:style>
  <w:style w:type="paragraph" w:customStyle="1" w:styleId="1833">
    <w:name w:val="小四"/>
    <w:basedOn w:val="1"/>
    <w:link w:val="1832"/>
    <w:uiPriority w:val="0"/>
    <w:pPr>
      <w:spacing w:line="360" w:lineRule="auto"/>
      <w:ind w:firstLine="480" w:firstLineChars="200"/>
      <w:jc w:val="left"/>
    </w:pPr>
    <w:rPr>
      <w:rFonts w:ascii="宋体" w:hAnsi="宋体"/>
      <w:kern w:val="0"/>
      <w:sz w:val="24"/>
    </w:rPr>
  </w:style>
  <w:style w:type="character" w:customStyle="1" w:styleId="1834">
    <w:name w:val="Char Char26"/>
    <w:uiPriority w:val="0"/>
    <w:rPr>
      <w:rFonts w:eastAsia="微软雅黑"/>
      <w:bCs/>
      <w:kern w:val="2"/>
      <w:sz w:val="30"/>
      <w:szCs w:val="30"/>
    </w:rPr>
  </w:style>
  <w:style w:type="character" w:customStyle="1" w:styleId="1835">
    <w:name w:val="表格1 + 四号 Char"/>
    <w:link w:val="1836"/>
    <w:uiPriority w:val="0"/>
    <w:rPr>
      <w:sz w:val="28"/>
      <w:szCs w:val="24"/>
    </w:rPr>
  </w:style>
  <w:style w:type="paragraph" w:customStyle="1" w:styleId="1836">
    <w:name w:val="表格1 + 四号"/>
    <w:basedOn w:val="1837"/>
    <w:link w:val="1835"/>
    <w:uiPriority w:val="0"/>
    <w:rPr>
      <w:sz w:val="28"/>
    </w:rPr>
  </w:style>
  <w:style w:type="paragraph" w:customStyle="1" w:styleId="1837">
    <w:name w:val="表格1 Char"/>
    <w:basedOn w:val="1"/>
    <w:link w:val="1848"/>
    <w:uiPriority w:val="0"/>
    <w:pPr>
      <w:spacing w:after="60"/>
      <w:jc w:val="center"/>
    </w:pPr>
    <w:rPr>
      <w:kern w:val="0"/>
      <w:sz w:val="24"/>
    </w:rPr>
  </w:style>
  <w:style w:type="character" w:customStyle="1" w:styleId="1838">
    <w:name w:val="书籍标题1"/>
    <w:qFormat/>
    <w:uiPriority w:val="0"/>
    <w:rPr>
      <w:rFonts w:ascii="Times New Roman" w:hAnsi="Times New Roman" w:eastAsia="黑体"/>
      <w:b/>
      <w:bCs/>
      <w:smallCaps/>
      <w:color w:val="auto"/>
      <w:spacing w:val="5"/>
      <w:sz w:val="44"/>
      <w:u w:val="none"/>
    </w:rPr>
  </w:style>
  <w:style w:type="character" w:customStyle="1" w:styleId="1839">
    <w:name w:val="样式12 Char"/>
    <w:link w:val="1840"/>
    <w:locked/>
    <w:uiPriority w:val="0"/>
    <w:rPr>
      <w:rFonts w:ascii="宋体" w:hAnsi="宋体"/>
      <w:sz w:val="24"/>
      <w:szCs w:val="24"/>
    </w:rPr>
  </w:style>
  <w:style w:type="paragraph" w:customStyle="1" w:styleId="1840">
    <w:name w:val="样式12"/>
    <w:basedOn w:val="1"/>
    <w:link w:val="1839"/>
    <w:uiPriority w:val="0"/>
    <w:pPr>
      <w:adjustRightInd w:val="0"/>
      <w:snapToGrid w:val="0"/>
      <w:spacing w:line="440" w:lineRule="exact"/>
      <w:ind w:firstLine="437"/>
    </w:pPr>
    <w:rPr>
      <w:rFonts w:ascii="宋体" w:hAnsi="宋体"/>
      <w:kern w:val="0"/>
      <w:sz w:val="24"/>
    </w:rPr>
  </w:style>
  <w:style w:type="character" w:customStyle="1" w:styleId="1841">
    <w:name w:val="headline-content2"/>
    <w:uiPriority w:val="0"/>
  </w:style>
  <w:style w:type="character" w:customStyle="1" w:styleId="1842">
    <w:name w:val="1 标题 1 Char Char"/>
    <w:uiPriority w:val="0"/>
    <w:rPr>
      <w:rFonts w:ascii="Times New Roman" w:hAnsi="Times New Roman" w:eastAsia="宋体" w:cs="Times New Roman"/>
      <w:b/>
      <w:bCs/>
      <w:kern w:val="44"/>
      <w:sz w:val="44"/>
      <w:szCs w:val="44"/>
    </w:rPr>
  </w:style>
  <w:style w:type="character" w:customStyle="1" w:styleId="1843">
    <w:name w:val="Comment Text Char1"/>
    <w:uiPriority w:val="0"/>
    <w:rPr>
      <w:kern w:val="2"/>
      <w:sz w:val="21"/>
      <w:szCs w:val="24"/>
    </w:rPr>
  </w:style>
  <w:style w:type="character" w:customStyle="1" w:styleId="1844">
    <w:name w:val="Book Title1"/>
    <w:qFormat/>
    <w:uiPriority w:val="0"/>
    <w:rPr>
      <w:rFonts w:ascii="Times New Roman" w:hAnsi="Times New Roman" w:eastAsia="黑体"/>
      <w:b/>
      <w:bCs/>
      <w:smallCaps/>
      <w:color w:val="auto"/>
      <w:spacing w:val="5"/>
      <w:sz w:val="44"/>
      <w:u w:val="none"/>
    </w:rPr>
  </w:style>
  <w:style w:type="character" w:customStyle="1" w:styleId="1845">
    <w:name w:val="书籍标题3"/>
    <w:qFormat/>
    <w:uiPriority w:val="0"/>
    <w:rPr>
      <w:rFonts w:ascii="Times New Roman" w:hAnsi="Times New Roman" w:eastAsia="黑体"/>
      <w:b/>
      <w:bCs/>
      <w:smallCaps/>
      <w:color w:val="auto"/>
      <w:spacing w:val="5"/>
      <w:sz w:val="44"/>
      <w:u w:val="none"/>
    </w:rPr>
  </w:style>
  <w:style w:type="character" w:customStyle="1" w:styleId="1846">
    <w:name w:val="Char Char24"/>
    <w:uiPriority w:val="0"/>
    <w:rPr>
      <w:rFonts w:ascii="Arial" w:hAnsi="Arial" w:eastAsia="黑体"/>
      <w:b/>
      <w:bCs/>
      <w:kern w:val="2"/>
      <w:sz w:val="28"/>
      <w:szCs w:val="28"/>
    </w:rPr>
  </w:style>
  <w:style w:type="character" w:customStyle="1" w:styleId="1847">
    <w:name w:val="Comment Subject Char1"/>
    <w:uiPriority w:val="0"/>
    <w:rPr>
      <w:b/>
      <w:bCs/>
      <w:kern w:val="2"/>
      <w:sz w:val="21"/>
      <w:szCs w:val="24"/>
    </w:rPr>
  </w:style>
  <w:style w:type="character" w:customStyle="1" w:styleId="1848">
    <w:name w:val="表格1 Char Char"/>
    <w:link w:val="1837"/>
    <w:uiPriority w:val="0"/>
    <w:rPr>
      <w:sz w:val="24"/>
      <w:szCs w:val="24"/>
    </w:rPr>
  </w:style>
  <w:style w:type="character" w:customStyle="1" w:styleId="1849">
    <w:name w:val="style91"/>
    <w:uiPriority w:val="0"/>
    <w:rPr>
      <w:color w:val="11305E"/>
    </w:rPr>
  </w:style>
  <w:style w:type="character" w:customStyle="1" w:styleId="1850">
    <w:name w:val="题注 Char1"/>
    <w:uiPriority w:val="0"/>
    <w:rPr>
      <w:rFonts w:ascii="Arial" w:hAnsi="Arial" w:eastAsia="黑体" w:cs="Arial"/>
      <w:kern w:val="2"/>
    </w:rPr>
  </w:style>
  <w:style w:type="character" w:customStyle="1" w:styleId="1851">
    <w:name w:val="样式 (符号) 宋体 四号"/>
    <w:uiPriority w:val="0"/>
    <w:rPr>
      <w:kern w:val="0"/>
      <w:sz w:val="24"/>
    </w:rPr>
  </w:style>
  <w:style w:type="paragraph" w:customStyle="1" w:styleId="1852">
    <w:name w:val="样式 表格五号 +"/>
    <w:basedOn w:val="1455"/>
    <w:semiHidden/>
    <w:uiPriority w:val="0"/>
    <w:rPr>
      <w:rFonts w:ascii="Times New Roman" w:eastAsia="Times New Roman" w:cs="Times New Roman"/>
      <w:kern w:val="0"/>
    </w:rPr>
  </w:style>
  <w:style w:type="paragraph" w:customStyle="1" w:styleId="1853">
    <w:name w:val="样式 标题 2 + Times New Roman"/>
    <w:basedOn w:val="4"/>
    <w:uiPriority w:val="0"/>
    <w:pPr>
      <w:tabs>
        <w:tab w:val="left" w:pos="747"/>
        <w:tab w:val="clear" w:pos="360"/>
      </w:tabs>
      <w:spacing w:before="120" w:after="120" w:line="360" w:lineRule="auto"/>
      <w:ind w:left="0" w:firstLine="0" w:firstLineChars="0"/>
      <w:textAlignment w:val="center"/>
    </w:pPr>
    <w:rPr>
      <w:rFonts w:ascii="Times New Roman" w:hAnsi="Times New Roman" w:eastAsia="微软雅黑"/>
      <w:bCs w:val="0"/>
      <w:szCs w:val="20"/>
    </w:rPr>
  </w:style>
  <w:style w:type="paragraph" w:customStyle="1" w:styleId="1854">
    <w:name w:val="TOC 标题1"/>
    <w:basedOn w:val="3"/>
    <w:next w:val="1"/>
    <w:qFormat/>
    <w:uiPriority w:val="0"/>
    <w:pPr>
      <w:keepLines/>
      <w:widowControl/>
      <w:tabs>
        <w:tab w:val="clear" w:pos="360"/>
      </w:tabs>
      <w:spacing w:before="480" w:line="276" w:lineRule="auto"/>
      <w:ind w:left="0" w:firstLine="0" w:firstLineChars="0"/>
      <w:outlineLvl w:val="9"/>
    </w:pPr>
    <w:rPr>
      <w:rFonts w:ascii="Cambria" w:hAnsi="Cambria" w:eastAsia="宋体"/>
      <w:bCs/>
      <w:color w:val="365F91"/>
      <w:kern w:val="0"/>
      <w:sz w:val="28"/>
      <w:szCs w:val="28"/>
    </w:rPr>
  </w:style>
  <w:style w:type="paragraph" w:customStyle="1" w:styleId="1855">
    <w:name w:val="样式 样式 样式1 + + 首行缩进:  0.5 字符"/>
    <w:basedOn w:val="1"/>
    <w:uiPriority w:val="0"/>
    <w:pPr>
      <w:keepNext/>
      <w:keepLines/>
      <w:adjustRightInd w:val="0"/>
      <w:ind w:firstLine="221" w:firstLineChars="50"/>
      <w:textAlignment w:val="baseline"/>
      <w:outlineLvl w:val="1"/>
    </w:pPr>
    <w:rPr>
      <w:rFonts w:ascii="Arial" w:hAnsi="Arial" w:cs="宋体"/>
      <w:b/>
      <w:kern w:val="0"/>
      <w:sz w:val="44"/>
      <w:szCs w:val="20"/>
    </w:rPr>
  </w:style>
  <w:style w:type="paragraph" w:customStyle="1" w:styleId="1856">
    <w:name w:val="样式 黑体 四号 黑色 居中 首行缩进:  1.73 厘米 段前: 2 磅 图案: 清除 (白色) 行距: 1.5..."/>
    <w:basedOn w:val="1"/>
    <w:semiHidden/>
    <w:uiPriority w:val="0"/>
    <w:pPr>
      <w:spacing w:before="40" w:line="360" w:lineRule="auto"/>
      <w:ind w:firstLine="980"/>
      <w:jc w:val="left"/>
    </w:pPr>
    <w:rPr>
      <w:rFonts w:ascii="黑体" w:eastAsia="黑体" w:cs="宋体"/>
      <w:color w:val="000000"/>
      <w:sz w:val="28"/>
      <w:szCs w:val="20"/>
      <w:shd w:val="clear" w:color="auto" w:fill="FFFFFF"/>
    </w:rPr>
  </w:style>
  <w:style w:type="paragraph" w:customStyle="1" w:styleId="1857">
    <w:name w:val="xl89"/>
    <w:basedOn w:val="1"/>
    <w:uiPriority w:val="0"/>
    <w:pPr>
      <w:widowControl/>
      <w:pBdr>
        <w:bottom w:val="single" w:color="auto" w:sz="8" w:space="0"/>
        <w:right w:val="single" w:color="auto" w:sz="8" w:space="0"/>
      </w:pBdr>
      <w:spacing w:before="100" w:beforeAutospacing="1" w:after="100" w:afterAutospacing="1"/>
      <w:jc w:val="center"/>
    </w:pPr>
    <w:rPr>
      <w:kern w:val="0"/>
      <w:szCs w:val="21"/>
    </w:rPr>
  </w:style>
  <w:style w:type="paragraph" w:customStyle="1" w:styleId="1858">
    <w:name w:val="xl78"/>
    <w:basedOn w:val="1"/>
    <w:uiPriority w:val="0"/>
    <w:pPr>
      <w:widowControl/>
      <w:pBdr>
        <w:bottom w:val="single" w:color="auto" w:sz="12" w:space="0"/>
        <w:right w:val="single" w:color="auto" w:sz="8" w:space="0"/>
      </w:pBdr>
      <w:spacing w:before="100" w:beforeAutospacing="1" w:after="100" w:afterAutospacing="1"/>
      <w:jc w:val="center"/>
    </w:pPr>
    <w:rPr>
      <w:kern w:val="0"/>
      <w:szCs w:val="21"/>
    </w:rPr>
  </w:style>
  <w:style w:type="paragraph" w:customStyle="1" w:styleId="1859">
    <w:name w:val="样式 段前: 3.05 磅 行距: 1.5 倍行距 首行缩进:  2 字符"/>
    <w:basedOn w:val="1"/>
    <w:uiPriority w:val="0"/>
    <w:pPr>
      <w:spacing w:before="61" w:line="360" w:lineRule="auto"/>
      <w:ind w:firstLine="560" w:firstLineChars="200"/>
    </w:pPr>
    <w:rPr>
      <w:rFonts w:cs="宋体"/>
      <w:sz w:val="28"/>
      <w:szCs w:val="20"/>
    </w:rPr>
  </w:style>
  <w:style w:type="character" w:customStyle="1" w:styleId="1860">
    <w:name w:val="脚注文本 Char1"/>
    <w:uiPriority w:val="0"/>
    <w:rPr>
      <w:kern w:val="2"/>
      <w:sz w:val="18"/>
      <w:szCs w:val="18"/>
    </w:rPr>
  </w:style>
  <w:style w:type="character" w:customStyle="1" w:styleId="1861">
    <w:name w:val="正文文本 3 Char1"/>
    <w:uiPriority w:val="0"/>
    <w:rPr>
      <w:kern w:val="2"/>
      <w:sz w:val="16"/>
      <w:szCs w:val="16"/>
    </w:rPr>
  </w:style>
  <w:style w:type="paragraph" w:customStyle="1" w:styleId="1862">
    <w:name w:val="xl90"/>
    <w:basedOn w:val="1"/>
    <w:uiPriority w:val="0"/>
    <w:pPr>
      <w:widowControl/>
      <w:pBdr>
        <w:top w:val="single" w:color="auto" w:sz="12" w:space="0"/>
        <w:right w:val="single" w:color="auto" w:sz="8" w:space="0"/>
      </w:pBdr>
      <w:spacing w:before="100" w:beforeAutospacing="1" w:after="100" w:afterAutospacing="1"/>
      <w:jc w:val="center"/>
    </w:pPr>
    <w:rPr>
      <w:rFonts w:ascii="宋体" w:hAnsi="宋体" w:cs="宋体"/>
      <w:kern w:val="0"/>
      <w:szCs w:val="21"/>
    </w:rPr>
  </w:style>
  <w:style w:type="paragraph" w:customStyle="1" w:styleId="1863">
    <w:name w:val="TOC 标题2"/>
    <w:basedOn w:val="3"/>
    <w:next w:val="1"/>
    <w:qFormat/>
    <w:uiPriority w:val="0"/>
    <w:pPr>
      <w:keepLines/>
      <w:widowControl/>
      <w:tabs>
        <w:tab w:val="clear" w:pos="360"/>
      </w:tabs>
      <w:spacing w:before="480" w:line="276" w:lineRule="auto"/>
      <w:ind w:left="0" w:firstLine="0" w:firstLineChars="0"/>
      <w:jc w:val="left"/>
      <w:outlineLvl w:val="9"/>
    </w:pPr>
    <w:rPr>
      <w:rFonts w:ascii="Cambria" w:hAnsi="Cambria" w:eastAsia="微软雅黑"/>
      <w:bCs/>
      <w:color w:val="365F91"/>
      <w:kern w:val="0"/>
      <w:sz w:val="28"/>
      <w:szCs w:val="28"/>
    </w:rPr>
  </w:style>
  <w:style w:type="character" w:customStyle="1" w:styleId="1864">
    <w:name w:val="引用 Char1"/>
    <w:uiPriority w:val="0"/>
    <w:rPr>
      <w:rFonts w:ascii="Times New Roman" w:hAnsi="Times New Roman" w:eastAsia="宋体" w:cs="Times New Roman"/>
      <w:i/>
      <w:iCs/>
      <w:color w:val="000000"/>
      <w:szCs w:val="24"/>
    </w:rPr>
  </w:style>
  <w:style w:type="paragraph" w:customStyle="1" w:styleId="1865">
    <w:name w:val="0图名A"/>
    <w:basedOn w:val="1"/>
    <w:uiPriority w:val="0"/>
    <w:pPr>
      <w:widowControl/>
      <w:tabs>
        <w:tab w:val="left" w:pos="0"/>
      </w:tabs>
      <w:adjustRightInd w:val="0"/>
      <w:snapToGrid w:val="0"/>
      <w:spacing w:beforeLines="20" w:afterLines="80"/>
      <w:jc w:val="center"/>
    </w:pPr>
    <w:rPr>
      <w:rFonts w:cs="Plotter"/>
      <w:b/>
      <w:snapToGrid w:val="0"/>
      <w:kern w:val="0"/>
      <w:szCs w:val="20"/>
    </w:rPr>
  </w:style>
  <w:style w:type="paragraph" w:customStyle="1" w:styleId="1866">
    <w:name w:val="修订1"/>
    <w:semiHidden/>
    <w:uiPriority w:val="0"/>
    <w:rPr>
      <w:rFonts w:ascii="Times New Roman" w:hAnsi="Times New Roman" w:eastAsia="宋体" w:cs="Times New Roman"/>
      <w:kern w:val="2"/>
      <w:sz w:val="21"/>
      <w:szCs w:val="24"/>
      <w:lang w:val="en-US" w:eastAsia="zh-CN" w:bidi="ar-SA"/>
    </w:rPr>
  </w:style>
  <w:style w:type="paragraph" w:customStyle="1" w:styleId="1867">
    <w:name w:val="xl86"/>
    <w:basedOn w:val="1"/>
    <w:uiPriority w:val="0"/>
    <w:pPr>
      <w:widowControl/>
      <w:pBdr>
        <w:left w:val="single" w:color="auto" w:sz="12" w:space="0"/>
        <w:bottom w:val="single" w:color="auto" w:sz="8" w:space="0"/>
        <w:right w:val="single" w:color="auto" w:sz="8" w:space="0"/>
      </w:pBdr>
      <w:spacing w:before="100" w:beforeAutospacing="1" w:after="100" w:afterAutospacing="1"/>
      <w:jc w:val="center"/>
    </w:pPr>
    <w:rPr>
      <w:kern w:val="0"/>
      <w:szCs w:val="21"/>
    </w:rPr>
  </w:style>
  <w:style w:type="paragraph" w:customStyle="1" w:styleId="1868">
    <w:name w:val="xl93"/>
    <w:basedOn w:val="1"/>
    <w:uiPriority w:val="0"/>
    <w:pPr>
      <w:widowControl/>
      <w:pBdr>
        <w:bottom w:val="single" w:color="auto" w:sz="8" w:space="0"/>
        <w:right w:val="single" w:color="auto" w:sz="8" w:space="0"/>
      </w:pBdr>
      <w:spacing w:before="100" w:beforeAutospacing="1" w:after="100" w:afterAutospacing="1"/>
      <w:jc w:val="center"/>
    </w:pPr>
    <w:rPr>
      <w:kern w:val="0"/>
      <w:szCs w:val="21"/>
    </w:rPr>
  </w:style>
  <w:style w:type="paragraph" w:customStyle="1" w:styleId="1869">
    <w:name w:val="xl83"/>
    <w:basedOn w:val="1"/>
    <w:uiPriority w:val="0"/>
    <w:pPr>
      <w:widowControl/>
      <w:pBdr>
        <w:top w:val="single" w:color="auto" w:sz="12" w:space="0"/>
        <w:left w:val="single" w:color="auto" w:sz="12" w:space="0"/>
        <w:right w:val="single" w:color="auto" w:sz="8" w:space="0"/>
      </w:pBdr>
      <w:spacing w:before="100" w:beforeAutospacing="1" w:after="100" w:afterAutospacing="1"/>
      <w:jc w:val="center"/>
    </w:pPr>
    <w:rPr>
      <w:rFonts w:ascii="宋体" w:hAnsi="宋体" w:cs="宋体"/>
      <w:kern w:val="0"/>
      <w:szCs w:val="21"/>
    </w:rPr>
  </w:style>
  <w:style w:type="paragraph" w:customStyle="1" w:styleId="1870">
    <w:name w:val="样式 标题 2"/>
    <w:basedOn w:val="1"/>
    <w:uiPriority w:val="0"/>
    <w:pPr>
      <w:tabs>
        <w:tab w:val="left" w:pos="747"/>
      </w:tabs>
      <w:ind w:left="747" w:hanging="567"/>
    </w:pPr>
  </w:style>
  <w:style w:type="paragraph" w:customStyle="1" w:styleId="1871">
    <w:name w:val="修订2"/>
    <w:semiHidden/>
    <w:uiPriority w:val="99"/>
    <w:rPr>
      <w:rFonts w:ascii="Times New Roman" w:hAnsi="Times New Roman" w:eastAsia="宋体" w:cs="Times New Roman"/>
      <w:kern w:val="2"/>
      <w:sz w:val="21"/>
      <w:szCs w:val="24"/>
      <w:lang w:val="en-US" w:eastAsia="zh-CN" w:bidi="ar-SA"/>
    </w:rPr>
  </w:style>
  <w:style w:type="paragraph" w:customStyle="1" w:styleId="1872">
    <w:name w:val="表格5号"/>
    <w:uiPriority w:val="0"/>
    <w:pPr>
      <w:widowControl w:val="0"/>
      <w:jc w:val="center"/>
    </w:pPr>
    <w:rPr>
      <w:rFonts w:ascii="Times New Roman" w:hAnsi="Times New Roman" w:eastAsia="宋体" w:cs="Times New Roman"/>
      <w:bCs/>
      <w:kern w:val="2"/>
      <w:sz w:val="21"/>
      <w:szCs w:val="21"/>
      <w:lang w:val="en-US" w:eastAsia="zh-CN" w:bidi="ar-SA"/>
    </w:rPr>
  </w:style>
  <w:style w:type="paragraph" w:customStyle="1" w:styleId="1873">
    <w:name w:val="样式 行距: 1.5 倍行距 首行缩进:  2 字符"/>
    <w:basedOn w:val="1"/>
    <w:uiPriority w:val="0"/>
    <w:pPr>
      <w:ind w:firstLine="420"/>
      <w:textAlignment w:val="center"/>
    </w:pPr>
    <w:rPr>
      <w:rFonts w:cs="宋体"/>
      <w:sz w:val="28"/>
      <w:szCs w:val="20"/>
    </w:rPr>
  </w:style>
  <w:style w:type="paragraph" w:customStyle="1" w:styleId="1874">
    <w:name w:val="xl79"/>
    <w:basedOn w:val="1"/>
    <w:uiPriority w:val="0"/>
    <w:pPr>
      <w:widowControl/>
      <w:pBdr>
        <w:bottom w:val="single" w:color="auto" w:sz="12" w:space="0"/>
        <w:right w:val="single" w:color="auto" w:sz="8" w:space="0"/>
      </w:pBdr>
      <w:spacing w:before="100" w:beforeAutospacing="1" w:after="100" w:afterAutospacing="1"/>
      <w:jc w:val="center"/>
    </w:pPr>
    <w:rPr>
      <w:kern w:val="0"/>
      <w:szCs w:val="21"/>
    </w:rPr>
  </w:style>
  <w:style w:type="paragraph" w:customStyle="1" w:styleId="1875">
    <w:name w:val="样式 表格五号 + 首行缩进:  0.99 厘米"/>
    <w:basedOn w:val="1455"/>
    <w:uiPriority w:val="0"/>
    <w:rPr>
      <w:rFonts w:ascii="Times New Roman" w:hAnsi="Times New Roman"/>
      <w:sz w:val="21"/>
      <w:szCs w:val="20"/>
    </w:rPr>
  </w:style>
  <w:style w:type="paragraph" w:customStyle="1" w:styleId="1876">
    <w:name w:val="列出段落1"/>
    <w:basedOn w:val="1"/>
    <w:qFormat/>
    <w:uiPriority w:val="0"/>
    <w:pPr>
      <w:ind w:firstLine="420" w:firstLineChars="200"/>
    </w:pPr>
  </w:style>
  <w:style w:type="paragraph" w:customStyle="1" w:styleId="1877">
    <w:name w:val="样式 标题 3标题 3 Char2ReHead 3 WSAh3H3B Head..标题 3 Char Char ..."/>
    <w:basedOn w:val="5"/>
    <w:uiPriority w:val="0"/>
    <w:pPr>
      <w:keepLines/>
      <w:tabs>
        <w:tab w:val="left" w:pos="709"/>
        <w:tab w:val="clear" w:pos="360"/>
      </w:tabs>
      <w:adjustRightInd/>
      <w:snapToGrid/>
      <w:spacing w:before="120" w:after="120" w:line="415" w:lineRule="auto"/>
      <w:ind w:left="1518" w:hanging="1518" w:hangingChars="540"/>
    </w:pPr>
    <w:rPr>
      <w:rFonts w:ascii="Times New Roman" w:hAnsi="Times New Roman" w:eastAsia="宋体" w:cs="宋体"/>
      <w:b/>
      <w:kern w:val="0"/>
      <w:sz w:val="28"/>
      <w:szCs w:val="20"/>
    </w:rPr>
  </w:style>
  <w:style w:type="paragraph" w:customStyle="1" w:styleId="1878">
    <w:name w:val="xl80"/>
    <w:basedOn w:val="1"/>
    <w:uiPriority w:val="0"/>
    <w:pPr>
      <w:widowControl/>
      <w:pBdr>
        <w:bottom w:val="single" w:color="auto" w:sz="8" w:space="0"/>
        <w:right w:val="single" w:color="auto" w:sz="8" w:space="0"/>
      </w:pBdr>
      <w:spacing w:before="100" w:beforeAutospacing="1" w:after="100" w:afterAutospacing="1"/>
      <w:jc w:val="center"/>
    </w:pPr>
    <w:rPr>
      <w:kern w:val="0"/>
      <w:szCs w:val="21"/>
    </w:rPr>
  </w:style>
  <w:style w:type="paragraph" w:customStyle="1" w:styleId="1879">
    <w:name w:val="xl87"/>
    <w:basedOn w:val="1"/>
    <w:uiPriority w:val="0"/>
    <w:pPr>
      <w:widowControl/>
      <w:pBdr>
        <w:top w:val="single" w:color="auto" w:sz="12" w:space="0"/>
        <w:right w:val="single" w:color="auto" w:sz="8" w:space="0"/>
      </w:pBdr>
      <w:spacing w:before="100" w:beforeAutospacing="1" w:after="100" w:afterAutospacing="1"/>
      <w:jc w:val="center"/>
    </w:pPr>
    <w:rPr>
      <w:kern w:val="0"/>
      <w:szCs w:val="21"/>
    </w:rPr>
  </w:style>
  <w:style w:type="paragraph" w:customStyle="1" w:styleId="1880">
    <w:name w:val="样式 标题 1 + 段后: 1 行"/>
    <w:basedOn w:val="3"/>
    <w:uiPriority w:val="0"/>
    <w:pPr>
      <w:keepLines/>
      <w:tabs>
        <w:tab w:val="left" w:pos="454"/>
        <w:tab w:val="left" w:pos="900"/>
        <w:tab w:val="clear" w:pos="360"/>
      </w:tabs>
      <w:adjustRightInd w:val="0"/>
      <w:snapToGrid w:val="0"/>
      <w:spacing w:beforeLines="50" w:afterLines="100"/>
      <w:ind w:left="454" w:hanging="454" w:firstLineChars="0"/>
      <w:jc w:val="left"/>
      <w:textAlignment w:val="baseline"/>
    </w:pPr>
    <w:rPr>
      <w:rFonts w:ascii="黑体" w:eastAsia="黑体" w:cs="宋体"/>
      <w:b/>
      <w:bCs/>
      <w:kern w:val="44"/>
      <w:szCs w:val="30"/>
    </w:rPr>
  </w:style>
  <w:style w:type="paragraph" w:customStyle="1" w:styleId="1881">
    <w:name w:val="样式 (符号) Arial 小四 居中"/>
    <w:basedOn w:val="1"/>
    <w:uiPriority w:val="0"/>
    <w:pPr>
      <w:jc w:val="center"/>
    </w:pPr>
    <w:rPr>
      <w:rFonts w:hAnsi="Arial" w:cs="宋体"/>
      <w:kern w:val="0"/>
      <w:sz w:val="24"/>
      <w:szCs w:val="20"/>
    </w:rPr>
  </w:style>
  <w:style w:type="paragraph" w:customStyle="1" w:styleId="1882">
    <w:name w:val="xl77"/>
    <w:basedOn w:val="1"/>
    <w:uiPriority w:val="0"/>
    <w:pPr>
      <w:widowControl/>
      <w:pBdr>
        <w:bottom w:val="single" w:color="auto" w:sz="12" w:space="0"/>
        <w:right w:val="single" w:color="auto" w:sz="8" w:space="0"/>
      </w:pBdr>
      <w:spacing w:before="100" w:beforeAutospacing="1" w:after="100" w:afterAutospacing="1"/>
      <w:jc w:val="center"/>
    </w:pPr>
    <w:rPr>
      <w:kern w:val="0"/>
      <w:szCs w:val="21"/>
    </w:rPr>
  </w:style>
  <w:style w:type="paragraph" w:customStyle="1" w:styleId="1883">
    <w:name w:val="Revision1"/>
    <w:semiHidden/>
    <w:uiPriority w:val="99"/>
    <w:rPr>
      <w:rFonts w:ascii="Times New Roman" w:hAnsi="Times New Roman" w:eastAsia="宋体" w:cs="Times New Roman"/>
      <w:kern w:val="2"/>
      <w:sz w:val="21"/>
      <w:szCs w:val="24"/>
      <w:lang w:val="en-US" w:eastAsia="zh-CN" w:bidi="ar-SA"/>
    </w:rPr>
  </w:style>
  <w:style w:type="character" w:customStyle="1" w:styleId="1884">
    <w:name w:val="明显引用 Char1"/>
    <w:uiPriority w:val="0"/>
    <w:rPr>
      <w:b/>
      <w:bCs/>
      <w:i/>
      <w:iCs/>
      <w:color w:val="4F81BD"/>
      <w:kern w:val="2"/>
      <w:sz w:val="21"/>
      <w:szCs w:val="24"/>
    </w:rPr>
  </w:style>
  <w:style w:type="paragraph" w:customStyle="1" w:styleId="1885">
    <w:name w:val="2标题C+Arial"/>
    <w:uiPriority w:val="0"/>
    <w:pPr>
      <w:tabs>
        <w:tab w:val="left" w:pos="0"/>
      </w:tabs>
      <w:adjustRightInd w:val="0"/>
      <w:snapToGrid w:val="0"/>
      <w:spacing w:before="100" w:line="360" w:lineRule="auto"/>
      <w:outlineLvl w:val="2"/>
    </w:pPr>
    <w:rPr>
      <w:rFonts w:ascii="Arial" w:hAnsi="Arial" w:eastAsia="宋体" w:cs="Arial"/>
      <w:b/>
      <w:snapToGrid w:val="0"/>
      <w:sz w:val="30"/>
      <w:szCs w:val="30"/>
      <w:lang w:val="en-US" w:eastAsia="zh-CN" w:bidi="ar-SA"/>
    </w:rPr>
  </w:style>
  <w:style w:type="character" w:customStyle="1" w:styleId="1886">
    <w:name w:val="HTML 预设格式 Char1"/>
    <w:uiPriority w:val="0"/>
    <w:rPr>
      <w:rFonts w:ascii="Consolas" w:hAnsi="Consolas" w:cs="Consolas"/>
      <w:kern w:val="2"/>
    </w:rPr>
  </w:style>
  <w:style w:type="paragraph" w:customStyle="1" w:styleId="1887">
    <w:name w:val="样式 标题 3 + 华文楷体 四号 行距: 多倍行距 1.73 字行"/>
    <w:basedOn w:val="5"/>
    <w:uiPriority w:val="0"/>
    <w:pPr>
      <w:keepLines/>
      <w:tabs>
        <w:tab w:val="clear" w:pos="360"/>
      </w:tabs>
      <w:adjustRightInd/>
      <w:snapToGrid/>
      <w:spacing w:before="120" w:after="120" w:line="415" w:lineRule="auto"/>
      <w:ind w:left="0" w:firstLine="0" w:firstLineChars="0"/>
      <w:textAlignment w:val="center"/>
    </w:pPr>
    <w:rPr>
      <w:rFonts w:ascii="Times New Roman" w:hAnsi="Times New Roman" w:eastAsia="黑体"/>
      <w:sz w:val="28"/>
      <w:szCs w:val="20"/>
    </w:rPr>
  </w:style>
  <w:style w:type="paragraph" w:customStyle="1" w:styleId="1888">
    <w:name w:val="样式 居中 行距: 1.5 倍行距"/>
    <w:basedOn w:val="1"/>
    <w:uiPriority w:val="0"/>
    <w:pPr>
      <w:jc w:val="center"/>
    </w:pPr>
    <w:rPr>
      <w:rFonts w:cs="宋体"/>
      <w:szCs w:val="20"/>
    </w:rPr>
  </w:style>
  <w:style w:type="paragraph" w:customStyle="1" w:styleId="1889">
    <w:name w:val="xl94"/>
    <w:basedOn w:val="1"/>
    <w:uiPriority w:val="0"/>
    <w:pPr>
      <w:widowControl/>
      <w:pBdr>
        <w:bottom w:val="single" w:color="auto" w:sz="8" w:space="0"/>
        <w:right w:val="single" w:color="auto" w:sz="8" w:space="0"/>
      </w:pBdr>
      <w:spacing w:before="100" w:beforeAutospacing="1" w:after="100" w:afterAutospacing="1"/>
      <w:jc w:val="center"/>
    </w:pPr>
    <w:rPr>
      <w:kern w:val="0"/>
      <w:szCs w:val="21"/>
    </w:rPr>
  </w:style>
  <w:style w:type="paragraph" w:customStyle="1" w:styleId="1890">
    <w:name w:val="样式 目录 2 + 首行缩进:  2 字符"/>
    <w:basedOn w:val="74"/>
    <w:uiPriority w:val="0"/>
    <w:pPr>
      <w:widowControl w:val="0"/>
      <w:tabs>
        <w:tab w:val="clear" w:pos="8296"/>
      </w:tabs>
      <w:adjustRightInd/>
      <w:snapToGrid/>
      <w:spacing w:beforeLines="0" w:afterLines="0" w:line="460" w:lineRule="exact"/>
      <w:ind w:left="210" w:leftChars="0" w:firstLine="562" w:firstLineChars="0"/>
      <w:jc w:val="left"/>
    </w:pPr>
    <w:rPr>
      <w:rFonts w:cs="宋体"/>
      <w:b/>
      <w:smallCaps/>
      <w:kern w:val="2"/>
      <w:sz w:val="20"/>
      <w:szCs w:val="20"/>
    </w:rPr>
  </w:style>
  <w:style w:type="paragraph" w:customStyle="1" w:styleId="1891">
    <w:name w:val="样式 表格五号 + 首行缩进:  0.99 厘米1"/>
    <w:basedOn w:val="1455"/>
    <w:uiPriority w:val="0"/>
    <w:rPr>
      <w:rFonts w:ascii="Times New Roman" w:hAnsi="Times New Roman"/>
      <w:sz w:val="21"/>
      <w:szCs w:val="20"/>
    </w:rPr>
  </w:style>
  <w:style w:type="paragraph" w:customStyle="1" w:styleId="1892">
    <w:name w:val="xl81"/>
    <w:basedOn w:val="1"/>
    <w:uiPriority w:val="0"/>
    <w:pPr>
      <w:widowControl/>
      <w:pBdr>
        <w:bottom w:val="single" w:color="auto" w:sz="12" w:space="0"/>
        <w:right w:val="single" w:color="auto" w:sz="12" w:space="0"/>
      </w:pBdr>
      <w:spacing w:before="100" w:beforeAutospacing="1" w:after="100" w:afterAutospacing="1"/>
      <w:jc w:val="center"/>
    </w:pPr>
    <w:rPr>
      <w:kern w:val="0"/>
      <w:szCs w:val="21"/>
    </w:rPr>
  </w:style>
  <w:style w:type="paragraph" w:customStyle="1" w:styleId="1893">
    <w:name w:val="xl91"/>
    <w:basedOn w:val="1"/>
    <w:uiPriority w:val="0"/>
    <w:pPr>
      <w:widowControl/>
      <w:pBdr>
        <w:top w:val="single" w:color="auto" w:sz="12" w:space="0"/>
        <w:right w:val="single" w:color="auto" w:sz="8" w:space="0"/>
      </w:pBdr>
      <w:spacing w:before="100" w:beforeAutospacing="1" w:after="100" w:afterAutospacing="1"/>
      <w:jc w:val="center"/>
    </w:pPr>
    <w:rPr>
      <w:rFonts w:ascii="宋体" w:hAnsi="宋体" w:cs="宋体"/>
      <w:kern w:val="0"/>
      <w:szCs w:val="21"/>
    </w:rPr>
  </w:style>
  <w:style w:type="paragraph" w:customStyle="1" w:styleId="1894">
    <w:name w:val="0表名A"/>
    <w:basedOn w:val="1"/>
    <w:uiPriority w:val="0"/>
    <w:pPr>
      <w:widowControl/>
      <w:tabs>
        <w:tab w:val="left" w:pos="0"/>
      </w:tabs>
      <w:adjustRightInd w:val="0"/>
      <w:snapToGrid w:val="0"/>
      <w:spacing w:line="360" w:lineRule="auto"/>
      <w:jc w:val="center"/>
    </w:pPr>
    <w:rPr>
      <w:rFonts w:ascii="Arial" w:hAnsi="Arial" w:cs="Plotter"/>
      <w:b/>
      <w:snapToGrid w:val="0"/>
      <w:kern w:val="0"/>
      <w:sz w:val="24"/>
    </w:rPr>
  </w:style>
  <w:style w:type="paragraph" w:customStyle="1" w:styleId="1895">
    <w:name w:val="正文+2"/>
    <w:basedOn w:val="266"/>
    <w:next w:val="266"/>
    <w:uiPriority w:val="0"/>
    <w:rPr>
      <w:color w:val="auto"/>
    </w:rPr>
  </w:style>
  <w:style w:type="paragraph" w:customStyle="1" w:styleId="1896">
    <w:name w:val="样式 样式 标题 3 + 四号 图案: 清除 (白色) 行距: 多倍行距 1.73 字行 + 右侧:  1 字符"/>
    <w:basedOn w:val="1897"/>
    <w:uiPriority w:val="0"/>
    <w:pPr>
      <w:tabs>
        <w:tab w:val="left" w:pos="180"/>
      </w:tabs>
      <w:ind w:firstLine="0"/>
    </w:pPr>
  </w:style>
  <w:style w:type="paragraph" w:customStyle="1" w:styleId="1897">
    <w:name w:val="样式 标题 3 + 四号 图案: 清除 (白色) 行距: 多倍行距 1.73 字行"/>
    <w:basedOn w:val="5"/>
    <w:uiPriority w:val="0"/>
    <w:pPr>
      <w:keepLines/>
      <w:tabs>
        <w:tab w:val="left" w:pos="180"/>
        <w:tab w:val="clear" w:pos="360"/>
      </w:tabs>
      <w:adjustRightInd/>
      <w:snapToGrid/>
      <w:spacing w:before="120" w:after="120" w:line="415" w:lineRule="auto"/>
      <w:ind w:left="200" w:leftChars="200" w:right="100" w:rightChars="100" w:firstLine="709" w:firstLineChars="0"/>
      <w:jc w:val="left"/>
    </w:pPr>
    <w:rPr>
      <w:rFonts w:ascii="Times New Roman" w:hAnsi="Times New Roman" w:eastAsia="微软雅黑" w:cs="宋体"/>
      <w:sz w:val="28"/>
      <w:szCs w:val="20"/>
      <w:shd w:val="clear" w:color="auto" w:fill="FFFFFF"/>
    </w:rPr>
  </w:style>
  <w:style w:type="paragraph" w:customStyle="1" w:styleId="1898">
    <w:name w:val="xl84"/>
    <w:basedOn w:val="1"/>
    <w:uiPriority w:val="0"/>
    <w:pPr>
      <w:widowControl/>
      <w:pBdr>
        <w:left w:val="single" w:color="auto" w:sz="12" w:space="0"/>
        <w:bottom w:val="single" w:color="auto" w:sz="12" w:space="0"/>
        <w:right w:val="single" w:color="auto" w:sz="8" w:space="0"/>
      </w:pBdr>
      <w:spacing w:before="100" w:beforeAutospacing="1" w:after="100" w:afterAutospacing="1"/>
      <w:jc w:val="center"/>
    </w:pPr>
    <w:rPr>
      <w:rFonts w:ascii="宋体" w:hAnsi="宋体" w:cs="宋体"/>
      <w:kern w:val="0"/>
      <w:szCs w:val="21"/>
    </w:rPr>
  </w:style>
  <w:style w:type="paragraph" w:customStyle="1" w:styleId="1899">
    <w:name w:val="列出段落2"/>
    <w:basedOn w:val="1"/>
    <w:qFormat/>
    <w:uiPriority w:val="0"/>
    <w:pPr>
      <w:ind w:firstLine="420" w:firstLineChars="200"/>
    </w:pPr>
    <w:rPr>
      <w:rFonts w:ascii="Calibri" w:hAnsi="Calibri"/>
      <w:szCs w:val="22"/>
    </w:rPr>
  </w:style>
  <w:style w:type="paragraph" w:customStyle="1" w:styleId="1900">
    <w:name w:val="1标题B+Arial"/>
    <w:uiPriority w:val="0"/>
    <w:pPr>
      <w:adjustRightInd w:val="0"/>
      <w:snapToGrid w:val="0"/>
      <w:spacing w:before="240" w:line="360" w:lineRule="auto"/>
      <w:outlineLvl w:val="1"/>
    </w:pPr>
    <w:rPr>
      <w:rFonts w:ascii="Arial" w:hAnsi="Arial" w:eastAsia="宋体" w:cs="Arial"/>
      <w:b/>
      <w:sz w:val="32"/>
      <w:szCs w:val="32"/>
      <w:lang w:val="en-US" w:eastAsia="zh-CN" w:bidi="ar-SA"/>
    </w:rPr>
  </w:style>
  <w:style w:type="paragraph" w:customStyle="1" w:styleId="1901">
    <w:name w:val="样式 标题 3 + 左 行距: 多倍行距 1.73 字行"/>
    <w:basedOn w:val="5"/>
    <w:uiPriority w:val="0"/>
    <w:pPr>
      <w:keepLines/>
      <w:tabs>
        <w:tab w:val="clear" w:pos="360"/>
      </w:tabs>
      <w:adjustRightInd/>
      <w:snapToGrid/>
      <w:spacing w:before="120" w:after="120" w:line="415" w:lineRule="auto"/>
      <w:ind w:left="0" w:firstLine="0" w:firstLineChars="0"/>
      <w:jc w:val="left"/>
      <w:textAlignment w:val="center"/>
    </w:pPr>
    <w:rPr>
      <w:rFonts w:ascii="Times New Roman" w:hAnsi="Times New Roman" w:eastAsia="黑体" w:cs="宋体"/>
      <w:b/>
      <w:sz w:val="28"/>
      <w:szCs w:val="20"/>
    </w:rPr>
  </w:style>
  <w:style w:type="paragraph" w:customStyle="1" w:styleId="1902">
    <w:name w:val="Char Char8 Char Char Char Char"/>
    <w:basedOn w:val="1"/>
    <w:uiPriority w:val="0"/>
    <w:pPr>
      <w:spacing w:line="360" w:lineRule="auto"/>
      <w:ind w:firstLine="200" w:firstLineChars="200"/>
    </w:pPr>
  </w:style>
  <w:style w:type="paragraph" w:customStyle="1" w:styleId="1903">
    <w:name w:val="封面标题"/>
    <w:unhideWhenUsed/>
    <w:uiPriority w:val="0"/>
    <w:pPr>
      <w:jc w:val="center"/>
    </w:pPr>
    <w:rPr>
      <w:rFonts w:ascii="Times New Roman" w:hAnsi="Times New Roman" w:eastAsia="黑体" w:cs="Times New Roman"/>
      <w:b/>
      <w:kern w:val="2"/>
      <w:sz w:val="52"/>
      <w:szCs w:val="24"/>
      <w:lang w:val="en-US" w:eastAsia="zh-CN" w:bidi="ar-SA"/>
    </w:rPr>
  </w:style>
  <w:style w:type="paragraph" w:customStyle="1" w:styleId="1904">
    <w:name w:val="xl92"/>
    <w:basedOn w:val="1"/>
    <w:uiPriority w:val="0"/>
    <w:pPr>
      <w:widowControl/>
      <w:pBdr>
        <w:bottom w:val="single" w:color="auto" w:sz="12" w:space="0"/>
        <w:right w:val="single" w:color="auto" w:sz="8" w:space="0"/>
      </w:pBdr>
      <w:spacing w:before="100" w:beforeAutospacing="1" w:after="100" w:afterAutospacing="1"/>
      <w:jc w:val="center"/>
    </w:pPr>
    <w:rPr>
      <w:kern w:val="0"/>
      <w:szCs w:val="21"/>
    </w:rPr>
  </w:style>
  <w:style w:type="paragraph" w:customStyle="1" w:styleId="1905">
    <w:name w:val="样式 宋体 五号 居中 行距: 1.0 倍行距"/>
    <w:basedOn w:val="1"/>
    <w:uiPriority w:val="99"/>
    <w:pPr>
      <w:widowControl/>
      <w:adjustRightInd w:val="0"/>
      <w:spacing w:before="100" w:beforeAutospacing="1" w:after="100" w:afterAutospacing="1" w:line="360" w:lineRule="auto"/>
      <w:ind w:firstLine="562"/>
      <w:jc w:val="center"/>
    </w:pPr>
    <w:rPr>
      <w:rFonts w:ascii="宋体" w:hAnsi="宋体"/>
      <w:b/>
      <w:bCs/>
      <w:kern w:val="0"/>
      <w:position w:val="1"/>
      <w:szCs w:val="20"/>
    </w:rPr>
  </w:style>
  <w:style w:type="paragraph" w:customStyle="1" w:styleId="1906">
    <w:name w:val="表格五号 + 两端对齐"/>
    <w:basedOn w:val="1455"/>
    <w:uiPriority w:val="0"/>
    <w:pPr>
      <w:jc w:val="left"/>
    </w:pPr>
    <w:rPr>
      <w:sz w:val="21"/>
      <w:szCs w:val="20"/>
    </w:rPr>
  </w:style>
  <w:style w:type="paragraph" w:customStyle="1" w:styleId="1907">
    <w:name w:val="xl88"/>
    <w:basedOn w:val="1"/>
    <w:uiPriority w:val="0"/>
    <w:pPr>
      <w:widowControl/>
      <w:pBdr>
        <w:bottom w:val="single" w:color="auto" w:sz="12" w:space="0"/>
        <w:right w:val="single" w:color="auto" w:sz="8" w:space="0"/>
      </w:pBdr>
      <w:spacing w:before="100" w:beforeAutospacing="1" w:after="100" w:afterAutospacing="1"/>
      <w:jc w:val="center"/>
    </w:pPr>
    <w:rPr>
      <w:kern w:val="0"/>
      <w:szCs w:val="21"/>
    </w:rPr>
  </w:style>
  <w:style w:type="paragraph" w:customStyle="1" w:styleId="1908">
    <w:name w:val="图形"/>
    <w:basedOn w:val="1"/>
    <w:qFormat/>
    <w:uiPriority w:val="0"/>
    <w:pPr>
      <w:widowControl/>
      <w:jc w:val="left"/>
      <w:textAlignment w:val="center"/>
    </w:pPr>
    <w:rPr>
      <w:rFonts w:ascii="Calibri" w:hAnsi="Calibri"/>
      <w:sz w:val="28"/>
      <w:szCs w:val="22"/>
    </w:rPr>
  </w:style>
  <w:style w:type="paragraph" w:customStyle="1" w:styleId="1909">
    <w:name w:val="xl85"/>
    <w:basedOn w:val="1"/>
    <w:uiPriority w:val="0"/>
    <w:pPr>
      <w:widowControl/>
      <w:pBdr>
        <w:left w:val="single" w:color="auto" w:sz="12" w:space="0"/>
        <w:bottom w:val="single" w:color="auto" w:sz="8" w:space="0"/>
        <w:right w:val="single" w:color="auto" w:sz="8" w:space="0"/>
      </w:pBdr>
      <w:spacing w:before="100" w:beforeAutospacing="1" w:after="100" w:afterAutospacing="1"/>
      <w:jc w:val="center"/>
    </w:pPr>
    <w:rPr>
      <w:kern w:val="0"/>
      <w:szCs w:val="21"/>
    </w:rPr>
  </w:style>
  <w:style w:type="paragraph" w:customStyle="1" w:styleId="1910">
    <w:name w:val="表格小四左对齐"/>
    <w:basedOn w:val="1691"/>
    <w:uiPriority w:val="0"/>
    <w:pPr>
      <w:widowControl/>
      <w:adjustRightInd/>
      <w:snapToGrid/>
      <w:spacing w:line="360" w:lineRule="auto"/>
      <w:jc w:val="left"/>
    </w:pPr>
    <w:rPr>
      <w:rFonts w:cs="宋体"/>
      <w:szCs w:val="18"/>
    </w:rPr>
  </w:style>
  <w:style w:type="paragraph" w:customStyle="1" w:styleId="1911">
    <w:name w:val="样式 标题 2 + Times New Roman 段前: 12 磅"/>
    <w:basedOn w:val="4"/>
    <w:uiPriority w:val="0"/>
    <w:pPr>
      <w:tabs>
        <w:tab w:val="clear" w:pos="360"/>
      </w:tabs>
      <w:snapToGrid w:val="0"/>
      <w:spacing w:before="120" w:after="120" w:line="240" w:lineRule="auto"/>
      <w:ind w:left="0" w:firstLine="0" w:firstLineChars="0"/>
    </w:pPr>
    <w:rPr>
      <w:rFonts w:ascii="黑体" w:hAnsi="Times New Roman" w:cs="宋体"/>
      <w:b w:val="0"/>
      <w:sz w:val="28"/>
      <w:szCs w:val="28"/>
    </w:rPr>
  </w:style>
  <w:style w:type="paragraph" w:customStyle="1" w:styleId="1912">
    <w:name w:val="样式 四号 首行缩进:  2 字符"/>
    <w:basedOn w:val="1"/>
    <w:uiPriority w:val="0"/>
    <w:pPr>
      <w:ind w:firstLine="560" w:firstLineChars="200"/>
    </w:pPr>
    <w:rPr>
      <w:rFonts w:cs="宋体"/>
      <w:sz w:val="28"/>
      <w:szCs w:val="20"/>
    </w:rPr>
  </w:style>
  <w:style w:type="paragraph" w:customStyle="1" w:styleId="1913">
    <w:name w:val="0注"/>
    <w:basedOn w:val="1"/>
    <w:uiPriority w:val="0"/>
    <w:rPr>
      <w:rFonts w:ascii="Plotter" w:hAnsi="Plotter" w:cs="宋体"/>
      <w:sz w:val="18"/>
      <w:szCs w:val="20"/>
    </w:rPr>
  </w:style>
  <w:style w:type="paragraph" w:customStyle="1" w:styleId="1914">
    <w:name w:val="表标题"/>
    <w:basedOn w:val="1"/>
    <w:uiPriority w:val="0"/>
    <w:pPr>
      <w:spacing w:beforeLines="50" w:afterLines="50"/>
      <w:ind w:firstLine="720" w:firstLineChars="300"/>
    </w:pPr>
    <w:rPr>
      <w:rFonts w:ascii="黑体" w:eastAsia="黑体"/>
      <w:bCs/>
      <w:sz w:val="24"/>
    </w:rPr>
  </w:style>
  <w:style w:type="paragraph" w:customStyle="1" w:styleId="1915">
    <w:name w:val="_Style 101"/>
    <w:next w:val="1"/>
    <w:unhideWhenUsed/>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1916">
    <w:name w:val="附图标题"/>
    <w:basedOn w:val="1"/>
    <w:next w:val="1"/>
    <w:uiPriority w:val="0"/>
    <w:pPr>
      <w:keepNext/>
      <w:widowControl/>
      <w:tabs>
        <w:tab w:val="left" w:pos="480"/>
        <w:tab w:val="left" w:pos="720"/>
      </w:tabs>
      <w:adjustRightInd w:val="0"/>
      <w:spacing w:before="100" w:beforeAutospacing="1" w:after="100" w:afterAutospacing="1" w:line="360" w:lineRule="auto"/>
      <w:ind w:firstLine="562"/>
      <w:jc w:val="center"/>
    </w:pPr>
    <w:rPr>
      <w:b/>
      <w:kern w:val="0"/>
      <w:sz w:val="28"/>
      <w:szCs w:val="20"/>
    </w:rPr>
  </w:style>
  <w:style w:type="paragraph" w:customStyle="1" w:styleId="1917">
    <w:name w:val="标题D + arial"/>
    <w:basedOn w:val="1"/>
    <w:uiPriority w:val="0"/>
    <w:pPr>
      <w:widowControl/>
      <w:adjustRightInd w:val="0"/>
      <w:snapToGrid w:val="0"/>
      <w:spacing w:before="120" w:line="360" w:lineRule="auto"/>
      <w:jc w:val="left"/>
      <w:outlineLvl w:val="3"/>
    </w:pPr>
    <w:rPr>
      <w:rFonts w:ascii="Arial" w:hAnsi="Arial" w:cs="Arial"/>
      <w:b/>
      <w:bCs/>
      <w:kern w:val="0"/>
      <w:sz w:val="28"/>
      <w:szCs w:val="28"/>
    </w:rPr>
  </w:style>
  <w:style w:type="paragraph" w:customStyle="1" w:styleId="1918">
    <w:name w:val="样式 标题 2 + 首行缩进:  0.5 厘米 行距: 多倍行距 1.73 字行"/>
    <w:basedOn w:val="4"/>
    <w:uiPriority w:val="0"/>
    <w:pPr>
      <w:tabs>
        <w:tab w:val="clear" w:pos="360"/>
      </w:tabs>
      <w:spacing w:before="120" w:line="360" w:lineRule="auto"/>
      <w:ind w:left="0" w:firstLine="284" w:firstLineChars="0"/>
    </w:pPr>
    <w:rPr>
      <w:rFonts w:eastAsia="微软雅黑" w:cs="宋体"/>
      <w:b w:val="0"/>
      <w:sz w:val="30"/>
      <w:szCs w:val="20"/>
    </w:rPr>
  </w:style>
  <w:style w:type="paragraph" w:customStyle="1" w:styleId="1919">
    <w:name w:val="xl82"/>
    <w:basedOn w:val="1"/>
    <w:uiPriority w:val="0"/>
    <w:pPr>
      <w:widowControl/>
      <w:pBdr>
        <w:bottom w:val="single" w:color="auto" w:sz="8" w:space="0"/>
        <w:right w:val="single" w:color="auto" w:sz="12" w:space="0"/>
      </w:pBdr>
      <w:spacing w:before="100" w:beforeAutospacing="1" w:after="100" w:afterAutospacing="1"/>
      <w:jc w:val="center"/>
    </w:pPr>
    <w:rPr>
      <w:kern w:val="0"/>
      <w:szCs w:val="21"/>
    </w:rPr>
  </w:style>
  <w:style w:type="paragraph" w:customStyle="1" w:styleId="1920">
    <w:name w:val="标题E+arial"/>
    <w:uiPriority w:val="0"/>
    <w:pPr>
      <w:adjustRightInd w:val="0"/>
      <w:snapToGrid w:val="0"/>
      <w:spacing w:before="120" w:line="360" w:lineRule="auto"/>
      <w:outlineLvl w:val="4"/>
    </w:pPr>
    <w:rPr>
      <w:rFonts w:ascii="Arial" w:hAnsi="Arial" w:eastAsia="宋体" w:cs="Arial"/>
      <w:b/>
      <w:sz w:val="24"/>
      <w:lang w:val="en-US" w:eastAsia="zh-CN" w:bidi="ar-SA"/>
    </w:rPr>
  </w:style>
  <w:style w:type="paragraph" w:customStyle="1" w:styleId="1921">
    <w:name w:val="题注1"/>
    <w:uiPriority w:val="0"/>
    <w:pPr>
      <w:jc w:val="center"/>
    </w:pPr>
    <w:rPr>
      <w:rFonts w:ascii="Arial" w:hAnsi="Arial" w:eastAsia="黑体" w:cs="宋体"/>
      <w:kern w:val="2"/>
      <w:sz w:val="28"/>
      <w:szCs w:val="28"/>
      <w:lang w:val="en-US" w:eastAsia="zh-CN" w:bidi="ar-SA"/>
    </w:rPr>
  </w:style>
  <w:style w:type="paragraph" w:customStyle="1" w:styleId="1922">
    <w:name w:val="封面落款"/>
    <w:uiPriority w:val="0"/>
    <w:pPr>
      <w:jc w:val="center"/>
    </w:pPr>
    <w:rPr>
      <w:rFonts w:ascii="Times New Roman" w:hAnsi="Times New Roman" w:eastAsia="宋体" w:cs="Times New Roman"/>
      <w:kern w:val="2"/>
      <w:sz w:val="32"/>
      <w:szCs w:val="24"/>
      <w:lang w:val="en-US" w:eastAsia="zh-CN" w:bidi="ar-SA"/>
    </w:rPr>
  </w:style>
  <w:style w:type="paragraph" w:customStyle="1" w:styleId="1923">
    <w:name w:val="List Paragraph1"/>
    <w:basedOn w:val="1"/>
    <w:qFormat/>
    <w:uiPriority w:val="0"/>
    <w:pPr>
      <w:ind w:firstLine="420" w:firstLineChars="200"/>
    </w:pPr>
    <w:rPr>
      <w:sz w:val="24"/>
    </w:rPr>
  </w:style>
  <w:style w:type="paragraph" w:customStyle="1" w:styleId="1924">
    <w:name w:val="样式 (符号) 宋体 四号 段前: 3.05 磅 行距: 1.5 倍行距"/>
    <w:basedOn w:val="1"/>
    <w:uiPriority w:val="0"/>
    <w:pPr>
      <w:spacing w:before="61" w:line="360" w:lineRule="auto"/>
    </w:pPr>
    <w:rPr>
      <w:rFonts w:hAnsi="宋体" w:cs="宋体"/>
      <w:kern w:val="0"/>
      <w:sz w:val="24"/>
      <w:szCs w:val="20"/>
    </w:rPr>
  </w:style>
  <w:style w:type="paragraph" w:customStyle="1" w:styleId="1925">
    <w:name w:val="TOC Heading1"/>
    <w:basedOn w:val="3"/>
    <w:next w:val="1"/>
    <w:qFormat/>
    <w:uiPriority w:val="0"/>
    <w:pPr>
      <w:keepLines/>
      <w:widowControl/>
      <w:tabs>
        <w:tab w:val="clear" w:pos="360"/>
      </w:tabs>
      <w:spacing w:before="480" w:line="276" w:lineRule="auto"/>
      <w:ind w:left="0" w:firstLine="0" w:firstLineChars="0"/>
      <w:jc w:val="left"/>
      <w:outlineLvl w:val="9"/>
    </w:pPr>
    <w:rPr>
      <w:rFonts w:ascii="Cambria" w:hAnsi="Cambria" w:eastAsia="微软雅黑"/>
      <w:bCs/>
      <w:color w:val="365F91"/>
      <w:kern w:val="0"/>
      <w:sz w:val="28"/>
      <w:szCs w:val="28"/>
    </w:rPr>
  </w:style>
  <w:style w:type="paragraph" w:customStyle="1" w:styleId="1926">
    <w:name w:val="正文谭亚1"/>
    <w:basedOn w:val="1"/>
    <w:next w:val="1"/>
    <w:uiPriority w:val="0"/>
    <w:pPr>
      <w:spacing w:line="360" w:lineRule="exact"/>
      <w:ind w:firstLine="200" w:firstLineChars="200"/>
    </w:pPr>
    <w:rPr>
      <w:rFonts w:ascii="宋体" w:hAnsi="宋体"/>
      <w:sz w:val="24"/>
      <w:szCs w:val="20"/>
    </w:rPr>
  </w:style>
  <w:style w:type="paragraph" w:customStyle="1" w:styleId="1927">
    <w:name w:val="样式 样式 样式 四号 行距: 固定值 28 磅 + 小四 + 四号 行距: 固定值 27 磅"/>
    <w:basedOn w:val="1"/>
    <w:uiPriority w:val="0"/>
    <w:pPr>
      <w:spacing w:line="560" w:lineRule="exact"/>
      <w:ind w:firstLine="200" w:firstLineChars="200"/>
    </w:pPr>
    <w:rPr>
      <w:rFonts w:cs="宋体"/>
      <w:sz w:val="28"/>
    </w:rPr>
  </w:style>
  <w:style w:type="character" w:customStyle="1" w:styleId="1928">
    <w:name w:val="样式 四号 行距: 固定值 28 磅 Char Char"/>
    <w:link w:val="1657"/>
    <w:uiPriority w:val="0"/>
    <w:rPr>
      <w:kern w:val="2"/>
      <w:sz w:val="28"/>
    </w:rPr>
  </w:style>
  <w:style w:type="paragraph" w:customStyle="1" w:styleId="1929">
    <w:name w:val="5文章"/>
    <w:basedOn w:val="1"/>
    <w:link w:val="1930"/>
    <w:uiPriority w:val="0"/>
    <w:pPr>
      <w:spacing w:line="360" w:lineRule="auto"/>
      <w:ind w:firstLine="560" w:firstLineChars="200"/>
    </w:pPr>
    <w:rPr>
      <w:sz w:val="24"/>
      <w:szCs w:val="28"/>
    </w:rPr>
  </w:style>
  <w:style w:type="character" w:customStyle="1" w:styleId="1930">
    <w:name w:val="5文章 Char"/>
    <w:link w:val="1929"/>
    <w:uiPriority w:val="0"/>
    <w:rPr>
      <w:kern w:val="2"/>
      <w:sz w:val="24"/>
      <w:szCs w:val="28"/>
    </w:rPr>
  </w:style>
  <w:style w:type="paragraph" w:customStyle="1" w:styleId="1931">
    <w:name w:val="深色列表 - 着色 31"/>
    <w:hidden/>
    <w:semiHidden/>
    <w:uiPriority w:val="99"/>
    <w:rPr>
      <w:rFonts w:ascii="Times New Roman" w:hAnsi="Times New Roman" w:eastAsia="宋体" w:cs="Times New Roman"/>
      <w:kern w:val="2"/>
      <w:sz w:val="21"/>
      <w:szCs w:val="24"/>
      <w:lang w:val="en-US" w:eastAsia="zh-CN" w:bidi="ar-SA"/>
    </w:rPr>
  </w:style>
  <w:style w:type="table" w:customStyle="1" w:styleId="1932">
    <w:name w:val="简明型 1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1933">
    <w:name w:val="简明型 1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paragraph" w:customStyle="1" w:styleId="1934">
    <w:name w:val="公式行"/>
    <w:basedOn w:val="1"/>
    <w:link w:val="1935"/>
    <w:uiPriority w:val="0"/>
    <w:pPr>
      <w:widowControl/>
      <w:adjustRightInd w:val="0"/>
      <w:snapToGrid w:val="0"/>
      <w:spacing w:line="520" w:lineRule="exact"/>
      <w:ind w:left="1701" w:hanging="567"/>
      <w:jc w:val="left"/>
    </w:pPr>
    <w:rPr>
      <w:bCs/>
      <w:snapToGrid w:val="0"/>
      <w:kern w:val="0"/>
      <w:sz w:val="20"/>
      <w:szCs w:val="28"/>
    </w:rPr>
  </w:style>
  <w:style w:type="character" w:customStyle="1" w:styleId="1935">
    <w:name w:val="公式行 Char"/>
    <w:link w:val="1934"/>
    <w:uiPriority w:val="0"/>
    <w:rPr>
      <w:bCs/>
      <w:snapToGrid w:val="0"/>
      <w:szCs w:val="28"/>
    </w:rPr>
  </w:style>
  <w:style w:type="paragraph" w:customStyle="1" w:styleId="1936">
    <w:name w:val="表格文字中"/>
    <w:basedOn w:val="1"/>
    <w:uiPriority w:val="0"/>
    <w:pPr>
      <w:spacing w:line="360" w:lineRule="exact"/>
      <w:jc w:val="center"/>
    </w:pPr>
    <w:rPr>
      <w:rFonts w:eastAsia="仿宋_GB2312"/>
      <w:sz w:val="24"/>
    </w:rPr>
  </w:style>
  <w:style w:type="paragraph" w:customStyle="1" w:styleId="1937">
    <w:name w:val="表格居中1"/>
    <w:basedOn w:val="1"/>
    <w:next w:val="21"/>
    <w:uiPriority w:val="0"/>
    <w:pPr>
      <w:adjustRightInd w:val="0"/>
      <w:snapToGrid w:val="0"/>
      <w:spacing w:line="300" w:lineRule="exact"/>
      <w:jc w:val="center"/>
    </w:pPr>
    <w:rPr>
      <w:sz w:val="24"/>
    </w:rPr>
  </w:style>
  <w:style w:type="character" w:customStyle="1" w:styleId="1938">
    <w:name w:val="可研正文 Char Char"/>
    <w:uiPriority w:val="0"/>
    <w:rPr>
      <w:rFonts w:ascii="宋体" w:hAnsi="Courier New" w:eastAsia="宋体" w:cs="Courier New"/>
      <w:szCs w:val="21"/>
    </w:rPr>
  </w:style>
  <w:style w:type="paragraph" w:customStyle="1" w:styleId="1939">
    <w:name w:val="Char Char Char Char Char Char Char Char Char1 Char Char Char Char"/>
    <w:basedOn w:val="1"/>
    <w:uiPriority w:val="0"/>
    <w:pPr>
      <w:widowControl/>
      <w:spacing w:after="160" w:line="240" w:lineRule="exact"/>
      <w:jc w:val="left"/>
    </w:pPr>
    <w:rPr>
      <w:rFonts w:ascii="Arial" w:hAnsi="Arial" w:eastAsia="Times New Roman" w:cs="Verdana"/>
      <w:b/>
      <w:kern w:val="0"/>
      <w:sz w:val="32"/>
      <w:lang w:eastAsia="en-US"/>
    </w:rPr>
  </w:style>
  <w:style w:type="paragraph" w:customStyle="1" w:styleId="1940">
    <w:name w:val="表头6"/>
    <w:basedOn w:val="1070"/>
    <w:uiPriority w:val="0"/>
    <w:pPr>
      <w:tabs>
        <w:tab w:val="left" w:pos="2345"/>
        <w:tab w:val="clear" w:pos="1080"/>
      </w:tabs>
      <w:ind w:left="1330"/>
    </w:pPr>
  </w:style>
  <w:style w:type="paragraph" w:customStyle="1" w:styleId="1941">
    <w:name w:val="表头8"/>
    <w:basedOn w:val="1940"/>
    <w:uiPriority w:val="0"/>
    <w:pPr>
      <w:tabs>
        <w:tab w:val="left" w:pos="780"/>
        <w:tab w:val="clear" w:pos="2345"/>
      </w:tabs>
      <w:ind w:left="780" w:hanging="360"/>
    </w:pPr>
  </w:style>
  <w:style w:type="paragraph" w:customStyle="1" w:styleId="1942">
    <w:name w:val="块项目"/>
    <w:next w:val="86"/>
    <w:uiPriority w:val="0"/>
    <w:pPr>
      <w:tabs>
        <w:tab w:val="left" w:pos="440"/>
      </w:tabs>
      <w:spacing w:before="40" w:after="40"/>
      <w:ind w:left="425" w:hanging="425"/>
    </w:pPr>
    <w:rPr>
      <w:rFonts w:ascii="Times New Roman" w:hAnsi="Times New Roman" w:eastAsia="宋体" w:cs="Times New Roman"/>
      <w:b/>
      <w:spacing w:val="20"/>
      <w:sz w:val="24"/>
      <w:lang w:val="en-US" w:eastAsia="zh-CN" w:bidi="ar-SA"/>
    </w:rPr>
  </w:style>
  <w:style w:type="character" w:customStyle="1" w:styleId="1943">
    <w:name w:val="正文无缩进 Char Char"/>
    <w:semiHidden/>
    <w:uiPriority w:val="0"/>
    <w:rPr>
      <w:rFonts w:ascii="Arial" w:hAnsi="Arial" w:cs="Verdana"/>
      <w:b/>
      <w:kern w:val="2"/>
      <w:sz w:val="21"/>
      <w:szCs w:val="22"/>
      <w:lang w:val="en-US" w:eastAsia="en-US" w:bidi="ar-SA"/>
    </w:rPr>
  </w:style>
  <w:style w:type="character" w:customStyle="1" w:styleId="1944">
    <w:name w:val="表名称 Char1"/>
    <w:uiPriority w:val="0"/>
    <w:rPr>
      <w:rFonts w:ascii="Times New Roman" w:hAnsi="Times New Roman" w:eastAsia="宋体" w:cs="Times New Roman"/>
      <w:b/>
      <w:color w:val="FF0000"/>
      <w:sz w:val="24"/>
      <w:szCs w:val="24"/>
    </w:rPr>
  </w:style>
  <w:style w:type="paragraph" w:customStyle="1" w:styleId="1945">
    <w:name w:val="图例"/>
    <w:uiPriority w:val="0"/>
    <w:pPr>
      <w:autoSpaceDE w:val="0"/>
      <w:autoSpaceDN w:val="0"/>
      <w:adjustRightInd w:val="0"/>
      <w:jc w:val="center"/>
    </w:pPr>
    <w:rPr>
      <w:rFonts w:ascii="宋体" w:hAnsi="宋体" w:eastAsia="宋体" w:cs="Arial"/>
      <w:spacing w:val="12"/>
      <w:sz w:val="24"/>
      <w:szCs w:val="28"/>
      <w:lang w:val="en-US" w:eastAsia="zh-CN" w:bidi="ar-SA"/>
    </w:rPr>
  </w:style>
  <w:style w:type="paragraph" w:customStyle="1" w:styleId="1946">
    <w:name w:val="A标题"/>
    <w:basedOn w:val="6"/>
    <w:uiPriority w:val="0"/>
    <w:pPr>
      <w:tabs>
        <w:tab w:val="left" w:pos="-120"/>
        <w:tab w:val="left" w:pos="1984"/>
        <w:tab w:val="clear" w:pos="360"/>
      </w:tabs>
      <w:overflowPunct w:val="0"/>
      <w:topLinePunct/>
      <w:autoSpaceDE w:val="0"/>
      <w:snapToGrid w:val="0"/>
      <w:spacing w:before="60" w:afterLines="50" w:line="264" w:lineRule="auto"/>
      <w:ind w:left="0" w:firstLine="0" w:firstLineChars="0"/>
      <w:jc w:val="both"/>
    </w:pPr>
    <w:rPr>
      <w:rFonts w:ascii="Arial" w:hAnsi="Arial" w:eastAsia="黑体"/>
      <w:b w:val="0"/>
      <w:bCs w:val="0"/>
      <w:spacing w:val="20"/>
      <w:sz w:val="24"/>
      <w:szCs w:val="20"/>
    </w:rPr>
  </w:style>
  <w:style w:type="paragraph" w:customStyle="1" w:styleId="1947">
    <w:name w:val="生物中文类名"/>
    <w:basedOn w:val="1"/>
    <w:uiPriority w:val="0"/>
    <w:pPr>
      <w:tabs>
        <w:tab w:val="left" w:pos="-120"/>
      </w:tabs>
      <w:spacing w:before="60" w:line="310" w:lineRule="atLeast"/>
    </w:pPr>
    <w:rPr>
      <w:rFonts w:ascii="宋体" w:hAnsi="宋体"/>
      <w:b/>
      <w:spacing w:val="20"/>
      <w:sz w:val="24"/>
      <w:szCs w:val="20"/>
    </w:rPr>
  </w:style>
  <w:style w:type="paragraph" w:customStyle="1" w:styleId="1948">
    <w:name w:val="表格五中"/>
    <w:uiPriority w:val="0"/>
    <w:pPr>
      <w:adjustRightInd w:val="0"/>
      <w:snapToGrid w:val="0"/>
      <w:spacing w:line="240" w:lineRule="atLeast"/>
      <w:jc w:val="center"/>
    </w:pPr>
    <w:rPr>
      <w:rFonts w:ascii="Times New Roman" w:hAnsi="Times New Roman" w:eastAsia="宋体" w:cs="Times New Roman"/>
      <w:sz w:val="21"/>
      <w:lang w:val="en-US" w:eastAsia="zh-CN" w:bidi="ar-SA"/>
    </w:rPr>
  </w:style>
  <w:style w:type="paragraph" w:customStyle="1" w:styleId="1949">
    <w:name w:val="表内五中"/>
    <w:uiPriority w:val="0"/>
    <w:pPr>
      <w:adjustRightInd w:val="0"/>
      <w:ind w:left="-50"/>
      <w:jc w:val="center"/>
      <w:textAlignment w:val="baseline"/>
    </w:pPr>
    <w:rPr>
      <w:rFonts w:ascii="Times New Roman" w:hAnsi="Times New Roman" w:eastAsia="宋体" w:cs="Times New Roman"/>
      <w:sz w:val="21"/>
      <w:lang w:val="en-US" w:eastAsia="zh-CN" w:bidi="ar-SA"/>
    </w:rPr>
  </w:style>
  <w:style w:type="paragraph" w:customStyle="1" w:styleId="1950">
    <w:name w:val="样式 标题 4 +"/>
    <w:basedOn w:val="6"/>
    <w:uiPriority w:val="0"/>
    <w:pPr>
      <w:tabs>
        <w:tab w:val="clear" w:pos="360"/>
      </w:tabs>
      <w:adjustRightInd w:val="0"/>
      <w:snapToGrid w:val="0"/>
      <w:spacing w:before="120" w:after="120" w:line="360" w:lineRule="auto"/>
      <w:ind w:left="0" w:firstLine="0" w:firstLineChars="0"/>
      <w:jc w:val="both"/>
    </w:pPr>
    <w:rPr>
      <w:rFonts w:ascii="Arial" w:hAnsi="Arial" w:eastAsia="黑体"/>
      <w:kern w:val="0"/>
      <w:sz w:val="28"/>
    </w:rPr>
  </w:style>
  <w:style w:type="paragraph" w:customStyle="1" w:styleId="1951">
    <w:name w:val="名录"/>
    <w:basedOn w:val="1"/>
    <w:uiPriority w:val="0"/>
    <w:pPr>
      <w:snapToGrid w:val="0"/>
      <w:ind w:left="-120" w:leftChars="-50" w:right="-120" w:rightChars="-50"/>
      <w:jc w:val="center"/>
    </w:pPr>
    <w:rPr>
      <w:rFonts w:cs="Arial Unicode MS"/>
      <w:i/>
      <w:iCs/>
      <w:color w:val="000000"/>
      <w:spacing w:val="20"/>
      <w:szCs w:val="18"/>
    </w:rPr>
  </w:style>
  <w:style w:type="paragraph" w:customStyle="1" w:styleId="1952">
    <w:name w:val="点项目"/>
    <w:uiPriority w:val="0"/>
    <w:pPr>
      <w:numPr>
        <w:ilvl w:val="0"/>
        <w:numId w:val="17"/>
      </w:numPr>
      <w:tabs>
        <w:tab w:val="left" w:pos="550"/>
        <w:tab w:val="clear" w:pos="1140"/>
      </w:tabs>
      <w:adjustRightInd w:val="0"/>
      <w:snapToGrid w:val="0"/>
      <w:spacing w:before="240" w:line="240" w:lineRule="atLeast"/>
      <w:ind w:left="0" w:firstLine="454"/>
      <w:jc w:val="both"/>
    </w:pPr>
    <w:rPr>
      <w:rFonts w:ascii="Times New Roman" w:hAnsi="Times New Roman" w:eastAsia="宋体" w:cs="Times New Roman"/>
      <w:b/>
      <w:spacing w:val="12"/>
      <w:sz w:val="28"/>
      <w:lang w:val="en-US" w:eastAsia="zh-CN" w:bidi="ar-SA"/>
    </w:rPr>
  </w:style>
  <w:style w:type="paragraph" w:customStyle="1" w:styleId="1953">
    <w:name w:val="图名称 Char Char Char Char Char Char Char Char Char Char"/>
    <w:basedOn w:val="1"/>
    <w:uiPriority w:val="0"/>
    <w:pPr>
      <w:tabs>
        <w:tab w:val="left" w:pos="-120"/>
      </w:tabs>
      <w:wordWrap w:val="0"/>
      <w:spacing w:before="60" w:line="310" w:lineRule="atLeast"/>
      <w:ind w:right="-1"/>
      <w:jc w:val="center"/>
    </w:pPr>
    <w:rPr>
      <w:b/>
      <w:bCs/>
      <w:color w:val="FF0000"/>
      <w:kern w:val="0"/>
      <w:sz w:val="24"/>
      <w:szCs w:val="28"/>
    </w:rPr>
  </w:style>
  <w:style w:type="paragraph" w:customStyle="1" w:styleId="1954">
    <w:name w:val="正文首缩"/>
    <w:basedOn w:val="34"/>
    <w:uiPriority w:val="0"/>
    <w:pPr>
      <w:snapToGrid w:val="0"/>
      <w:spacing w:after="80" w:line="288" w:lineRule="auto"/>
      <w:ind w:firstLine="454"/>
    </w:pPr>
    <w:rPr>
      <w:rFonts w:eastAsia="宋体"/>
      <w:sz w:val="24"/>
    </w:rPr>
  </w:style>
  <w:style w:type="paragraph" w:customStyle="1" w:styleId="1955">
    <w:name w:val="样式 题注 + 首行缩进:  2 字符1"/>
    <w:basedOn w:val="22"/>
    <w:uiPriority w:val="0"/>
    <w:pPr>
      <w:keepNext/>
      <w:widowControl w:val="0"/>
      <w:spacing w:before="152" w:after="160" w:line="360" w:lineRule="auto"/>
      <w:ind w:firstLine="200" w:firstLineChars="200"/>
      <w:jc w:val="both"/>
    </w:pPr>
    <w:rPr>
      <w:rFonts w:ascii="Arial" w:hAnsi="Arial" w:cs="宋体"/>
      <w:bCs w:val="0"/>
      <w:kern w:val="2"/>
      <w:u w:color="000000"/>
    </w:rPr>
  </w:style>
  <w:style w:type="paragraph" w:customStyle="1" w:styleId="1956">
    <w:name w:val="附表"/>
    <w:basedOn w:val="1"/>
    <w:next w:val="1"/>
    <w:uiPriority w:val="0"/>
    <w:pPr>
      <w:tabs>
        <w:tab w:val="left" w:pos="-120"/>
      </w:tabs>
      <w:overflowPunct w:val="0"/>
      <w:topLinePunct/>
      <w:autoSpaceDE w:val="0"/>
      <w:adjustRightInd w:val="0"/>
      <w:snapToGrid w:val="0"/>
      <w:spacing w:after="50" w:line="312" w:lineRule="auto"/>
      <w:jc w:val="center"/>
      <w:textAlignment w:val="baseline"/>
    </w:pPr>
    <w:rPr>
      <w:b/>
      <w:spacing w:val="16"/>
      <w:kern w:val="0"/>
      <w:sz w:val="24"/>
      <w:szCs w:val="20"/>
    </w:rPr>
  </w:style>
  <w:style w:type="paragraph" w:customStyle="1" w:styleId="1957">
    <w:name w:val="附录"/>
    <w:basedOn w:val="1"/>
    <w:uiPriority w:val="0"/>
    <w:pPr>
      <w:adjustRightInd w:val="0"/>
      <w:snapToGrid w:val="0"/>
      <w:spacing w:before="240" w:line="312" w:lineRule="auto"/>
    </w:pPr>
    <w:rPr>
      <w:b/>
      <w:bCs/>
      <w:sz w:val="32"/>
      <w:szCs w:val="32"/>
    </w:rPr>
  </w:style>
  <w:style w:type="paragraph" w:customStyle="1" w:styleId="1958">
    <w:name w:val="生物拉丁文"/>
    <w:basedOn w:val="1"/>
    <w:uiPriority w:val="0"/>
    <w:pPr>
      <w:tabs>
        <w:tab w:val="left" w:pos="-120"/>
      </w:tabs>
      <w:spacing w:before="60" w:line="0" w:lineRule="atLeast"/>
      <w:jc w:val="left"/>
    </w:pPr>
    <w:rPr>
      <w:i/>
      <w:spacing w:val="20"/>
      <w:sz w:val="24"/>
      <w:szCs w:val="20"/>
    </w:rPr>
  </w:style>
  <w:style w:type="paragraph" w:customStyle="1" w:styleId="1959">
    <w:name w:val="无缩正文"/>
    <w:basedOn w:val="1"/>
    <w:uiPriority w:val="0"/>
    <w:pPr>
      <w:tabs>
        <w:tab w:val="left" w:pos="-120"/>
      </w:tabs>
      <w:spacing w:before="60" w:line="310" w:lineRule="atLeast"/>
      <w:jc w:val="center"/>
    </w:pPr>
    <w:rPr>
      <w:spacing w:val="20"/>
      <w:sz w:val="24"/>
      <w:szCs w:val="20"/>
    </w:rPr>
  </w:style>
  <w:style w:type="paragraph" w:customStyle="1" w:styleId="1960">
    <w:name w:val="生物附录"/>
    <w:uiPriority w:val="0"/>
    <w:pPr>
      <w:jc w:val="both"/>
    </w:pPr>
    <w:rPr>
      <w:rFonts w:ascii="Times New Roman" w:hAnsi="Times New Roman" w:eastAsia="宋体" w:cs="Times New Roman"/>
      <w:b/>
      <w:spacing w:val="20"/>
      <w:sz w:val="28"/>
      <w:lang w:val="en-US" w:eastAsia="zh-CN" w:bidi="ar-SA"/>
    </w:rPr>
  </w:style>
  <w:style w:type="paragraph" w:customStyle="1" w:styleId="1961">
    <w:name w:val="参考书"/>
    <w:basedOn w:val="1"/>
    <w:uiPriority w:val="0"/>
    <w:pPr>
      <w:tabs>
        <w:tab w:val="left" w:pos="980"/>
        <w:tab w:val="left" w:pos="1200"/>
      </w:tabs>
      <w:adjustRightInd w:val="0"/>
      <w:spacing w:before="60" w:after="60" w:line="264" w:lineRule="auto"/>
      <w:ind w:left="1200" w:hanging="720"/>
      <w:jc w:val="left"/>
      <w:textAlignment w:val="baseline"/>
    </w:pPr>
    <w:rPr>
      <w:rFonts w:cs="Arial Unicode MS"/>
      <w:spacing w:val="8"/>
      <w:kern w:val="0"/>
      <w:sz w:val="24"/>
      <w:szCs w:val="20"/>
    </w:rPr>
  </w:style>
  <w:style w:type="paragraph" w:customStyle="1" w:styleId="1962">
    <w:name w:val="9"/>
    <w:basedOn w:val="1"/>
    <w:next w:val="34"/>
    <w:uiPriority w:val="99"/>
    <w:rPr>
      <w:sz w:val="24"/>
    </w:rPr>
  </w:style>
  <w:style w:type="paragraph" w:customStyle="1" w:styleId="1963">
    <w:name w:val="样式 小四 行距: 1.5 倍行距 首行缩进:  2 字符"/>
    <w:basedOn w:val="1"/>
    <w:uiPriority w:val="0"/>
    <w:pPr>
      <w:adjustRightInd w:val="0"/>
      <w:spacing w:before="120" w:line="360" w:lineRule="auto"/>
      <w:ind w:firstLine="480" w:firstLineChars="200"/>
      <w:jc w:val="left"/>
      <w:textAlignment w:val="baseline"/>
    </w:pPr>
    <w:rPr>
      <w:rFonts w:cs="宋体"/>
      <w:sz w:val="24"/>
      <w:szCs w:val="20"/>
    </w:rPr>
  </w:style>
  <w:style w:type="paragraph" w:customStyle="1" w:styleId="1964">
    <w:name w:val="样式 标题 4 + 首行缩进:  2 字符"/>
    <w:basedOn w:val="6"/>
    <w:uiPriority w:val="0"/>
    <w:pPr>
      <w:tabs>
        <w:tab w:val="left" w:pos="945"/>
        <w:tab w:val="clear" w:pos="360"/>
      </w:tabs>
      <w:adjustRightInd w:val="0"/>
      <w:spacing w:before="280" w:after="290" w:line="377" w:lineRule="auto"/>
      <w:ind w:left="1984" w:hanging="2089" w:firstLineChars="0"/>
      <w:textAlignment w:val="baseline"/>
    </w:pPr>
    <w:rPr>
      <w:rFonts w:ascii="Arial" w:hAnsi="Arial" w:eastAsia="黑体" w:cs="宋体"/>
      <w:sz w:val="28"/>
      <w:szCs w:val="20"/>
    </w:rPr>
  </w:style>
  <w:style w:type="paragraph" w:customStyle="1" w:styleId="1965">
    <w:name w:val="10"/>
    <w:basedOn w:val="1"/>
    <w:next w:val="31"/>
    <w:uiPriority w:val="99"/>
    <w:pPr>
      <w:spacing w:line="360" w:lineRule="auto"/>
    </w:pPr>
    <w:rPr>
      <w:color w:val="FF0000"/>
      <w:sz w:val="24"/>
    </w:rPr>
  </w:style>
  <w:style w:type="paragraph" w:customStyle="1" w:styleId="1966">
    <w:name w:val="样式 标题 2 + 左侧:  0.32 厘米 首行缩进:  0 厘米"/>
    <w:basedOn w:val="4"/>
    <w:uiPriority w:val="0"/>
    <w:pPr>
      <w:keepNext w:val="0"/>
      <w:keepLines w:val="0"/>
      <w:adjustRightInd w:val="0"/>
      <w:snapToGrid w:val="0"/>
      <w:spacing w:before="240" w:after="0" w:line="310" w:lineRule="atLeast"/>
      <w:ind w:left="576" w:hanging="576" w:firstLineChars="0"/>
      <w:textAlignment w:val="baseline"/>
    </w:pPr>
    <w:rPr>
      <w:rFonts w:ascii="宋体" w:hAnsi="宋体"/>
      <w:color w:val="000000"/>
      <w:sz w:val="44"/>
      <w:szCs w:val="20"/>
    </w:rPr>
  </w:style>
  <w:style w:type="paragraph" w:customStyle="1" w:styleId="1967">
    <w:name w:val="样式 样式4 + 段后: 0.5 行"/>
    <w:basedOn w:val="1"/>
    <w:uiPriority w:val="0"/>
    <w:pPr>
      <w:keepNext/>
      <w:keepLines/>
      <w:overflowPunct w:val="0"/>
      <w:topLinePunct/>
      <w:autoSpaceDE w:val="0"/>
      <w:adjustRightInd w:val="0"/>
      <w:snapToGrid w:val="0"/>
      <w:spacing w:before="120" w:afterLines="50"/>
      <w:outlineLvl w:val="3"/>
    </w:pPr>
    <w:rPr>
      <w:rFonts w:ascii="Arial" w:hAnsi="Arial"/>
      <w:spacing w:val="20"/>
      <w:sz w:val="24"/>
      <w:szCs w:val="20"/>
    </w:rPr>
  </w:style>
  <w:style w:type="paragraph" w:customStyle="1" w:styleId="1968">
    <w:name w:val="图名称"/>
    <w:basedOn w:val="1"/>
    <w:uiPriority w:val="0"/>
    <w:pPr>
      <w:tabs>
        <w:tab w:val="left" w:pos="-120"/>
      </w:tabs>
      <w:spacing w:before="60" w:line="360" w:lineRule="auto"/>
    </w:pPr>
    <w:rPr>
      <w:rFonts w:ascii="宋体" w:hAnsi="宋体"/>
      <w:spacing w:val="16"/>
      <w:kern w:val="0"/>
      <w:sz w:val="18"/>
      <w:szCs w:val="28"/>
    </w:rPr>
  </w:style>
  <w:style w:type="paragraph" w:customStyle="1" w:styleId="1969">
    <w:name w:val="表内小四"/>
    <w:basedOn w:val="1496"/>
    <w:uiPriority w:val="0"/>
    <w:pPr>
      <w:jc w:val="left"/>
      <w:textAlignment w:val="baseline"/>
    </w:pPr>
    <w:rPr>
      <w:rFonts w:ascii="宋体" w:hAnsi="宋体" w:cs="Arial"/>
      <w:color w:val="000000"/>
      <w:sz w:val="20"/>
    </w:rPr>
  </w:style>
  <w:style w:type="paragraph" w:customStyle="1" w:styleId="1970">
    <w:name w:val="样式 标题 4 + 段前: 14 磅 行距: 多倍行距 1.57 字行"/>
    <w:basedOn w:val="6"/>
    <w:uiPriority w:val="0"/>
    <w:pPr>
      <w:tabs>
        <w:tab w:val="left" w:pos="966"/>
        <w:tab w:val="left" w:pos="1680"/>
        <w:tab w:val="clear" w:pos="360"/>
      </w:tabs>
      <w:overflowPunct w:val="0"/>
      <w:topLinePunct/>
      <w:autoSpaceDE w:val="0"/>
      <w:adjustRightInd w:val="0"/>
      <w:snapToGrid w:val="0"/>
      <w:spacing w:before="280" w:afterLines="50" w:line="376" w:lineRule="auto"/>
      <w:ind w:left="1680" w:hanging="420" w:firstLineChars="0"/>
      <w:jc w:val="both"/>
    </w:pPr>
    <w:rPr>
      <w:rFonts w:ascii="Arial" w:hAnsi="Arial" w:eastAsia="黑体"/>
      <w:spacing w:val="20"/>
      <w:sz w:val="28"/>
    </w:rPr>
  </w:style>
  <w:style w:type="character" w:customStyle="1" w:styleId="1971">
    <w:name w:val="p91"/>
    <w:uiPriority w:val="0"/>
    <w:rPr>
      <w:rFonts w:hint="default" w:cs="Verdana"/>
      <w:b/>
      <w:spacing w:val="408"/>
      <w:sz w:val="21"/>
      <w:szCs w:val="21"/>
      <w:lang w:val="en-US" w:eastAsia="en-US" w:bidi="ar-SA"/>
    </w:rPr>
  </w:style>
  <w:style w:type="character" w:customStyle="1" w:styleId="1972">
    <w:name w:val="dsfd1"/>
    <w:uiPriority w:val="0"/>
    <w:rPr>
      <w:rFonts w:ascii="Arial" w:hAnsi="Arial" w:cs="Verdana"/>
      <w:b/>
      <w:color w:val="000000"/>
      <w:sz w:val="21"/>
      <w:szCs w:val="21"/>
      <w:u w:val="none"/>
      <w:lang w:val="en-US" w:eastAsia="en-US" w:bidi="ar-SA"/>
    </w:rPr>
  </w:style>
  <w:style w:type="paragraph" w:customStyle="1" w:styleId="1973">
    <w:name w:val="dsfd"/>
    <w:basedOn w:val="1"/>
    <w:uiPriority w:val="0"/>
    <w:pPr>
      <w:widowControl/>
      <w:spacing w:before="100" w:beforeAutospacing="1" w:after="100" w:afterAutospacing="1" w:line="300" w:lineRule="atLeast"/>
      <w:jc w:val="left"/>
    </w:pPr>
    <w:rPr>
      <w:rFonts w:ascii="宋体" w:hAnsi="宋体"/>
      <w:color w:val="000000"/>
      <w:kern w:val="0"/>
      <w:szCs w:val="21"/>
    </w:rPr>
  </w:style>
  <w:style w:type="paragraph" w:customStyle="1" w:styleId="1974">
    <w:name w:val="14font"/>
    <w:basedOn w:val="1"/>
    <w:uiPriority w:val="0"/>
    <w:pPr>
      <w:widowControl/>
      <w:spacing w:before="100" w:beforeAutospacing="1" w:after="100" w:afterAutospacing="1"/>
      <w:jc w:val="left"/>
    </w:pPr>
    <w:rPr>
      <w:rFonts w:ascii="宋体" w:hAnsi="宋体"/>
      <w:color w:val="000000"/>
      <w:kern w:val="0"/>
      <w:sz w:val="24"/>
    </w:rPr>
  </w:style>
  <w:style w:type="paragraph" w:customStyle="1" w:styleId="1975">
    <w:name w:val="our1"/>
    <w:basedOn w:val="1"/>
    <w:uiPriority w:val="0"/>
    <w:pPr>
      <w:widowControl/>
      <w:spacing w:before="100" w:beforeAutospacing="1" w:after="100" w:afterAutospacing="1"/>
      <w:jc w:val="left"/>
    </w:pPr>
    <w:rPr>
      <w:rFonts w:ascii="宋体" w:hAnsi="宋体"/>
      <w:kern w:val="0"/>
      <w:sz w:val="24"/>
    </w:rPr>
  </w:style>
  <w:style w:type="paragraph" w:customStyle="1" w:styleId="1976">
    <w:name w:val="dot"/>
    <w:uiPriority w:val="0"/>
    <w:pPr>
      <w:tabs>
        <w:tab w:val="left" w:pos="550"/>
      </w:tabs>
      <w:spacing w:before="40" w:after="40"/>
      <w:ind w:left="210" w:leftChars="100"/>
    </w:pPr>
    <w:rPr>
      <w:rFonts w:ascii="宋体" w:hAnsi="宋体" w:eastAsia="宋体" w:cs="Times New Roman"/>
      <w:b/>
      <w:sz w:val="24"/>
      <w:lang w:val="en-US" w:eastAsia="zh-CN" w:bidi="ar-SA"/>
    </w:rPr>
  </w:style>
  <w:style w:type="paragraph" w:customStyle="1" w:styleId="1977">
    <w:name w:val="表内小四黑中"/>
    <w:basedOn w:val="1556"/>
    <w:uiPriority w:val="0"/>
    <w:pPr>
      <w:overflowPunct w:val="0"/>
      <w:topLinePunct/>
      <w:autoSpaceDE w:val="0"/>
      <w:adjustRightInd w:val="0"/>
      <w:snapToGrid w:val="0"/>
      <w:spacing w:before="60" w:afterLines="50" w:line="360" w:lineRule="exact"/>
      <w:ind w:firstLine="454"/>
      <w:jc w:val="center"/>
    </w:pPr>
    <w:rPr>
      <w:rFonts w:ascii="Times New Roman" w:hAnsi="Times New Roman" w:cs="Times New Roman"/>
    </w:rPr>
  </w:style>
  <w:style w:type="paragraph" w:customStyle="1" w:styleId="1978">
    <w:name w:val="空行"/>
    <w:basedOn w:val="1"/>
    <w:uiPriority w:val="0"/>
    <w:pPr>
      <w:overflowPunct w:val="0"/>
      <w:topLinePunct/>
      <w:autoSpaceDE w:val="0"/>
      <w:adjustRightInd w:val="0"/>
      <w:snapToGrid w:val="0"/>
      <w:spacing w:afterLines="50" w:line="240" w:lineRule="atLeast"/>
      <w:ind w:firstLine="454"/>
    </w:pPr>
    <w:rPr>
      <w:sz w:val="13"/>
      <w:szCs w:val="20"/>
    </w:rPr>
  </w:style>
  <w:style w:type="paragraph" w:customStyle="1" w:styleId="1979">
    <w:name w:val="生物拉丁文名"/>
    <w:basedOn w:val="1"/>
    <w:uiPriority w:val="0"/>
    <w:pPr>
      <w:tabs>
        <w:tab w:val="left" w:pos="-120"/>
      </w:tabs>
      <w:overflowPunct w:val="0"/>
      <w:topLinePunct/>
      <w:autoSpaceDE w:val="0"/>
      <w:adjustRightInd w:val="0"/>
      <w:snapToGrid w:val="0"/>
      <w:spacing w:before="60" w:afterLines="50" w:line="0" w:lineRule="atLeast"/>
      <w:ind w:firstLine="454"/>
    </w:pPr>
    <w:rPr>
      <w:i/>
      <w:spacing w:val="20"/>
      <w:sz w:val="24"/>
      <w:szCs w:val="20"/>
    </w:rPr>
  </w:style>
  <w:style w:type="paragraph" w:customStyle="1" w:styleId="1980">
    <w:name w:val="隐形说明"/>
    <w:basedOn w:val="86"/>
    <w:next w:val="86"/>
    <w:uiPriority w:val="0"/>
    <w:pPr>
      <w:widowControl/>
      <w:tabs>
        <w:tab w:val="left" w:pos="-120"/>
      </w:tabs>
      <w:spacing w:before="120" w:after="0" w:line="288" w:lineRule="auto"/>
      <w:ind w:firstLine="0" w:firstLineChars="200"/>
      <w:jc w:val="center"/>
    </w:pPr>
    <w:rPr>
      <w:i/>
      <w:color w:val="008080"/>
      <w:spacing w:val="16"/>
      <w:kern w:val="0"/>
      <w:sz w:val="24"/>
      <w:szCs w:val="20"/>
    </w:rPr>
  </w:style>
  <w:style w:type="character" w:customStyle="1" w:styleId="1981">
    <w:name w:val="textfont1"/>
    <w:uiPriority w:val="0"/>
    <w:rPr>
      <w:rFonts w:hint="default" w:cs="Verdana"/>
      <w:b/>
      <w:color w:val="000000"/>
      <w:spacing w:val="400"/>
      <w:sz w:val="22"/>
      <w:szCs w:val="22"/>
      <w:lang w:val="en-US" w:eastAsia="en-US" w:bidi="ar-SA"/>
    </w:rPr>
  </w:style>
  <w:style w:type="paragraph" w:customStyle="1" w:styleId="1982">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983">
    <w:name w:val="首行缩进 Char"/>
    <w:basedOn w:val="1"/>
    <w:uiPriority w:val="0"/>
    <w:pPr>
      <w:spacing w:line="360" w:lineRule="auto"/>
      <w:jc w:val="center"/>
    </w:pPr>
    <w:rPr>
      <w:b/>
      <w:bCs/>
      <w:spacing w:val="16"/>
      <w:kern w:val="0"/>
      <w:szCs w:val="20"/>
    </w:rPr>
  </w:style>
  <w:style w:type="paragraph" w:customStyle="1" w:styleId="1984">
    <w:name w:val="注释"/>
    <w:basedOn w:val="1"/>
    <w:uiPriority w:val="0"/>
    <w:pPr>
      <w:spacing w:line="120" w:lineRule="atLeast"/>
      <w:jc w:val="center"/>
    </w:pPr>
    <w:rPr>
      <w:bCs/>
      <w:sz w:val="24"/>
    </w:rPr>
  </w:style>
  <w:style w:type="character" w:customStyle="1" w:styleId="1985">
    <w:name w:val="center01"/>
    <w:uiPriority w:val="0"/>
    <w:rPr>
      <w:rFonts w:ascii="Arial" w:hAnsi="Arial" w:cs="Verdana"/>
      <w:b/>
      <w:sz w:val="32"/>
      <w:szCs w:val="24"/>
      <w:lang w:val="en-US" w:eastAsia="en-US" w:bidi="ar-SA"/>
    </w:rPr>
  </w:style>
  <w:style w:type="character" w:customStyle="1" w:styleId="1986">
    <w:name w:val="font011"/>
    <w:uiPriority w:val="0"/>
    <w:rPr>
      <w:rFonts w:ascii="Arial" w:hAnsi="Arial" w:cs="Verdana"/>
      <w:b/>
      <w:color w:val="000000"/>
      <w:sz w:val="20"/>
      <w:szCs w:val="20"/>
      <w:u w:val="none"/>
      <w:lang w:val="en-US" w:eastAsia="en-US" w:bidi="ar-SA"/>
    </w:rPr>
  </w:style>
  <w:style w:type="character" w:customStyle="1" w:styleId="1987">
    <w:name w:val="centerfont011"/>
    <w:uiPriority w:val="0"/>
    <w:rPr>
      <w:rFonts w:ascii="Arial" w:hAnsi="Arial" w:cs="Verdana"/>
      <w:b/>
      <w:color w:val="000000"/>
      <w:sz w:val="20"/>
      <w:szCs w:val="20"/>
      <w:u w:val="none"/>
      <w:lang w:val="en-US" w:eastAsia="en-US" w:bidi="ar-SA"/>
    </w:rPr>
  </w:style>
  <w:style w:type="paragraph" w:customStyle="1" w:styleId="1988">
    <w:name w:val="样式 正文首行缩进落款 + 段前: 0.5 行"/>
    <w:basedOn w:val="86"/>
    <w:uiPriority w:val="0"/>
    <w:pPr>
      <w:tabs>
        <w:tab w:val="left" w:pos="-120"/>
      </w:tabs>
      <w:overflowPunct w:val="0"/>
      <w:topLinePunct/>
      <w:autoSpaceDE w:val="0"/>
      <w:adjustRightInd w:val="0"/>
      <w:snapToGrid w:val="0"/>
      <w:spacing w:beforeLines="50" w:after="0" w:line="288" w:lineRule="auto"/>
      <w:ind w:firstLine="567" w:firstLineChars="0"/>
    </w:pPr>
    <w:rPr>
      <w:sz w:val="24"/>
    </w:rPr>
  </w:style>
  <w:style w:type="paragraph" w:customStyle="1" w:styleId="1989">
    <w:name w:val="书名1"/>
    <w:basedOn w:val="1"/>
    <w:uiPriority w:val="0"/>
    <w:pPr>
      <w:tabs>
        <w:tab w:val="left" w:pos="-120"/>
      </w:tabs>
      <w:adjustRightInd w:val="0"/>
      <w:spacing w:line="288" w:lineRule="auto"/>
      <w:jc w:val="center"/>
      <w:textAlignment w:val="baseline"/>
    </w:pPr>
    <w:rPr>
      <w:spacing w:val="20"/>
      <w:kern w:val="0"/>
      <w:sz w:val="32"/>
      <w:szCs w:val="20"/>
    </w:rPr>
  </w:style>
  <w:style w:type="paragraph" w:customStyle="1" w:styleId="1990">
    <w:name w:val="封面署名"/>
    <w:basedOn w:val="1"/>
    <w:uiPriority w:val="0"/>
    <w:pPr>
      <w:tabs>
        <w:tab w:val="left" w:pos="-120"/>
      </w:tabs>
      <w:spacing w:before="60" w:line="310" w:lineRule="atLeast"/>
      <w:jc w:val="center"/>
    </w:pPr>
    <w:rPr>
      <w:spacing w:val="20"/>
      <w:sz w:val="30"/>
      <w:szCs w:val="20"/>
    </w:rPr>
  </w:style>
  <w:style w:type="paragraph" w:customStyle="1" w:styleId="1991">
    <w:name w:val="封2"/>
    <w:basedOn w:val="1"/>
    <w:uiPriority w:val="0"/>
    <w:pPr>
      <w:tabs>
        <w:tab w:val="left" w:pos="-120"/>
        <w:tab w:val="left" w:pos="612"/>
      </w:tabs>
      <w:spacing w:before="120" w:after="120" w:line="24" w:lineRule="atLeast"/>
      <w:jc w:val="left"/>
    </w:pPr>
    <w:rPr>
      <w:rFonts w:eastAsia="黑体"/>
      <w:spacing w:val="20"/>
      <w:sz w:val="28"/>
      <w:szCs w:val="20"/>
    </w:rPr>
  </w:style>
  <w:style w:type="paragraph" w:customStyle="1" w:styleId="1992">
    <w:name w:val="封2(机构名称)"/>
    <w:basedOn w:val="1"/>
    <w:uiPriority w:val="0"/>
    <w:pPr>
      <w:tabs>
        <w:tab w:val="left" w:pos="-120"/>
        <w:tab w:val="left" w:pos="360"/>
      </w:tabs>
      <w:spacing w:before="120" w:after="120" w:line="24" w:lineRule="atLeast"/>
      <w:jc w:val="left"/>
    </w:pPr>
    <w:rPr>
      <w:rFonts w:eastAsia="黑体"/>
      <w:spacing w:val="20"/>
      <w:sz w:val="28"/>
      <w:szCs w:val="20"/>
    </w:rPr>
  </w:style>
  <w:style w:type="paragraph" w:customStyle="1" w:styleId="1993">
    <w:name w:val="封面书名"/>
    <w:basedOn w:val="1"/>
    <w:uiPriority w:val="0"/>
    <w:pPr>
      <w:tabs>
        <w:tab w:val="left" w:pos="-120"/>
      </w:tabs>
      <w:spacing w:line="24" w:lineRule="atLeast"/>
      <w:jc w:val="center"/>
    </w:pPr>
    <w:rPr>
      <w:rFonts w:eastAsia="黑体"/>
      <w:b/>
      <w:color w:val="000000"/>
      <w:spacing w:val="32"/>
      <w:sz w:val="72"/>
      <w:szCs w:val="20"/>
    </w:rPr>
  </w:style>
  <w:style w:type="paragraph" w:customStyle="1" w:styleId="1994">
    <w:name w:val="生物拉丁文类名"/>
    <w:basedOn w:val="1"/>
    <w:uiPriority w:val="0"/>
    <w:pPr>
      <w:tabs>
        <w:tab w:val="left" w:pos="-120"/>
      </w:tabs>
      <w:spacing w:before="60" w:line="310" w:lineRule="atLeast"/>
      <w:jc w:val="left"/>
    </w:pPr>
    <w:rPr>
      <w:b/>
      <w:i/>
      <w:spacing w:val="20"/>
      <w:sz w:val="24"/>
      <w:szCs w:val="20"/>
    </w:rPr>
  </w:style>
  <w:style w:type="paragraph" w:customStyle="1" w:styleId="1995">
    <w:name w:val="单级编号小四"/>
    <w:basedOn w:val="1"/>
    <w:uiPriority w:val="0"/>
    <w:pPr>
      <w:numPr>
        <w:ilvl w:val="0"/>
        <w:numId w:val="18"/>
      </w:numPr>
      <w:tabs>
        <w:tab w:val="left" w:pos="-120"/>
        <w:tab w:val="left" w:pos="1140"/>
        <w:tab w:val="clear" w:pos="420"/>
      </w:tabs>
      <w:spacing w:before="60" w:line="288" w:lineRule="auto"/>
      <w:ind w:left="840" w:right="811" w:firstLine="200" w:firstLineChars="200"/>
      <w:jc w:val="center"/>
    </w:pPr>
    <w:rPr>
      <w:color w:val="000000"/>
      <w:spacing w:val="16"/>
      <w:sz w:val="24"/>
      <w:szCs w:val="20"/>
    </w:rPr>
  </w:style>
  <w:style w:type="paragraph" w:customStyle="1" w:styleId="1996">
    <w:name w:val="页眉双"/>
    <w:basedOn w:val="57"/>
    <w:uiPriority w:val="0"/>
    <w:pPr>
      <w:tabs>
        <w:tab w:val="left" w:pos="-120"/>
      </w:tabs>
      <w:spacing w:before="60" w:line="400" w:lineRule="exact"/>
      <w:jc w:val="left"/>
    </w:pPr>
    <w:rPr>
      <w:rFonts w:eastAsia="幼圆"/>
      <w:snapToGrid w:val="0"/>
      <w:color w:val="000000"/>
      <w:kern w:val="44"/>
      <w:sz w:val="15"/>
      <w:szCs w:val="20"/>
    </w:rPr>
  </w:style>
  <w:style w:type="paragraph" w:customStyle="1" w:styleId="1997">
    <w:name w:val="页眉单"/>
    <w:basedOn w:val="57"/>
    <w:uiPriority w:val="0"/>
    <w:pPr>
      <w:tabs>
        <w:tab w:val="left" w:pos="-120"/>
      </w:tabs>
      <w:spacing w:before="60" w:line="310" w:lineRule="atLeast"/>
      <w:jc w:val="right"/>
    </w:pPr>
    <w:rPr>
      <w:rFonts w:eastAsia="幼圆"/>
      <w:snapToGrid w:val="0"/>
      <w:color w:val="000000"/>
      <w:kern w:val="0"/>
      <w:sz w:val="21"/>
      <w:szCs w:val="20"/>
    </w:rPr>
  </w:style>
  <w:style w:type="paragraph" w:customStyle="1" w:styleId="1998">
    <w:name w:val="文献"/>
    <w:basedOn w:val="45"/>
    <w:uiPriority w:val="0"/>
    <w:pPr>
      <w:tabs>
        <w:tab w:val="left" w:pos="420"/>
        <w:tab w:val="left" w:pos="1200"/>
      </w:tabs>
      <w:snapToGrid w:val="0"/>
      <w:spacing w:beforeLines="30" w:line="288" w:lineRule="auto"/>
      <w:ind w:left="1200" w:hanging="720" w:firstLineChars="225"/>
    </w:pPr>
    <w:rPr>
      <w:rFonts w:ascii="Times New Roman" w:hAnsi="Times New Roman"/>
      <w:spacing w:val="10"/>
      <w:szCs w:val="20"/>
    </w:rPr>
  </w:style>
  <w:style w:type="paragraph" w:customStyle="1" w:styleId="1999">
    <w:name w:val="样式10"/>
    <w:basedOn w:val="1"/>
    <w:link w:val="2192"/>
    <w:qFormat/>
    <w:uiPriority w:val="0"/>
    <w:pPr>
      <w:adjustRightInd w:val="0"/>
      <w:snapToGrid w:val="0"/>
      <w:spacing w:line="360" w:lineRule="auto"/>
      <w:ind w:firstLine="560" w:firstLineChars="200"/>
      <w:jc w:val="left"/>
      <w:textAlignment w:val="baseline"/>
    </w:pPr>
    <w:rPr>
      <w:rFonts w:ascii="Arial" w:hAnsi="Arial"/>
      <w:color w:val="000000"/>
      <w:spacing w:val="16"/>
      <w:sz w:val="24"/>
      <w:szCs w:val="32"/>
    </w:rPr>
  </w:style>
  <w:style w:type="paragraph" w:customStyle="1" w:styleId="2000">
    <w:name w:val="表注-西江"/>
    <w:basedOn w:val="1240"/>
    <w:uiPriority w:val="0"/>
    <w:pPr>
      <w:tabs>
        <w:tab w:val="left" w:pos="-120"/>
      </w:tabs>
      <w:overflowPunct w:val="0"/>
      <w:topLinePunct/>
      <w:autoSpaceDE w:val="0"/>
      <w:adjustRightInd w:val="0"/>
      <w:snapToGrid w:val="0"/>
      <w:spacing w:beforeLines="50" w:after="120" w:line="240" w:lineRule="atLeast"/>
      <w:ind w:left="482"/>
      <w:textAlignment w:val="baseline"/>
    </w:pPr>
    <w:rPr>
      <w:b/>
      <w:bCs/>
      <w:color w:val="FF0000"/>
      <w:spacing w:val="16"/>
      <w:kern w:val="0"/>
    </w:rPr>
  </w:style>
  <w:style w:type="paragraph" w:customStyle="1" w:styleId="2001">
    <w:name w:val="表格式"/>
    <w:basedOn w:val="1496"/>
    <w:uiPriority w:val="0"/>
    <w:pPr>
      <w:widowControl w:val="0"/>
      <w:tabs>
        <w:tab w:val="left" w:pos="5760"/>
      </w:tabs>
      <w:adjustRightInd/>
      <w:spacing w:before="50" w:line="240" w:lineRule="exact"/>
      <w:ind w:left="0"/>
      <w:textAlignment w:val="baseline"/>
    </w:pPr>
    <w:rPr>
      <w:szCs w:val="18"/>
    </w:rPr>
  </w:style>
  <w:style w:type="paragraph" w:customStyle="1" w:styleId="2002">
    <w:name w:val="样式 正文首行缩进落款 + 四号 段前: 0.5 行"/>
    <w:basedOn w:val="86"/>
    <w:uiPriority w:val="0"/>
    <w:pPr>
      <w:tabs>
        <w:tab w:val="left" w:pos="-120"/>
      </w:tabs>
      <w:overflowPunct w:val="0"/>
      <w:topLinePunct/>
      <w:autoSpaceDE w:val="0"/>
      <w:adjustRightInd w:val="0"/>
      <w:snapToGrid w:val="0"/>
      <w:spacing w:beforeLines="50" w:after="0" w:line="360" w:lineRule="auto"/>
      <w:ind w:firstLine="480" w:firstLineChars="200"/>
    </w:pPr>
    <w:rPr>
      <w:sz w:val="24"/>
      <w:szCs w:val="28"/>
    </w:rPr>
  </w:style>
  <w:style w:type="paragraph" w:customStyle="1" w:styleId="2003">
    <w:name w:val="样式 首行缩进:  0.80 厘米 段前: 7.8 磅"/>
    <w:basedOn w:val="1"/>
    <w:uiPriority w:val="0"/>
    <w:pPr>
      <w:adjustRightInd w:val="0"/>
      <w:snapToGrid w:val="0"/>
      <w:spacing w:before="156" w:line="312" w:lineRule="auto"/>
      <w:ind w:firstLine="480"/>
    </w:pPr>
    <w:rPr>
      <w:sz w:val="24"/>
      <w:szCs w:val="20"/>
    </w:rPr>
  </w:style>
  <w:style w:type="paragraph" w:customStyle="1" w:styleId="2004">
    <w:name w:val="TECHNICAL INFO"/>
    <w:basedOn w:val="1"/>
    <w:uiPriority w:val="0"/>
    <w:pPr>
      <w:widowControl/>
    </w:pPr>
    <w:rPr>
      <w:sz w:val="24"/>
      <w:lang w:val="en-GB" w:eastAsia="en-US"/>
    </w:rPr>
  </w:style>
  <w:style w:type="paragraph" w:customStyle="1" w:styleId="2005">
    <w:name w:val="表格右"/>
    <w:basedOn w:val="1"/>
    <w:uiPriority w:val="0"/>
    <w:pPr>
      <w:jc w:val="center"/>
    </w:pPr>
    <w:rPr>
      <w:rFonts w:cs="Courier New"/>
      <w:szCs w:val="21"/>
    </w:rPr>
  </w:style>
  <w:style w:type="paragraph" w:customStyle="1" w:styleId="2006">
    <w:name w:val="样式 正文 +"/>
    <w:basedOn w:val="1"/>
    <w:uiPriority w:val="0"/>
    <w:pPr>
      <w:adjustRightInd w:val="0"/>
      <w:jc w:val="center"/>
    </w:pPr>
    <w:rPr>
      <w:rFonts w:ascii="宋体" w:hAnsi="宋体" w:cs="Arial"/>
      <w:color w:val="000000"/>
      <w:sz w:val="24"/>
      <w:szCs w:val="20"/>
    </w:rPr>
  </w:style>
  <w:style w:type="paragraph" w:customStyle="1" w:styleId="2007">
    <w:name w:val="题目"/>
    <w:basedOn w:val="3"/>
    <w:next w:val="1"/>
    <w:uiPriority w:val="0"/>
    <w:pPr>
      <w:keepLines/>
      <w:tabs>
        <w:tab w:val="clear" w:pos="360"/>
      </w:tabs>
      <w:spacing w:before="100" w:beforeAutospacing="1" w:after="100" w:afterAutospacing="1" w:line="360" w:lineRule="auto"/>
      <w:ind w:left="840" w:leftChars="100" w:right="100" w:rightChars="100" w:firstLine="0" w:firstLineChars="0"/>
    </w:pPr>
    <w:rPr>
      <w:rFonts w:eastAsia="宋体"/>
      <w:b/>
      <w:bCs/>
      <w:kern w:val="44"/>
      <w:szCs w:val="30"/>
    </w:rPr>
  </w:style>
  <w:style w:type="paragraph" w:customStyle="1" w:styleId="2008">
    <w:name w:val="样式 标题 2 + 四号"/>
    <w:basedOn w:val="1"/>
    <w:uiPriority w:val="0"/>
    <w:pPr>
      <w:spacing w:line="360" w:lineRule="auto"/>
    </w:pPr>
    <w:rPr>
      <w:sz w:val="24"/>
    </w:rPr>
  </w:style>
  <w:style w:type="paragraph" w:customStyle="1" w:styleId="2009">
    <w:name w:val="样式 样式 黑色 首行缩进:  2 字符 + 首行缩进:  2 字符"/>
    <w:basedOn w:val="1"/>
    <w:uiPriority w:val="0"/>
    <w:pPr>
      <w:spacing w:line="300" w:lineRule="auto"/>
      <w:ind w:firstLine="480" w:firstLineChars="200"/>
    </w:pPr>
    <w:rPr>
      <w:color w:val="000000"/>
      <w:sz w:val="24"/>
      <w:szCs w:val="20"/>
    </w:rPr>
  </w:style>
  <w:style w:type="paragraph" w:customStyle="1" w:styleId="2010">
    <w:name w:val="表中正文居中"/>
    <w:uiPriority w:val="0"/>
    <w:pPr>
      <w:spacing w:before="120" w:after="120" w:line="240" w:lineRule="atLeast"/>
      <w:jc w:val="center"/>
    </w:pPr>
    <w:rPr>
      <w:rFonts w:ascii="宋体" w:hAnsi="Times New Roman" w:eastAsia="宋体" w:cs="Times New Roman"/>
      <w:kern w:val="2"/>
      <w:sz w:val="21"/>
      <w:lang w:val="en-US" w:eastAsia="zh-CN" w:bidi="ar-SA"/>
    </w:rPr>
  </w:style>
  <w:style w:type="paragraph" w:customStyle="1" w:styleId="2011">
    <w:name w:val="一般内容"/>
    <w:basedOn w:val="1"/>
    <w:uiPriority w:val="0"/>
    <w:pPr>
      <w:adjustRightInd w:val="0"/>
      <w:spacing w:before="120" w:after="120" w:line="400" w:lineRule="atLeast"/>
      <w:ind w:left="851"/>
      <w:textAlignment w:val="baseline"/>
    </w:pPr>
    <w:rPr>
      <w:kern w:val="0"/>
      <w:sz w:val="24"/>
      <w:szCs w:val="20"/>
      <w:lang w:val="en-GB"/>
    </w:rPr>
  </w:style>
  <w:style w:type="paragraph" w:customStyle="1" w:styleId="2012">
    <w:name w:val="紧凑文字"/>
    <w:basedOn w:val="2011"/>
    <w:uiPriority w:val="0"/>
    <w:pPr>
      <w:tabs>
        <w:tab w:val="left" w:pos="1701"/>
      </w:tabs>
      <w:spacing w:before="40" w:after="0"/>
    </w:pPr>
  </w:style>
  <w:style w:type="paragraph" w:customStyle="1" w:styleId="2013">
    <w:name w:val="正文缩近"/>
    <w:basedOn w:val="1"/>
    <w:uiPriority w:val="0"/>
    <w:pPr>
      <w:adjustRightInd w:val="0"/>
      <w:spacing w:line="312" w:lineRule="atLeast"/>
      <w:ind w:left="567"/>
      <w:textAlignment w:val="baseline"/>
    </w:pPr>
    <w:rPr>
      <w:kern w:val="0"/>
      <w:sz w:val="24"/>
      <w:szCs w:val="20"/>
    </w:rPr>
  </w:style>
  <w:style w:type="paragraph" w:customStyle="1" w:styleId="2014">
    <w:name w:val="姜文清定义的四级标题"/>
    <w:basedOn w:val="45"/>
    <w:uiPriority w:val="0"/>
    <w:pPr>
      <w:spacing w:before="80" w:after="80" w:line="400" w:lineRule="exact"/>
      <w:ind w:firstLine="482"/>
    </w:pPr>
    <w:rPr>
      <w:rFonts w:ascii="Times New Roman" w:hAnsi="Times New Roman"/>
      <w:b/>
      <w:sz w:val="24"/>
      <w:szCs w:val="20"/>
    </w:rPr>
  </w:style>
  <w:style w:type="paragraph" w:customStyle="1" w:styleId="2015">
    <w:name w:val="公式1"/>
    <w:basedOn w:val="1"/>
    <w:uiPriority w:val="0"/>
    <w:pPr>
      <w:spacing w:before="80" w:after="80" w:line="400" w:lineRule="exact"/>
      <w:ind w:firstLine="482"/>
    </w:pPr>
    <w:rPr>
      <w:sz w:val="24"/>
      <w:szCs w:val="20"/>
    </w:rPr>
  </w:style>
  <w:style w:type="paragraph" w:customStyle="1" w:styleId="2016">
    <w:name w:val="表格式正文"/>
    <w:basedOn w:val="2001"/>
    <w:uiPriority w:val="0"/>
    <w:pPr>
      <w:tabs>
        <w:tab w:val="clear" w:pos="5760"/>
      </w:tabs>
      <w:spacing w:before="0" w:line="340" w:lineRule="exact"/>
      <w:textAlignment w:val="auto"/>
    </w:pPr>
    <w:rPr>
      <w:kern w:val="2"/>
      <w:sz w:val="21"/>
      <w:szCs w:val="20"/>
    </w:rPr>
  </w:style>
  <w:style w:type="paragraph" w:customStyle="1" w:styleId="2017">
    <w:name w:val="正文单倍行距"/>
    <w:basedOn w:val="1"/>
    <w:uiPriority w:val="0"/>
    <w:pPr>
      <w:spacing w:line="360" w:lineRule="auto"/>
      <w:ind w:firstLine="425"/>
    </w:pPr>
    <w:rPr>
      <w:spacing w:val="6"/>
      <w:sz w:val="24"/>
      <w:szCs w:val="20"/>
    </w:rPr>
  </w:style>
  <w:style w:type="paragraph" w:customStyle="1" w:styleId="2018">
    <w:name w:val="条目"/>
    <w:basedOn w:val="1"/>
    <w:uiPriority w:val="0"/>
    <w:pPr>
      <w:spacing w:line="400" w:lineRule="atLeast"/>
      <w:ind w:firstLine="425"/>
    </w:pPr>
    <w:rPr>
      <w:sz w:val="24"/>
      <w:szCs w:val="20"/>
    </w:rPr>
  </w:style>
  <w:style w:type="character" w:customStyle="1" w:styleId="2019">
    <w:name w:val="pt91"/>
    <w:uiPriority w:val="0"/>
    <w:rPr>
      <w:rFonts w:ascii="Arial" w:hAnsi="Arial" w:cs="Verdana"/>
      <w:b/>
      <w:spacing w:val="260"/>
      <w:sz w:val="18"/>
      <w:szCs w:val="18"/>
      <w:lang w:val="en-US" w:eastAsia="en-US" w:bidi="ar-SA"/>
    </w:rPr>
  </w:style>
  <w:style w:type="paragraph" w:customStyle="1" w:styleId="2020">
    <w:name w:val="普通 (Web)"/>
    <w:basedOn w:val="1"/>
    <w:uiPriority w:val="0"/>
    <w:pPr>
      <w:widowControl/>
      <w:spacing w:before="100" w:beforeAutospacing="1" w:after="100" w:afterAutospacing="1"/>
      <w:jc w:val="left"/>
    </w:pPr>
    <w:rPr>
      <w:rFonts w:ascii="Arial Unicode MS" w:hAnsi="Arial Unicode MS" w:eastAsia="Arial Unicode MS" w:cs="仿宋_GB2312"/>
      <w:kern w:val="0"/>
      <w:sz w:val="24"/>
    </w:rPr>
  </w:style>
  <w:style w:type="paragraph" w:customStyle="1" w:styleId="2021">
    <w:name w:val="圖一"/>
    <w:basedOn w:val="22"/>
    <w:uiPriority w:val="0"/>
    <w:pPr>
      <w:widowControl w:val="0"/>
      <w:spacing w:before="240" w:line="500" w:lineRule="exact"/>
    </w:pPr>
    <w:rPr>
      <w:rFonts w:eastAsia="DFKai-SB" w:cs="Times New Roman"/>
      <w:b/>
      <w:kern w:val="2"/>
      <w:sz w:val="30"/>
      <w:u w:color="000000"/>
      <w:lang w:eastAsia="zh-TW"/>
    </w:rPr>
  </w:style>
  <w:style w:type="paragraph" w:customStyle="1" w:styleId="2022">
    <w:name w:val="樣式3"/>
    <w:basedOn w:val="1"/>
    <w:uiPriority w:val="0"/>
    <w:pPr>
      <w:adjustRightInd w:val="0"/>
      <w:snapToGrid w:val="0"/>
      <w:spacing w:line="240" w:lineRule="exact"/>
    </w:pPr>
    <w:rPr>
      <w:spacing w:val="-20"/>
      <w:sz w:val="28"/>
    </w:rPr>
  </w:style>
  <w:style w:type="character" w:customStyle="1" w:styleId="2023">
    <w:name w:val="f10wentitle"/>
    <w:uiPriority w:val="0"/>
    <w:rPr>
      <w:rFonts w:ascii="Arial" w:hAnsi="Arial" w:cs="Verdana"/>
      <w:b/>
      <w:sz w:val="32"/>
      <w:szCs w:val="24"/>
      <w:lang w:val="en-US" w:eastAsia="en-US" w:bidi="ar-SA"/>
    </w:rPr>
  </w:style>
  <w:style w:type="character" w:customStyle="1" w:styleId="2024">
    <w:name w:val="f101"/>
    <w:uiPriority w:val="0"/>
    <w:rPr>
      <w:rFonts w:ascii="Arial" w:hAnsi="Arial" w:cs="Verdana"/>
      <w:b/>
      <w:spacing w:val="360"/>
      <w:sz w:val="20"/>
      <w:szCs w:val="20"/>
      <w:u w:val="none"/>
      <w:lang w:val="en-US" w:eastAsia="en-US" w:bidi="ar-SA"/>
    </w:rPr>
  </w:style>
  <w:style w:type="paragraph" w:customStyle="1" w:styleId="2025">
    <w:name w:val="表中文字1"/>
    <w:uiPriority w:val="0"/>
    <w:pPr>
      <w:widowControl w:val="0"/>
      <w:spacing w:beforeLines="50" w:afterLines="50" w:line="360" w:lineRule="auto"/>
      <w:jc w:val="center"/>
    </w:pPr>
    <w:rPr>
      <w:rFonts w:ascii="Times New Roman" w:hAnsi="Times New Roman" w:eastAsia="黑体" w:cs="Times New Roman"/>
      <w:bCs/>
      <w:snapToGrid w:val="0"/>
      <w:sz w:val="24"/>
      <w:szCs w:val="24"/>
      <w:lang w:val="en-US" w:eastAsia="zh-CN" w:bidi="ar-SA"/>
    </w:rPr>
  </w:style>
  <w:style w:type="paragraph" w:customStyle="1" w:styleId="2026">
    <w:name w:val="码头正文"/>
    <w:basedOn w:val="21"/>
    <w:uiPriority w:val="0"/>
    <w:pPr>
      <w:tabs>
        <w:tab w:val="left" w:pos="425"/>
      </w:tabs>
      <w:spacing w:line="360" w:lineRule="auto"/>
      <w:ind w:firstLine="0"/>
    </w:pPr>
    <w:rPr>
      <w:bCs/>
      <w:kern w:val="0"/>
      <w:sz w:val="24"/>
      <w:szCs w:val="24"/>
      <w:u w:color="000000"/>
    </w:rPr>
  </w:style>
  <w:style w:type="paragraph" w:customStyle="1" w:styleId="2027">
    <w:name w:val="佛表"/>
    <w:basedOn w:val="66"/>
    <w:uiPriority w:val="0"/>
    <w:pPr>
      <w:tabs>
        <w:tab w:val="left" w:pos="705"/>
        <w:tab w:val="clear" w:pos="283"/>
      </w:tabs>
      <w:adjustRightInd/>
      <w:snapToGrid/>
      <w:spacing w:beforeLines="0" w:line="360" w:lineRule="auto"/>
      <w:jc w:val="center"/>
    </w:pPr>
    <w:rPr>
      <w:b w:val="0"/>
      <w:sz w:val="24"/>
      <w:szCs w:val="24"/>
    </w:rPr>
  </w:style>
  <w:style w:type="paragraph" w:customStyle="1" w:styleId="2028">
    <w:name w:val="码头表"/>
    <w:basedOn w:val="1"/>
    <w:uiPriority w:val="0"/>
    <w:pPr>
      <w:jc w:val="center"/>
    </w:pPr>
  </w:style>
  <w:style w:type="paragraph" w:customStyle="1" w:styleId="2029">
    <w:name w:val="0.0.0文本"/>
    <w:basedOn w:val="1"/>
    <w:uiPriority w:val="0"/>
    <w:pPr>
      <w:autoSpaceDE w:val="0"/>
      <w:autoSpaceDN w:val="0"/>
      <w:adjustRightInd w:val="0"/>
      <w:snapToGrid w:val="0"/>
      <w:spacing w:line="360" w:lineRule="auto"/>
      <w:ind w:left="1320" w:leftChars="550"/>
      <w:textAlignment w:val="baseline"/>
    </w:pPr>
    <w:rPr>
      <w:rFonts w:ascii="宋体" w:hAnsi="Tms Rmn"/>
      <w:kern w:val="0"/>
      <w:sz w:val="24"/>
    </w:rPr>
  </w:style>
  <w:style w:type="paragraph" w:customStyle="1" w:styleId="2030">
    <w:name w:val="gb"/>
    <w:basedOn w:val="1"/>
    <w:uiPriority w:val="0"/>
    <w:pPr>
      <w:widowControl/>
      <w:tabs>
        <w:tab w:val="left" w:pos="227"/>
      </w:tabs>
      <w:overflowPunct w:val="0"/>
      <w:adjustRightInd w:val="0"/>
      <w:spacing w:before="120" w:after="120"/>
      <w:jc w:val="left"/>
      <w:textAlignment w:val="baseline"/>
    </w:pPr>
    <w:rPr>
      <w:rFonts w:ascii="Arial" w:hAnsi="Arial" w:eastAsia="仿宋体"/>
      <w:kern w:val="0"/>
      <w:sz w:val="24"/>
      <w:szCs w:val="20"/>
    </w:rPr>
  </w:style>
  <w:style w:type="paragraph" w:customStyle="1" w:styleId="2031">
    <w:name w:val="gb1"/>
    <w:basedOn w:val="1"/>
    <w:uiPriority w:val="0"/>
    <w:pPr>
      <w:widowControl/>
      <w:tabs>
        <w:tab w:val="left" w:pos="227"/>
      </w:tabs>
      <w:overflowPunct w:val="0"/>
      <w:autoSpaceDE w:val="0"/>
      <w:autoSpaceDN w:val="0"/>
      <w:adjustRightInd w:val="0"/>
      <w:spacing w:before="120" w:after="120"/>
      <w:jc w:val="left"/>
      <w:textAlignment w:val="baseline"/>
    </w:pPr>
    <w:rPr>
      <w:rFonts w:ascii="Arial" w:hAnsi="Arial" w:eastAsia="·ÂËÎÌå"/>
      <w:kern w:val="0"/>
      <w:sz w:val="24"/>
    </w:rPr>
  </w:style>
  <w:style w:type="paragraph" w:customStyle="1" w:styleId="2032">
    <w:name w:val="xl23"/>
    <w:basedOn w:val="1"/>
    <w:uiPriority w:val="0"/>
    <w:pPr>
      <w:widowControl/>
      <w:tabs>
        <w:tab w:val="left" w:pos="420"/>
        <w:tab w:val="left" w:pos="2345"/>
      </w:tabs>
      <w:spacing w:before="100" w:beforeAutospacing="1" w:after="100" w:afterAutospacing="1"/>
      <w:jc w:val="right"/>
    </w:pPr>
    <w:rPr>
      <w:kern w:val="0"/>
      <w:sz w:val="24"/>
    </w:rPr>
  </w:style>
  <w:style w:type="paragraph" w:customStyle="1" w:styleId="2033">
    <w:name w:val="样式 小三 加粗 居中 段前: 15.6 磅 段后: 15.6 磅 行距: 多倍行距 1.2 字行"/>
    <w:basedOn w:val="1"/>
    <w:uiPriority w:val="0"/>
    <w:pPr>
      <w:spacing w:before="312" w:after="312" w:line="288" w:lineRule="auto"/>
      <w:jc w:val="center"/>
    </w:pPr>
    <w:rPr>
      <w:rFonts w:ascii="Arial" w:hAnsi="Arial" w:cs="宋体"/>
      <w:b/>
      <w:bCs/>
      <w:sz w:val="30"/>
      <w:szCs w:val="20"/>
    </w:rPr>
  </w:style>
  <w:style w:type="paragraph" w:customStyle="1" w:styleId="2034">
    <w:name w:val="样式1."/>
    <w:basedOn w:val="1"/>
    <w:uiPriority w:val="0"/>
    <w:pPr>
      <w:adjustRightInd w:val="0"/>
      <w:snapToGrid w:val="0"/>
      <w:spacing w:line="460" w:lineRule="exact"/>
    </w:pPr>
    <w:rPr>
      <w:rFonts w:ascii="黑体" w:eastAsia="黑体"/>
      <w:b/>
      <w:sz w:val="30"/>
      <w:szCs w:val="20"/>
    </w:rPr>
  </w:style>
  <w:style w:type="paragraph" w:customStyle="1" w:styleId="2035">
    <w:name w:val="表格2"/>
    <w:basedOn w:val="1"/>
    <w:next w:val="1"/>
    <w:uiPriority w:val="0"/>
    <w:pPr>
      <w:autoSpaceDE w:val="0"/>
      <w:autoSpaceDN w:val="0"/>
      <w:adjustRightInd w:val="0"/>
      <w:jc w:val="center"/>
      <w:textAlignment w:val="baseline"/>
    </w:pPr>
    <w:rPr>
      <w:rFonts w:ascii="宋体" w:hAnsi="Impact"/>
      <w:kern w:val="24"/>
      <w:position w:val="-28"/>
      <w:szCs w:val="21"/>
    </w:rPr>
  </w:style>
  <w:style w:type="paragraph" w:customStyle="1" w:styleId="2036">
    <w:name w:val="大表内容"/>
    <w:uiPriority w:val="0"/>
    <w:pPr>
      <w:snapToGrid w:val="0"/>
      <w:jc w:val="center"/>
    </w:pPr>
    <w:rPr>
      <w:rFonts w:ascii="Times New Roman" w:hAnsi="Times New Roman" w:eastAsia="宋体" w:cs="Times New Roman"/>
      <w:sz w:val="21"/>
      <w:lang w:val="en-US" w:eastAsia="zh-CN" w:bidi="ar-SA"/>
    </w:rPr>
  </w:style>
  <w:style w:type="paragraph" w:customStyle="1" w:styleId="2037">
    <w:name w:val="表体"/>
    <w:basedOn w:val="1"/>
    <w:uiPriority w:val="0"/>
    <w:pPr>
      <w:jc w:val="center"/>
    </w:pPr>
  </w:style>
  <w:style w:type="paragraph" w:customStyle="1" w:styleId="2038">
    <w:name w:val="xl1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hint="eastAsia" w:ascii="宋体" w:hAnsi="宋体" w:cs="Arial Unicode MS"/>
      <w:kern w:val="0"/>
      <w:sz w:val="24"/>
    </w:rPr>
  </w:style>
  <w:style w:type="paragraph" w:customStyle="1" w:styleId="2039">
    <w:name w:val="xl2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hint="eastAsia" w:ascii="宋体" w:hAnsi="宋体" w:cs="Arial Unicode MS"/>
      <w:kern w:val="0"/>
      <w:sz w:val="24"/>
    </w:rPr>
  </w:style>
  <w:style w:type="paragraph" w:customStyle="1" w:styleId="2040">
    <w:name w:val="xl21"/>
    <w:basedOn w:val="1"/>
    <w:uiPriority w:val="0"/>
    <w:pPr>
      <w:widowControl/>
      <w:spacing w:before="100" w:beforeAutospacing="1" w:after="100" w:afterAutospacing="1"/>
      <w:jc w:val="center"/>
    </w:pPr>
    <w:rPr>
      <w:rFonts w:hint="eastAsia" w:ascii="宋体" w:hAnsi="宋体" w:cs="Arial Unicode MS"/>
      <w:kern w:val="0"/>
      <w:sz w:val="24"/>
    </w:rPr>
  </w:style>
  <w:style w:type="paragraph" w:customStyle="1" w:styleId="2041">
    <w:name w:val="sw_one"/>
    <w:basedOn w:val="1"/>
    <w:uiPriority w:val="0"/>
    <w:pPr>
      <w:widowControl/>
      <w:spacing w:before="100" w:beforeAutospacing="1" w:after="100" w:afterAutospacing="1"/>
      <w:ind w:firstLine="573"/>
      <w:jc w:val="left"/>
    </w:pPr>
    <w:rPr>
      <w:rFonts w:ascii="Arial Unicode MS" w:hAnsi="Arial Unicode MS" w:eastAsia="Arial Unicode MS"/>
      <w:color w:val="CE3702"/>
      <w:kern w:val="0"/>
      <w:sz w:val="24"/>
      <w:szCs w:val="28"/>
    </w:rPr>
  </w:style>
  <w:style w:type="paragraph" w:customStyle="1" w:styleId="2042">
    <w:name w:val="bg"/>
    <w:basedOn w:val="1"/>
    <w:uiPriority w:val="0"/>
    <w:pPr>
      <w:widowControl/>
    </w:pPr>
    <w:rPr>
      <w:kern w:val="0"/>
      <w:sz w:val="24"/>
      <w:szCs w:val="20"/>
    </w:rPr>
  </w:style>
  <w:style w:type="paragraph" w:customStyle="1" w:styleId="2043">
    <w:name w:val="油库表"/>
    <w:basedOn w:val="1"/>
    <w:uiPriority w:val="0"/>
    <w:pPr>
      <w:adjustRightInd w:val="0"/>
      <w:spacing w:beforeLines="25" w:afterLines="25"/>
      <w:jc w:val="center"/>
      <w:textAlignment w:val="baseline"/>
    </w:pPr>
    <w:rPr>
      <w:spacing w:val="10"/>
      <w:kern w:val="0"/>
      <w:szCs w:val="20"/>
    </w:rPr>
  </w:style>
  <w:style w:type="paragraph" w:customStyle="1" w:styleId="2044">
    <w:name w:val="...... 2"/>
    <w:basedOn w:val="266"/>
    <w:next w:val="266"/>
    <w:uiPriority w:val="0"/>
    <w:rPr>
      <w:rFonts w:ascii="Sim Sun" w:eastAsia="Sim Sun"/>
      <w:color w:val="auto"/>
      <w:sz w:val="20"/>
    </w:rPr>
  </w:style>
  <w:style w:type="paragraph" w:customStyle="1" w:styleId="2045">
    <w:name w:val="目次、标准名称标题"/>
    <w:basedOn w:val="1042"/>
    <w:next w:val="522"/>
    <w:qFormat/>
    <w:uiPriority w:val="0"/>
    <w:pPr>
      <w:tabs>
        <w:tab w:val="clear" w:pos="1260"/>
      </w:tabs>
      <w:spacing w:line="460" w:lineRule="exact"/>
      <w:ind w:left="0" w:firstLine="0"/>
    </w:pPr>
  </w:style>
  <w:style w:type="paragraph" w:customStyle="1" w:styleId="2046">
    <w:name w:val="附录标识"/>
    <w:basedOn w:val="1042"/>
    <w:uiPriority w:val="0"/>
    <w:pPr>
      <w:tabs>
        <w:tab w:val="left" w:pos="6405"/>
        <w:tab w:val="clear" w:pos="1260"/>
      </w:tabs>
      <w:spacing w:after="200"/>
      <w:ind w:left="0" w:firstLine="0"/>
    </w:pPr>
    <w:rPr>
      <w:sz w:val="21"/>
    </w:rPr>
  </w:style>
  <w:style w:type="paragraph" w:customStyle="1" w:styleId="2047">
    <w:name w:val="附录章标题"/>
    <w:next w:val="522"/>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2048">
    <w:name w:val="附录一级条标题"/>
    <w:basedOn w:val="2047"/>
    <w:next w:val="522"/>
    <w:uiPriority w:val="0"/>
    <w:pPr>
      <w:tabs>
        <w:tab w:val="left" w:pos="828"/>
      </w:tabs>
      <w:autoSpaceDN w:val="0"/>
      <w:spacing w:beforeLines="0" w:afterLines="0"/>
      <w:ind w:left="828" w:hanging="240"/>
      <w:outlineLvl w:val="2"/>
    </w:pPr>
  </w:style>
  <w:style w:type="paragraph" w:customStyle="1" w:styleId="2049">
    <w:name w:val="附录二级条标题"/>
    <w:basedOn w:val="2048"/>
    <w:next w:val="522"/>
    <w:uiPriority w:val="0"/>
    <w:pPr>
      <w:tabs>
        <w:tab w:val="left" w:pos="360"/>
        <w:tab w:val="clear" w:pos="828"/>
      </w:tabs>
      <w:ind w:left="360" w:hanging="360"/>
      <w:outlineLvl w:val="3"/>
    </w:pPr>
  </w:style>
  <w:style w:type="paragraph" w:customStyle="1" w:styleId="2050">
    <w:name w:val="附录三级条标题"/>
    <w:basedOn w:val="2049"/>
    <w:next w:val="522"/>
    <w:uiPriority w:val="0"/>
    <w:pPr>
      <w:tabs>
        <w:tab w:val="left" w:pos="1068"/>
        <w:tab w:val="clear" w:pos="360"/>
      </w:tabs>
      <w:ind w:left="1068"/>
      <w:outlineLvl w:val="4"/>
    </w:pPr>
  </w:style>
  <w:style w:type="paragraph" w:customStyle="1" w:styleId="2051">
    <w:name w:val="三级无标题条"/>
    <w:basedOn w:val="1"/>
    <w:uiPriority w:val="0"/>
  </w:style>
  <w:style w:type="paragraph" w:customStyle="1" w:styleId="2052">
    <w:name w:val="示例"/>
    <w:next w:val="522"/>
    <w:uiPriority w:val="0"/>
    <w:pPr>
      <w:tabs>
        <w:tab w:val="left" w:pos="816"/>
      </w:tabs>
      <w:ind w:firstLine="419" w:firstLineChars="233"/>
      <w:jc w:val="both"/>
    </w:pPr>
    <w:rPr>
      <w:rFonts w:ascii="宋体" w:hAnsi="Times New Roman" w:eastAsia="宋体" w:cs="Times New Roman"/>
      <w:sz w:val="18"/>
      <w:lang w:val="en-US" w:eastAsia="zh-CN" w:bidi="ar-SA"/>
    </w:rPr>
  </w:style>
  <w:style w:type="paragraph" w:customStyle="1" w:styleId="2053">
    <w:name w:val="五级无标题条"/>
    <w:basedOn w:val="1"/>
    <w:uiPriority w:val="0"/>
  </w:style>
  <w:style w:type="paragraph" w:customStyle="1" w:styleId="2054">
    <w:name w:val="一级无标题条"/>
    <w:basedOn w:val="1"/>
    <w:uiPriority w:val="0"/>
  </w:style>
  <w:style w:type="paragraph" w:customStyle="1" w:styleId="2055">
    <w:name w:val="正文图标题"/>
    <w:next w:val="522"/>
    <w:uiPriority w:val="0"/>
    <w:pPr>
      <w:tabs>
        <w:tab w:val="left" w:pos="432"/>
      </w:tabs>
      <w:ind w:left="432" w:hanging="432"/>
      <w:jc w:val="center"/>
    </w:pPr>
    <w:rPr>
      <w:rFonts w:ascii="黑体" w:hAnsi="Times New Roman" w:eastAsia="黑体" w:cs="Times New Roman"/>
      <w:sz w:val="21"/>
      <w:lang w:val="en-US" w:eastAsia="zh-CN" w:bidi="ar-SA"/>
    </w:rPr>
  </w:style>
  <w:style w:type="paragraph" w:customStyle="1" w:styleId="2056">
    <w:name w:val="标准书脚_偶数页"/>
    <w:uiPriority w:val="0"/>
    <w:pPr>
      <w:spacing w:before="120"/>
    </w:pPr>
    <w:rPr>
      <w:rFonts w:ascii="Times New Roman" w:hAnsi="Times New Roman" w:eastAsia="宋体" w:cs="Times New Roman"/>
      <w:sz w:val="18"/>
      <w:lang w:val="en-US" w:eastAsia="zh-CN" w:bidi="ar-SA"/>
    </w:rPr>
  </w:style>
  <w:style w:type="paragraph" w:customStyle="1" w:styleId="2057">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2058">
    <w:name w:val="标准书眉_偶数页"/>
    <w:basedOn w:val="1"/>
    <w:next w:val="1"/>
    <w:uiPriority w:val="0"/>
    <w:pPr>
      <w:widowControl/>
      <w:tabs>
        <w:tab w:val="center" w:pos="4154"/>
        <w:tab w:val="right" w:pos="8306"/>
      </w:tabs>
      <w:spacing w:after="120"/>
      <w:jc w:val="left"/>
    </w:pPr>
    <w:rPr>
      <w:kern w:val="0"/>
      <w:szCs w:val="20"/>
    </w:rPr>
  </w:style>
  <w:style w:type="paragraph" w:customStyle="1" w:styleId="2059">
    <w:name w:val="样式 列表 + 左侧:  0 厘米 悬挂缩进: 2 字符"/>
    <w:basedOn w:val="66"/>
    <w:uiPriority w:val="0"/>
    <w:pPr>
      <w:tabs>
        <w:tab w:val="clear" w:pos="283"/>
      </w:tabs>
      <w:adjustRightInd/>
      <w:snapToGrid/>
      <w:spacing w:beforeLines="0" w:line="240" w:lineRule="auto"/>
      <w:ind w:left="420" w:hanging="420" w:hangingChars="200"/>
      <w:jc w:val="both"/>
    </w:pPr>
  </w:style>
  <w:style w:type="paragraph" w:customStyle="1" w:styleId="2060">
    <w:name w:val="横页眉"/>
    <w:basedOn w:val="1"/>
    <w:next w:val="57"/>
    <w:uiPriority w:val="0"/>
    <w:pPr>
      <w:pBdr>
        <w:bottom w:val="double" w:color="auto" w:sz="6" w:space="1"/>
      </w:pBdr>
      <w:tabs>
        <w:tab w:val="center" w:pos="6623"/>
        <w:tab w:val="right" w:pos="13245"/>
      </w:tabs>
      <w:adjustRightInd w:val="0"/>
      <w:spacing w:line="324" w:lineRule="auto"/>
      <w:ind w:firstLine="510"/>
      <w:textAlignment w:val="baseline"/>
    </w:pPr>
    <w:rPr>
      <w:kern w:val="0"/>
      <w:sz w:val="24"/>
      <w:szCs w:val="20"/>
    </w:rPr>
  </w:style>
  <w:style w:type="character" w:customStyle="1" w:styleId="2061">
    <w:name w:val="content1"/>
    <w:uiPriority w:val="0"/>
    <w:rPr>
      <w:rFonts w:hint="eastAsia" w:ascii="宋体" w:hAnsi="宋体" w:eastAsia="宋体" w:cs="Verdana"/>
      <w:b/>
      <w:color w:val="333333"/>
      <w:spacing w:val="300"/>
      <w:sz w:val="21"/>
      <w:szCs w:val="21"/>
      <w:lang w:val="en-US" w:eastAsia="en-US" w:bidi="ar-SA"/>
    </w:rPr>
  </w:style>
  <w:style w:type="paragraph" w:customStyle="1" w:styleId="2062">
    <w:name w:val="正文 + 四号"/>
    <w:basedOn w:val="81"/>
    <w:uiPriority w:val="0"/>
    <w:pPr>
      <w:spacing w:before="0" w:beforeAutospacing="0" w:after="0" w:afterAutospacing="0"/>
      <w:ind w:firstLine="538" w:firstLineChars="192"/>
    </w:pPr>
    <w:rPr>
      <w:rFonts w:ascii="Times New Roman" w:hAnsi="Times New Roman"/>
      <w:sz w:val="28"/>
      <w:szCs w:val="28"/>
    </w:rPr>
  </w:style>
  <w:style w:type="paragraph" w:customStyle="1" w:styleId="2063">
    <w:name w:val="样式 正文 + Char Char"/>
    <w:basedOn w:val="1"/>
    <w:link w:val="2064"/>
    <w:uiPriority w:val="0"/>
    <w:pPr>
      <w:widowControl/>
      <w:adjustRightInd w:val="0"/>
      <w:spacing w:beforeLines="50" w:afterLines="50" w:line="360" w:lineRule="auto"/>
      <w:ind w:firstLine="480" w:firstLineChars="200"/>
    </w:pPr>
    <w:rPr>
      <w:sz w:val="24"/>
    </w:rPr>
  </w:style>
  <w:style w:type="character" w:customStyle="1" w:styleId="2064">
    <w:name w:val="样式 正文 + Char Char Char"/>
    <w:link w:val="2063"/>
    <w:uiPriority w:val="0"/>
    <w:rPr>
      <w:kern w:val="2"/>
      <w:sz w:val="24"/>
      <w:szCs w:val="24"/>
    </w:rPr>
  </w:style>
  <w:style w:type="paragraph" w:customStyle="1" w:styleId="2065">
    <w:name w:val="Char Char1 Char Char Char Char Char Char Char"/>
    <w:basedOn w:val="1"/>
    <w:uiPriority w:val="0"/>
    <w:pPr>
      <w:adjustRightInd w:val="0"/>
      <w:spacing w:line="360" w:lineRule="atLeast"/>
    </w:pPr>
  </w:style>
  <w:style w:type="paragraph" w:customStyle="1" w:styleId="2066">
    <w:name w:val="表名称 Char Char"/>
    <w:basedOn w:val="1"/>
    <w:link w:val="2067"/>
    <w:uiPriority w:val="0"/>
    <w:pPr>
      <w:tabs>
        <w:tab w:val="left" w:pos="-120"/>
      </w:tabs>
      <w:overflowPunct w:val="0"/>
      <w:topLinePunct/>
      <w:autoSpaceDE w:val="0"/>
      <w:adjustRightInd w:val="0"/>
      <w:snapToGrid w:val="0"/>
      <w:spacing w:beforeLines="50" w:line="240" w:lineRule="atLeast"/>
      <w:jc w:val="center"/>
      <w:textAlignment w:val="baseline"/>
    </w:pPr>
    <w:rPr>
      <w:b/>
      <w:spacing w:val="16"/>
      <w:kern w:val="0"/>
      <w:szCs w:val="21"/>
    </w:rPr>
  </w:style>
  <w:style w:type="character" w:customStyle="1" w:styleId="2067">
    <w:name w:val="表名称 Char Char Char"/>
    <w:link w:val="2066"/>
    <w:uiPriority w:val="0"/>
    <w:rPr>
      <w:b/>
      <w:spacing w:val="16"/>
      <w:sz w:val="21"/>
      <w:szCs w:val="21"/>
    </w:rPr>
  </w:style>
  <w:style w:type="paragraph" w:customStyle="1" w:styleId="2068">
    <w:name w:val="表内小四中 Char Char"/>
    <w:basedOn w:val="1"/>
    <w:link w:val="2069"/>
    <w:uiPriority w:val="0"/>
    <w:pPr>
      <w:adjustRightInd w:val="0"/>
      <w:snapToGrid w:val="0"/>
      <w:ind w:left="-131" w:right="-132"/>
      <w:jc w:val="center"/>
      <w:textAlignment w:val="baseline"/>
    </w:pPr>
    <w:rPr>
      <w:kern w:val="0"/>
      <w:sz w:val="24"/>
      <w:szCs w:val="20"/>
    </w:rPr>
  </w:style>
  <w:style w:type="character" w:customStyle="1" w:styleId="2069">
    <w:name w:val="表内小四中 Char Char Char"/>
    <w:link w:val="2068"/>
    <w:uiPriority w:val="0"/>
    <w:rPr>
      <w:sz w:val="24"/>
    </w:rPr>
  </w:style>
  <w:style w:type="paragraph" w:customStyle="1" w:styleId="2070">
    <w:name w:val="生物类名"/>
    <w:basedOn w:val="1"/>
    <w:uiPriority w:val="0"/>
    <w:pPr>
      <w:tabs>
        <w:tab w:val="left" w:pos="-120"/>
      </w:tabs>
      <w:spacing w:line="310" w:lineRule="atLeast"/>
      <w:jc w:val="left"/>
    </w:pPr>
    <w:rPr>
      <w:b/>
      <w:snapToGrid w:val="0"/>
      <w:spacing w:val="8"/>
      <w:kern w:val="0"/>
      <w:sz w:val="24"/>
      <w:szCs w:val="20"/>
    </w:rPr>
  </w:style>
  <w:style w:type="paragraph" w:customStyle="1" w:styleId="2071">
    <w:name w:val="正文首缩 Char Char"/>
    <w:basedOn w:val="34"/>
    <w:link w:val="2072"/>
    <w:uiPriority w:val="0"/>
    <w:pPr>
      <w:snapToGrid w:val="0"/>
      <w:spacing w:after="80" w:line="288" w:lineRule="auto"/>
      <w:ind w:firstLine="454"/>
    </w:pPr>
    <w:rPr>
      <w:rFonts w:eastAsia="宋体"/>
      <w:sz w:val="24"/>
    </w:rPr>
  </w:style>
  <w:style w:type="character" w:customStyle="1" w:styleId="2072">
    <w:name w:val="正文首缩 Char Char Char"/>
    <w:link w:val="2071"/>
    <w:uiPriority w:val="0"/>
    <w:rPr>
      <w:kern w:val="2"/>
      <w:sz w:val="24"/>
    </w:rPr>
  </w:style>
  <w:style w:type="paragraph" w:customStyle="1" w:styleId="2073">
    <w:name w:val="样式 首行缩进:  0.85 厘米 段前: 7.8 磅"/>
    <w:basedOn w:val="1"/>
    <w:uiPriority w:val="0"/>
    <w:pPr>
      <w:adjustRightInd w:val="0"/>
      <w:snapToGrid w:val="0"/>
      <w:spacing w:before="156" w:line="360" w:lineRule="auto"/>
      <w:ind w:left="200" w:leftChars="200"/>
    </w:pPr>
    <w:rPr>
      <w:rFonts w:cs="宋体"/>
      <w:sz w:val="24"/>
      <w:szCs w:val="20"/>
    </w:rPr>
  </w:style>
  <w:style w:type="paragraph" w:customStyle="1" w:styleId="2074">
    <w:name w:val="首行缩进"/>
    <w:basedOn w:val="1"/>
    <w:uiPriority w:val="0"/>
    <w:pPr>
      <w:spacing w:line="360" w:lineRule="auto"/>
      <w:ind w:firstLine="720" w:firstLineChars="257"/>
    </w:pPr>
    <w:rPr>
      <w:color w:val="FF0000"/>
      <w:sz w:val="28"/>
      <w:szCs w:val="18"/>
    </w:rPr>
  </w:style>
  <w:style w:type="paragraph" w:customStyle="1" w:styleId="2075">
    <w:name w:val="样式 首行缩进:  0.85 厘米 段前: 7.8 磅1"/>
    <w:basedOn w:val="1"/>
    <w:uiPriority w:val="0"/>
    <w:pPr>
      <w:adjustRightInd w:val="0"/>
      <w:snapToGrid w:val="0"/>
      <w:spacing w:before="120" w:line="360" w:lineRule="auto"/>
      <w:ind w:firstLine="482"/>
    </w:pPr>
    <w:rPr>
      <w:rFonts w:cs="宋体"/>
      <w:sz w:val="24"/>
      <w:szCs w:val="20"/>
    </w:rPr>
  </w:style>
  <w:style w:type="paragraph" w:customStyle="1" w:styleId="2076">
    <w:name w:val="单位"/>
    <w:basedOn w:val="1"/>
    <w:uiPriority w:val="0"/>
    <w:pPr>
      <w:ind w:left="210" w:right="210" w:firstLine="5880" w:firstLineChars="2800"/>
      <w:jc w:val="left"/>
    </w:pPr>
    <w:rPr>
      <w:szCs w:val="20"/>
    </w:rPr>
  </w:style>
  <w:style w:type="paragraph" w:customStyle="1" w:styleId="2077">
    <w:name w:val="站号"/>
    <w:basedOn w:val="1"/>
    <w:uiPriority w:val="0"/>
    <w:pPr>
      <w:adjustRightInd w:val="0"/>
      <w:snapToGrid w:val="0"/>
      <w:spacing w:beforeLines="50" w:line="240" w:lineRule="atLeast"/>
      <w:jc w:val="center"/>
    </w:pPr>
    <w:rPr>
      <w:sz w:val="24"/>
      <w:szCs w:val="20"/>
    </w:rPr>
  </w:style>
  <w:style w:type="character" w:customStyle="1" w:styleId="2078">
    <w:name w:val="签名 Char"/>
    <w:uiPriority w:val="0"/>
    <w:rPr>
      <w:rFonts w:eastAsia="宋体"/>
      <w:kern w:val="2"/>
      <w:sz w:val="21"/>
      <w:szCs w:val="24"/>
    </w:rPr>
  </w:style>
  <w:style w:type="character" w:customStyle="1" w:styleId="2079">
    <w:name w:val="信息标题 Char"/>
    <w:uiPriority w:val="0"/>
    <w:rPr>
      <w:rFonts w:ascii="Arial" w:hAnsi="Arial" w:eastAsia="宋体" w:cs="Arial"/>
      <w:kern w:val="2"/>
      <w:sz w:val="24"/>
      <w:szCs w:val="24"/>
      <w:shd w:val="pct20" w:color="auto" w:fill="auto"/>
    </w:rPr>
  </w:style>
  <w:style w:type="paragraph" w:customStyle="1" w:styleId="2080">
    <w:name w:val="图名称右"/>
    <w:uiPriority w:val="0"/>
    <w:pPr>
      <w:widowControl w:val="0"/>
      <w:adjustRightInd w:val="0"/>
      <w:spacing w:line="360" w:lineRule="atLeast"/>
      <w:jc w:val="right"/>
      <w:textAlignment w:val="baseline"/>
    </w:pPr>
    <w:rPr>
      <w:rFonts w:ascii="Times New Roman" w:hAnsi="Times New Roman" w:eastAsia="宋体" w:cs="Times New Roman"/>
      <w:b/>
      <w:spacing w:val="16"/>
      <w:sz w:val="24"/>
      <w:szCs w:val="28"/>
      <w:lang w:val="en-US" w:eastAsia="zh-CN" w:bidi="ar-SA"/>
    </w:rPr>
  </w:style>
  <w:style w:type="paragraph" w:customStyle="1" w:styleId="2081">
    <w:name w:val="表注五"/>
    <w:basedOn w:val="51"/>
    <w:uiPriority w:val="0"/>
    <w:pPr>
      <w:tabs>
        <w:tab w:val="left" w:pos="-120"/>
      </w:tabs>
      <w:spacing w:before="60" w:after="60" w:line="240" w:lineRule="auto"/>
      <w:ind w:left="-2" w:leftChars="-75" w:hanging="178" w:hangingChars="85"/>
    </w:pPr>
    <w:rPr>
      <w:szCs w:val="21"/>
    </w:rPr>
  </w:style>
  <w:style w:type="paragraph" w:customStyle="1" w:styleId="2082">
    <w:name w:val="名录1"/>
    <w:basedOn w:val="1951"/>
    <w:uiPriority w:val="0"/>
    <w:pPr>
      <w:snapToGrid/>
      <w:spacing w:line="340" w:lineRule="exact"/>
      <w:ind w:left="0" w:leftChars="0" w:right="0" w:rightChars="0" w:firstLine="560" w:firstLineChars="200"/>
      <w:jc w:val="left"/>
    </w:pPr>
    <w:rPr>
      <w:rFonts w:cs="Times New Roman"/>
      <w:b/>
      <w:bCs/>
      <w:iCs w:val="0"/>
      <w:color w:val="auto"/>
      <w:sz w:val="44"/>
    </w:rPr>
  </w:style>
  <w:style w:type="paragraph" w:customStyle="1" w:styleId="2083">
    <w:name w:val="名录2"/>
    <w:basedOn w:val="1951"/>
    <w:uiPriority w:val="0"/>
    <w:pPr>
      <w:snapToGrid/>
      <w:spacing w:line="340" w:lineRule="exact"/>
      <w:ind w:left="0" w:leftChars="0" w:right="0" w:rightChars="0" w:firstLine="560" w:firstLineChars="200"/>
      <w:jc w:val="left"/>
    </w:pPr>
    <w:rPr>
      <w:rFonts w:cs="Times New Roman"/>
      <w:b/>
      <w:iCs w:val="0"/>
      <w:color w:val="auto"/>
      <w:sz w:val="30"/>
    </w:rPr>
  </w:style>
  <w:style w:type="paragraph" w:customStyle="1" w:styleId="2084">
    <w:name w:val="样式14"/>
    <w:basedOn w:val="2074"/>
    <w:uiPriority w:val="0"/>
    <w:pPr>
      <w:spacing w:line="240" w:lineRule="auto"/>
      <w:ind w:firstLine="257"/>
    </w:pPr>
    <w:rPr>
      <w:color w:val="auto"/>
    </w:rPr>
  </w:style>
  <w:style w:type="paragraph" w:customStyle="1" w:styleId="2085">
    <w:name w:val="样式15"/>
    <w:basedOn w:val="2074"/>
    <w:uiPriority w:val="0"/>
    <w:pPr>
      <w:spacing w:line="240" w:lineRule="auto"/>
      <w:ind w:firstLine="257"/>
    </w:pPr>
    <w:rPr>
      <w:color w:val="auto"/>
    </w:rPr>
  </w:style>
  <w:style w:type="paragraph" w:customStyle="1" w:styleId="2086">
    <w:name w:val="点"/>
    <w:uiPriority w:val="0"/>
    <w:pPr>
      <w:tabs>
        <w:tab w:val="left" w:pos="660"/>
        <w:tab w:val="left" w:pos="784"/>
      </w:tabs>
      <w:spacing w:before="40" w:after="40"/>
      <w:ind w:left="784" w:hanging="454"/>
    </w:pPr>
    <w:rPr>
      <w:rFonts w:ascii="Times New Roman" w:hAnsi="Times New Roman" w:eastAsia="宋体" w:cs="Times New Roman"/>
      <w:b/>
      <w:sz w:val="24"/>
      <w:lang w:val="en-US" w:eastAsia="zh-CN" w:bidi="ar-SA"/>
    </w:rPr>
  </w:style>
  <w:style w:type="paragraph" w:customStyle="1" w:styleId="2087">
    <w:name w:val="表斜体"/>
    <w:basedOn w:val="1"/>
    <w:uiPriority w:val="0"/>
    <w:pPr>
      <w:spacing w:line="360" w:lineRule="auto"/>
      <w:ind w:firstLine="562" w:firstLineChars="200"/>
      <w:jc w:val="center"/>
    </w:pPr>
    <w:rPr>
      <w:rFonts w:cs="Arial Unicode MS"/>
      <w:b/>
      <w:bCs/>
      <w:spacing w:val="20"/>
      <w:sz w:val="24"/>
    </w:rPr>
  </w:style>
  <w:style w:type="paragraph" w:customStyle="1" w:styleId="2088">
    <w:name w:val="样式 段前: 6 磅"/>
    <w:basedOn w:val="1"/>
    <w:next w:val="1"/>
    <w:uiPriority w:val="0"/>
    <w:pPr>
      <w:adjustRightInd w:val="0"/>
      <w:snapToGrid w:val="0"/>
      <w:spacing w:before="120" w:line="360" w:lineRule="auto"/>
      <w:ind w:firstLine="482"/>
    </w:pPr>
    <w:rPr>
      <w:rFonts w:cs="宋体"/>
      <w:sz w:val="24"/>
      <w:szCs w:val="20"/>
    </w:rPr>
  </w:style>
  <w:style w:type="paragraph" w:customStyle="1" w:styleId="2089">
    <w:name w:val="样式 标题 2 + 加粗"/>
    <w:basedOn w:val="4"/>
    <w:uiPriority w:val="0"/>
    <w:pPr>
      <w:keepLines w:val="0"/>
      <w:tabs>
        <w:tab w:val="left" w:pos="-120"/>
        <w:tab w:val="left" w:pos="420"/>
        <w:tab w:val="left" w:pos="540"/>
        <w:tab w:val="clear" w:pos="360"/>
      </w:tabs>
      <w:overflowPunct w:val="0"/>
      <w:topLinePunct/>
      <w:autoSpaceDE w:val="0"/>
      <w:adjustRightInd w:val="0"/>
      <w:snapToGrid w:val="0"/>
      <w:spacing w:before="120" w:after="0" w:line="240" w:lineRule="atLeast"/>
      <w:ind w:left="578" w:right="420" w:hanging="578" w:firstLineChars="0"/>
      <w:textAlignment w:val="baseline"/>
    </w:pPr>
    <w:rPr>
      <w:rFonts w:ascii="Times New Roman" w:hAnsi="Times New Roman"/>
      <w:kern w:val="0"/>
    </w:rPr>
  </w:style>
  <w:style w:type="paragraph" w:customStyle="1" w:styleId="2090">
    <w:name w:val="样式 行距: 1.5 倍行距 首行缩进:  1.5 字符"/>
    <w:basedOn w:val="1"/>
    <w:uiPriority w:val="0"/>
    <w:pPr>
      <w:adjustRightInd w:val="0"/>
      <w:snapToGrid w:val="0"/>
      <w:spacing w:before="120" w:line="360" w:lineRule="auto"/>
      <w:ind w:firstLine="200" w:firstLineChars="200"/>
    </w:pPr>
    <w:rPr>
      <w:rFonts w:cs="宋体"/>
      <w:sz w:val="24"/>
      <w:szCs w:val="20"/>
    </w:rPr>
  </w:style>
  <w:style w:type="paragraph" w:customStyle="1" w:styleId="2091">
    <w:name w:val="样式 宋体 行距: 1.5 倍行距 首行缩进:  1.5 字符"/>
    <w:basedOn w:val="1"/>
    <w:uiPriority w:val="0"/>
    <w:pPr>
      <w:adjustRightInd w:val="0"/>
      <w:snapToGrid w:val="0"/>
      <w:spacing w:before="120" w:line="360" w:lineRule="auto"/>
      <w:ind w:firstLine="200" w:firstLineChars="200"/>
    </w:pPr>
    <w:rPr>
      <w:rFonts w:ascii="宋体" w:hAnsi="宋体" w:cs="宋体"/>
      <w:sz w:val="24"/>
      <w:szCs w:val="20"/>
    </w:rPr>
  </w:style>
  <w:style w:type="paragraph" w:customStyle="1" w:styleId="2092">
    <w:name w:val="标名"/>
    <w:basedOn w:val="84"/>
    <w:uiPriority w:val="0"/>
    <w:pPr>
      <w:widowControl w:val="0"/>
      <w:adjustRightInd w:val="0"/>
      <w:snapToGrid w:val="0"/>
      <w:spacing w:before="120" w:afterLines="50" w:line="312" w:lineRule="auto"/>
    </w:pPr>
    <w:rPr>
      <w:rFonts w:ascii="Arial" w:hAnsi="Arial" w:eastAsia="黑体" w:cs="Arial"/>
      <w:bCs/>
      <w:kern w:val="2"/>
      <w:sz w:val="44"/>
      <w:szCs w:val="44"/>
      <w:lang w:eastAsia="zh-CN"/>
    </w:rPr>
  </w:style>
  <w:style w:type="paragraph" w:customStyle="1" w:styleId="2093">
    <w:name w:val="生物类中文"/>
    <w:basedOn w:val="1"/>
    <w:uiPriority w:val="0"/>
    <w:pPr>
      <w:tabs>
        <w:tab w:val="left" w:pos="-120"/>
      </w:tabs>
      <w:spacing w:before="60" w:line="310" w:lineRule="atLeast"/>
      <w:jc w:val="left"/>
    </w:pPr>
    <w:rPr>
      <w:b/>
      <w:spacing w:val="20"/>
      <w:sz w:val="24"/>
      <w:szCs w:val="20"/>
    </w:rPr>
  </w:style>
  <w:style w:type="paragraph" w:customStyle="1" w:styleId="2094">
    <w:name w:val="样式 表内小四中 + 宋体 五号"/>
    <w:basedOn w:val="1"/>
    <w:link w:val="2095"/>
    <w:uiPriority w:val="0"/>
    <w:pPr>
      <w:widowControl/>
      <w:adjustRightInd w:val="0"/>
      <w:ind w:left="-50"/>
      <w:jc w:val="center"/>
      <w:textAlignment w:val="baseline"/>
    </w:pPr>
    <w:rPr>
      <w:szCs w:val="21"/>
    </w:rPr>
  </w:style>
  <w:style w:type="character" w:customStyle="1" w:styleId="2095">
    <w:name w:val="样式 表内小四中 + 宋体 五号 Char"/>
    <w:link w:val="2094"/>
    <w:uiPriority w:val="0"/>
    <w:rPr>
      <w:kern w:val="2"/>
      <w:sz w:val="21"/>
      <w:szCs w:val="21"/>
    </w:rPr>
  </w:style>
  <w:style w:type="paragraph" w:customStyle="1" w:styleId="2096">
    <w:name w:val="text-14b"/>
    <w:basedOn w:val="1"/>
    <w:uiPriority w:val="0"/>
    <w:pPr>
      <w:widowControl/>
      <w:spacing w:before="100" w:beforeAutospacing="1" w:after="100" w:afterAutospacing="1" w:line="330" w:lineRule="atLeast"/>
      <w:jc w:val="left"/>
    </w:pPr>
    <w:rPr>
      <w:rFonts w:ascii="Calibri" w:hAnsi="Calibri"/>
      <w:kern w:val="0"/>
      <w:szCs w:val="21"/>
    </w:rPr>
  </w:style>
  <w:style w:type="paragraph" w:customStyle="1" w:styleId="2097">
    <w:name w:val="表注 Char Char Char Char Char Char Char Char Char Char Char"/>
    <w:basedOn w:val="1"/>
    <w:link w:val="2098"/>
    <w:uiPriority w:val="0"/>
    <w:pPr>
      <w:tabs>
        <w:tab w:val="left" w:pos="720"/>
      </w:tabs>
      <w:overflowPunct w:val="0"/>
      <w:topLinePunct/>
      <w:autoSpaceDE w:val="0"/>
      <w:adjustRightInd w:val="0"/>
      <w:snapToGrid w:val="0"/>
      <w:spacing w:before="120" w:after="40" w:line="288" w:lineRule="auto"/>
      <w:ind w:left="425" w:hanging="425"/>
      <w:jc w:val="center"/>
      <w:textAlignment w:val="baseline"/>
    </w:pPr>
    <w:rPr>
      <w:b/>
      <w:spacing w:val="20"/>
      <w:sz w:val="28"/>
      <w:szCs w:val="20"/>
    </w:rPr>
  </w:style>
  <w:style w:type="character" w:customStyle="1" w:styleId="2098">
    <w:name w:val="表注 Char Char Char Char Char Char Char Char Char Char Char Char"/>
    <w:link w:val="2097"/>
    <w:uiPriority w:val="0"/>
    <w:rPr>
      <w:b/>
      <w:spacing w:val="20"/>
      <w:kern w:val="2"/>
      <w:sz w:val="28"/>
    </w:rPr>
  </w:style>
  <w:style w:type="paragraph" w:customStyle="1" w:styleId="2099">
    <w:name w:val="点项目 Char Char"/>
    <w:link w:val="2100"/>
    <w:uiPriority w:val="0"/>
    <w:pPr>
      <w:tabs>
        <w:tab w:val="left" w:pos="432"/>
        <w:tab w:val="left" w:pos="550"/>
      </w:tabs>
      <w:spacing w:before="40" w:after="40"/>
      <w:ind w:left="432" w:hanging="432"/>
    </w:pPr>
    <w:rPr>
      <w:rFonts w:ascii="Times New Roman" w:hAnsi="Times New Roman" w:eastAsia="宋体" w:cs="Times New Roman"/>
      <w:b/>
      <w:spacing w:val="12"/>
      <w:kern w:val="2"/>
      <w:sz w:val="24"/>
      <w:lang w:val="en-US" w:eastAsia="zh-CN" w:bidi="ar-SA"/>
    </w:rPr>
  </w:style>
  <w:style w:type="character" w:customStyle="1" w:styleId="2100">
    <w:name w:val="点项目 Char Char Char"/>
    <w:link w:val="2099"/>
    <w:uiPriority w:val="0"/>
    <w:rPr>
      <w:b/>
      <w:spacing w:val="12"/>
      <w:kern w:val="2"/>
      <w:sz w:val="24"/>
    </w:rPr>
  </w:style>
  <w:style w:type="paragraph" w:customStyle="1" w:styleId="2101">
    <w:name w:val="表注 Char Char Char Char Char Char Char Char Char Char"/>
    <w:basedOn w:val="1"/>
    <w:uiPriority w:val="0"/>
    <w:pPr>
      <w:tabs>
        <w:tab w:val="left" w:pos="720"/>
      </w:tabs>
      <w:overflowPunct w:val="0"/>
      <w:topLinePunct/>
      <w:autoSpaceDE w:val="0"/>
      <w:adjustRightInd w:val="0"/>
      <w:snapToGrid w:val="0"/>
      <w:spacing w:before="120" w:after="40" w:line="288" w:lineRule="auto"/>
      <w:ind w:left="425" w:hanging="425"/>
      <w:jc w:val="center"/>
      <w:textAlignment w:val="baseline"/>
    </w:pPr>
    <w:rPr>
      <w:b/>
      <w:spacing w:val="20"/>
      <w:kern w:val="0"/>
      <w:sz w:val="28"/>
      <w:szCs w:val="20"/>
    </w:rPr>
  </w:style>
  <w:style w:type="paragraph" w:customStyle="1" w:styleId="2102">
    <w:name w:val="图例 Char Char Char Char Char Char Char Char Char Char Char Char"/>
    <w:basedOn w:val="1"/>
    <w:uiPriority w:val="0"/>
    <w:pPr>
      <w:tabs>
        <w:tab w:val="left" w:pos="-120"/>
      </w:tabs>
      <w:spacing w:line="310" w:lineRule="atLeast"/>
      <w:jc w:val="center"/>
    </w:pPr>
    <w:rPr>
      <w:rFonts w:ascii="Arial" w:hAnsi="Arial"/>
      <w:snapToGrid w:val="0"/>
      <w:spacing w:val="16"/>
      <w:kern w:val="44"/>
      <w:sz w:val="24"/>
      <w:szCs w:val="21"/>
    </w:rPr>
  </w:style>
  <w:style w:type="paragraph" w:customStyle="1" w:styleId="2103">
    <w:name w:val="font13"/>
    <w:basedOn w:val="1"/>
    <w:uiPriority w:val="0"/>
    <w:pPr>
      <w:widowControl/>
      <w:spacing w:before="100" w:beforeAutospacing="1" w:after="100" w:afterAutospacing="1"/>
      <w:jc w:val="left"/>
    </w:pPr>
    <w:rPr>
      <w:rFonts w:ascii="宋体" w:hAnsi="宋体" w:cs="宋体"/>
      <w:color w:val="000000"/>
      <w:kern w:val="0"/>
      <w:sz w:val="20"/>
      <w:szCs w:val="20"/>
    </w:rPr>
  </w:style>
  <w:style w:type="paragraph" w:customStyle="1" w:styleId="2104">
    <w:name w:val="样式 标题 6 + 段前: 0.5 行 段后: 7.8 磅 行距: 单倍行距"/>
    <w:basedOn w:val="8"/>
    <w:uiPriority w:val="0"/>
    <w:pPr>
      <w:widowControl w:val="0"/>
      <w:tabs>
        <w:tab w:val="left" w:pos="-120"/>
        <w:tab w:val="clear" w:pos="360"/>
      </w:tabs>
      <w:overflowPunct w:val="0"/>
      <w:topLinePunct/>
      <w:autoSpaceDE w:val="0"/>
      <w:spacing w:beforeLines="0" w:afterLines="0" w:line="360" w:lineRule="auto"/>
      <w:ind w:left="1151" w:hanging="1151" w:firstLineChars="0"/>
    </w:pPr>
    <w:rPr>
      <w:rFonts w:ascii="Arial" w:hAnsi="Arial" w:cs="宋体"/>
      <w:spacing w:val="20"/>
      <w:szCs w:val="20"/>
    </w:rPr>
  </w:style>
  <w:style w:type="paragraph" w:customStyle="1" w:styleId="2105">
    <w:name w:val="封面标准英文名称"/>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2106">
    <w:name w:val="样式 正文＋四号1 + 段前: 0.5 行"/>
    <w:basedOn w:val="1"/>
    <w:uiPriority w:val="0"/>
    <w:pPr>
      <w:spacing w:beforeLines="50" w:line="360" w:lineRule="auto"/>
      <w:ind w:firstLine="560" w:firstLineChars="200"/>
    </w:pPr>
    <w:rPr>
      <w:rFonts w:cs="宋体"/>
      <w:kern w:val="0"/>
      <w:sz w:val="28"/>
      <w:szCs w:val="20"/>
    </w:rPr>
  </w:style>
  <w:style w:type="paragraph" w:customStyle="1" w:styleId="2107">
    <w:name w:val="样式 正文首行缩进 2 + 首行缩进:  2 字符 段前: 0.5 行 段后: 0.5 行"/>
    <w:basedOn w:val="1"/>
    <w:uiPriority w:val="0"/>
    <w:pPr>
      <w:spacing w:line="300" w:lineRule="auto"/>
    </w:pPr>
    <w:rPr>
      <w:sz w:val="18"/>
    </w:rPr>
  </w:style>
  <w:style w:type="character" w:customStyle="1" w:styleId="2108">
    <w:name w:val="p10"/>
    <w:uiPriority w:val="0"/>
    <w:rPr>
      <w:rFonts w:ascii="Arial" w:hAnsi="Arial" w:cs="Verdana"/>
      <w:b/>
      <w:sz w:val="32"/>
      <w:szCs w:val="24"/>
      <w:lang w:val="en-US" w:eastAsia="en-US" w:bidi="ar-SA"/>
    </w:rPr>
  </w:style>
  <w:style w:type="character" w:customStyle="1" w:styleId="2109">
    <w:name w:val="首行缩进 Char Char"/>
    <w:uiPriority w:val="0"/>
    <w:rPr>
      <w:rFonts w:ascii="Arial" w:hAnsi="Arial" w:eastAsia="宋体" w:cs="Verdana"/>
      <w:b/>
      <w:color w:val="000000"/>
      <w:kern w:val="2"/>
      <w:sz w:val="24"/>
      <w:szCs w:val="24"/>
      <w:lang w:val="en-US" w:eastAsia="zh-CN" w:bidi="ar-SA"/>
    </w:rPr>
  </w:style>
  <w:style w:type="paragraph" w:customStyle="1" w:styleId="2110">
    <w:name w:val="小3仿"/>
    <w:basedOn w:val="34"/>
    <w:uiPriority w:val="0"/>
    <w:pPr>
      <w:adjustRightInd w:val="0"/>
      <w:snapToGrid w:val="0"/>
    </w:pPr>
    <w:rPr>
      <w:rFonts w:eastAsia="宋体"/>
      <w:sz w:val="18"/>
      <w:szCs w:val="24"/>
    </w:rPr>
  </w:style>
  <w:style w:type="paragraph" w:customStyle="1" w:styleId="2111">
    <w:name w:val="样式 样式 标题 4 + + 段前: 12 磅 段后: 7.8 磅"/>
    <w:basedOn w:val="1950"/>
    <w:uiPriority w:val="0"/>
    <w:pPr>
      <w:spacing w:before="240" w:after="156"/>
    </w:pPr>
    <w:rPr>
      <w:rFonts w:eastAsia="宋体" w:cs="宋体"/>
      <w:b w:val="0"/>
    </w:rPr>
  </w:style>
  <w:style w:type="paragraph" w:customStyle="1" w:styleId="2112">
    <w:name w:val="样式 样式 样式 标题 4 + + 段前: 12 磅 段后: 7.8 磅 + 加粗"/>
    <w:basedOn w:val="2111"/>
    <w:uiPriority w:val="0"/>
    <w:pPr/>
    <w:rPr>
      <w:b/>
    </w:rPr>
  </w:style>
  <w:style w:type="paragraph" w:customStyle="1" w:styleId="2113">
    <w:name w:val="图号"/>
    <w:basedOn w:val="86"/>
    <w:uiPriority w:val="0"/>
    <w:pPr>
      <w:tabs>
        <w:tab w:val="left" w:pos="-120"/>
      </w:tabs>
      <w:spacing w:after="0" w:line="288" w:lineRule="auto"/>
      <w:ind w:firstLine="200" w:firstLineChars="200"/>
    </w:pPr>
    <w:rPr>
      <w:b/>
      <w:bCs/>
      <w:spacing w:val="16"/>
      <w:sz w:val="24"/>
      <w:szCs w:val="20"/>
    </w:rPr>
  </w:style>
  <w:style w:type="paragraph" w:customStyle="1" w:styleId="2114">
    <w:name w:val="样式 标题 2标题2SeHead wsa2Chapter标题 2 Char标题 2 Char Char Char C...1"/>
    <w:basedOn w:val="4"/>
    <w:uiPriority w:val="0"/>
    <w:pPr>
      <w:tabs>
        <w:tab w:val="clear" w:pos="360"/>
      </w:tabs>
      <w:ind w:left="0" w:firstLine="0" w:firstLineChars="0"/>
    </w:pPr>
    <w:rPr>
      <w:rFonts w:ascii="Times New Roman" w:hAnsi="Times New Roman" w:eastAsia="宋体"/>
    </w:rPr>
  </w:style>
  <w:style w:type="paragraph" w:customStyle="1" w:styleId="2115">
    <w:name w:val="Char1 Char Char Char1 Char Char Char Char Char Char1"/>
    <w:basedOn w:val="1"/>
    <w:uiPriority w:val="0"/>
    <w:pPr>
      <w:spacing w:line="360" w:lineRule="auto"/>
      <w:ind w:firstLine="200" w:firstLineChars="200"/>
    </w:pPr>
    <w:rPr>
      <w:rFonts w:ascii="宋体" w:hAnsi="宋体" w:cs="宋体"/>
      <w:sz w:val="24"/>
    </w:rPr>
  </w:style>
  <w:style w:type="paragraph" w:customStyle="1" w:styleId="2116">
    <w:name w:val="样式 标题 1标题 111H1H11H12Heading 11level 1Level 1 Head章章节标题..."/>
    <w:basedOn w:val="3"/>
    <w:uiPriority w:val="0"/>
    <w:pPr>
      <w:keepLines/>
      <w:tabs>
        <w:tab w:val="left" w:pos="432"/>
        <w:tab w:val="clear" w:pos="360"/>
      </w:tabs>
      <w:spacing w:before="340" w:after="160" w:line="578" w:lineRule="auto"/>
      <w:ind w:left="432" w:hanging="432" w:firstLineChars="0"/>
      <w:jc w:val="both"/>
    </w:pPr>
    <w:rPr>
      <w:rFonts w:eastAsia="宋体"/>
      <w:b/>
      <w:bCs/>
      <w:kern w:val="44"/>
      <w:sz w:val="36"/>
      <w:szCs w:val="36"/>
    </w:rPr>
  </w:style>
  <w:style w:type="paragraph" w:customStyle="1" w:styleId="2117">
    <w:name w:val="附录表标题"/>
    <w:next w:val="1"/>
    <w:uiPriority w:val="0"/>
    <w:pPr>
      <w:tabs>
        <w:tab w:val="left" w:pos="780"/>
      </w:tabs>
      <w:ind w:left="780" w:hanging="360"/>
      <w:jc w:val="center"/>
      <w:textAlignment w:val="baseline"/>
    </w:pPr>
    <w:rPr>
      <w:rFonts w:ascii="黑体" w:hAnsi="Times New Roman" w:eastAsia="黑体" w:cs="Times New Roman"/>
      <w:kern w:val="21"/>
      <w:sz w:val="21"/>
      <w:lang w:val="en-US" w:eastAsia="zh-CN" w:bidi="ar-SA"/>
    </w:rPr>
  </w:style>
  <w:style w:type="paragraph" w:customStyle="1" w:styleId="2118">
    <w:name w:val="样式 标题 2SeHead wsa2Chapter标题 2 Char标题2标题 2 Char Char Char C..."/>
    <w:basedOn w:val="4"/>
    <w:link w:val="2119"/>
    <w:uiPriority w:val="0"/>
    <w:pPr>
      <w:tabs>
        <w:tab w:val="left" w:pos="756"/>
        <w:tab w:val="clear" w:pos="360"/>
      </w:tabs>
      <w:spacing w:line="240" w:lineRule="auto"/>
      <w:ind w:left="578" w:hanging="578" w:firstLineChars="0"/>
    </w:pPr>
    <w:rPr>
      <w:rFonts w:ascii="Times New Roman" w:hAnsi="Times New Roman"/>
    </w:rPr>
  </w:style>
  <w:style w:type="character" w:customStyle="1" w:styleId="2119">
    <w:name w:val="样式 标题 2SeHead wsa2Chapter标题 2 Char标题2标题 2 Char Char Char C... Char"/>
    <w:link w:val="2118"/>
    <w:uiPriority w:val="0"/>
    <w:rPr>
      <w:rFonts w:eastAsia="黑体"/>
      <w:b/>
      <w:bCs/>
      <w:kern w:val="2"/>
      <w:sz w:val="32"/>
      <w:szCs w:val="32"/>
    </w:rPr>
  </w:style>
  <w:style w:type="paragraph" w:customStyle="1" w:styleId="2120">
    <w:name w:val="样式wie"/>
    <w:basedOn w:val="1"/>
    <w:uiPriority w:val="0"/>
    <w:pPr>
      <w:spacing w:line="360" w:lineRule="auto"/>
      <w:ind w:firstLine="560" w:firstLineChars="200"/>
    </w:pPr>
    <w:rPr>
      <w:rFonts w:eastAsia="仿宋_GB2312"/>
      <w:color w:val="000000"/>
      <w:sz w:val="28"/>
    </w:rPr>
  </w:style>
  <w:style w:type="paragraph" w:customStyle="1" w:styleId="2121">
    <w:name w:val="Char Char1 Char"/>
    <w:basedOn w:val="1"/>
    <w:uiPriority w:val="0"/>
    <w:rPr>
      <w:sz w:val="24"/>
    </w:rPr>
  </w:style>
  <w:style w:type="paragraph" w:customStyle="1" w:styleId="2122">
    <w:name w:val="Char Char Char Char Char Char Char Char Char Char Char Char Char1"/>
    <w:basedOn w:val="1"/>
    <w:uiPriority w:val="0"/>
    <w:rPr>
      <w:szCs w:val="21"/>
    </w:rPr>
  </w:style>
  <w:style w:type="paragraph" w:customStyle="1" w:styleId="2123">
    <w:name w:val="0-表头"/>
    <w:basedOn w:val="1"/>
    <w:link w:val="2124"/>
    <w:uiPriority w:val="0"/>
    <w:pPr>
      <w:spacing w:line="480" w:lineRule="auto"/>
      <w:jc w:val="center"/>
    </w:pPr>
    <w:rPr>
      <w:b/>
      <w:spacing w:val="4"/>
      <w:sz w:val="24"/>
      <w:szCs w:val="28"/>
    </w:rPr>
  </w:style>
  <w:style w:type="character" w:customStyle="1" w:styleId="2124">
    <w:name w:val="0-表头 Char"/>
    <w:link w:val="2123"/>
    <w:uiPriority w:val="0"/>
    <w:rPr>
      <w:b/>
      <w:spacing w:val="4"/>
      <w:kern w:val="2"/>
      <w:sz w:val="24"/>
      <w:szCs w:val="28"/>
    </w:rPr>
  </w:style>
  <w:style w:type="paragraph" w:customStyle="1" w:styleId="2125">
    <w:name w:val="0－表文5"/>
    <w:basedOn w:val="2123"/>
    <w:link w:val="2126"/>
    <w:uiPriority w:val="0"/>
    <w:pPr>
      <w:spacing w:line="240" w:lineRule="auto"/>
    </w:pPr>
    <w:rPr>
      <w:b w:val="0"/>
      <w:spacing w:val="0"/>
      <w:sz w:val="21"/>
      <w:szCs w:val="21"/>
    </w:rPr>
  </w:style>
  <w:style w:type="character" w:customStyle="1" w:styleId="2126">
    <w:name w:val="0－表文5 Char"/>
    <w:link w:val="2125"/>
    <w:uiPriority w:val="0"/>
    <w:rPr>
      <w:kern w:val="2"/>
      <w:sz w:val="21"/>
      <w:szCs w:val="21"/>
    </w:rPr>
  </w:style>
  <w:style w:type="character" w:customStyle="1" w:styleId="2127">
    <w:name w:val="sh141"/>
    <w:uiPriority w:val="0"/>
    <w:rPr>
      <w:rFonts w:ascii="Arial" w:hAnsi="Arial" w:cs="Verdana"/>
      <w:color w:val="2B2B2B"/>
      <w:sz w:val="21"/>
      <w:szCs w:val="21"/>
      <w:lang w:val="en-US" w:eastAsia="en-US" w:bidi="ar-SA"/>
    </w:rPr>
  </w:style>
  <w:style w:type="paragraph" w:customStyle="1" w:styleId="2128">
    <w:name w:val="Char Char Char Char Char Char Char Char Char1 Char Char Char Char1"/>
    <w:basedOn w:val="1"/>
    <w:uiPriority w:val="0"/>
    <w:pPr>
      <w:widowControl/>
      <w:spacing w:after="160" w:line="240" w:lineRule="exact"/>
      <w:jc w:val="left"/>
    </w:pPr>
    <w:rPr>
      <w:rFonts w:ascii="Arial" w:hAnsi="Arial" w:eastAsia="Times New Roman" w:cs="Verdana"/>
      <w:b/>
      <w:kern w:val="0"/>
      <w:sz w:val="24"/>
      <w:lang w:eastAsia="en-US"/>
    </w:rPr>
  </w:style>
  <w:style w:type="paragraph" w:customStyle="1" w:styleId="2129">
    <w:name w:val="工程院正文"/>
    <w:basedOn w:val="1"/>
    <w:link w:val="2130"/>
    <w:uiPriority w:val="0"/>
    <w:pPr>
      <w:widowControl/>
      <w:spacing w:line="360" w:lineRule="auto"/>
      <w:ind w:firstLine="200" w:firstLineChars="200"/>
      <w:jc w:val="left"/>
    </w:pPr>
    <w:rPr>
      <w:rFonts w:ascii="宋体" w:hAnsi="宋体"/>
      <w:kern w:val="0"/>
      <w:sz w:val="24"/>
    </w:rPr>
  </w:style>
  <w:style w:type="character" w:customStyle="1" w:styleId="2130">
    <w:name w:val="工程院正文 Char"/>
    <w:link w:val="2129"/>
    <w:uiPriority w:val="0"/>
    <w:rPr>
      <w:rFonts w:ascii="宋体" w:hAnsi="宋体"/>
      <w:sz w:val="24"/>
      <w:szCs w:val="24"/>
    </w:rPr>
  </w:style>
  <w:style w:type="paragraph" w:customStyle="1" w:styleId="2131">
    <w:name w:val="上海LNG4"/>
    <w:basedOn w:val="1"/>
    <w:link w:val="2135"/>
    <w:uiPriority w:val="0"/>
    <w:pPr>
      <w:spacing w:line="360" w:lineRule="auto"/>
      <w:ind w:left="720" w:right="403" w:hanging="720"/>
      <w:outlineLvl w:val="3"/>
    </w:pPr>
    <w:rPr>
      <w:b/>
      <w:kern w:val="28"/>
      <w:sz w:val="24"/>
    </w:rPr>
  </w:style>
  <w:style w:type="character" w:customStyle="1" w:styleId="2132">
    <w:name w:val="style21"/>
    <w:uiPriority w:val="0"/>
    <w:rPr>
      <w:color w:val="0000A0"/>
      <w:sz w:val="33"/>
      <w:szCs w:val="33"/>
    </w:rPr>
  </w:style>
  <w:style w:type="character" w:customStyle="1" w:styleId="2133">
    <w:name w:val="样式 样式 首行缩进:  2 字符 + Char"/>
    <w:link w:val="2134"/>
    <w:uiPriority w:val="0"/>
    <w:rPr>
      <w:rFonts w:ascii="宋体" w:hAnsi="宋体"/>
      <w:sz w:val="24"/>
    </w:rPr>
  </w:style>
  <w:style w:type="paragraph" w:customStyle="1" w:styleId="2134">
    <w:name w:val="样式 样式 首行缩进:  2 字符 +"/>
    <w:basedOn w:val="285"/>
    <w:link w:val="2133"/>
    <w:uiPriority w:val="0"/>
    <w:pPr>
      <w:adjustRightInd/>
      <w:snapToGrid/>
      <w:jc w:val="both"/>
    </w:pPr>
    <w:rPr>
      <w:rFonts w:hAnsi="宋体"/>
      <w:kern w:val="0"/>
      <w:szCs w:val="20"/>
    </w:rPr>
  </w:style>
  <w:style w:type="character" w:customStyle="1" w:styleId="2135">
    <w:name w:val="上海LNG4 Char"/>
    <w:link w:val="2131"/>
    <w:uiPriority w:val="0"/>
    <w:rPr>
      <w:b/>
      <w:kern w:val="28"/>
      <w:sz w:val="24"/>
      <w:szCs w:val="24"/>
    </w:rPr>
  </w:style>
  <w:style w:type="character" w:customStyle="1" w:styleId="2136">
    <w:name w:val="样式 标题 3条标题1.1.13h33rd levelH3l3CT. (1.1.1)标题 3 Char Cha...1 Char"/>
    <w:link w:val="2137"/>
    <w:uiPriority w:val="0"/>
    <w:rPr>
      <w:rFonts w:ascii="楷体_GB2312"/>
      <w:b/>
      <w:bCs/>
      <w:sz w:val="28"/>
      <w:szCs w:val="32"/>
    </w:rPr>
  </w:style>
  <w:style w:type="paragraph" w:customStyle="1" w:styleId="2137">
    <w:name w:val="样式 标题 3条标题1.1.13h33rd levelH3l3CT. (1.1.1)标题 3 Char Cha...1"/>
    <w:basedOn w:val="5"/>
    <w:link w:val="2136"/>
    <w:uiPriority w:val="0"/>
    <w:pPr>
      <w:keepLines/>
      <w:tabs>
        <w:tab w:val="clear" w:pos="360"/>
      </w:tabs>
      <w:autoSpaceDE w:val="0"/>
      <w:autoSpaceDN w:val="0"/>
      <w:spacing w:beforeLines="50" w:afterLines="50"/>
      <w:ind w:left="0" w:firstLine="0" w:firstLineChars="0"/>
      <w:jc w:val="left"/>
    </w:pPr>
    <w:rPr>
      <w:rFonts w:ascii="楷体_GB2312" w:hAnsi="Times New Roman" w:eastAsia="宋体"/>
      <w:b/>
      <w:kern w:val="0"/>
      <w:sz w:val="28"/>
      <w:szCs w:val="32"/>
    </w:rPr>
  </w:style>
  <w:style w:type="character" w:customStyle="1" w:styleId="2138">
    <w:name w:val="样式 标题 3条标题1.1.13h33rd levelH3l3CT. (1.1.1)标题 3 Char Cha... Char"/>
    <w:link w:val="2139"/>
    <w:uiPriority w:val="0"/>
    <w:rPr>
      <w:b/>
      <w:bCs/>
      <w:sz w:val="30"/>
      <w:szCs w:val="32"/>
    </w:rPr>
  </w:style>
  <w:style w:type="paragraph" w:customStyle="1" w:styleId="2139">
    <w:name w:val="样式 标题 3条标题1.1.13h33rd levelH3l3CT. (1.1.1)标题 3 Char Cha..."/>
    <w:basedOn w:val="5"/>
    <w:link w:val="2138"/>
    <w:uiPriority w:val="0"/>
    <w:pPr>
      <w:keepLines/>
      <w:tabs>
        <w:tab w:val="clear" w:pos="360"/>
      </w:tabs>
      <w:autoSpaceDE w:val="0"/>
      <w:autoSpaceDN w:val="0"/>
      <w:spacing w:beforeLines="50" w:afterLines="50"/>
      <w:ind w:left="0" w:firstLine="0" w:firstLineChars="0"/>
      <w:jc w:val="left"/>
    </w:pPr>
    <w:rPr>
      <w:rFonts w:ascii="Times New Roman" w:hAnsi="Times New Roman" w:eastAsia="宋体"/>
      <w:b/>
      <w:kern w:val="0"/>
      <w:sz w:val="30"/>
      <w:szCs w:val="32"/>
    </w:rPr>
  </w:style>
  <w:style w:type="character" w:customStyle="1" w:styleId="2140">
    <w:name w:val="样式 标题 3 + (西文) Times New Roman (中文) 楷体_GB2312 小三 Char"/>
    <w:link w:val="2141"/>
    <w:uiPriority w:val="0"/>
    <w:rPr>
      <w:rFonts w:ascii="楷体_GB2312"/>
      <w:b/>
      <w:bCs/>
      <w:sz w:val="30"/>
      <w:szCs w:val="32"/>
    </w:rPr>
  </w:style>
  <w:style w:type="paragraph" w:customStyle="1" w:styleId="2141">
    <w:name w:val="样式 标题 3 + (西文) Times New Roman (中文) 楷体_GB2312 小三"/>
    <w:basedOn w:val="5"/>
    <w:link w:val="2140"/>
    <w:uiPriority w:val="0"/>
    <w:pPr>
      <w:keepLines/>
      <w:tabs>
        <w:tab w:val="clear" w:pos="360"/>
      </w:tabs>
      <w:adjustRightInd/>
      <w:snapToGrid/>
      <w:spacing w:beforeLines="50" w:afterLines="50"/>
      <w:ind w:left="0" w:firstLine="0" w:firstLineChars="0"/>
    </w:pPr>
    <w:rPr>
      <w:rFonts w:ascii="楷体_GB2312" w:hAnsi="Times New Roman" w:eastAsia="宋体"/>
      <w:b/>
      <w:kern w:val="0"/>
      <w:sz w:val="30"/>
      <w:szCs w:val="32"/>
    </w:rPr>
  </w:style>
  <w:style w:type="character" w:customStyle="1" w:styleId="2142">
    <w:name w:val="（1）四号加粗 Char"/>
    <w:link w:val="2143"/>
    <w:uiPriority w:val="0"/>
    <w:rPr>
      <w:rFonts w:ascii="宋体" w:hAnsi="宋体"/>
      <w:b/>
      <w:bCs/>
      <w:sz w:val="28"/>
    </w:rPr>
  </w:style>
  <w:style w:type="paragraph" w:customStyle="1" w:styleId="2143">
    <w:name w:val="（1）四号加粗"/>
    <w:basedOn w:val="1"/>
    <w:link w:val="2142"/>
    <w:uiPriority w:val="0"/>
    <w:pPr>
      <w:adjustRightInd w:val="0"/>
      <w:snapToGrid w:val="0"/>
      <w:spacing w:line="300" w:lineRule="auto"/>
      <w:ind w:firstLine="551" w:firstLineChars="196"/>
      <w:jc w:val="left"/>
    </w:pPr>
    <w:rPr>
      <w:rFonts w:ascii="宋体" w:hAnsi="宋体"/>
      <w:b/>
      <w:bCs/>
      <w:kern w:val="0"/>
      <w:sz w:val="28"/>
      <w:szCs w:val="20"/>
    </w:rPr>
  </w:style>
  <w:style w:type="paragraph" w:customStyle="1" w:styleId="2144">
    <w:name w:val="表格11"/>
    <w:basedOn w:val="1"/>
    <w:uiPriority w:val="0"/>
    <w:pPr>
      <w:spacing w:line="360" w:lineRule="atLeast"/>
      <w:jc w:val="center"/>
    </w:pPr>
  </w:style>
  <w:style w:type="paragraph" w:customStyle="1" w:styleId="2145">
    <w:name w:val="表格居中"/>
    <w:basedOn w:val="1"/>
    <w:uiPriority w:val="0"/>
    <w:pPr>
      <w:spacing w:line="300" w:lineRule="exact"/>
      <w:jc w:val="left"/>
    </w:pPr>
    <w:rPr>
      <w:rFonts w:ascii="宋体" w:hAnsi="宋体"/>
      <w:kern w:val="0"/>
      <w:szCs w:val="21"/>
    </w:rPr>
  </w:style>
  <w:style w:type="paragraph" w:customStyle="1" w:styleId="2146">
    <w:name w:val="程序"/>
    <w:basedOn w:val="1"/>
    <w:uiPriority w:val="0"/>
    <w:pPr>
      <w:autoSpaceDE w:val="0"/>
      <w:autoSpaceDN w:val="0"/>
      <w:adjustRightInd w:val="0"/>
      <w:snapToGrid w:val="0"/>
      <w:spacing w:line="240" w:lineRule="atLeast"/>
      <w:ind w:firstLine="539"/>
    </w:pPr>
    <w:rPr>
      <w:rFonts w:ascii="Courier New" w:hAnsi="Courier New"/>
      <w:kern w:val="0"/>
      <w:sz w:val="26"/>
      <w:szCs w:val="20"/>
    </w:rPr>
  </w:style>
  <w:style w:type="paragraph" w:customStyle="1" w:styleId="2147">
    <w:name w:val="style1"/>
    <w:basedOn w:val="1"/>
    <w:uiPriority w:val="0"/>
    <w:pPr>
      <w:widowControl/>
      <w:spacing w:before="100" w:beforeAutospacing="1" w:after="100" w:afterAutospacing="1"/>
      <w:jc w:val="left"/>
    </w:pPr>
    <w:rPr>
      <w:rFonts w:ascii="宋体" w:hAnsi="宋体"/>
      <w:b/>
      <w:bCs/>
      <w:color w:val="0099FF"/>
      <w:kern w:val="0"/>
      <w:sz w:val="24"/>
    </w:rPr>
  </w:style>
  <w:style w:type="paragraph" w:customStyle="1" w:styleId="2148">
    <w:name w:val="图的标题"/>
    <w:basedOn w:val="1"/>
    <w:uiPriority w:val="0"/>
    <w:pPr>
      <w:spacing w:line="360" w:lineRule="auto"/>
      <w:jc w:val="center"/>
    </w:pPr>
    <w:rPr>
      <w:rFonts w:eastAsia="黑体"/>
      <w:sz w:val="24"/>
    </w:rPr>
  </w:style>
  <w:style w:type="paragraph" w:customStyle="1" w:styleId="2149">
    <w:name w:val="正文文本缩进 31"/>
    <w:basedOn w:val="1"/>
    <w:uiPriority w:val="0"/>
    <w:pPr>
      <w:adjustRightInd w:val="0"/>
      <w:spacing w:line="360" w:lineRule="auto"/>
      <w:ind w:firstLine="480"/>
    </w:pPr>
    <w:rPr>
      <w:i/>
      <w:color w:val="00FF00"/>
      <w:sz w:val="24"/>
      <w:szCs w:val="20"/>
    </w:rPr>
  </w:style>
  <w:style w:type="paragraph" w:customStyle="1" w:styleId="2150">
    <w:name w:val="样式 题注 + 居中"/>
    <w:basedOn w:val="22"/>
    <w:next w:val="2037"/>
    <w:uiPriority w:val="0"/>
    <w:pPr>
      <w:widowControl w:val="0"/>
      <w:autoSpaceDE w:val="0"/>
      <w:autoSpaceDN w:val="0"/>
      <w:adjustRightInd w:val="0"/>
      <w:snapToGrid w:val="0"/>
      <w:spacing w:before="120" w:after="120" w:line="520" w:lineRule="atLeast"/>
      <w:ind w:firstLine="200" w:firstLineChars="200"/>
    </w:pPr>
    <w:rPr>
      <w:rFonts w:ascii="Arial" w:hAnsi="Arial" w:eastAsia="楷体_GB2312" w:cs="宋体"/>
      <w:b/>
      <w:bCs w:val="0"/>
      <w:kern w:val="2"/>
      <w:sz w:val="24"/>
      <w:szCs w:val="24"/>
      <w:u w:color="000000"/>
    </w:rPr>
  </w:style>
  <w:style w:type="paragraph" w:customStyle="1" w:styleId="2151">
    <w:name w:val="font16"/>
    <w:basedOn w:val="1"/>
    <w:uiPriority w:val="0"/>
    <w:pPr>
      <w:widowControl/>
      <w:spacing w:before="100" w:beforeAutospacing="1" w:after="100" w:afterAutospacing="1"/>
      <w:jc w:val="left"/>
    </w:pPr>
    <w:rPr>
      <w:rFonts w:eastAsia="Arial Unicode MS"/>
      <w:color w:val="FF0000"/>
      <w:kern w:val="0"/>
      <w:sz w:val="20"/>
      <w:szCs w:val="20"/>
    </w:rPr>
  </w:style>
  <w:style w:type="paragraph" w:customStyle="1" w:styleId="2152">
    <w:name w:val="font18"/>
    <w:basedOn w:val="1"/>
    <w:uiPriority w:val="0"/>
    <w:pPr>
      <w:widowControl/>
      <w:spacing w:before="100" w:beforeAutospacing="1" w:after="100" w:afterAutospacing="1"/>
      <w:jc w:val="left"/>
    </w:pPr>
    <w:rPr>
      <w:rFonts w:ascii="宋体" w:hAnsi="宋体" w:cs="Arial Unicode MS"/>
      <w:color w:val="00FF00"/>
      <w:kern w:val="0"/>
      <w:sz w:val="20"/>
      <w:szCs w:val="20"/>
    </w:rPr>
  </w:style>
  <w:style w:type="paragraph" w:customStyle="1" w:styleId="2153">
    <w:name w:val="font20"/>
    <w:basedOn w:val="1"/>
    <w:uiPriority w:val="0"/>
    <w:pPr>
      <w:widowControl/>
      <w:spacing w:before="100" w:beforeAutospacing="1" w:after="100" w:afterAutospacing="1"/>
      <w:jc w:val="left"/>
    </w:pPr>
    <w:rPr>
      <w:rFonts w:eastAsia="Arial Unicode MS"/>
      <w:i/>
      <w:iCs/>
      <w:color w:val="00FF00"/>
      <w:kern w:val="0"/>
      <w:sz w:val="20"/>
      <w:szCs w:val="20"/>
    </w:rPr>
  </w:style>
  <w:style w:type="paragraph" w:customStyle="1" w:styleId="2154">
    <w:name w:val="正文行密"/>
    <w:basedOn w:val="21"/>
    <w:uiPriority w:val="0"/>
    <w:pPr>
      <w:autoSpaceDE w:val="0"/>
      <w:autoSpaceDN w:val="0"/>
      <w:adjustRightInd w:val="0"/>
      <w:spacing w:line="40" w:lineRule="atLeast"/>
      <w:ind w:left="1440" w:firstLine="482"/>
    </w:pPr>
    <w:rPr>
      <w:rFonts w:ascii="宋体"/>
      <w:kern w:val="0"/>
      <w:sz w:val="24"/>
    </w:rPr>
  </w:style>
  <w:style w:type="paragraph" w:customStyle="1" w:styleId="2155">
    <w:name w:val="样式 款 + 首行缩进:  2 字符"/>
    <w:basedOn w:val="2156"/>
    <w:uiPriority w:val="0"/>
    <w:pPr>
      <w:adjustRightInd w:val="0"/>
      <w:spacing w:line="520" w:lineRule="exact"/>
      <w:ind w:firstLine="562"/>
    </w:pPr>
    <w:rPr>
      <w:sz w:val="28"/>
      <w:szCs w:val="20"/>
    </w:rPr>
  </w:style>
  <w:style w:type="paragraph" w:customStyle="1" w:styleId="2156">
    <w:name w:val="款"/>
    <w:basedOn w:val="1"/>
    <w:uiPriority w:val="0"/>
    <w:rPr>
      <w:b/>
      <w:sz w:val="24"/>
    </w:rPr>
  </w:style>
  <w:style w:type="paragraph" w:customStyle="1" w:styleId="2157">
    <w:name w:val="样式 题注 + 居中 Char"/>
    <w:basedOn w:val="22"/>
    <w:next w:val="2158"/>
    <w:uiPriority w:val="0"/>
    <w:pPr>
      <w:widowControl w:val="0"/>
      <w:autoSpaceDE w:val="0"/>
      <w:autoSpaceDN w:val="0"/>
      <w:adjustRightInd w:val="0"/>
      <w:snapToGrid w:val="0"/>
      <w:spacing w:before="120" w:after="120" w:line="520" w:lineRule="atLeast"/>
      <w:ind w:firstLine="200" w:firstLineChars="200"/>
    </w:pPr>
    <w:rPr>
      <w:rFonts w:ascii="Arial" w:hAnsi="Arial" w:eastAsia="楷体_GB2312" w:cs="宋体"/>
      <w:b/>
      <w:bCs w:val="0"/>
      <w:kern w:val="2"/>
      <w:sz w:val="24"/>
      <w:szCs w:val="24"/>
      <w:u w:color="000000"/>
    </w:rPr>
  </w:style>
  <w:style w:type="paragraph" w:customStyle="1" w:styleId="2158">
    <w:name w:val="表体 Char"/>
    <w:basedOn w:val="1"/>
    <w:uiPriority w:val="0"/>
    <w:pPr>
      <w:autoSpaceDE w:val="0"/>
      <w:autoSpaceDN w:val="0"/>
      <w:adjustRightInd w:val="0"/>
      <w:snapToGrid w:val="0"/>
      <w:spacing w:before="40" w:after="40" w:line="520" w:lineRule="atLeast"/>
      <w:ind w:firstLine="200" w:firstLineChars="200"/>
      <w:jc w:val="center"/>
    </w:pPr>
    <w:rPr>
      <w:rFonts w:ascii="宋体"/>
      <w:sz w:val="24"/>
    </w:rPr>
  </w:style>
  <w:style w:type="paragraph" w:customStyle="1" w:styleId="2159">
    <w:name w:val="样式 小四1"/>
    <w:basedOn w:val="1"/>
    <w:uiPriority w:val="0"/>
    <w:pPr>
      <w:spacing w:line="400" w:lineRule="exact"/>
      <w:ind w:firstLine="200" w:firstLineChars="200"/>
    </w:pPr>
    <w:rPr>
      <w:sz w:val="24"/>
      <w:szCs w:val="20"/>
    </w:rPr>
  </w:style>
  <w:style w:type="paragraph" w:customStyle="1" w:styleId="2160">
    <w:name w:val="数据报告三级"/>
    <w:basedOn w:val="1"/>
    <w:uiPriority w:val="0"/>
    <w:pPr>
      <w:keepNext/>
      <w:keepLines/>
      <w:adjustRightInd w:val="0"/>
      <w:snapToGrid w:val="0"/>
      <w:spacing w:beforeLines="50" w:afterLines="50" w:line="360" w:lineRule="auto"/>
      <w:jc w:val="left"/>
      <w:outlineLvl w:val="2"/>
    </w:pPr>
    <w:rPr>
      <w:b/>
      <w:kern w:val="44"/>
      <w:sz w:val="24"/>
      <w:szCs w:val="44"/>
    </w:rPr>
  </w:style>
  <w:style w:type="paragraph" w:customStyle="1" w:styleId="2161">
    <w:name w:val="上海LNG1"/>
    <w:basedOn w:val="1"/>
    <w:uiPriority w:val="0"/>
    <w:pPr>
      <w:spacing w:line="360" w:lineRule="auto"/>
      <w:ind w:left="825" w:hanging="360"/>
      <w:outlineLvl w:val="0"/>
    </w:pPr>
    <w:rPr>
      <w:b/>
      <w:sz w:val="24"/>
    </w:rPr>
  </w:style>
  <w:style w:type="paragraph" w:customStyle="1" w:styleId="2162">
    <w:name w:val="上海LNG3"/>
    <w:basedOn w:val="1"/>
    <w:uiPriority w:val="0"/>
    <w:pPr>
      <w:spacing w:line="360" w:lineRule="auto"/>
      <w:ind w:left="1725" w:right="403" w:hanging="420"/>
      <w:outlineLvl w:val="2"/>
    </w:pPr>
    <w:rPr>
      <w:b/>
      <w:kern w:val="28"/>
      <w:sz w:val="24"/>
    </w:rPr>
  </w:style>
  <w:style w:type="paragraph" w:customStyle="1" w:styleId="2163">
    <w:name w:val="文档结构图1"/>
    <w:basedOn w:val="1"/>
    <w:uiPriority w:val="0"/>
    <w:pPr>
      <w:shd w:val="clear" w:color="auto" w:fill="000080"/>
      <w:adjustRightInd w:val="0"/>
    </w:pPr>
    <w:rPr>
      <w:szCs w:val="20"/>
    </w:rPr>
  </w:style>
  <w:style w:type="paragraph" w:customStyle="1" w:styleId="2164">
    <w:name w:val="节标题2 alt+3"/>
    <w:basedOn w:val="5"/>
    <w:next w:val="1"/>
    <w:uiPriority w:val="0"/>
    <w:pPr>
      <w:widowControl/>
      <w:tabs>
        <w:tab w:val="clear" w:pos="360"/>
      </w:tabs>
      <w:autoSpaceDE w:val="0"/>
      <w:autoSpaceDN w:val="0"/>
      <w:spacing w:before="480" w:after="240" w:line="520" w:lineRule="atLeast"/>
      <w:ind w:left="0" w:firstLine="0" w:firstLineChars="0"/>
      <w:jc w:val="left"/>
    </w:pPr>
    <w:rPr>
      <w:rFonts w:ascii="楷体_GB2312" w:hAnsi="Times New Roman" w:eastAsia="楷体_GB2312"/>
      <w:b/>
      <w:kern w:val="0"/>
      <w:sz w:val="32"/>
      <w:szCs w:val="30"/>
      <w:lang w:bidi="he-IL"/>
    </w:rPr>
  </w:style>
  <w:style w:type="paragraph" w:customStyle="1" w:styleId="2165">
    <w:name w:val="样式 款 + 宋体"/>
    <w:basedOn w:val="2156"/>
    <w:uiPriority w:val="0"/>
    <w:pPr>
      <w:spacing w:line="520" w:lineRule="exact"/>
      <w:ind w:firstLine="200" w:firstLineChars="200"/>
    </w:pPr>
    <w:rPr>
      <w:rFonts w:ascii="宋体" w:hAnsi="宋体"/>
      <w:bCs/>
      <w:szCs w:val="20"/>
    </w:rPr>
  </w:style>
  <w:style w:type="paragraph" w:customStyle="1" w:styleId="2166">
    <w:name w:val="样式 标题 2 + (西文) Times New Roman 段前: 12 磅 首行缩进:  0 字符"/>
    <w:basedOn w:val="4"/>
    <w:uiPriority w:val="0"/>
    <w:pPr>
      <w:tabs>
        <w:tab w:val="clear" w:pos="360"/>
      </w:tabs>
      <w:spacing w:beforeLines="50" w:afterLines="50" w:line="360" w:lineRule="auto"/>
      <w:ind w:left="0" w:firstLine="0" w:firstLineChars="0"/>
    </w:pPr>
    <w:rPr>
      <w:rFonts w:ascii="Times New Roman" w:hAnsi="Times New Roman" w:cs="宋体"/>
      <w:szCs w:val="20"/>
    </w:rPr>
  </w:style>
  <w:style w:type="paragraph" w:customStyle="1" w:styleId="2167">
    <w:name w:val="font15"/>
    <w:basedOn w:val="1"/>
    <w:uiPriority w:val="0"/>
    <w:pPr>
      <w:widowControl/>
      <w:spacing w:before="100" w:beforeAutospacing="1" w:after="100" w:afterAutospacing="1"/>
      <w:jc w:val="left"/>
    </w:pPr>
    <w:rPr>
      <w:rFonts w:ascii="宋体" w:hAnsi="宋体" w:cs="Arial Unicode MS"/>
      <w:i/>
      <w:iCs/>
      <w:color w:val="FF0000"/>
      <w:kern w:val="0"/>
      <w:sz w:val="20"/>
      <w:szCs w:val="20"/>
    </w:rPr>
  </w:style>
  <w:style w:type="paragraph" w:customStyle="1" w:styleId="2168">
    <w:name w:val="font17"/>
    <w:basedOn w:val="1"/>
    <w:uiPriority w:val="0"/>
    <w:pPr>
      <w:widowControl/>
      <w:spacing w:before="100" w:beforeAutospacing="1" w:after="100" w:afterAutospacing="1"/>
      <w:jc w:val="left"/>
    </w:pPr>
    <w:rPr>
      <w:rFonts w:eastAsia="Arial Unicode MS"/>
      <w:i/>
      <w:iCs/>
      <w:color w:val="000000"/>
      <w:kern w:val="0"/>
      <w:sz w:val="20"/>
      <w:szCs w:val="20"/>
    </w:rPr>
  </w:style>
  <w:style w:type="paragraph" w:customStyle="1" w:styleId="2169">
    <w:name w:val="font19"/>
    <w:basedOn w:val="1"/>
    <w:uiPriority w:val="0"/>
    <w:pPr>
      <w:widowControl/>
      <w:spacing w:before="100" w:beforeAutospacing="1" w:after="100" w:afterAutospacing="1"/>
      <w:jc w:val="left"/>
    </w:pPr>
    <w:rPr>
      <w:rFonts w:eastAsia="Arial Unicode MS"/>
      <w:color w:val="00FF00"/>
      <w:kern w:val="0"/>
      <w:sz w:val="20"/>
      <w:szCs w:val="20"/>
    </w:rPr>
  </w:style>
  <w:style w:type="paragraph" w:customStyle="1" w:styleId="2170">
    <w:name w:val="表文5中"/>
    <w:basedOn w:val="1"/>
    <w:uiPriority w:val="0"/>
    <w:pPr>
      <w:jc w:val="center"/>
    </w:pPr>
    <w:rPr>
      <w:sz w:val="24"/>
    </w:rPr>
  </w:style>
  <w:style w:type="paragraph" w:customStyle="1" w:styleId="2171">
    <w:name w:val="节标题1 alt+2"/>
    <w:basedOn w:val="4"/>
    <w:next w:val="2164"/>
    <w:uiPriority w:val="0"/>
    <w:pPr>
      <w:keepNext w:val="0"/>
      <w:keepLines w:val="0"/>
      <w:tabs>
        <w:tab w:val="clear" w:pos="360"/>
      </w:tabs>
      <w:autoSpaceDE w:val="0"/>
      <w:autoSpaceDN w:val="0"/>
      <w:adjustRightInd w:val="0"/>
      <w:snapToGrid w:val="0"/>
      <w:spacing w:before="480" w:after="240" w:line="520" w:lineRule="atLeast"/>
      <w:ind w:left="0" w:firstLine="0" w:firstLineChars="0"/>
      <w:jc w:val="left"/>
    </w:pPr>
    <w:rPr>
      <w:rFonts w:ascii="黑体" w:hAnsi="华文中宋"/>
      <w:kern w:val="0"/>
      <w:lang w:bidi="he-IL"/>
    </w:rPr>
  </w:style>
  <w:style w:type="paragraph" w:customStyle="1" w:styleId="2172">
    <w:name w:val="正文文本缩进 21"/>
    <w:basedOn w:val="1"/>
    <w:uiPriority w:val="0"/>
    <w:pPr>
      <w:adjustRightInd w:val="0"/>
      <w:spacing w:line="360" w:lineRule="auto"/>
      <w:ind w:firstLine="482"/>
    </w:pPr>
    <w:rPr>
      <w:szCs w:val="20"/>
    </w:rPr>
  </w:style>
  <w:style w:type="paragraph" w:customStyle="1" w:styleId="2173">
    <w:name w:val="正文11"/>
    <w:basedOn w:val="1"/>
    <w:uiPriority w:val="0"/>
    <w:pPr>
      <w:tabs>
        <w:tab w:val="left" w:pos="720"/>
        <w:tab w:val="left" w:pos="2880"/>
      </w:tabs>
      <w:spacing w:line="460" w:lineRule="atLeast"/>
      <w:ind w:firstLine="480" w:firstLineChars="200"/>
    </w:pPr>
    <w:rPr>
      <w:sz w:val="24"/>
    </w:rPr>
  </w:style>
  <w:style w:type="paragraph" w:customStyle="1" w:styleId="2174">
    <w:name w:val="样式 条 + 首行缩进:  1.92 字符"/>
    <w:basedOn w:val="1"/>
    <w:uiPriority w:val="0"/>
    <w:pPr>
      <w:spacing w:line="520" w:lineRule="exact"/>
    </w:pPr>
    <w:rPr>
      <w:rFonts w:ascii="宋体" w:hAnsi="Courier New"/>
      <w:b/>
      <w:bCs/>
      <w:sz w:val="28"/>
      <w:szCs w:val="20"/>
    </w:rPr>
  </w:style>
  <w:style w:type="paragraph" w:customStyle="1" w:styleId="2175">
    <w:name w:val="正文样式1 Char"/>
    <w:basedOn w:val="1"/>
    <w:uiPriority w:val="0"/>
    <w:pPr>
      <w:autoSpaceDE w:val="0"/>
      <w:autoSpaceDN w:val="0"/>
      <w:adjustRightInd w:val="0"/>
      <w:snapToGrid w:val="0"/>
      <w:spacing w:beforeLines="40" w:afterLines="40" w:line="312" w:lineRule="auto"/>
      <w:ind w:firstLine="539" w:firstLineChars="200"/>
    </w:pPr>
    <w:rPr>
      <w:rFonts w:ascii="宋体"/>
      <w:kern w:val="0"/>
      <w:position w:val="-12"/>
      <w:sz w:val="24"/>
      <w:szCs w:val="20"/>
    </w:rPr>
  </w:style>
  <w:style w:type="paragraph" w:customStyle="1" w:styleId="2176">
    <w:name w:val="样式 小四 加粗"/>
    <w:basedOn w:val="1"/>
    <w:uiPriority w:val="0"/>
    <w:pPr>
      <w:spacing w:line="360" w:lineRule="auto"/>
      <w:ind w:firstLine="200" w:firstLineChars="200"/>
    </w:pPr>
    <w:rPr>
      <w:b/>
      <w:bCs/>
      <w:sz w:val="24"/>
      <w:szCs w:val="20"/>
    </w:rPr>
  </w:style>
  <w:style w:type="character" w:customStyle="1" w:styleId="2177">
    <w:name w:val="落款 Char Char"/>
    <w:semiHidden/>
    <w:uiPriority w:val="0"/>
    <w:rPr>
      <w:rFonts w:ascii="Arial" w:hAnsi="Arial" w:eastAsia="宋体" w:cs="Verdana"/>
      <w:b/>
      <w:kern w:val="2"/>
      <w:sz w:val="24"/>
      <w:szCs w:val="22"/>
      <w:lang w:val="en-US" w:eastAsia="zh-CN" w:bidi="ar-SA"/>
    </w:rPr>
  </w:style>
  <w:style w:type="paragraph" w:customStyle="1" w:styleId="2178">
    <w:name w:val="Char1 Char Char Char11"/>
    <w:basedOn w:val="1"/>
    <w:uiPriority w:val="0"/>
    <w:pPr>
      <w:spacing w:line="360" w:lineRule="auto"/>
      <w:ind w:firstLine="200" w:firstLineChars="200"/>
    </w:pPr>
    <w:rPr>
      <w:rFonts w:ascii="宋体" w:hAnsi="宋体" w:cs="宋体"/>
      <w:sz w:val="24"/>
    </w:rPr>
  </w:style>
  <w:style w:type="paragraph" w:customStyle="1" w:styleId="2179">
    <w:name w:val="Char Char1 Char Char Char Char Char Char Char1"/>
    <w:basedOn w:val="1"/>
    <w:uiPriority w:val="0"/>
    <w:pPr>
      <w:adjustRightInd w:val="0"/>
      <w:spacing w:line="360" w:lineRule="atLeast"/>
    </w:pPr>
  </w:style>
  <w:style w:type="paragraph" w:customStyle="1" w:styleId="2180">
    <w:name w:val="Char1 Char Char Char1 Char Char Char Char Char Char11"/>
    <w:basedOn w:val="1"/>
    <w:uiPriority w:val="0"/>
    <w:pPr>
      <w:spacing w:line="360" w:lineRule="auto"/>
      <w:ind w:firstLine="200" w:firstLineChars="200"/>
    </w:pPr>
    <w:rPr>
      <w:rFonts w:ascii="宋体" w:hAnsi="宋体" w:cs="宋体"/>
      <w:sz w:val="24"/>
    </w:rPr>
  </w:style>
  <w:style w:type="paragraph" w:customStyle="1" w:styleId="2181">
    <w:name w:val="Char Char Char Char Char Char1 Char1"/>
    <w:basedOn w:val="1"/>
    <w:uiPriority w:val="0"/>
    <w:pPr>
      <w:widowControl/>
      <w:spacing w:line="360" w:lineRule="auto"/>
      <w:jc w:val="left"/>
    </w:pPr>
    <w:rPr>
      <w:rFonts w:ascii="宋体" w:hAnsi="宋体" w:cs="宋体"/>
      <w:kern w:val="0"/>
      <w:sz w:val="24"/>
    </w:rPr>
  </w:style>
  <w:style w:type="paragraph" w:customStyle="1" w:styleId="2182">
    <w:name w:val="Char Char1 Char1"/>
    <w:basedOn w:val="1"/>
    <w:uiPriority w:val="0"/>
    <w:rPr>
      <w:sz w:val="24"/>
    </w:rPr>
  </w:style>
  <w:style w:type="character" w:customStyle="1" w:styleId="2183">
    <w:name w:val="Char Char61"/>
    <w:uiPriority w:val="0"/>
    <w:rPr>
      <w:rFonts w:hint="default" w:ascii="Cambria" w:hAnsi="Cambria" w:eastAsia="宋体"/>
      <w:b/>
      <w:bCs/>
      <w:kern w:val="2"/>
      <w:sz w:val="28"/>
      <w:szCs w:val="28"/>
      <w:lang w:val="en-US" w:eastAsia="zh-CN" w:bidi="ar-SA"/>
    </w:rPr>
  </w:style>
  <w:style w:type="character" w:customStyle="1" w:styleId="2184">
    <w:name w:val="Char Char51"/>
    <w:semiHidden/>
    <w:uiPriority w:val="0"/>
    <w:rPr>
      <w:rFonts w:hint="default" w:ascii="Calibri" w:hAnsi="Calibri" w:eastAsia="宋体" w:cs="Calibri"/>
      <w:kern w:val="2"/>
      <w:sz w:val="18"/>
      <w:szCs w:val="18"/>
      <w:lang w:val="en-US" w:eastAsia="zh-CN" w:bidi="ar-SA"/>
    </w:rPr>
  </w:style>
  <w:style w:type="character" w:customStyle="1" w:styleId="2185">
    <w:name w:val="Char Char231"/>
    <w:uiPriority w:val="0"/>
    <w:rPr>
      <w:rFonts w:hint="default" w:ascii="Arial" w:hAnsi="Arial" w:eastAsia="黑体" w:cs="Arial"/>
      <w:b/>
      <w:bCs/>
      <w:kern w:val="2"/>
      <w:sz w:val="32"/>
      <w:szCs w:val="32"/>
      <w:lang w:val="en-US" w:eastAsia="zh-CN" w:bidi="ar-SA"/>
    </w:rPr>
  </w:style>
  <w:style w:type="paragraph" w:customStyle="1" w:styleId="2186">
    <w:name w:val="4 Char Char Char Char Char Char Char Char Char Char Char Char Char Char Char Char"/>
    <w:basedOn w:val="1"/>
    <w:uiPriority w:val="0"/>
    <w:pPr>
      <w:tabs>
        <w:tab w:val="left" w:pos="360"/>
      </w:tabs>
      <w:snapToGrid w:val="0"/>
      <w:spacing w:line="360" w:lineRule="auto"/>
    </w:pPr>
    <w:rPr>
      <w:rFonts w:eastAsia="仿宋_GB2312" w:cs="宋体"/>
      <w:sz w:val="24"/>
    </w:rPr>
  </w:style>
  <w:style w:type="paragraph" w:customStyle="1" w:styleId="2187">
    <w:name w:val="报告格式-正文"/>
    <w:basedOn w:val="1"/>
    <w:link w:val="2188"/>
    <w:qFormat/>
    <w:uiPriority w:val="0"/>
    <w:pPr>
      <w:spacing w:line="360" w:lineRule="auto"/>
      <w:ind w:firstLine="560" w:firstLineChars="200"/>
    </w:pPr>
    <w:rPr>
      <w:kern w:val="0"/>
      <w:sz w:val="28"/>
      <w:szCs w:val="36"/>
      <w:lang w:eastAsia="en-US" w:bidi="en-US"/>
    </w:rPr>
  </w:style>
  <w:style w:type="character" w:customStyle="1" w:styleId="2188">
    <w:name w:val="报告格式-正文 Char"/>
    <w:link w:val="2187"/>
    <w:uiPriority w:val="0"/>
    <w:rPr>
      <w:sz w:val="28"/>
      <w:szCs w:val="36"/>
      <w:lang w:eastAsia="en-US" w:bidi="en-US"/>
    </w:rPr>
  </w:style>
  <w:style w:type="paragraph" w:customStyle="1" w:styleId="2189">
    <w:name w:val="报告格式-表格内容"/>
    <w:basedOn w:val="1"/>
    <w:qFormat/>
    <w:uiPriority w:val="0"/>
    <w:pPr>
      <w:keepNext/>
      <w:widowControl/>
      <w:jc w:val="center"/>
    </w:pPr>
    <w:rPr>
      <w:kern w:val="0"/>
      <w:szCs w:val="21"/>
      <w:lang w:eastAsia="en-US" w:bidi="en-US"/>
    </w:rPr>
  </w:style>
  <w:style w:type="table" w:customStyle="1" w:styleId="2190">
    <w:name w:val="网格型 12"/>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2191">
    <w:name w:val="网格型 13"/>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character" w:customStyle="1" w:styleId="2192">
    <w:name w:val="样式10 Char"/>
    <w:link w:val="1999"/>
    <w:uiPriority w:val="0"/>
    <w:rPr>
      <w:rFonts w:ascii="Arial" w:hAnsi="Arial"/>
      <w:color w:val="000000"/>
      <w:spacing w:val="16"/>
      <w:kern w:val="2"/>
      <w:sz w:val="24"/>
      <w:szCs w:val="32"/>
    </w:rPr>
  </w:style>
  <w:style w:type="character" w:customStyle="1" w:styleId="2193">
    <w:name w:val="font41"/>
    <w:uiPriority w:val="0"/>
    <w:rPr>
      <w:rFonts w:hint="default" w:ascii="Times New Roman" w:hAnsi="Times New Roman" w:cs="Times New Roman"/>
      <w:color w:val="000000"/>
      <w:sz w:val="20"/>
      <w:szCs w:val="20"/>
      <w:u w:val="none"/>
    </w:rPr>
  </w:style>
  <w:style w:type="character" w:customStyle="1" w:styleId="2194">
    <w:name w:val="表中正文 Char Char"/>
    <w:uiPriority w:val="0"/>
    <w:rPr>
      <w:rFonts w:eastAsia="宋体"/>
      <w:kern w:val="2"/>
      <w:sz w:val="21"/>
      <w:lang w:val="en-US" w:eastAsia="zh-CN" w:bidi="ar-SA"/>
    </w:rPr>
  </w:style>
  <w:style w:type="paragraph" w:customStyle="1" w:styleId="2195">
    <w:name w:val="正文首行缩进 21"/>
    <w:basedOn w:val="1"/>
    <w:uiPriority w:val="0"/>
    <w:pPr>
      <w:spacing w:line="360" w:lineRule="auto"/>
      <w:ind w:firstLine="200" w:firstLineChars="200"/>
    </w:pPr>
    <w:rPr>
      <w:rFonts w:cs="仿宋_GB2312"/>
      <w:bCs/>
      <w:sz w:val="24"/>
    </w:rPr>
  </w:style>
  <w:style w:type="paragraph" w:customStyle="1" w:styleId="2196">
    <w:name w:val="qj报告正文"/>
    <w:basedOn w:val="1"/>
    <w:link w:val="2197"/>
    <w:uiPriority w:val="0"/>
    <w:pPr>
      <w:spacing w:line="360" w:lineRule="auto"/>
      <w:ind w:firstLine="200" w:firstLineChars="200"/>
    </w:pPr>
    <w:rPr>
      <w:sz w:val="24"/>
      <w:szCs w:val="20"/>
    </w:rPr>
  </w:style>
  <w:style w:type="character" w:customStyle="1" w:styleId="2197">
    <w:name w:val="qj报告正文 Char"/>
    <w:link w:val="2196"/>
    <w:uiPriority w:val="0"/>
    <w:rPr>
      <w:kern w:val="2"/>
      <w:sz w:val="24"/>
    </w:rPr>
  </w:style>
  <w:style w:type="paragraph" w:customStyle="1" w:styleId="2198">
    <w:name w:val="cj表格题目"/>
    <w:basedOn w:val="1"/>
    <w:link w:val="2199"/>
    <w:uiPriority w:val="0"/>
    <w:pPr>
      <w:spacing w:line="360" w:lineRule="auto"/>
      <w:jc w:val="center"/>
    </w:pPr>
    <w:rPr>
      <w:b/>
      <w:bCs/>
      <w:sz w:val="24"/>
      <w:szCs w:val="20"/>
    </w:rPr>
  </w:style>
  <w:style w:type="character" w:customStyle="1" w:styleId="2199">
    <w:name w:val="cj表格题目 Char"/>
    <w:link w:val="2198"/>
    <w:uiPriority w:val="0"/>
    <w:rPr>
      <w:b/>
      <w:bCs/>
      <w:kern w:val="2"/>
      <w:sz w:val="24"/>
    </w:rPr>
  </w:style>
  <w:style w:type="paragraph" w:customStyle="1" w:styleId="2200">
    <w:name w:val="Char5 Char Char Char Char Char Char"/>
    <w:basedOn w:val="1"/>
    <w:uiPriority w:val="0"/>
    <w:pPr>
      <w:spacing w:line="360" w:lineRule="auto"/>
      <w:ind w:firstLine="200" w:firstLineChars="200"/>
    </w:pPr>
    <w:rPr>
      <w:rFonts w:ascii="宋体" w:hAnsi="宋体" w:cs="宋体"/>
      <w:sz w:val="24"/>
    </w:rPr>
  </w:style>
  <w:style w:type="paragraph" w:customStyle="1" w:styleId="2201">
    <w:name w:val="Char Char Char1 Char5"/>
    <w:basedOn w:val="1"/>
    <w:semiHidden/>
    <w:uiPriority w:val="0"/>
  </w:style>
  <w:style w:type="paragraph" w:customStyle="1" w:styleId="2202">
    <w:name w:val="Char Char Char Char Char Char Char4"/>
    <w:basedOn w:val="1"/>
    <w:next w:val="1"/>
    <w:uiPriority w:val="0"/>
    <w:pPr>
      <w:spacing w:line="360" w:lineRule="auto"/>
      <w:ind w:firstLine="200" w:firstLineChars="200"/>
    </w:pPr>
    <w:rPr>
      <w:rFonts w:ascii="宋体" w:hAnsi="宋体" w:cs="宋体"/>
      <w:sz w:val="24"/>
    </w:rPr>
  </w:style>
  <w:style w:type="character" w:customStyle="1" w:styleId="2203">
    <w:name w:val="8说明(治) Char"/>
    <w:link w:val="1805"/>
    <w:uiPriority w:val="0"/>
    <w:rPr>
      <w:rFonts w:eastAsia="仿宋_GB2312"/>
      <w:kern w:val="2"/>
      <w:sz w:val="21"/>
      <w:szCs w:val="24"/>
    </w:rPr>
  </w:style>
  <w:style w:type="table" w:customStyle="1" w:styleId="2204">
    <w:name w:val="灰度表格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2205">
    <w:name w:val="Char Char Char1 Char4"/>
    <w:basedOn w:val="1"/>
    <w:uiPriority w:val="0"/>
  </w:style>
  <w:style w:type="paragraph" w:customStyle="1" w:styleId="2206">
    <w:name w:val="样式 福建正文文字 + 宋体"/>
    <w:basedOn w:val="1"/>
    <w:link w:val="2207"/>
    <w:uiPriority w:val="0"/>
    <w:pPr>
      <w:spacing w:line="312" w:lineRule="auto"/>
      <w:ind w:firstLine="200" w:firstLineChars="200"/>
    </w:pPr>
    <w:rPr>
      <w:rFonts w:ascii="宋体" w:hAnsi="宋体" w:eastAsia="Times New Roman"/>
      <w:sz w:val="24"/>
      <w:szCs w:val="20"/>
    </w:rPr>
  </w:style>
  <w:style w:type="character" w:customStyle="1" w:styleId="2207">
    <w:name w:val="样式 福建正文文字 + 宋体 Char"/>
    <w:link w:val="2206"/>
    <w:uiPriority w:val="0"/>
    <w:rPr>
      <w:rFonts w:ascii="宋体" w:hAnsi="宋体" w:eastAsia="Times New Roman"/>
      <w:kern w:val="2"/>
      <w:sz w:val="24"/>
    </w:rPr>
  </w:style>
  <w:style w:type="character" w:customStyle="1" w:styleId="2208">
    <w:name w:val="样式4 Char"/>
    <w:link w:val="151"/>
    <w:uiPriority w:val="0"/>
    <w:rPr>
      <w:rFonts w:eastAsia="黑体"/>
      <w:b/>
      <w:kern w:val="2"/>
      <w:sz w:val="24"/>
      <w:szCs w:val="24"/>
    </w:rPr>
  </w:style>
  <w:style w:type="character" w:customStyle="1" w:styleId="2209">
    <w:name w:val="样式5 Char"/>
    <w:uiPriority w:val="0"/>
    <w:rPr>
      <w:rFonts w:ascii="宋体" w:hAnsi="宋体" w:eastAsia="宋体" w:cs="Times New Roman"/>
      <w:sz w:val="24"/>
      <w:szCs w:val="20"/>
    </w:rPr>
  </w:style>
  <w:style w:type="paragraph" w:customStyle="1" w:styleId="2210">
    <w:name w:val="样式 表头"/>
    <w:link w:val="2211"/>
    <w:semiHidden/>
    <w:uiPriority w:val="0"/>
    <w:pPr>
      <w:spacing w:beforeLines="50"/>
      <w:jc w:val="center"/>
    </w:pPr>
    <w:rPr>
      <w:rFonts w:ascii="Times New Roman" w:hAnsi="Times New Roman" w:eastAsia="黑体" w:cs="Times New Roman"/>
      <w:b/>
      <w:bCs/>
      <w:kern w:val="2"/>
      <w:sz w:val="24"/>
      <w:szCs w:val="24"/>
      <w:lang w:val="en-US" w:eastAsia="zh-CN" w:bidi="ar-SA"/>
    </w:rPr>
  </w:style>
  <w:style w:type="character" w:customStyle="1" w:styleId="2211">
    <w:name w:val="样式 表头 Char"/>
    <w:link w:val="2210"/>
    <w:semiHidden/>
    <w:uiPriority w:val="0"/>
    <w:rPr>
      <w:rFonts w:eastAsia="黑体"/>
      <w:b/>
      <w:bCs/>
      <w:kern w:val="2"/>
      <w:sz w:val="24"/>
      <w:szCs w:val="24"/>
    </w:rPr>
  </w:style>
  <w:style w:type="character" w:customStyle="1" w:styleId="2212">
    <w:name w:val="Char Char63"/>
    <w:uiPriority w:val="0"/>
    <w:rPr>
      <w:kern w:val="2"/>
      <w:sz w:val="18"/>
      <w:szCs w:val="18"/>
    </w:rPr>
  </w:style>
  <w:style w:type="paragraph" w:customStyle="1" w:styleId="2213">
    <w:name w:val="lyf段落标题"/>
    <w:basedOn w:val="45"/>
    <w:next w:val="1"/>
    <w:semiHidden/>
    <w:uiPriority w:val="0"/>
    <w:pPr>
      <w:jc w:val="center"/>
      <w:outlineLvl w:val="1"/>
    </w:pPr>
    <w:rPr>
      <w:rFonts w:ascii="Times New Roman" w:hAnsi="Times New Roman" w:eastAsia="黑体"/>
      <w:sz w:val="28"/>
      <w:szCs w:val="20"/>
    </w:rPr>
  </w:style>
  <w:style w:type="paragraph" w:customStyle="1" w:styleId="2214">
    <w:name w:val="表格文字—五号"/>
    <w:basedOn w:val="1"/>
    <w:link w:val="2215"/>
    <w:uiPriority w:val="0"/>
    <w:pPr>
      <w:jc w:val="center"/>
    </w:pPr>
  </w:style>
  <w:style w:type="character" w:customStyle="1" w:styleId="2215">
    <w:name w:val="表格文字—五号 Char"/>
    <w:link w:val="2214"/>
    <w:uiPriority w:val="0"/>
    <w:rPr>
      <w:kern w:val="2"/>
      <w:sz w:val="21"/>
      <w:szCs w:val="24"/>
    </w:rPr>
  </w:style>
  <w:style w:type="paragraph" w:customStyle="1" w:styleId="2216">
    <w:name w:val="BG1"/>
    <w:basedOn w:val="1"/>
    <w:semiHidden/>
    <w:uiPriority w:val="0"/>
    <w:pPr>
      <w:tabs>
        <w:tab w:val="left" w:pos="0"/>
      </w:tabs>
      <w:adjustRightInd w:val="0"/>
      <w:snapToGrid w:val="0"/>
      <w:jc w:val="center"/>
      <w:textAlignment w:val="baseline"/>
      <w:outlineLvl w:val="0"/>
    </w:pPr>
    <w:rPr>
      <w:rFonts w:eastAsia="楷体_GB2312"/>
      <w:kern w:val="44"/>
      <w:szCs w:val="20"/>
    </w:rPr>
  </w:style>
  <w:style w:type="paragraph" w:customStyle="1" w:styleId="2217">
    <w:name w:val="head1"/>
    <w:basedOn w:val="1"/>
    <w:next w:val="1"/>
    <w:semiHidden/>
    <w:uiPriority w:val="0"/>
    <w:pPr>
      <w:keepNext/>
      <w:adjustRightInd w:val="0"/>
      <w:snapToGrid w:val="0"/>
      <w:spacing w:line="500" w:lineRule="exact"/>
      <w:jc w:val="center"/>
      <w:textAlignment w:val="baseline"/>
    </w:pPr>
    <w:rPr>
      <w:rFonts w:eastAsia="黑体"/>
      <w:kern w:val="0"/>
      <w:sz w:val="28"/>
      <w:szCs w:val="20"/>
    </w:rPr>
  </w:style>
  <w:style w:type="paragraph" w:customStyle="1" w:styleId="2218">
    <w:name w:val="head4"/>
    <w:basedOn w:val="1"/>
    <w:semiHidden/>
    <w:uiPriority w:val="0"/>
    <w:pPr>
      <w:adjustRightInd w:val="0"/>
      <w:snapToGrid w:val="0"/>
      <w:spacing w:line="500" w:lineRule="exact"/>
      <w:textAlignment w:val="baseline"/>
    </w:pPr>
    <w:rPr>
      <w:rFonts w:eastAsia="仿宋_GB2312"/>
      <w:kern w:val="0"/>
      <w:sz w:val="28"/>
      <w:szCs w:val="20"/>
    </w:rPr>
  </w:style>
  <w:style w:type="paragraph" w:customStyle="1" w:styleId="2219">
    <w:name w:val="k标题1"/>
    <w:basedOn w:val="1"/>
    <w:semiHidden/>
    <w:uiPriority w:val="0"/>
    <w:pPr>
      <w:keepNext/>
      <w:keepLines/>
      <w:autoSpaceDE w:val="0"/>
      <w:autoSpaceDN w:val="0"/>
      <w:adjustRightInd w:val="0"/>
      <w:snapToGrid w:val="0"/>
      <w:spacing w:before="240" w:after="240" w:line="360" w:lineRule="auto"/>
      <w:jc w:val="left"/>
      <w:outlineLvl w:val="0"/>
    </w:pPr>
    <w:rPr>
      <w:rFonts w:eastAsia="黑体"/>
      <w:color w:val="000000"/>
      <w:kern w:val="0"/>
      <w:sz w:val="32"/>
      <w:szCs w:val="20"/>
    </w:rPr>
  </w:style>
  <w:style w:type="character" w:customStyle="1" w:styleId="2220">
    <w:name w:val="p4"/>
    <w:uiPriority w:val="0"/>
  </w:style>
  <w:style w:type="paragraph" w:customStyle="1" w:styleId="2221">
    <w:name w:val="二级标题"/>
    <w:basedOn w:val="4"/>
    <w:next w:val="1505"/>
    <w:semiHidden/>
    <w:uiPriority w:val="0"/>
    <w:pPr>
      <w:tabs>
        <w:tab w:val="clear" w:pos="360"/>
      </w:tabs>
      <w:ind w:left="0" w:firstLine="0" w:firstLineChars="0"/>
    </w:pPr>
    <w:rPr>
      <w:rFonts w:ascii="Times New Roman" w:hAnsi="Times New Roman"/>
      <w:b w:val="0"/>
      <w:bCs w:val="0"/>
      <w:szCs w:val="20"/>
    </w:rPr>
  </w:style>
  <w:style w:type="paragraph" w:customStyle="1" w:styleId="2222">
    <w:name w:val="规划正文"/>
    <w:basedOn w:val="1"/>
    <w:semiHidden/>
    <w:uiPriority w:val="0"/>
    <w:pPr>
      <w:adjustRightInd w:val="0"/>
      <w:ind w:firstLine="539"/>
      <w:textAlignment w:val="baseline"/>
    </w:pPr>
    <w:rPr>
      <w:rFonts w:eastAsia="仿宋_GB2312"/>
      <w:kern w:val="0"/>
      <w:sz w:val="28"/>
      <w:szCs w:val="20"/>
    </w:rPr>
  </w:style>
  <w:style w:type="character" w:customStyle="1" w:styleId="2223">
    <w:name w:val="HTML 地址 Char"/>
    <w:uiPriority w:val="0"/>
    <w:rPr>
      <w:rFonts w:eastAsia="宋体"/>
      <w:i/>
      <w:iCs/>
      <w:kern w:val="2"/>
      <w:sz w:val="21"/>
    </w:rPr>
  </w:style>
  <w:style w:type="character" w:customStyle="1" w:styleId="2224">
    <w:name w:val="电子邮件签名 Char"/>
    <w:uiPriority w:val="0"/>
    <w:rPr>
      <w:rFonts w:eastAsia="宋体"/>
      <w:kern w:val="2"/>
      <w:sz w:val="21"/>
    </w:rPr>
  </w:style>
  <w:style w:type="table" w:customStyle="1" w:styleId="2225">
    <w:name w:val="网格型 11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paragraph" w:customStyle="1" w:styleId="2226">
    <w:name w:val="p19"/>
    <w:basedOn w:val="1"/>
    <w:uiPriority w:val="0"/>
    <w:pPr>
      <w:widowControl/>
      <w:spacing w:line="360" w:lineRule="auto"/>
      <w:ind w:firstLine="420"/>
    </w:pPr>
    <w:rPr>
      <w:kern w:val="0"/>
      <w:sz w:val="24"/>
    </w:rPr>
  </w:style>
  <w:style w:type="character" w:customStyle="1" w:styleId="2227">
    <w:name w:val="7表格(治) Char Char"/>
    <w:uiPriority w:val="0"/>
    <w:rPr>
      <w:rFonts w:eastAsia="楷体_GB2312" w:cs="宋体"/>
      <w:kern w:val="2"/>
      <w:sz w:val="21"/>
      <w:szCs w:val="36"/>
      <w:lang w:val="en-US" w:eastAsia="zh-CN" w:bidi="ar-SA"/>
    </w:rPr>
  </w:style>
  <w:style w:type="paragraph" w:customStyle="1" w:styleId="2228">
    <w:name w:val="50"/>
    <w:basedOn w:val="1"/>
    <w:uiPriority w:val="0"/>
    <w:pPr>
      <w:widowControl/>
      <w:spacing w:before="100" w:beforeAutospacing="1" w:after="100" w:afterAutospacing="1"/>
      <w:jc w:val="left"/>
    </w:pPr>
    <w:rPr>
      <w:rFonts w:ascii="宋体" w:hAnsi="宋体" w:cs="宋体"/>
      <w:kern w:val="0"/>
      <w:sz w:val="24"/>
    </w:rPr>
  </w:style>
  <w:style w:type="character" w:customStyle="1" w:styleId="2229">
    <w:name w:val="表格与图片标题 Char Char"/>
    <w:link w:val="1364"/>
    <w:uiPriority w:val="0"/>
    <w:rPr>
      <w:rFonts w:ascii="Cambria" w:hAnsi="Cambria" w:cs="宋体"/>
      <w:i/>
      <w:iCs/>
      <w:color w:val="243F60"/>
      <w:kern w:val="2"/>
      <w:sz w:val="22"/>
      <w:szCs w:val="21"/>
      <w:lang w:eastAsia="en-US" w:bidi="en-US"/>
    </w:rPr>
  </w:style>
  <w:style w:type="paragraph" w:customStyle="1" w:styleId="2230">
    <w:name w:val="Char Char3 Char Char"/>
    <w:basedOn w:val="1"/>
    <w:uiPriority w:val="0"/>
    <w:pPr>
      <w:spacing w:line="360" w:lineRule="auto"/>
      <w:ind w:firstLine="200" w:firstLineChars="200"/>
    </w:pPr>
    <w:rPr>
      <w:rFonts w:ascii="宋体" w:hAnsi="宋体" w:cs="宋体"/>
      <w:sz w:val="24"/>
      <w:szCs w:val="20"/>
    </w:rPr>
  </w:style>
  <w:style w:type="paragraph" w:customStyle="1" w:styleId="2231">
    <w:name w:val="4标题（治） Char Char"/>
    <w:basedOn w:val="1"/>
    <w:semiHidden/>
    <w:uiPriority w:val="0"/>
    <w:pPr>
      <w:spacing w:line="360" w:lineRule="auto"/>
      <w:ind w:firstLine="200" w:firstLineChars="200"/>
      <w:outlineLvl w:val="3"/>
    </w:pPr>
    <w:rPr>
      <w:rFonts w:eastAsia="黑体" w:cs="宋体"/>
      <w:b/>
      <w:sz w:val="24"/>
    </w:rPr>
  </w:style>
  <w:style w:type="character" w:customStyle="1" w:styleId="2232">
    <w:name w:val="列表编号 Char"/>
    <w:link w:val="20"/>
    <w:locked/>
    <w:uiPriority w:val="0"/>
    <w:rPr>
      <w:sz w:val="24"/>
      <w:szCs w:val="28"/>
    </w:rPr>
  </w:style>
  <w:style w:type="paragraph" w:customStyle="1" w:styleId="2233">
    <w:name w:val="Char Char Char1 Char3"/>
    <w:basedOn w:val="1"/>
    <w:uiPriority w:val="0"/>
  </w:style>
  <w:style w:type="character" w:customStyle="1" w:styleId="2234">
    <w:name w:val="Char Char62"/>
    <w:uiPriority w:val="0"/>
    <w:rPr>
      <w:kern w:val="2"/>
      <w:sz w:val="18"/>
      <w:szCs w:val="18"/>
    </w:rPr>
  </w:style>
  <w:style w:type="paragraph" w:customStyle="1" w:styleId="2235">
    <w:name w:val="Char Char3 Char Char1"/>
    <w:basedOn w:val="1"/>
    <w:uiPriority w:val="0"/>
    <w:pPr>
      <w:spacing w:line="360" w:lineRule="auto"/>
      <w:ind w:firstLine="200" w:firstLineChars="200"/>
    </w:pPr>
    <w:rPr>
      <w:rFonts w:ascii="宋体" w:hAnsi="宋体" w:cs="宋体"/>
      <w:sz w:val="24"/>
      <w:szCs w:val="20"/>
    </w:rPr>
  </w:style>
  <w:style w:type="character" w:customStyle="1" w:styleId="2236">
    <w:name w:val="FHDI中文报告正文缩进 Char Char"/>
    <w:uiPriority w:val="0"/>
    <w:rPr>
      <w:rFonts w:ascii="Arial" w:hAnsi="Arial"/>
      <w:sz w:val="28"/>
      <w:szCs w:val="28"/>
    </w:rPr>
  </w:style>
  <w:style w:type="character" w:customStyle="1" w:styleId="2237">
    <w:name w:val="表格样式 Char"/>
    <w:uiPriority w:val="0"/>
    <w:rPr>
      <w:rFonts w:ascii="Calibri" w:hAnsi="Calibri" w:eastAsia="宋体" w:cs="Times New Roman"/>
      <w:bCs/>
      <w:kern w:val="0"/>
      <w:sz w:val="24"/>
      <w:szCs w:val="24"/>
    </w:rPr>
  </w:style>
  <w:style w:type="paragraph" w:customStyle="1" w:styleId="2238">
    <w:name w:val="中文正文"/>
    <w:basedOn w:val="1"/>
    <w:next w:val="1"/>
    <w:link w:val="2239"/>
    <w:qFormat/>
    <w:uiPriority w:val="0"/>
    <w:pPr>
      <w:snapToGrid w:val="0"/>
      <w:spacing w:beforeLines="50" w:afterLines="50" w:line="288" w:lineRule="auto"/>
      <w:ind w:firstLine="200" w:firstLineChars="200"/>
    </w:pPr>
    <w:rPr>
      <w:rFonts w:ascii="Arial" w:hAnsi="Arial"/>
      <w:sz w:val="28"/>
    </w:rPr>
  </w:style>
  <w:style w:type="character" w:customStyle="1" w:styleId="2239">
    <w:name w:val="中文正文 Char"/>
    <w:link w:val="2238"/>
    <w:uiPriority w:val="0"/>
    <w:rPr>
      <w:rFonts w:ascii="Arial" w:hAnsi="Arial"/>
      <w:kern w:val="2"/>
      <w:sz w:val="28"/>
      <w:szCs w:val="24"/>
    </w:rPr>
  </w:style>
  <w:style w:type="paragraph" w:customStyle="1" w:styleId="2240">
    <w:name w:val="样式 仿宋_GB2312 四号 段前: 7.8 磅 段后: 7.8 磅 行距: 1.5 倍行距"/>
    <w:basedOn w:val="1"/>
    <w:link w:val="2241"/>
    <w:uiPriority w:val="0"/>
    <w:pPr>
      <w:spacing w:line="360" w:lineRule="auto"/>
      <w:ind w:firstLine="630" w:firstLineChars="225"/>
    </w:pPr>
    <w:rPr>
      <w:rFonts w:ascii="Arial" w:hAnsi="Arial"/>
      <w:sz w:val="24"/>
      <w:szCs w:val="20"/>
    </w:rPr>
  </w:style>
  <w:style w:type="character" w:customStyle="1" w:styleId="2241">
    <w:name w:val="样式 仿宋_GB2312 四号 段前: 7.8 磅 段后: 7.8 磅 行距: 1.5 倍行距 Char"/>
    <w:link w:val="2240"/>
    <w:uiPriority w:val="0"/>
    <w:rPr>
      <w:rFonts w:ascii="Arial" w:hAnsi="Arial"/>
      <w:kern w:val="2"/>
      <w:sz w:val="24"/>
    </w:rPr>
  </w:style>
  <w:style w:type="paragraph" w:customStyle="1" w:styleId="2242">
    <w:name w:val="CN-表格"/>
    <w:basedOn w:val="1"/>
    <w:qFormat/>
    <w:uiPriority w:val="0"/>
    <w:pPr>
      <w:widowControl/>
      <w:spacing w:line="240" w:lineRule="atLeast"/>
      <w:jc w:val="center"/>
    </w:pPr>
    <w:rPr>
      <w:rFonts w:eastAsia="仿宋_GB2312"/>
      <w:sz w:val="24"/>
      <w:szCs w:val="28"/>
    </w:rPr>
  </w:style>
  <w:style w:type="character" w:customStyle="1" w:styleId="2243">
    <w:name w:val="px14"/>
    <w:uiPriority w:val="0"/>
  </w:style>
  <w:style w:type="paragraph" w:customStyle="1" w:styleId="2244">
    <w:name w:val="珠海项目"/>
    <w:basedOn w:val="21"/>
    <w:link w:val="2245"/>
    <w:uiPriority w:val="0"/>
    <w:pPr>
      <w:ind w:firstLine="560" w:firstLineChars="200"/>
    </w:pPr>
    <w:rPr>
      <w:rFonts w:ascii="仿宋_GB2312" w:eastAsia="仿宋_GB2312"/>
      <w:sz w:val="28"/>
      <w:szCs w:val="24"/>
    </w:rPr>
  </w:style>
  <w:style w:type="character" w:customStyle="1" w:styleId="2245">
    <w:name w:val="珠海项目 Char"/>
    <w:link w:val="2244"/>
    <w:uiPriority w:val="0"/>
    <w:rPr>
      <w:rFonts w:ascii="仿宋_GB2312" w:eastAsia="仿宋_GB2312"/>
      <w:kern w:val="2"/>
      <w:sz w:val="28"/>
      <w:szCs w:val="24"/>
    </w:rPr>
  </w:style>
  <w:style w:type="paragraph" w:customStyle="1" w:styleId="2246">
    <w:name w:val="样式 样式 标题 1 + 黑体 段前: 15 磅 段后: 15 磅 行距: 单倍行距 +"/>
    <w:basedOn w:val="1"/>
    <w:uiPriority w:val="0"/>
    <w:pPr>
      <w:keepNext/>
      <w:keepLines/>
      <w:tabs>
        <w:tab w:val="left" w:pos="0"/>
        <w:tab w:val="left" w:pos="720"/>
      </w:tabs>
      <w:adjustRightInd w:val="0"/>
      <w:snapToGrid w:val="0"/>
      <w:spacing w:beforeLines="100" w:afterLines="100"/>
      <w:ind w:left="432" w:hanging="432"/>
      <w:jc w:val="center"/>
      <w:textAlignment w:val="baseline"/>
      <w:outlineLvl w:val="0"/>
    </w:pPr>
    <w:rPr>
      <w:rFonts w:eastAsia="黑体"/>
      <w:b/>
      <w:bCs/>
      <w:sz w:val="44"/>
      <w:szCs w:val="20"/>
    </w:rPr>
  </w:style>
  <w:style w:type="paragraph" w:customStyle="1" w:styleId="2247">
    <w:name w:val="样式 正文缩进 + Times New Roman 行距: 固定值 26 磅"/>
    <w:basedOn w:val="21"/>
    <w:uiPriority w:val="0"/>
    <w:pPr>
      <w:snapToGrid w:val="0"/>
      <w:spacing w:line="600" w:lineRule="exact"/>
      <w:ind w:firstLine="200" w:firstLineChars="200"/>
    </w:pPr>
    <w:rPr>
      <w:rFonts w:eastAsia="Times New Roman" w:cs="宋体"/>
      <w:sz w:val="28"/>
    </w:rPr>
  </w:style>
  <w:style w:type="paragraph" w:customStyle="1" w:styleId="2248">
    <w:name w:val="Char Char Char Char Char Char Char Char Char1 Char"/>
    <w:basedOn w:val="1"/>
    <w:uiPriority w:val="0"/>
    <w:pPr>
      <w:spacing w:line="360" w:lineRule="auto"/>
      <w:ind w:firstLine="200" w:firstLineChars="200"/>
    </w:pPr>
    <w:rPr>
      <w:rFonts w:ascii="宋体" w:hAnsi="宋体" w:cs="宋体"/>
      <w:sz w:val="24"/>
    </w:rPr>
  </w:style>
  <w:style w:type="paragraph" w:customStyle="1" w:styleId="2249">
    <w:name w:val="字元 字元1"/>
    <w:basedOn w:val="1"/>
    <w:uiPriority w:val="0"/>
  </w:style>
  <w:style w:type="paragraph" w:customStyle="1" w:styleId="2250">
    <w:name w:val="CN-Text08"/>
    <w:basedOn w:val="1"/>
    <w:link w:val="2251"/>
    <w:qFormat/>
    <w:uiPriority w:val="0"/>
    <w:pPr>
      <w:widowControl/>
      <w:adjustRightInd w:val="0"/>
      <w:snapToGrid w:val="0"/>
      <w:spacing w:line="440" w:lineRule="exact"/>
      <w:ind w:firstLine="560" w:firstLineChars="200"/>
    </w:pPr>
    <w:rPr>
      <w:rFonts w:eastAsia="仿宋_GB2312"/>
      <w:sz w:val="28"/>
      <w:szCs w:val="28"/>
    </w:rPr>
  </w:style>
  <w:style w:type="character" w:customStyle="1" w:styleId="2251">
    <w:name w:val="CN-Text08 Char"/>
    <w:link w:val="2250"/>
    <w:uiPriority w:val="0"/>
    <w:rPr>
      <w:rFonts w:eastAsia="仿宋_GB2312"/>
      <w:kern w:val="2"/>
      <w:sz w:val="28"/>
      <w:szCs w:val="28"/>
    </w:rPr>
  </w:style>
  <w:style w:type="paragraph" w:customStyle="1" w:styleId="2252">
    <w:name w:val="CN-表题"/>
    <w:link w:val="2253"/>
    <w:qFormat/>
    <w:uiPriority w:val="0"/>
    <w:pPr>
      <w:adjustRightInd w:val="0"/>
      <w:snapToGrid w:val="0"/>
      <w:spacing w:beforeLines="50" w:afterLines="50" w:line="440" w:lineRule="exact"/>
      <w:jc w:val="center"/>
    </w:pPr>
    <w:rPr>
      <w:rFonts w:ascii="仿宋_GB2312" w:hAnsi="宋体" w:eastAsia="仿宋_GB2312" w:cs="Times New Roman"/>
      <w:kern w:val="2"/>
      <w:sz w:val="28"/>
      <w:szCs w:val="28"/>
      <w:lang w:val="en-US" w:eastAsia="zh-CN" w:bidi="ar-SA"/>
    </w:rPr>
  </w:style>
  <w:style w:type="character" w:customStyle="1" w:styleId="2253">
    <w:name w:val="CN-表题 Char"/>
    <w:link w:val="2252"/>
    <w:uiPriority w:val="0"/>
    <w:rPr>
      <w:rFonts w:ascii="仿宋_GB2312" w:hAnsi="宋体" w:eastAsia="仿宋_GB2312"/>
      <w:kern w:val="2"/>
      <w:sz w:val="28"/>
      <w:szCs w:val="28"/>
    </w:rPr>
  </w:style>
  <w:style w:type="paragraph" w:customStyle="1" w:styleId="2254">
    <w:name w:val="gs标题2"/>
    <w:basedOn w:val="1"/>
    <w:uiPriority w:val="0"/>
    <w:pPr>
      <w:keepNext/>
      <w:keepLines/>
      <w:snapToGrid w:val="0"/>
      <w:spacing w:beforeLines="50" w:afterLines="50" w:line="312" w:lineRule="auto"/>
      <w:outlineLvl w:val="1"/>
    </w:pPr>
    <w:rPr>
      <w:rFonts w:ascii="Arial" w:hAnsi="Arial" w:cs="Arial"/>
      <w:b/>
      <w:bCs/>
      <w:kern w:val="44"/>
      <w:sz w:val="28"/>
      <w:szCs w:val="28"/>
    </w:rPr>
  </w:style>
  <w:style w:type="paragraph" w:customStyle="1" w:styleId="2255">
    <w:name w:val="样式 四号 加粗 居中"/>
    <w:basedOn w:val="1"/>
    <w:uiPriority w:val="0"/>
    <w:pPr>
      <w:jc w:val="center"/>
    </w:pPr>
    <w:rPr>
      <w:rFonts w:ascii="Arial" w:hAnsi="Arial"/>
      <w:b/>
      <w:bCs/>
      <w:sz w:val="28"/>
      <w:szCs w:val="20"/>
    </w:rPr>
  </w:style>
  <w:style w:type="character" w:customStyle="1" w:styleId="2256">
    <w:name w:val="样式 宋体 小四"/>
    <w:uiPriority w:val="0"/>
    <w:rPr>
      <w:rFonts w:ascii="宋体" w:hAnsi="宋体"/>
      <w:sz w:val="24"/>
      <w:szCs w:val="44"/>
      <w:lang w:eastAsia="zh-CN" w:bidi="ar-SA"/>
    </w:rPr>
  </w:style>
  <w:style w:type="paragraph" w:customStyle="1" w:styleId="2257">
    <w:name w:val="lrh1"/>
    <w:basedOn w:val="5"/>
    <w:uiPriority w:val="0"/>
    <w:pPr>
      <w:keepNext w:val="0"/>
      <w:keepLines/>
      <w:tabs>
        <w:tab w:val="left" w:pos="1200"/>
        <w:tab w:val="clear" w:pos="360"/>
      </w:tabs>
      <w:spacing w:beforeLines="100" w:after="260"/>
      <w:ind w:left="1680" w:right="420" w:hanging="360" w:firstLineChars="0"/>
    </w:pPr>
    <w:rPr>
      <w:rFonts w:ascii="宋体" w:hAnsi="宋体" w:eastAsia="宋体" w:cs="宋体"/>
      <w:bCs w:val="0"/>
      <w:spacing w:val="-2"/>
      <w:sz w:val="28"/>
      <w:szCs w:val="20"/>
      <w:lang w:val="en-GB"/>
    </w:rPr>
  </w:style>
  <w:style w:type="paragraph" w:customStyle="1" w:styleId="2258">
    <w:name w:val="称呼1"/>
    <w:basedOn w:val="1"/>
    <w:next w:val="1"/>
    <w:uiPriority w:val="0"/>
    <w:pPr>
      <w:autoSpaceDE w:val="0"/>
      <w:autoSpaceDN w:val="0"/>
      <w:adjustRightInd w:val="0"/>
      <w:spacing w:line="312" w:lineRule="atLeast"/>
      <w:textAlignment w:val="baseline"/>
    </w:pPr>
    <w:rPr>
      <w:rFonts w:ascii="Arial" w:hAnsi="Arial" w:eastAsia="Times New Roman"/>
      <w:spacing w:val="20"/>
      <w:kern w:val="0"/>
      <w:sz w:val="28"/>
    </w:rPr>
  </w:style>
  <w:style w:type="paragraph" w:customStyle="1" w:styleId="2259">
    <w:name w:val="样式 标题 2标题2 + 右侧:  2 字符 段前: 1.5 行"/>
    <w:basedOn w:val="4"/>
    <w:uiPriority w:val="0"/>
    <w:pPr>
      <w:keepNext w:val="0"/>
      <w:keepLines w:val="0"/>
      <w:tabs>
        <w:tab w:val="left" w:pos="576"/>
        <w:tab w:val="clear" w:pos="360"/>
      </w:tabs>
      <w:adjustRightInd w:val="0"/>
      <w:snapToGrid w:val="0"/>
      <w:spacing w:beforeLines="50" w:afterLines="50" w:line="288" w:lineRule="auto"/>
      <w:ind w:left="578" w:right="420" w:rightChars="200" w:hanging="578" w:firstLineChars="0"/>
      <w:contextualSpacing/>
    </w:pPr>
    <w:rPr>
      <w:rFonts w:ascii="宋体" w:hAnsi="宋体" w:eastAsia="宋体" w:cs="宋体"/>
      <w:sz w:val="28"/>
      <w:szCs w:val="20"/>
    </w:rPr>
  </w:style>
  <w:style w:type="paragraph" w:customStyle="1" w:styleId="2260">
    <w:name w:val="样式 宋体 四号 行距: 1.5 倍行距1"/>
    <w:basedOn w:val="5"/>
    <w:uiPriority w:val="0"/>
    <w:pPr>
      <w:tabs>
        <w:tab w:val="clear" w:pos="360"/>
      </w:tabs>
      <w:adjustRightInd/>
      <w:snapToGrid/>
      <w:spacing w:beforeLines="100" w:after="260"/>
      <w:ind w:left="0" w:right="420" w:firstLine="0" w:firstLineChars="0"/>
    </w:pPr>
    <w:rPr>
      <w:rFonts w:ascii="宋体" w:hAnsi="宋体" w:eastAsia="宋体" w:cs="宋体"/>
      <w:sz w:val="28"/>
      <w:szCs w:val="20"/>
      <w:lang w:val="en-GB"/>
    </w:rPr>
  </w:style>
  <w:style w:type="paragraph" w:customStyle="1" w:styleId="2261">
    <w:name w:val="Preformatted"/>
    <w:basedOn w:val="1"/>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2262">
    <w:name w:val="样式 标题 3Section + Times New Roman"/>
    <w:basedOn w:val="4"/>
    <w:next w:val="4"/>
    <w:uiPriority w:val="0"/>
    <w:pPr>
      <w:keepNext w:val="0"/>
      <w:keepLines w:val="0"/>
      <w:tabs>
        <w:tab w:val="left" w:pos="576"/>
        <w:tab w:val="clear" w:pos="360"/>
      </w:tabs>
      <w:adjustRightInd w:val="0"/>
      <w:snapToGrid w:val="0"/>
      <w:spacing w:beforeLines="50" w:afterLines="50" w:line="360" w:lineRule="auto"/>
      <w:ind w:left="578" w:right="200" w:rightChars="200" w:hanging="578" w:firstLineChars="0"/>
      <w:contextualSpacing/>
    </w:pPr>
    <w:rPr>
      <w:rFonts w:ascii="Times New Roman" w:hAnsi="Times New Roman" w:eastAsia="宋体" w:cs="宋体"/>
      <w:b w:val="0"/>
      <w:sz w:val="28"/>
      <w:szCs w:val="20"/>
    </w:rPr>
  </w:style>
  <w:style w:type="character" w:customStyle="1" w:styleId="2263">
    <w:name w:val="样式 标题 3Section + Times New Roman Char"/>
    <w:uiPriority w:val="0"/>
    <w:rPr>
      <w:rFonts w:ascii="Arial" w:hAnsi="Arial" w:eastAsia="宋体" w:cs="宋体"/>
      <w:bCs/>
      <w:kern w:val="2"/>
      <w:sz w:val="28"/>
      <w:szCs w:val="18"/>
      <w:lang w:val="en-US" w:eastAsia="zh-CN" w:bidi="ar-SA"/>
    </w:rPr>
  </w:style>
  <w:style w:type="paragraph" w:customStyle="1" w:styleId="2264">
    <w:name w:val="样式 标题 2标题2Chapter Title + 右侧:  2 字符 段前: 1.5 行"/>
    <w:basedOn w:val="4"/>
    <w:uiPriority w:val="0"/>
    <w:pPr>
      <w:keepNext w:val="0"/>
      <w:keepLines w:val="0"/>
      <w:tabs>
        <w:tab w:val="left" w:pos="576"/>
        <w:tab w:val="clear" w:pos="360"/>
      </w:tabs>
      <w:adjustRightInd w:val="0"/>
      <w:snapToGrid w:val="0"/>
      <w:spacing w:beforeLines="50" w:afterLines="50" w:line="360" w:lineRule="auto"/>
      <w:ind w:left="578" w:right="420" w:rightChars="200" w:hanging="578" w:firstLineChars="0"/>
      <w:contextualSpacing/>
    </w:pPr>
    <w:rPr>
      <w:rFonts w:eastAsia="宋体" w:cs="宋体"/>
      <w:b w:val="0"/>
      <w:sz w:val="28"/>
      <w:szCs w:val="20"/>
    </w:rPr>
  </w:style>
  <w:style w:type="paragraph" w:customStyle="1" w:styleId="2265">
    <w:name w:val="样式xiaojie"/>
    <w:basedOn w:val="1"/>
    <w:uiPriority w:val="0"/>
    <w:pPr>
      <w:spacing w:line="360" w:lineRule="auto"/>
      <w:ind w:right="220" w:rightChars="105"/>
    </w:pPr>
    <w:rPr>
      <w:rFonts w:eastAsia="仿宋_GB2312"/>
      <w:color w:val="000000"/>
      <w:sz w:val="28"/>
    </w:rPr>
  </w:style>
  <w:style w:type="paragraph" w:customStyle="1" w:styleId="2266">
    <w:name w:val="样式jie"/>
    <w:basedOn w:val="4"/>
    <w:uiPriority w:val="0"/>
    <w:pPr>
      <w:tabs>
        <w:tab w:val="clear" w:pos="360"/>
      </w:tabs>
      <w:spacing w:line="360" w:lineRule="auto"/>
      <w:ind w:left="0" w:firstLine="0" w:firstLineChars="0"/>
    </w:pPr>
    <w:rPr>
      <w:rFonts w:ascii="Times New Roman" w:hAnsi="Times New Roman" w:eastAsia="仿宋_GB2312"/>
      <w:sz w:val="28"/>
    </w:rPr>
  </w:style>
  <w:style w:type="paragraph" w:customStyle="1" w:styleId="2267">
    <w:name w:val="样式 样式 列表 + (中文) 仿宋_GB2312 + (中文) 宋体"/>
    <w:basedOn w:val="1"/>
    <w:uiPriority w:val="0"/>
    <w:pPr>
      <w:spacing w:line="360" w:lineRule="auto"/>
      <w:ind w:left="1325" w:hanging="425"/>
      <w:outlineLvl w:val="1"/>
    </w:pPr>
    <w:rPr>
      <w:rFonts w:ascii="Arial" w:hAnsi="Arial"/>
      <w:b/>
      <w:bCs/>
      <w:spacing w:val="6"/>
      <w:sz w:val="28"/>
      <w:szCs w:val="28"/>
    </w:rPr>
  </w:style>
  <w:style w:type="paragraph" w:customStyle="1" w:styleId="2268">
    <w:name w:val="表中 文字"/>
    <w:basedOn w:val="1"/>
    <w:link w:val="2269"/>
    <w:qFormat/>
    <w:uiPriority w:val="0"/>
    <w:pPr>
      <w:adjustRightInd w:val="0"/>
      <w:snapToGrid w:val="0"/>
      <w:jc w:val="center"/>
    </w:pPr>
    <w:rPr>
      <w:rFonts w:ascii="Arial" w:hAnsi="Arial" w:eastAsia="仿宋_GB2312"/>
      <w:bCs/>
      <w:sz w:val="24"/>
    </w:rPr>
  </w:style>
  <w:style w:type="character" w:customStyle="1" w:styleId="2269">
    <w:name w:val="表中 文字 Char"/>
    <w:link w:val="2268"/>
    <w:uiPriority w:val="0"/>
    <w:rPr>
      <w:rFonts w:ascii="Arial" w:hAnsi="Arial" w:eastAsia="仿宋_GB2312"/>
      <w:bCs/>
      <w:kern w:val="2"/>
      <w:sz w:val="24"/>
      <w:szCs w:val="24"/>
    </w:rPr>
  </w:style>
  <w:style w:type="paragraph" w:customStyle="1" w:styleId="2270">
    <w:name w:val="样式 仿宋_GB2312 四号 行距: 1.5 倍行距"/>
    <w:basedOn w:val="1"/>
    <w:uiPriority w:val="0"/>
    <w:pPr>
      <w:spacing w:line="360" w:lineRule="auto"/>
      <w:ind w:firstLine="560" w:firstLineChars="200"/>
    </w:pPr>
    <w:rPr>
      <w:rFonts w:ascii="仿宋_GB2312" w:eastAsia="仿宋_GB2312" w:cs="宋体"/>
      <w:sz w:val="28"/>
      <w:szCs w:val="20"/>
    </w:rPr>
  </w:style>
  <w:style w:type="paragraph" w:customStyle="1" w:styleId="2271">
    <w:name w:val="gs正文+缩进"/>
    <w:basedOn w:val="1"/>
    <w:link w:val="2272"/>
    <w:uiPriority w:val="0"/>
    <w:pPr>
      <w:tabs>
        <w:tab w:val="left" w:pos="900"/>
      </w:tabs>
      <w:spacing w:beforeLines="50" w:afterLines="50" w:line="312" w:lineRule="auto"/>
      <w:ind w:firstLine="200" w:firstLineChars="200"/>
    </w:pPr>
    <w:rPr>
      <w:rFonts w:ascii="Arial" w:hAnsi="Arial"/>
      <w:bCs/>
      <w:sz w:val="28"/>
      <w:szCs w:val="28"/>
    </w:rPr>
  </w:style>
  <w:style w:type="character" w:customStyle="1" w:styleId="2272">
    <w:name w:val="gs正文+缩进 Char"/>
    <w:link w:val="2271"/>
    <w:uiPriority w:val="0"/>
    <w:rPr>
      <w:rFonts w:ascii="Arial" w:hAnsi="Arial"/>
      <w:bCs/>
      <w:kern w:val="2"/>
      <w:sz w:val="28"/>
      <w:szCs w:val="28"/>
    </w:rPr>
  </w:style>
  <w:style w:type="paragraph" w:customStyle="1" w:styleId="2273">
    <w:name w:val="gs-表格样式"/>
    <w:link w:val="2274"/>
    <w:uiPriority w:val="0"/>
    <w:pPr>
      <w:snapToGrid w:val="0"/>
      <w:spacing w:line="288" w:lineRule="auto"/>
      <w:jc w:val="center"/>
    </w:pPr>
    <w:rPr>
      <w:rFonts w:ascii="Arial" w:hAnsi="Arial" w:eastAsia="宋体" w:cs="Times New Roman"/>
      <w:kern w:val="2"/>
      <w:sz w:val="24"/>
      <w:szCs w:val="24"/>
      <w:lang w:val="en-US" w:eastAsia="zh-CN" w:bidi="ar-SA"/>
    </w:rPr>
  </w:style>
  <w:style w:type="character" w:customStyle="1" w:styleId="2274">
    <w:name w:val="gs-表格样式 Char Char"/>
    <w:link w:val="2273"/>
    <w:uiPriority w:val="0"/>
    <w:rPr>
      <w:rFonts w:ascii="Arial" w:hAnsi="Arial"/>
      <w:kern w:val="2"/>
      <w:sz w:val="24"/>
      <w:szCs w:val="24"/>
    </w:rPr>
  </w:style>
  <w:style w:type="paragraph" w:customStyle="1" w:styleId="2275">
    <w:name w:val="Char Char Char Char Char Char Char Char Char Char Char Char Char2"/>
    <w:basedOn w:val="1"/>
    <w:uiPriority w:val="0"/>
    <w:rPr>
      <w:szCs w:val="21"/>
    </w:rPr>
  </w:style>
  <w:style w:type="paragraph" w:customStyle="1" w:styleId="2276">
    <w:name w:val="样式 标题 3 + (西文) Arial (中文) 仿宋_GB2312"/>
    <w:basedOn w:val="5"/>
    <w:uiPriority w:val="0"/>
    <w:pPr>
      <w:keepLines/>
      <w:tabs>
        <w:tab w:val="clear" w:pos="360"/>
      </w:tabs>
      <w:adjustRightInd/>
      <w:snapToGrid/>
      <w:spacing w:before="260" w:after="260" w:line="415" w:lineRule="auto"/>
      <w:ind w:left="0" w:firstLine="281" w:firstLineChars="100"/>
    </w:pPr>
    <w:rPr>
      <w:rFonts w:eastAsia="仿宋_GB2312"/>
      <w:b/>
      <w:sz w:val="28"/>
      <w:szCs w:val="28"/>
    </w:rPr>
  </w:style>
  <w:style w:type="paragraph" w:customStyle="1" w:styleId="2277">
    <w:name w:val="样式 标题 2 + (中文) 仿宋_GB2312"/>
    <w:basedOn w:val="4"/>
    <w:uiPriority w:val="0"/>
    <w:pPr>
      <w:tabs>
        <w:tab w:val="clear" w:pos="360"/>
      </w:tabs>
      <w:spacing w:line="415" w:lineRule="auto"/>
      <w:ind w:left="0" w:firstLine="0" w:firstLineChars="0"/>
    </w:pPr>
    <w:rPr>
      <w:rFonts w:eastAsia="仿宋_GB2312"/>
      <w:sz w:val="28"/>
      <w:szCs w:val="28"/>
    </w:rPr>
  </w:style>
  <w:style w:type="paragraph" w:customStyle="1" w:styleId="2278">
    <w:name w:val="样式 标题 4 + (中文) 仿宋_GB2312"/>
    <w:basedOn w:val="6"/>
    <w:uiPriority w:val="0"/>
    <w:pPr>
      <w:tabs>
        <w:tab w:val="clear" w:pos="360"/>
      </w:tabs>
      <w:spacing w:before="120" w:after="120" w:line="360" w:lineRule="auto"/>
      <w:ind w:left="0" w:firstLine="482" w:firstLineChars="150"/>
      <w:jc w:val="both"/>
    </w:pPr>
    <w:rPr>
      <w:rFonts w:ascii="Arial" w:hAnsi="Arial" w:eastAsia="仿宋_GB2312"/>
      <w:sz w:val="24"/>
      <w:szCs w:val="24"/>
    </w:rPr>
  </w:style>
  <w:style w:type="paragraph" w:customStyle="1" w:styleId="2279">
    <w:name w:val="标题 4 + (中文) 仿宋_GB2312 + 首行缩进:  2 字符"/>
    <w:basedOn w:val="6"/>
    <w:uiPriority w:val="0"/>
    <w:pPr>
      <w:tabs>
        <w:tab w:val="clear" w:pos="360"/>
      </w:tabs>
      <w:spacing w:before="120" w:after="120" w:line="360" w:lineRule="auto"/>
      <w:ind w:left="0" w:firstLine="422" w:firstLineChars="150"/>
      <w:jc w:val="both"/>
    </w:pPr>
    <w:rPr>
      <w:rFonts w:ascii="Arial" w:hAnsi="Arial" w:cs="宋体"/>
      <w:sz w:val="28"/>
      <w:szCs w:val="20"/>
    </w:rPr>
  </w:style>
  <w:style w:type="paragraph" w:customStyle="1" w:styleId="2280">
    <w:name w:val="标题 4 + 首行缩进:  2 字符"/>
    <w:basedOn w:val="6"/>
    <w:uiPriority w:val="0"/>
    <w:pPr>
      <w:tabs>
        <w:tab w:val="clear" w:pos="360"/>
      </w:tabs>
      <w:spacing w:before="120" w:after="120" w:line="360" w:lineRule="auto"/>
      <w:ind w:left="0" w:firstLine="241" w:firstLineChars="100"/>
      <w:jc w:val="both"/>
    </w:pPr>
    <w:rPr>
      <w:rFonts w:ascii="Arial" w:hAnsi="Arial" w:cs="宋体"/>
      <w:sz w:val="28"/>
      <w:szCs w:val="20"/>
    </w:rPr>
  </w:style>
  <w:style w:type="paragraph" w:customStyle="1" w:styleId="2281">
    <w:name w:val="样式 列表 + (中文) 仿宋_GB2312"/>
    <w:basedOn w:val="66"/>
    <w:uiPriority w:val="0"/>
    <w:pPr>
      <w:tabs>
        <w:tab w:val="clear" w:pos="283"/>
      </w:tabs>
      <w:adjustRightInd/>
      <w:snapToGrid/>
      <w:spacing w:beforeLines="0" w:after="120" w:line="360" w:lineRule="auto"/>
      <w:outlineLvl w:val="1"/>
    </w:pPr>
    <w:rPr>
      <w:rFonts w:ascii="Arial" w:hAnsi="Arial" w:eastAsia="仿宋_GB2312"/>
      <w:bCs/>
      <w:spacing w:val="6"/>
      <w:sz w:val="24"/>
      <w:szCs w:val="28"/>
    </w:rPr>
  </w:style>
  <w:style w:type="paragraph" w:customStyle="1" w:styleId="2282">
    <w:name w:val="样式 目录 1 + 首行缩进:  0.84 厘米"/>
    <w:basedOn w:val="59"/>
    <w:uiPriority w:val="0"/>
    <w:pPr>
      <w:widowControl w:val="0"/>
      <w:tabs>
        <w:tab w:val="left" w:pos="1400"/>
        <w:tab w:val="right" w:leader="dot" w:pos="8495"/>
        <w:tab w:val="right" w:leader="dot" w:pos="9060"/>
        <w:tab w:val="clear" w:pos="8296"/>
      </w:tabs>
      <w:adjustRightInd/>
      <w:snapToGrid/>
      <w:ind w:firstLine="561" w:firstLineChars="0"/>
      <w:jc w:val="left"/>
    </w:pPr>
    <w:rPr>
      <w:rFonts w:ascii="Arial" w:hAnsi="Arial" w:cs="宋体"/>
      <w:smallCaps/>
      <w:kern w:val="2"/>
      <w:sz w:val="30"/>
      <w:szCs w:val="20"/>
    </w:rPr>
  </w:style>
  <w:style w:type="paragraph" w:customStyle="1" w:styleId="2283">
    <w:name w:val="经表"/>
    <w:basedOn w:val="66"/>
    <w:next w:val="66"/>
    <w:uiPriority w:val="0"/>
    <w:pPr>
      <w:tabs>
        <w:tab w:val="left" w:pos="1605"/>
        <w:tab w:val="clear" w:pos="283"/>
      </w:tabs>
      <w:adjustRightInd/>
      <w:snapToGrid/>
      <w:spacing w:beforeLines="0" w:line="360" w:lineRule="auto"/>
      <w:ind w:left="950" w:hanging="425"/>
      <w:outlineLvl w:val="1"/>
    </w:pPr>
    <w:rPr>
      <w:rFonts w:ascii="Arial" w:hAnsi="Arial"/>
      <w:spacing w:val="6"/>
      <w:sz w:val="24"/>
      <w:szCs w:val="24"/>
    </w:rPr>
  </w:style>
  <w:style w:type="paragraph" w:customStyle="1" w:styleId="2284">
    <w:name w:val="序列号"/>
    <w:basedOn w:val="1"/>
    <w:link w:val="2285"/>
    <w:qFormat/>
    <w:uiPriority w:val="0"/>
    <w:pPr>
      <w:adjustRightInd w:val="0"/>
      <w:snapToGrid w:val="0"/>
      <w:spacing w:beforeLines="50" w:afterLines="50" w:line="288" w:lineRule="auto"/>
    </w:pPr>
    <w:rPr>
      <w:rFonts w:ascii="Arial" w:hAnsi="Arial"/>
      <w:sz w:val="28"/>
      <w:szCs w:val="28"/>
    </w:rPr>
  </w:style>
  <w:style w:type="character" w:customStyle="1" w:styleId="2285">
    <w:name w:val="序列号 Char"/>
    <w:link w:val="2284"/>
    <w:uiPriority w:val="0"/>
    <w:rPr>
      <w:rFonts w:ascii="Arial" w:hAnsi="Arial"/>
      <w:kern w:val="2"/>
      <w:sz w:val="28"/>
      <w:szCs w:val="28"/>
    </w:rPr>
  </w:style>
  <w:style w:type="character" w:customStyle="1" w:styleId="2286">
    <w:name w:val="正文0 Char"/>
    <w:link w:val="2287"/>
    <w:uiPriority w:val="0"/>
    <w:rPr>
      <w:rFonts w:eastAsia="仿宋_GB2312"/>
      <w:sz w:val="28"/>
    </w:rPr>
  </w:style>
  <w:style w:type="paragraph" w:customStyle="1" w:styleId="2287">
    <w:name w:val="正文0"/>
    <w:basedOn w:val="1"/>
    <w:link w:val="2286"/>
    <w:qFormat/>
    <w:uiPriority w:val="0"/>
    <w:pPr>
      <w:widowControl/>
      <w:snapToGrid w:val="0"/>
      <w:spacing w:beforeLines="50" w:afterLines="50" w:line="312" w:lineRule="auto"/>
      <w:ind w:firstLine="560" w:firstLineChars="200"/>
    </w:pPr>
    <w:rPr>
      <w:rFonts w:eastAsia="仿宋_GB2312"/>
      <w:kern w:val="0"/>
      <w:sz w:val="28"/>
      <w:szCs w:val="20"/>
    </w:rPr>
  </w:style>
  <w:style w:type="character" w:customStyle="1" w:styleId="2288">
    <w:name w:val="HTML Markup"/>
    <w:uiPriority w:val="0"/>
    <w:rPr>
      <w:vanish/>
      <w:color w:val="FF0000"/>
    </w:rPr>
  </w:style>
  <w:style w:type="paragraph" w:customStyle="1" w:styleId="2289">
    <w:name w:val="Date1"/>
    <w:basedOn w:val="1"/>
    <w:next w:val="1"/>
    <w:uiPriority w:val="0"/>
    <w:pPr>
      <w:adjustRightInd w:val="0"/>
      <w:textAlignment w:val="baseline"/>
    </w:pPr>
    <w:rPr>
      <w:rFonts w:ascii="宋体"/>
      <w:kern w:val="0"/>
      <w:sz w:val="28"/>
      <w:szCs w:val="20"/>
    </w:rPr>
  </w:style>
  <w:style w:type="paragraph" w:customStyle="1" w:styleId="2290">
    <w:name w:val="样式 列表编号 3 + (中文) 仿宋_GB2312 四号 加粗"/>
    <w:basedOn w:val="36"/>
    <w:uiPriority w:val="0"/>
    <w:pPr>
      <w:widowControl w:val="0"/>
      <w:tabs>
        <w:tab w:val="clear" w:pos="1200"/>
      </w:tabs>
      <w:adjustRightInd/>
      <w:snapToGrid/>
      <w:spacing w:beforeLines="50" w:afterLines="50" w:line="240" w:lineRule="auto"/>
      <w:ind w:left="0" w:leftChars="0" w:firstLine="413" w:firstLineChars="147"/>
    </w:pPr>
    <w:rPr>
      <w:rFonts w:ascii="仿宋_GB2312" w:eastAsia="仿宋_GB2312"/>
      <w:b/>
      <w:bCs/>
      <w:kern w:val="2"/>
      <w:sz w:val="28"/>
      <w:szCs w:val="24"/>
    </w:rPr>
  </w:style>
  <w:style w:type="character" w:customStyle="1" w:styleId="2291">
    <w:name w:val="big1"/>
    <w:uiPriority w:val="0"/>
    <w:rPr>
      <w:sz w:val="18"/>
      <w:szCs w:val="18"/>
    </w:rPr>
  </w:style>
  <w:style w:type="paragraph" w:customStyle="1" w:styleId="2292">
    <w:name w:val="Date2"/>
    <w:basedOn w:val="1"/>
    <w:next w:val="1"/>
    <w:qFormat/>
    <w:uiPriority w:val="0"/>
    <w:pPr>
      <w:widowControl/>
      <w:adjustRightInd w:val="0"/>
      <w:jc w:val="left"/>
      <w:textAlignment w:val="baseline"/>
    </w:pPr>
    <w:rPr>
      <w:sz w:val="28"/>
      <w:szCs w:val="20"/>
    </w:rPr>
  </w:style>
  <w:style w:type="paragraph" w:customStyle="1" w:styleId="2293">
    <w:name w:val="Body Text 23"/>
    <w:basedOn w:val="1"/>
    <w:uiPriority w:val="0"/>
    <w:pPr>
      <w:adjustRightInd w:val="0"/>
      <w:spacing w:line="360" w:lineRule="auto"/>
      <w:ind w:firstLine="540"/>
      <w:jc w:val="left"/>
      <w:textAlignment w:val="baseline"/>
    </w:pPr>
    <w:rPr>
      <w:sz w:val="28"/>
      <w:szCs w:val="20"/>
    </w:rPr>
  </w:style>
  <w:style w:type="paragraph" w:customStyle="1" w:styleId="2294">
    <w:name w:val="Body Text Indent 21"/>
    <w:basedOn w:val="1"/>
    <w:uiPriority w:val="0"/>
    <w:pPr>
      <w:adjustRightInd w:val="0"/>
      <w:spacing w:line="360" w:lineRule="auto"/>
      <w:ind w:firstLine="525"/>
      <w:jc w:val="left"/>
      <w:textAlignment w:val="baseline"/>
    </w:pPr>
    <w:rPr>
      <w:sz w:val="28"/>
      <w:szCs w:val="20"/>
    </w:rPr>
  </w:style>
  <w:style w:type="paragraph" w:customStyle="1" w:styleId="2295">
    <w:name w:val="Body Text Indent 31"/>
    <w:basedOn w:val="1"/>
    <w:uiPriority w:val="0"/>
    <w:pPr>
      <w:adjustRightInd w:val="0"/>
      <w:ind w:firstLine="525"/>
      <w:jc w:val="left"/>
      <w:textAlignment w:val="baseline"/>
    </w:pPr>
    <w:rPr>
      <w:sz w:val="28"/>
      <w:szCs w:val="20"/>
    </w:rPr>
  </w:style>
  <w:style w:type="paragraph" w:customStyle="1" w:styleId="2296">
    <w:name w:val="样式 小四 段前: 6 磅 段后: 6 磅 行距: 多倍行距 1.2 字行"/>
    <w:basedOn w:val="1"/>
    <w:uiPriority w:val="0"/>
    <w:pPr>
      <w:adjustRightInd w:val="0"/>
      <w:spacing w:line="288" w:lineRule="auto"/>
      <w:ind w:left="720" w:leftChars="257" w:firstLine="461" w:firstLineChars="192"/>
      <w:textAlignment w:val="baseline"/>
    </w:pPr>
    <w:rPr>
      <w:rFonts w:ascii="Arial" w:hAnsi="Arial" w:cs="宋体"/>
      <w:sz w:val="24"/>
      <w:szCs w:val="20"/>
    </w:rPr>
  </w:style>
  <w:style w:type="paragraph" w:customStyle="1" w:styleId="2297">
    <w:name w:val="样式 正文文字 + 小四 非加粗 居中"/>
    <w:basedOn w:val="34"/>
    <w:link w:val="2298"/>
    <w:uiPriority w:val="0"/>
    <w:pPr>
      <w:spacing w:after="120"/>
      <w:jc w:val="center"/>
    </w:pPr>
    <w:rPr>
      <w:rFonts w:ascii="Arial" w:hAnsi="Arial" w:eastAsia="黑体"/>
      <w:b/>
      <w:snapToGrid w:val="0"/>
      <w:color w:val="000000"/>
      <w:spacing w:val="100"/>
      <w:sz w:val="24"/>
    </w:rPr>
  </w:style>
  <w:style w:type="character" w:customStyle="1" w:styleId="2298">
    <w:name w:val="样式 正文文字 + 小四 非加粗 居中 Char"/>
    <w:link w:val="2297"/>
    <w:uiPriority w:val="0"/>
    <w:rPr>
      <w:rFonts w:ascii="Arial" w:hAnsi="Arial" w:eastAsia="黑体"/>
      <w:b/>
      <w:snapToGrid w:val="0"/>
      <w:color w:val="000000"/>
      <w:spacing w:val="100"/>
      <w:kern w:val="2"/>
      <w:sz w:val="24"/>
    </w:rPr>
  </w:style>
  <w:style w:type="character" w:customStyle="1" w:styleId="2299">
    <w:name w:val="contenttext11"/>
    <w:uiPriority w:val="0"/>
    <w:rPr>
      <w:rFonts w:hint="eastAsia" w:ascii="宋体" w:hAnsi="宋体" w:eastAsia="宋体"/>
      <w:color w:val="000000"/>
      <w:sz w:val="24"/>
      <w:szCs w:val="24"/>
    </w:rPr>
  </w:style>
  <w:style w:type="paragraph" w:customStyle="1" w:styleId="2300">
    <w:name w:val="Body Text 24"/>
    <w:basedOn w:val="1"/>
    <w:uiPriority w:val="0"/>
    <w:pPr>
      <w:adjustRightInd w:val="0"/>
      <w:spacing w:line="360" w:lineRule="auto"/>
      <w:ind w:firstLine="540"/>
      <w:jc w:val="left"/>
      <w:textAlignment w:val="baseline"/>
    </w:pPr>
    <w:rPr>
      <w:sz w:val="28"/>
      <w:szCs w:val="20"/>
    </w:rPr>
  </w:style>
  <w:style w:type="paragraph" w:customStyle="1" w:styleId="2301">
    <w:name w:val="列表编号 + (西文) Arial (中文) 宋体"/>
    <w:basedOn w:val="20"/>
    <w:uiPriority w:val="0"/>
    <w:pPr>
      <w:widowControl w:val="0"/>
      <w:tabs>
        <w:tab w:val="clear" w:pos="360"/>
      </w:tabs>
      <w:spacing w:line="240" w:lineRule="auto"/>
      <w:ind w:left="482" w:firstLine="0" w:firstLineChars="0"/>
      <w:jc w:val="center"/>
      <w:textAlignment w:val="baseline"/>
    </w:pPr>
    <w:rPr>
      <w:rFonts w:ascii="Arial" w:hAnsi="Arial" w:eastAsia="仿宋_GB2312"/>
      <w:b/>
      <w:bCs/>
      <w:kern w:val="2"/>
      <w:sz w:val="28"/>
    </w:rPr>
  </w:style>
  <w:style w:type="paragraph" w:customStyle="1" w:styleId="2302">
    <w:name w:val="AFTERTITLE"/>
    <w:basedOn w:val="1"/>
    <w:uiPriority w:val="0"/>
    <w:pPr>
      <w:widowControl/>
      <w:spacing w:line="360" w:lineRule="atLeast"/>
      <w:jc w:val="center"/>
    </w:pPr>
    <w:rPr>
      <w:b/>
      <w:caps/>
      <w:kern w:val="0"/>
      <w:sz w:val="24"/>
      <w:szCs w:val="20"/>
      <w:lang w:val="fr-FR"/>
    </w:rPr>
  </w:style>
  <w:style w:type="character" w:customStyle="1" w:styleId="2303">
    <w:name w:val="e011"/>
    <w:uiPriority w:val="0"/>
    <w:rPr>
      <w:sz w:val="18"/>
      <w:szCs w:val="18"/>
    </w:rPr>
  </w:style>
  <w:style w:type="paragraph" w:customStyle="1" w:styleId="2304">
    <w:name w:val="Date3"/>
    <w:basedOn w:val="1"/>
    <w:next w:val="1"/>
    <w:uiPriority w:val="0"/>
    <w:pPr>
      <w:adjustRightInd w:val="0"/>
      <w:jc w:val="left"/>
      <w:textAlignment w:val="baseline"/>
    </w:pPr>
    <w:rPr>
      <w:rFonts w:eastAsia="Wingdings"/>
      <w:sz w:val="28"/>
      <w:szCs w:val="28"/>
    </w:rPr>
  </w:style>
  <w:style w:type="paragraph" w:customStyle="1" w:styleId="2305">
    <w:name w:val="Body Text Indent 32"/>
    <w:basedOn w:val="1"/>
    <w:uiPriority w:val="0"/>
    <w:pPr>
      <w:adjustRightInd w:val="0"/>
      <w:ind w:firstLine="525"/>
      <w:jc w:val="left"/>
      <w:textAlignment w:val="baseline"/>
    </w:pPr>
    <w:rPr>
      <w:sz w:val="28"/>
      <w:szCs w:val="20"/>
    </w:rPr>
  </w:style>
  <w:style w:type="paragraph" w:customStyle="1" w:styleId="2306">
    <w:name w:val="样式 四号 行距: 1 倍行距"/>
    <w:basedOn w:val="1"/>
    <w:uiPriority w:val="0"/>
    <w:pPr>
      <w:spacing w:line="360" w:lineRule="auto"/>
    </w:pPr>
    <w:rPr>
      <w:rFonts w:cs="宋体"/>
      <w:sz w:val="28"/>
      <w:szCs w:val="20"/>
    </w:rPr>
  </w:style>
  <w:style w:type="paragraph" w:customStyle="1" w:styleId="2307">
    <w:name w:val="样式 四号 两端对齐 段前: 6 磅 段后: 6 磅 行距: 多倍行距 1.2 字行"/>
    <w:basedOn w:val="1"/>
    <w:uiPriority w:val="0"/>
    <w:pPr>
      <w:adjustRightInd w:val="0"/>
      <w:spacing w:line="288" w:lineRule="auto"/>
      <w:ind w:firstLine="538" w:firstLineChars="192"/>
      <w:textAlignment w:val="baseline"/>
    </w:pPr>
    <w:rPr>
      <w:rFonts w:ascii="Arial" w:hAnsi="Arial" w:cs="宋体"/>
      <w:kern w:val="0"/>
      <w:sz w:val="28"/>
      <w:szCs w:val="20"/>
    </w:rPr>
  </w:style>
  <w:style w:type="paragraph" w:customStyle="1" w:styleId="2308">
    <w:name w:val="样式 小四 加粗 段前: 7.8 磅 段后: 7.8 磅 行距: 多倍行距 1.2 字行"/>
    <w:basedOn w:val="1"/>
    <w:uiPriority w:val="0"/>
    <w:pPr>
      <w:adjustRightInd w:val="0"/>
      <w:spacing w:line="288" w:lineRule="auto"/>
      <w:textAlignment w:val="baseline"/>
    </w:pPr>
    <w:rPr>
      <w:rFonts w:ascii="Arial" w:hAnsi="Arial" w:cs="宋体"/>
      <w:b/>
      <w:bCs/>
      <w:sz w:val="24"/>
      <w:szCs w:val="20"/>
    </w:rPr>
  </w:style>
  <w:style w:type="paragraph" w:customStyle="1" w:styleId="2309">
    <w:name w:val="日期2"/>
    <w:basedOn w:val="1"/>
    <w:next w:val="1"/>
    <w:uiPriority w:val="0"/>
    <w:pPr>
      <w:adjustRightInd w:val="0"/>
      <w:jc w:val="left"/>
      <w:textAlignment w:val="baseline"/>
    </w:pPr>
    <w:rPr>
      <w:rFonts w:eastAsia="Wingdings"/>
      <w:sz w:val="28"/>
      <w:szCs w:val="20"/>
    </w:rPr>
  </w:style>
  <w:style w:type="character" w:customStyle="1" w:styleId="2310">
    <w:name w:val="标题sdy Char"/>
    <w:uiPriority w:val="0"/>
    <w:rPr>
      <w:rFonts w:eastAsia="黑体"/>
      <w:b/>
      <w:bCs/>
      <w:kern w:val="44"/>
      <w:sz w:val="32"/>
      <w:szCs w:val="44"/>
      <w:lang w:val="en-US" w:eastAsia="zh-CN" w:bidi="ar-SA"/>
    </w:rPr>
  </w:style>
  <w:style w:type="paragraph" w:customStyle="1" w:styleId="2311">
    <w:name w:val="样式 样式 列表编号 3 + (中文) 仿宋_GB2312 四号 加粗 + (西文) Arial (中文) 宋体 Char"/>
    <w:basedOn w:val="2290"/>
    <w:uiPriority w:val="0"/>
    <w:pPr>
      <w:tabs>
        <w:tab w:val="left" w:pos="1850"/>
      </w:tabs>
      <w:spacing w:beforeLines="0" w:afterLines="0"/>
      <w:ind w:firstLine="482" w:firstLineChars="200"/>
    </w:pPr>
    <w:rPr>
      <w:rFonts w:ascii="Arial" w:hAnsi="Arial" w:eastAsia="宋体"/>
      <w:sz w:val="24"/>
    </w:rPr>
  </w:style>
  <w:style w:type="character" w:customStyle="1" w:styleId="2312">
    <w:name w:val="样式 列表编号 3 + (中文) 仿宋_GB2312 四号 加粗 Char"/>
    <w:uiPriority w:val="0"/>
    <w:rPr>
      <w:rFonts w:ascii="Arial" w:hAnsi="Arial" w:eastAsia="宋体"/>
      <w:b/>
      <w:bCs/>
      <w:kern w:val="2"/>
      <w:sz w:val="24"/>
      <w:szCs w:val="24"/>
      <w:lang w:val="en-US" w:eastAsia="zh-CN" w:bidi="ar-SA"/>
    </w:rPr>
  </w:style>
  <w:style w:type="paragraph" w:customStyle="1" w:styleId="2313">
    <w:name w:val="样式 样式 列表编号 3 + (中文) 仿宋_GB2312 四号 加粗 + (西文) Arial (中文) 宋体"/>
    <w:basedOn w:val="2290"/>
    <w:uiPriority w:val="0"/>
    <w:pPr>
      <w:tabs>
        <w:tab w:val="left" w:pos="720"/>
      </w:tabs>
      <w:spacing w:beforeLines="0" w:afterLines="0"/>
      <w:ind w:firstLine="482" w:firstLineChars="200"/>
    </w:pPr>
    <w:rPr>
      <w:rFonts w:ascii="Arial" w:hAnsi="Arial" w:eastAsia="宋体"/>
      <w:sz w:val="24"/>
    </w:rPr>
  </w:style>
  <w:style w:type="paragraph" w:customStyle="1" w:styleId="2314">
    <w:name w:val="样式 标题 3 + 段前: 6 磅 段后: 6 磅 行距: 多倍行距 1.73 字行"/>
    <w:basedOn w:val="5"/>
    <w:uiPriority w:val="0"/>
    <w:pPr>
      <w:keepLines/>
      <w:tabs>
        <w:tab w:val="clear" w:pos="360"/>
      </w:tabs>
      <w:snapToGrid/>
      <w:spacing w:before="260" w:after="260" w:line="415" w:lineRule="auto"/>
      <w:ind w:left="0" w:firstLine="0" w:firstLineChars="0"/>
      <w:textAlignment w:val="baseline"/>
    </w:pPr>
    <w:rPr>
      <w:rFonts w:eastAsia="宋体" w:cs="宋体"/>
      <w:b/>
      <w:sz w:val="28"/>
      <w:szCs w:val="20"/>
    </w:rPr>
  </w:style>
  <w:style w:type="paragraph" w:customStyle="1" w:styleId="2315">
    <w:name w:val="标题sdy2"/>
    <w:basedOn w:val="2316"/>
    <w:uiPriority w:val="0"/>
    <w:pPr>
      <w:ind w:firstLine="540"/>
    </w:pPr>
    <w:rPr>
      <w:sz w:val="28"/>
      <w:szCs w:val="28"/>
    </w:rPr>
  </w:style>
  <w:style w:type="paragraph" w:customStyle="1" w:styleId="2316">
    <w:name w:val="标题sdy"/>
    <w:basedOn w:val="3"/>
    <w:uiPriority w:val="0"/>
    <w:pPr>
      <w:keepLines/>
      <w:tabs>
        <w:tab w:val="clear" w:pos="360"/>
      </w:tabs>
      <w:spacing w:before="340" w:after="330" w:line="360" w:lineRule="auto"/>
      <w:ind w:left="0" w:firstLine="0" w:firstLineChars="0"/>
      <w:jc w:val="left"/>
    </w:pPr>
    <w:rPr>
      <w:rFonts w:eastAsia="黑体"/>
      <w:b/>
      <w:bCs/>
      <w:kern w:val="44"/>
      <w:sz w:val="32"/>
      <w:szCs w:val="44"/>
    </w:rPr>
  </w:style>
  <w:style w:type="character" w:customStyle="1" w:styleId="2317">
    <w:name w:val="标题sdy2 Char"/>
    <w:uiPriority w:val="0"/>
    <w:rPr>
      <w:rFonts w:eastAsia="黑体"/>
      <w:b/>
      <w:bCs/>
      <w:kern w:val="44"/>
      <w:sz w:val="28"/>
      <w:szCs w:val="28"/>
      <w:lang w:val="en-US" w:eastAsia="zh-CN" w:bidi="ar-SA"/>
    </w:rPr>
  </w:style>
  <w:style w:type="paragraph" w:customStyle="1" w:styleId="2318">
    <w:name w:val="fig"/>
    <w:basedOn w:val="1"/>
    <w:uiPriority w:val="0"/>
    <w:pPr>
      <w:widowControl/>
      <w:jc w:val="left"/>
    </w:pPr>
    <w:rPr>
      <w:rFonts w:ascii="宋体" w:hAnsi="宋体"/>
      <w:color w:val="000000"/>
      <w:kern w:val="0"/>
      <w:sz w:val="28"/>
      <w:szCs w:val="20"/>
    </w:rPr>
  </w:style>
  <w:style w:type="paragraph" w:customStyle="1" w:styleId="2319">
    <w:name w:val="label"/>
    <w:basedOn w:val="1"/>
    <w:uiPriority w:val="0"/>
    <w:pPr>
      <w:widowControl/>
      <w:jc w:val="left"/>
    </w:pPr>
    <w:rPr>
      <w:rFonts w:ascii="宋体" w:hAnsi="宋体"/>
      <w:color w:val="000000"/>
      <w:kern w:val="0"/>
      <w:sz w:val="28"/>
      <w:szCs w:val="20"/>
    </w:rPr>
  </w:style>
  <w:style w:type="paragraph" w:customStyle="1" w:styleId="2320">
    <w:name w:val="样式 正文文本缩进 + 段后: 0 磅 行距: 1.5 倍行距"/>
    <w:basedOn w:val="34"/>
    <w:uiPriority w:val="0"/>
    <w:pPr>
      <w:spacing w:after="120" w:line="360" w:lineRule="auto"/>
      <w:ind w:firstLine="694" w:firstLineChars="200"/>
    </w:pPr>
    <w:rPr>
      <w:rFonts w:eastAsia="宋体" w:cs="宋体"/>
      <w:sz w:val="21"/>
    </w:rPr>
  </w:style>
  <w:style w:type="paragraph" w:customStyle="1" w:styleId="2321">
    <w:name w:val="Table Title"/>
    <w:basedOn w:val="1"/>
    <w:uiPriority w:val="0"/>
    <w:pPr>
      <w:spacing w:line="320" w:lineRule="exact"/>
      <w:jc w:val="center"/>
    </w:pPr>
    <w:rPr>
      <w:bCs/>
      <w:sz w:val="28"/>
    </w:rPr>
  </w:style>
  <w:style w:type="paragraph" w:customStyle="1" w:styleId="2322">
    <w:name w:val="PP 行"/>
    <w:basedOn w:val="58"/>
    <w:uiPriority w:val="0"/>
    <w:pPr>
      <w:widowControl w:val="0"/>
      <w:adjustRightInd/>
      <w:snapToGrid/>
      <w:spacing w:line="240" w:lineRule="auto"/>
      <w:ind w:firstLine="0" w:firstLineChars="0"/>
    </w:pPr>
    <w:rPr>
      <w:kern w:val="2"/>
      <w:sz w:val="21"/>
      <w:szCs w:val="20"/>
    </w:rPr>
  </w:style>
  <w:style w:type="character" w:customStyle="1" w:styleId="2323">
    <w:name w:val="nava2"/>
    <w:uiPriority w:val="0"/>
    <w:rPr>
      <w:sz w:val="18"/>
      <w:szCs w:val="18"/>
    </w:rPr>
  </w:style>
  <w:style w:type="paragraph" w:customStyle="1" w:styleId="2324">
    <w:name w:val="列图编号"/>
    <w:basedOn w:val="1"/>
    <w:uiPriority w:val="0"/>
    <w:pPr>
      <w:tabs>
        <w:tab w:val="left" w:pos="0"/>
        <w:tab w:val="left" w:pos="1665"/>
      </w:tabs>
      <w:jc w:val="center"/>
    </w:pPr>
    <w:rPr>
      <w:rFonts w:eastAsia="仿宋_GB2312"/>
      <w:sz w:val="28"/>
      <w:szCs w:val="28"/>
    </w:rPr>
  </w:style>
  <w:style w:type="paragraph" w:customStyle="1" w:styleId="2325">
    <w:name w:val="图 Char Char"/>
    <w:basedOn w:val="1"/>
    <w:link w:val="2326"/>
    <w:uiPriority w:val="0"/>
    <w:pPr>
      <w:tabs>
        <w:tab w:val="left" w:pos="0"/>
        <w:tab w:val="left" w:pos="3345"/>
      </w:tabs>
      <w:spacing w:afterLines="150"/>
      <w:jc w:val="center"/>
    </w:pPr>
    <w:rPr>
      <w:rFonts w:ascii="Arial" w:hAnsi="Arial"/>
      <w:b/>
      <w:bCs/>
      <w:sz w:val="24"/>
    </w:rPr>
  </w:style>
  <w:style w:type="character" w:customStyle="1" w:styleId="2326">
    <w:name w:val="图 Char Char Char"/>
    <w:link w:val="2325"/>
    <w:uiPriority w:val="0"/>
    <w:rPr>
      <w:rFonts w:ascii="Arial" w:hAnsi="Arial"/>
      <w:b/>
      <w:bCs/>
      <w:kern w:val="2"/>
      <w:sz w:val="24"/>
      <w:szCs w:val="24"/>
    </w:rPr>
  </w:style>
  <w:style w:type="paragraph" w:customStyle="1" w:styleId="2327">
    <w:name w:val="Char Char Char Char Char Char Char Char Char Char Char Char Char Char Char Char Char Char Char"/>
    <w:basedOn w:val="1"/>
    <w:uiPriority w:val="0"/>
    <w:rPr>
      <w:szCs w:val="21"/>
    </w:rPr>
  </w:style>
  <w:style w:type="paragraph" w:customStyle="1" w:styleId="2328">
    <w:name w:val="表五号字"/>
    <w:basedOn w:val="1"/>
    <w:uiPriority w:val="0"/>
    <w:pPr>
      <w:adjustRightInd w:val="0"/>
      <w:snapToGrid w:val="0"/>
      <w:spacing w:line="360" w:lineRule="atLeast"/>
      <w:jc w:val="center"/>
      <w:textAlignment w:val="baseline"/>
    </w:pPr>
    <w:rPr>
      <w:rFonts w:ascii="宋体" w:hAnsi="宋体"/>
      <w:kern w:val="0"/>
      <w:szCs w:val="21"/>
    </w:rPr>
  </w:style>
  <w:style w:type="paragraph" w:customStyle="1" w:styleId="2329">
    <w:name w:val="0－表文"/>
    <w:basedOn w:val="1"/>
    <w:uiPriority w:val="0"/>
    <w:pPr>
      <w:jc w:val="center"/>
    </w:pPr>
    <w:rPr>
      <w:szCs w:val="21"/>
    </w:rPr>
  </w:style>
  <w:style w:type="paragraph" w:customStyle="1" w:styleId="2330">
    <w:name w:val="样式 正文缩进正文（首行缩进两字） + 首行缩进:  2 字符"/>
    <w:uiPriority w:val="0"/>
    <w:pPr>
      <w:spacing w:line="360" w:lineRule="auto"/>
      <w:ind w:firstLine="561"/>
    </w:pPr>
    <w:rPr>
      <w:rFonts w:ascii="Times New Roman" w:hAnsi="Times New Roman" w:eastAsia="宋体" w:cs="宋体"/>
      <w:kern w:val="2"/>
      <w:sz w:val="24"/>
      <w:szCs w:val="24"/>
      <w:lang w:val="en-US" w:eastAsia="zh-CN" w:bidi="ar-SA"/>
    </w:rPr>
  </w:style>
  <w:style w:type="paragraph" w:customStyle="1" w:styleId="2331">
    <w:name w:val="样式 首行缩进:  2 字符2"/>
    <w:basedOn w:val="1"/>
    <w:uiPriority w:val="0"/>
    <w:pPr>
      <w:ind w:firstLine="560" w:firstLineChars="200"/>
    </w:pPr>
    <w:rPr>
      <w:rFonts w:cs="宋体"/>
      <w:sz w:val="28"/>
      <w:szCs w:val="20"/>
    </w:rPr>
  </w:style>
  <w:style w:type="paragraph" w:customStyle="1" w:styleId="2332">
    <w:name w:val="小标题5"/>
    <w:basedOn w:val="21"/>
    <w:uiPriority w:val="0"/>
    <w:pPr>
      <w:tabs>
        <w:tab w:val="left" w:pos="1253"/>
      </w:tabs>
      <w:adjustRightInd w:val="0"/>
      <w:snapToGrid w:val="0"/>
      <w:spacing w:beforeLines="50" w:line="360" w:lineRule="auto"/>
      <w:ind w:left="1253" w:right="567" w:hanging="735"/>
    </w:pPr>
    <w:rPr>
      <w:rFonts w:eastAsia="黑体"/>
      <w:sz w:val="24"/>
    </w:rPr>
  </w:style>
  <w:style w:type="paragraph" w:customStyle="1" w:styleId="2333">
    <w:name w:val="Char Char Char1 Char Char Char Char Char Char Char Char Char Char"/>
    <w:basedOn w:val="1"/>
    <w:uiPriority w:val="0"/>
    <w:rPr>
      <w:sz w:val="24"/>
    </w:rPr>
  </w:style>
  <w:style w:type="paragraph" w:customStyle="1" w:styleId="2334">
    <w:name w:val="列表编号 3 + Arial 小四"/>
    <w:basedOn w:val="36"/>
    <w:link w:val="2409"/>
    <w:uiPriority w:val="0"/>
    <w:pPr>
      <w:widowControl w:val="0"/>
      <w:tabs>
        <w:tab w:val="left" w:pos="1560"/>
        <w:tab w:val="clear" w:pos="1200"/>
      </w:tabs>
      <w:adjustRightInd/>
      <w:snapToGrid/>
      <w:spacing w:line="240" w:lineRule="auto"/>
      <w:ind w:left="905" w:leftChars="0" w:hanging="763" w:firstLineChars="0"/>
      <w:jc w:val="left"/>
    </w:pPr>
    <w:rPr>
      <w:rFonts w:ascii="Arial" w:hAnsi="Arial" w:eastAsia="仿宋_GB2312"/>
      <w:b/>
      <w:kern w:val="2"/>
      <w:sz w:val="28"/>
    </w:rPr>
  </w:style>
  <w:style w:type="character" w:customStyle="1" w:styleId="2335">
    <w:name w:val="tw4winMark"/>
    <w:uiPriority w:val="0"/>
    <w:rPr>
      <w:vanish/>
      <w:color w:val="800080"/>
      <w:vertAlign w:val="subscript"/>
    </w:rPr>
  </w:style>
  <w:style w:type="character" w:customStyle="1" w:styleId="2336">
    <w:name w:val="样式 Times New Roman 四号"/>
    <w:uiPriority w:val="0"/>
    <w:rPr>
      <w:rFonts w:ascii="Times New Roman" w:hAnsi="Times New Roman" w:eastAsia="仿宋_GB2312"/>
      <w:kern w:val="2"/>
      <w:sz w:val="28"/>
      <w:szCs w:val="28"/>
      <w:lang w:val="en-US" w:eastAsia="zh-CN" w:bidi="ar-SA"/>
    </w:rPr>
  </w:style>
  <w:style w:type="paragraph" w:customStyle="1" w:styleId="2337">
    <w:name w:val="Char1 Char Char Char Char Char Char Char Char Char Char Char Char Char Char Char Char Char Char Char Char Char Char Char Char"/>
    <w:basedOn w:val="1"/>
    <w:uiPriority w:val="0"/>
    <w:rPr>
      <w:szCs w:val="21"/>
    </w:rPr>
  </w:style>
  <w:style w:type="paragraph" w:customStyle="1" w:styleId="2338">
    <w:name w:val="样式 标题 4 + 段前: 0.5 行 段后: 0.5 行"/>
    <w:basedOn w:val="6"/>
    <w:uiPriority w:val="0"/>
    <w:pPr>
      <w:tabs>
        <w:tab w:val="left" w:pos="720"/>
        <w:tab w:val="left" w:pos="840"/>
        <w:tab w:val="clear" w:pos="360"/>
      </w:tabs>
      <w:spacing w:beforeLines="50" w:afterLines="50" w:line="300" w:lineRule="auto"/>
      <w:ind w:left="0" w:firstLine="0" w:firstLineChars="0"/>
      <w:jc w:val="both"/>
    </w:pPr>
    <w:rPr>
      <w:rFonts w:hAnsi="Times New Roman"/>
      <w:sz w:val="24"/>
      <w:szCs w:val="24"/>
    </w:rPr>
  </w:style>
  <w:style w:type="paragraph" w:customStyle="1" w:styleId="2339">
    <w:name w:val="样式"/>
    <w:basedOn w:val="1"/>
    <w:next w:val="70"/>
    <w:uiPriority w:val="0"/>
    <w:pPr>
      <w:spacing w:line="360" w:lineRule="auto"/>
      <w:ind w:firstLine="560" w:firstLineChars="200"/>
    </w:pPr>
    <w:rPr>
      <w:color w:val="0000FF"/>
      <w:sz w:val="28"/>
      <w:szCs w:val="28"/>
    </w:rPr>
  </w:style>
  <w:style w:type="paragraph" w:customStyle="1" w:styleId="2340">
    <w:name w:val="lz正文"/>
    <w:basedOn w:val="35"/>
    <w:uiPriority w:val="0"/>
    <w:pPr>
      <w:adjustRightInd w:val="0"/>
      <w:snapToGrid w:val="0"/>
      <w:spacing w:after="120" w:line="312" w:lineRule="auto"/>
      <w:ind w:firstLine="200" w:firstLineChars="200"/>
    </w:pPr>
    <w:rPr>
      <w:sz w:val="28"/>
    </w:rPr>
  </w:style>
  <w:style w:type="paragraph" w:customStyle="1" w:styleId="2341">
    <w:name w:val="样式 小四 段前: 7.8 磅 段后: 7.8 磅 行距: 多倍行距 1.2 字行"/>
    <w:basedOn w:val="1"/>
    <w:uiPriority w:val="0"/>
    <w:pPr>
      <w:spacing w:line="288" w:lineRule="auto"/>
      <w:ind w:firstLine="540" w:firstLineChars="225"/>
    </w:pPr>
    <w:rPr>
      <w:rFonts w:ascii="Arial" w:hAnsi="Arial"/>
      <w:sz w:val="24"/>
      <w:szCs w:val="20"/>
    </w:rPr>
  </w:style>
  <w:style w:type="paragraph" w:customStyle="1" w:styleId="2342">
    <w:name w:val="font1"/>
    <w:basedOn w:val="1"/>
    <w:uiPriority w:val="0"/>
    <w:pPr>
      <w:widowControl/>
      <w:spacing w:beforeAutospacing="1" w:afterAutospacing="1"/>
      <w:jc w:val="left"/>
    </w:pPr>
    <w:rPr>
      <w:rFonts w:hint="eastAsia" w:ascii="宋体" w:hAnsi="宋体" w:cs="Arial Unicode MS"/>
      <w:kern w:val="0"/>
      <w:sz w:val="24"/>
    </w:rPr>
  </w:style>
  <w:style w:type="paragraph" w:customStyle="1" w:styleId="2343">
    <w:name w:val="调研内容"/>
    <w:basedOn w:val="1"/>
    <w:uiPriority w:val="0"/>
    <w:pPr>
      <w:spacing w:line="360" w:lineRule="auto"/>
    </w:pPr>
    <w:rPr>
      <w:szCs w:val="20"/>
    </w:rPr>
  </w:style>
  <w:style w:type="paragraph" w:customStyle="1" w:styleId="2344">
    <w:name w:val="00正文"/>
    <w:basedOn w:val="1"/>
    <w:link w:val="2345"/>
    <w:uiPriority w:val="0"/>
    <w:pPr>
      <w:tabs>
        <w:tab w:val="left" w:pos="4992"/>
      </w:tabs>
      <w:adjustRightInd w:val="0"/>
      <w:snapToGrid w:val="0"/>
      <w:spacing w:line="360" w:lineRule="auto"/>
      <w:outlineLvl w:val="3"/>
    </w:pPr>
    <w:rPr>
      <w:rFonts w:hAnsi="宋体"/>
      <w:sz w:val="24"/>
    </w:rPr>
  </w:style>
  <w:style w:type="character" w:customStyle="1" w:styleId="2345">
    <w:name w:val="00正文 Char"/>
    <w:link w:val="2344"/>
    <w:uiPriority w:val="0"/>
    <w:rPr>
      <w:rFonts w:hAnsi="宋体"/>
      <w:kern w:val="2"/>
      <w:sz w:val="24"/>
      <w:szCs w:val="24"/>
    </w:rPr>
  </w:style>
  <w:style w:type="paragraph" w:customStyle="1" w:styleId="2346">
    <w:name w:val="Char1 Char Char"/>
    <w:basedOn w:val="1"/>
    <w:uiPriority w:val="0"/>
    <w:rPr>
      <w:szCs w:val="21"/>
    </w:rPr>
  </w:style>
  <w:style w:type="paragraph" w:customStyle="1" w:styleId="2347">
    <w:name w:val="Char1 Char Char Char Char Char Char Char Char Char Char Char Char"/>
    <w:basedOn w:val="1"/>
    <w:uiPriority w:val="0"/>
    <w:rPr>
      <w:szCs w:val="21"/>
    </w:rPr>
  </w:style>
  <w:style w:type="paragraph" w:customStyle="1" w:styleId="2348">
    <w:name w:val="Char1 Char Char Char Char Char Char Char Char Char Char Char Char Char Char Char Char Char Char Char Char"/>
    <w:basedOn w:val="1"/>
    <w:uiPriority w:val="0"/>
    <w:rPr>
      <w:szCs w:val="21"/>
    </w:rPr>
  </w:style>
  <w:style w:type="paragraph" w:customStyle="1" w:styleId="2349">
    <w:name w:val="Char1 Char Char Char Char Char Char Char Char Char"/>
    <w:basedOn w:val="1"/>
    <w:uiPriority w:val="0"/>
    <w:rPr>
      <w:szCs w:val="21"/>
    </w:rPr>
  </w:style>
  <w:style w:type="paragraph" w:customStyle="1" w:styleId="2350">
    <w:name w:val="?¨¦o¡ê????"/>
    <w:uiPriority w:val="0"/>
    <w:pPr>
      <w:widowControl w:val="0"/>
      <w:ind w:firstLine="560" w:firstLineChars="200"/>
      <w:jc w:val="both"/>
    </w:pPr>
    <w:rPr>
      <w:rFonts w:ascii="仿宋_GB2312" w:hAnsi="Times New Roman" w:eastAsia="仿宋_GB2312" w:cs="仿宋_GB2312"/>
      <w:kern w:val="2"/>
      <w:sz w:val="28"/>
      <w:szCs w:val="28"/>
      <w:lang w:val="en-US" w:eastAsia="zh-CN" w:bidi="ar-SA"/>
    </w:rPr>
  </w:style>
  <w:style w:type="paragraph" w:customStyle="1" w:styleId="2351">
    <w:name w:val="??¡ì|o?¡§o????"/>
    <w:uiPriority w:val="0"/>
    <w:pPr>
      <w:widowControl w:val="0"/>
      <w:ind w:firstLine="560" w:firstLineChars="200"/>
      <w:jc w:val="both"/>
    </w:pPr>
    <w:rPr>
      <w:rFonts w:ascii="仿宋_GB2312" w:hAnsi="Times New Roman" w:eastAsia="仿宋_GB2312" w:cs="仿宋_GB2312"/>
      <w:kern w:val="2"/>
      <w:sz w:val="28"/>
      <w:szCs w:val="28"/>
      <w:lang w:val="en-US" w:eastAsia="zh-CN" w:bidi="ar-SA"/>
    </w:rPr>
  </w:style>
  <w:style w:type="paragraph" w:customStyle="1" w:styleId="2352">
    <w:name w:val="样式 样式4 + 字距调整小四"/>
    <w:basedOn w:val="151"/>
    <w:uiPriority w:val="0"/>
    <w:pPr>
      <w:numPr>
        <w:ilvl w:val="0"/>
        <w:numId w:val="0"/>
      </w:numPr>
      <w:tabs>
        <w:tab w:val="clear" w:pos="576"/>
        <w:tab w:val="clear" w:pos="987"/>
      </w:tabs>
      <w:adjustRightInd/>
      <w:snapToGrid/>
      <w:spacing w:beforeLines="0" w:afterLines="0" w:line="240" w:lineRule="auto"/>
      <w:jc w:val="both"/>
      <w:outlineLvl w:val="9"/>
    </w:pPr>
    <w:rPr>
      <w:rFonts w:ascii="Arial" w:hAnsi="Arial" w:eastAsia="楷体_GB2312" w:cs="Arial"/>
      <w:b w:val="0"/>
      <w:kern w:val="24"/>
    </w:rPr>
  </w:style>
  <w:style w:type="paragraph" w:customStyle="1" w:styleId="2353">
    <w:name w:val="样式 标题 2 + 宋体 小四"/>
    <w:basedOn w:val="4"/>
    <w:uiPriority w:val="0"/>
    <w:pPr>
      <w:tabs>
        <w:tab w:val="clear" w:pos="360"/>
      </w:tabs>
      <w:spacing w:line="288" w:lineRule="auto"/>
      <w:ind w:left="0" w:firstLine="0" w:firstLineChars="0"/>
    </w:pPr>
    <w:rPr>
      <w:rFonts w:ascii="宋体" w:hAnsi="宋体" w:eastAsia="宋体"/>
      <w:sz w:val="24"/>
      <w:szCs w:val="24"/>
    </w:rPr>
  </w:style>
  <w:style w:type="paragraph" w:customStyle="1" w:styleId="2354">
    <w:name w:val="样式 小四 首行缩进:  2.5 字符"/>
    <w:basedOn w:val="1"/>
    <w:uiPriority w:val="0"/>
    <w:pPr>
      <w:ind w:firstLine="200" w:firstLineChars="200"/>
    </w:pPr>
    <w:rPr>
      <w:rFonts w:cs="宋体"/>
      <w:sz w:val="24"/>
      <w:szCs w:val="20"/>
    </w:rPr>
  </w:style>
  <w:style w:type="paragraph" w:customStyle="1" w:styleId="2355">
    <w:name w:val="样式 左 左侧:  0.75 厘米"/>
    <w:basedOn w:val="1"/>
    <w:uiPriority w:val="0"/>
    <w:pPr>
      <w:numPr>
        <w:ilvl w:val="0"/>
        <w:numId w:val="19"/>
      </w:numPr>
      <w:tabs>
        <w:tab w:val="clear" w:pos="1080"/>
      </w:tabs>
      <w:ind w:left="426" w:firstLine="0"/>
      <w:jc w:val="left"/>
    </w:pPr>
    <w:rPr>
      <w:rFonts w:cs="宋体"/>
      <w:sz w:val="24"/>
      <w:szCs w:val="20"/>
    </w:rPr>
  </w:style>
  <w:style w:type="paragraph" w:customStyle="1" w:styleId="2356">
    <w:name w:val="称呼2"/>
    <w:basedOn w:val="1"/>
    <w:next w:val="1"/>
    <w:uiPriority w:val="0"/>
    <w:pPr>
      <w:autoSpaceDE w:val="0"/>
      <w:autoSpaceDN w:val="0"/>
      <w:adjustRightInd w:val="0"/>
      <w:spacing w:line="312" w:lineRule="atLeast"/>
      <w:textAlignment w:val="baseline"/>
    </w:pPr>
    <w:rPr>
      <w:rFonts w:ascii="Arial" w:hAnsi="Arial" w:eastAsia="Times New Roman"/>
      <w:spacing w:val="20"/>
      <w:kern w:val="0"/>
      <w:sz w:val="28"/>
    </w:rPr>
  </w:style>
  <w:style w:type="paragraph" w:customStyle="1" w:styleId="2357">
    <w:name w:val="a、"/>
    <w:basedOn w:val="1"/>
    <w:uiPriority w:val="0"/>
    <w:pPr>
      <w:adjustRightInd w:val="0"/>
      <w:snapToGrid w:val="0"/>
      <w:spacing w:line="288" w:lineRule="auto"/>
    </w:pPr>
    <w:rPr>
      <w:rFonts w:ascii="Arial" w:hAnsi="Arial"/>
      <w:sz w:val="24"/>
    </w:rPr>
  </w:style>
  <w:style w:type="paragraph" w:customStyle="1" w:styleId="2358">
    <w:name w:val="批注框文本1"/>
    <w:basedOn w:val="1"/>
    <w:uiPriority w:val="0"/>
    <w:rPr>
      <w:sz w:val="18"/>
      <w:szCs w:val="18"/>
    </w:rPr>
  </w:style>
  <w:style w:type="paragraph" w:customStyle="1" w:styleId="2359">
    <w:name w:val="样式8"/>
    <w:basedOn w:val="1"/>
    <w:next w:val="226"/>
    <w:uiPriority w:val="0"/>
    <w:pPr>
      <w:spacing w:line="480" w:lineRule="exact"/>
      <w:ind w:firstLine="580" w:firstLineChars="200"/>
    </w:pPr>
    <w:rPr>
      <w:sz w:val="28"/>
      <w:szCs w:val="28"/>
    </w:rPr>
  </w:style>
  <w:style w:type="paragraph" w:customStyle="1" w:styleId="2360">
    <w:name w:val="样式 标题 2 + 仿宋_GB2312 四号 两端对齐 段前: 6 磅 段后: 6 磅 行距: 多倍行距 1.73 字行"/>
    <w:basedOn w:val="4"/>
    <w:next w:val="1"/>
    <w:uiPriority w:val="0"/>
    <w:pPr>
      <w:keepNext w:val="0"/>
      <w:keepLines w:val="0"/>
      <w:widowControl/>
      <w:tabs>
        <w:tab w:val="clear" w:pos="360"/>
      </w:tabs>
      <w:spacing w:line="360" w:lineRule="auto"/>
      <w:ind w:left="0" w:firstLine="0" w:firstLineChars="0"/>
    </w:pPr>
    <w:rPr>
      <w:rFonts w:ascii="仿宋_GB2312" w:hAnsi="Times New Roman" w:eastAsia="宋体" w:cs="宋体"/>
      <w:sz w:val="21"/>
      <w:szCs w:val="20"/>
    </w:rPr>
  </w:style>
  <w:style w:type="paragraph" w:customStyle="1" w:styleId="2361">
    <w:name w:val="样式 标题 3 + 仿宋_GB2312 四号 段前: 6 磅 段后: 6 磅 行距: 1.5 倍行距"/>
    <w:basedOn w:val="5"/>
    <w:uiPriority w:val="0"/>
    <w:pPr>
      <w:keepLines/>
      <w:tabs>
        <w:tab w:val="clear" w:pos="360"/>
      </w:tabs>
      <w:adjustRightInd/>
      <w:snapToGrid/>
      <w:spacing w:before="260" w:after="260"/>
      <w:ind w:left="0" w:firstLine="0" w:firstLineChars="0"/>
    </w:pPr>
    <w:rPr>
      <w:rFonts w:ascii="仿宋_GB2312" w:hAnsi="Times New Roman" w:eastAsia="仿宋_GB2312" w:cs="宋体"/>
      <w:b/>
      <w:sz w:val="28"/>
      <w:szCs w:val="20"/>
    </w:rPr>
  </w:style>
  <w:style w:type="paragraph" w:customStyle="1" w:styleId="2362">
    <w:name w:val="Char Char Char Char Char Char Char Char Char"/>
    <w:basedOn w:val="1"/>
    <w:uiPriority w:val="0"/>
    <w:rPr>
      <w:rFonts w:ascii="Arial" w:hAnsi="Arial" w:cs="Arial"/>
      <w:sz w:val="20"/>
      <w:szCs w:val="20"/>
    </w:rPr>
  </w:style>
  <w:style w:type="paragraph" w:customStyle="1" w:styleId="2363">
    <w:name w:val="SDY标题2"/>
    <w:basedOn w:val="84"/>
    <w:next w:val="86"/>
    <w:uiPriority w:val="0"/>
    <w:pPr>
      <w:widowControl w:val="0"/>
      <w:tabs>
        <w:tab w:val="left" w:pos="570"/>
      </w:tabs>
      <w:spacing w:before="0" w:after="0"/>
      <w:ind w:left="570" w:hanging="570"/>
    </w:pPr>
    <w:rPr>
      <w:rFonts w:ascii="Arial" w:hAnsi="Arial" w:eastAsia="黑体" w:cs="Arial"/>
      <w:bCs/>
      <w:kern w:val="2"/>
      <w:sz w:val="30"/>
      <w:szCs w:val="32"/>
      <w:lang w:eastAsia="zh-CN"/>
    </w:rPr>
  </w:style>
  <w:style w:type="paragraph" w:customStyle="1" w:styleId="2364">
    <w:name w:val="SDY标题1"/>
    <w:basedOn w:val="84"/>
    <w:next w:val="2363"/>
    <w:uiPriority w:val="0"/>
    <w:pPr>
      <w:widowControl w:val="0"/>
      <w:numPr>
        <w:ilvl w:val="0"/>
        <w:numId w:val="20"/>
      </w:numPr>
      <w:spacing w:before="0" w:after="0"/>
      <w:jc w:val="left"/>
    </w:pPr>
    <w:rPr>
      <w:rFonts w:ascii="Arial" w:hAnsi="Arial" w:eastAsia="黑体" w:cs="Arial"/>
      <w:bCs/>
      <w:kern w:val="2"/>
      <w:szCs w:val="32"/>
      <w:lang w:eastAsia="zh-CN"/>
    </w:rPr>
  </w:style>
  <w:style w:type="paragraph" w:customStyle="1" w:styleId="2365">
    <w:name w:val="Pierre 表格"/>
    <w:basedOn w:val="1"/>
    <w:link w:val="2366"/>
    <w:qFormat/>
    <w:uiPriority w:val="0"/>
    <w:pPr>
      <w:jc w:val="center"/>
    </w:pPr>
    <w:rPr>
      <w:rFonts w:ascii="Calibri" w:hAnsi="Calibri"/>
      <w:szCs w:val="22"/>
    </w:rPr>
  </w:style>
  <w:style w:type="character" w:customStyle="1" w:styleId="2366">
    <w:name w:val="Pierre 表格 Char"/>
    <w:link w:val="2365"/>
    <w:uiPriority w:val="0"/>
    <w:rPr>
      <w:rFonts w:ascii="Calibri" w:hAnsi="Calibri"/>
      <w:kern w:val="2"/>
      <w:sz w:val="21"/>
      <w:szCs w:val="22"/>
    </w:rPr>
  </w:style>
  <w:style w:type="paragraph" w:customStyle="1" w:styleId="2367">
    <w:name w:val="Pierre_缩进正文"/>
    <w:basedOn w:val="1"/>
    <w:link w:val="2368"/>
    <w:qFormat/>
    <w:uiPriority w:val="0"/>
    <w:pPr>
      <w:spacing w:beforeLines="50" w:afterLines="50" w:line="288" w:lineRule="auto"/>
      <w:ind w:left="480" w:leftChars="200"/>
    </w:pPr>
    <w:rPr>
      <w:rFonts w:ascii="Calibri" w:hAnsi="Calibri"/>
      <w:sz w:val="24"/>
      <w:szCs w:val="22"/>
    </w:rPr>
  </w:style>
  <w:style w:type="character" w:customStyle="1" w:styleId="2368">
    <w:name w:val="Pierre_缩进正文 Char"/>
    <w:link w:val="2367"/>
    <w:uiPriority w:val="0"/>
    <w:rPr>
      <w:rFonts w:ascii="Calibri" w:hAnsi="Calibri"/>
      <w:kern w:val="2"/>
      <w:sz w:val="24"/>
      <w:szCs w:val="22"/>
    </w:rPr>
  </w:style>
  <w:style w:type="paragraph" w:customStyle="1" w:styleId="2369">
    <w:name w:val="Pierre 括号小标题"/>
    <w:basedOn w:val="1"/>
    <w:link w:val="2370"/>
    <w:qFormat/>
    <w:uiPriority w:val="0"/>
    <w:pPr>
      <w:tabs>
        <w:tab w:val="left" w:pos="426"/>
      </w:tabs>
      <w:spacing w:beforeLines="50" w:afterLines="50" w:line="288" w:lineRule="auto"/>
      <w:outlineLvl w:val="4"/>
    </w:pPr>
    <w:rPr>
      <w:rFonts w:ascii="Calibri" w:hAnsi="Calibri"/>
      <w:sz w:val="24"/>
      <w:szCs w:val="22"/>
    </w:rPr>
  </w:style>
  <w:style w:type="character" w:customStyle="1" w:styleId="2370">
    <w:name w:val="Pierre 括号小标题 Char"/>
    <w:link w:val="2369"/>
    <w:uiPriority w:val="0"/>
    <w:rPr>
      <w:rFonts w:ascii="Calibri" w:hAnsi="Calibri"/>
      <w:kern w:val="2"/>
      <w:sz w:val="24"/>
      <w:szCs w:val="22"/>
    </w:rPr>
  </w:style>
  <w:style w:type="paragraph" w:customStyle="1" w:styleId="2371">
    <w:name w:val="Pierre 字母小标题"/>
    <w:basedOn w:val="2369"/>
    <w:qFormat/>
    <w:uiPriority w:val="0"/>
    <w:pPr>
      <w:tabs>
        <w:tab w:val="left" w:pos="3090"/>
      </w:tabs>
      <w:ind w:left="3090" w:hanging="420"/>
      <w:outlineLvl w:val="5"/>
    </w:pPr>
  </w:style>
  <w:style w:type="paragraph" w:customStyle="1" w:styleId="2372">
    <w:name w:val="lk正文格式"/>
    <w:qFormat/>
    <w:uiPriority w:val="0"/>
    <w:pPr>
      <w:adjustRightInd w:val="0"/>
      <w:snapToGrid w:val="0"/>
      <w:spacing w:beforeLines="50" w:afterLines="50" w:line="288" w:lineRule="auto"/>
      <w:ind w:firstLine="200" w:firstLineChars="200"/>
      <w:jc w:val="both"/>
    </w:pPr>
    <w:rPr>
      <w:rFonts w:ascii="Arial" w:hAnsi="Arial" w:eastAsia="宋体" w:cs="Times New Roman"/>
      <w:kern w:val="2"/>
      <w:sz w:val="28"/>
      <w:szCs w:val="28"/>
      <w:lang w:val="en-US" w:eastAsia="zh-CN" w:bidi="ar-SA"/>
    </w:rPr>
  </w:style>
  <w:style w:type="character" w:customStyle="1" w:styleId="2373">
    <w:name w:val="FHDI中文报告三级标题 Char Char"/>
    <w:uiPriority w:val="0"/>
    <w:rPr>
      <w:rFonts w:ascii="Arial" w:hAnsi="Arial"/>
      <w:b/>
      <w:kern w:val="2"/>
      <w:sz w:val="28"/>
      <w:szCs w:val="28"/>
    </w:rPr>
  </w:style>
  <w:style w:type="paragraph" w:customStyle="1" w:styleId="2374">
    <w:name w:val="4正文 Char Char"/>
    <w:basedOn w:val="1"/>
    <w:link w:val="2375"/>
    <w:qFormat/>
    <w:uiPriority w:val="0"/>
    <w:pPr>
      <w:adjustRightInd w:val="0"/>
      <w:spacing w:beforeLines="50" w:afterLines="50" w:line="400" w:lineRule="atLeast"/>
      <w:ind w:firstLine="200" w:firstLineChars="200"/>
      <w:jc w:val="left"/>
      <w:textAlignment w:val="baseline"/>
    </w:pPr>
    <w:rPr>
      <w:rFonts w:ascii="宋体" w:hAnsi="宋体"/>
      <w:sz w:val="24"/>
    </w:rPr>
  </w:style>
  <w:style w:type="character" w:customStyle="1" w:styleId="2375">
    <w:name w:val="4正文 Char Char Char"/>
    <w:link w:val="2374"/>
    <w:uiPriority w:val="0"/>
    <w:rPr>
      <w:rFonts w:ascii="宋体" w:hAnsi="宋体"/>
      <w:kern w:val="2"/>
      <w:sz w:val="24"/>
      <w:szCs w:val="24"/>
    </w:rPr>
  </w:style>
  <w:style w:type="paragraph" w:customStyle="1" w:styleId="2376">
    <w:name w:val="样式 样式 55555555555555555555555 + 首行缩进:  2 字符 + 首行缩进:  2 字符"/>
    <w:basedOn w:val="1"/>
    <w:uiPriority w:val="0"/>
    <w:pPr>
      <w:adjustRightInd w:val="0"/>
      <w:snapToGrid w:val="0"/>
      <w:spacing w:afterLines="50" w:line="360" w:lineRule="auto"/>
      <w:ind w:firstLine="200" w:firstLineChars="200"/>
    </w:pPr>
    <w:rPr>
      <w:rFonts w:cs="宋体"/>
      <w:sz w:val="28"/>
      <w:szCs w:val="20"/>
    </w:rPr>
  </w:style>
  <w:style w:type="paragraph" w:customStyle="1" w:styleId="2377">
    <w:name w:val="BTBTBT"/>
    <w:basedOn w:val="1"/>
    <w:uiPriority w:val="0"/>
    <w:pPr>
      <w:spacing w:line="360" w:lineRule="auto"/>
      <w:jc w:val="center"/>
    </w:pPr>
    <w:rPr>
      <w:color w:val="FF0000"/>
      <w:sz w:val="24"/>
    </w:rPr>
  </w:style>
  <w:style w:type="paragraph" w:customStyle="1" w:styleId="2378">
    <w:name w:val="gb2312787815"/>
    <w:basedOn w:val="1"/>
    <w:uiPriority w:val="0"/>
    <w:pPr>
      <w:widowControl/>
      <w:spacing w:line="360" w:lineRule="auto"/>
      <w:ind w:firstLine="630"/>
    </w:pPr>
    <w:rPr>
      <w:rFonts w:ascii="Arial" w:hAnsi="Arial" w:eastAsia="Arial Unicode MS" w:cs="Arial"/>
      <w:kern w:val="0"/>
      <w:sz w:val="24"/>
    </w:rPr>
  </w:style>
  <w:style w:type="table" w:customStyle="1" w:styleId="2379">
    <w:name w:val="表格主题1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2380">
    <w:name w:val="Char Char Char Char Char Char Char Char Char Char Char Char Char3"/>
    <w:basedOn w:val="1"/>
    <w:uiPriority w:val="0"/>
    <w:rPr>
      <w:szCs w:val="21"/>
    </w:rPr>
  </w:style>
  <w:style w:type="paragraph" w:customStyle="1" w:styleId="2381">
    <w:name w:val="Char Char Char Char5"/>
    <w:basedOn w:val="1"/>
    <w:uiPriority w:val="0"/>
    <w:rPr>
      <w:szCs w:val="21"/>
    </w:rPr>
  </w:style>
  <w:style w:type="paragraph" w:customStyle="1" w:styleId="2382">
    <w:name w:val="日期3"/>
    <w:basedOn w:val="1"/>
    <w:next w:val="1"/>
    <w:uiPriority w:val="0"/>
    <w:pPr>
      <w:adjustRightInd w:val="0"/>
      <w:jc w:val="left"/>
      <w:textAlignment w:val="baseline"/>
    </w:pPr>
    <w:rPr>
      <w:rFonts w:eastAsia="Wingdings"/>
      <w:sz w:val="28"/>
      <w:szCs w:val="20"/>
    </w:rPr>
  </w:style>
  <w:style w:type="paragraph" w:customStyle="1" w:styleId="2383">
    <w:name w:val="正文文本 22"/>
    <w:basedOn w:val="1"/>
    <w:uiPriority w:val="0"/>
    <w:pPr>
      <w:adjustRightInd w:val="0"/>
      <w:spacing w:line="360" w:lineRule="auto"/>
      <w:ind w:firstLine="960"/>
      <w:jc w:val="left"/>
      <w:textAlignment w:val="baseline"/>
    </w:pPr>
    <w:rPr>
      <w:rFonts w:eastAsia="Wingdings"/>
      <w:kern w:val="0"/>
      <w:sz w:val="28"/>
      <w:szCs w:val="20"/>
    </w:rPr>
  </w:style>
  <w:style w:type="paragraph" w:customStyle="1" w:styleId="2384">
    <w:name w:val="正文文本缩进 32"/>
    <w:basedOn w:val="1"/>
    <w:uiPriority w:val="0"/>
    <w:pPr>
      <w:adjustRightInd w:val="0"/>
      <w:ind w:firstLine="525"/>
      <w:jc w:val="left"/>
      <w:textAlignment w:val="baseline"/>
    </w:pPr>
    <w:rPr>
      <w:sz w:val="28"/>
      <w:szCs w:val="20"/>
    </w:rPr>
  </w:style>
  <w:style w:type="paragraph" w:customStyle="1" w:styleId="2385">
    <w:name w:val="普通(网站)2"/>
    <w:basedOn w:val="1"/>
    <w:uiPriority w:val="0"/>
    <w:rPr>
      <w:sz w:val="24"/>
    </w:rPr>
  </w:style>
  <w:style w:type="paragraph" w:customStyle="1" w:styleId="2386">
    <w:name w:val="正文文本缩进 22"/>
    <w:basedOn w:val="1"/>
    <w:uiPriority w:val="0"/>
    <w:pPr>
      <w:adjustRightInd w:val="0"/>
      <w:spacing w:line="360" w:lineRule="auto"/>
      <w:ind w:firstLine="525"/>
      <w:jc w:val="left"/>
      <w:textAlignment w:val="baseline"/>
    </w:pPr>
    <w:rPr>
      <w:sz w:val="28"/>
      <w:szCs w:val="20"/>
    </w:rPr>
  </w:style>
  <w:style w:type="paragraph" w:customStyle="1" w:styleId="2387">
    <w:name w:val="Char Char Char Char Char Char Char Char Char Char Char Char Char Char Char Char Char Char Char1"/>
    <w:basedOn w:val="1"/>
    <w:uiPriority w:val="0"/>
    <w:rPr>
      <w:szCs w:val="21"/>
    </w:rPr>
  </w:style>
  <w:style w:type="paragraph" w:customStyle="1" w:styleId="2388">
    <w:name w:val="Char Char Char1 Char Char Char Char Char Char Char Char Char Char1"/>
    <w:basedOn w:val="1"/>
    <w:uiPriority w:val="0"/>
    <w:rPr>
      <w:sz w:val="24"/>
    </w:rPr>
  </w:style>
  <w:style w:type="paragraph" w:customStyle="1" w:styleId="2389">
    <w:name w:val="Char Char Char1 Char Char Char1 Char Char Char Char Char Char Char"/>
    <w:basedOn w:val="1"/>
    <w:semiHidden/>
    <w:uiPriority w:val="0"/>
    <w:pPr>
      <w:adjustRightInd w:val="0"/>
      <w:spacing w:line="360" w:lineRule="atLeast"/>
      <w:textAlignment w:val="baseline"/>
    </w:pPr>
    <w:rPr>
      <w:kern w:val="0"/>
      <w:sz w:val="28"/>
      <w:szCs w:val="28"/>
    </w:rPr>
  </w:style>
  <w:style w:type="paragraph" w:customStyle="1" w:styleId="2390">
    <w:name w:val="Char1 Char Char Char Char Char Char Char Char Char Char Char Char Char Char Char Char Char Char Char Char Char Char Char Char1"/>
    <w:basedOn w:val="1"/>
    <w:uiPriority w:val="0"/>
    <w:rPr>
      <w:szCs w:val="21"/>
    </w:rPr>
  </w:style>
  <w:style w:type="paragraph" w:customStyle="1" w:styleId="2391">
    <w:name w:val="Char1 Char Char1"/>
    <w:basedOn w:val="1"/>
    <w:uiPriority w:val="0"/>
    <w:rPr>
      <w:szCs w:val="21"/>
    </w:rPr>
  </w:style>
  <w:style w:type="paragraph" w:customStyle="1" w:styleId="2392">
    <w:name w:val="Char1 Char Char Char Char Char Char Char Char Char Char Char Char1"/>
    <w:basedOn w:val="1"/>
    <w:uiPriority w:val="0"/>
    <w:rPr>
      <w:szCs w:val="21"/>
    </w:rPr>
  </w:style>
  <w:style w:type="paragraph" w:customStyle="1" w:styleId="2393">
    <w:name w:val="Char1 Char Char Char Char Char Char Char Char Char Char Char Char Char Char Char Char Char Char Char Char1"/>
    <w:basedOn w:val="1"/>
    <w:uiPriority w:val="0"/>
    <w:rPr>
      <w:szCs w:val="21"/>
    </w:rPr>
  </w:style>
  <w:style w:type="paragraph" w:customStyle="1" w:styleId="2394">
    <w:name w:val="Char1 Char Char Char Char Char Char Char Char Char1"/>
    <w:basedOn w:val="1"/>
    <w:uiPriority w:val="0"/>
    <w:rPr>
      <w:szCs w:val="21"/>
    </w:rPr>
  </w:style>
  <w:style w:type="paragraph" w:customStyle="1" w:styleId="2395">
    <w:name w:val="称呼3"/>
    <w:basedOn w:val="1"/>
    <w:next w:val="1"/>
    <w:uiPriority w:val="0"/>
    <w:pPr>
      <w:autoSpaceDE w:val="0"/>
      <w:autoSpaceDN w:val="0"/>
      <w:adjustRightInd w:val="0"/>
      <w:spacing w:line="312" w:lineRule="atLeast"/>
      <w:textAlignment w:val="baseline"/>
    </w:pPr>
    <w:rPr>
      <w:rFonts w:ascii="Arial" w:hAnsi="Arial" w:eastAsia="Times New Roman"/>
      <w:spacing w:val="20"/>
      <w:kern w:val="0"/>
      <w:sz w:val="28"/>
    </w:rPr>
  </w:style>
  <w:style w:type="paragraph" w:customStyle="1" w:styleId="2396">
    <w:name w:val="正文文本缩进2"/>
    <w:basedOn w:val="1"/>
    <w:uiPriority w:val="0"/>
    <w:pPr>
      <w:ind w:left="420" w:leftChars="200"/>
    </w:pPr>
    <w:rPr>
      <w:szCs w:val="21"/>
    </w:rPr>
  </w:style>
  <w:style w:type="paragraph" w:customStyle="1" w:styleId="2397">
    <w:name w:val="批注框文本2"/>
    <w:basedOn w:val="1"/>
    <w:uiPriority w:val="0"/>
    <w:rPr>
      <w:sz w:val="18"/>
      <w:szCs w:val="18"/>
    </w:rPr>
  </w:style>
  <w:style w:type="paragraph" w:customStyle="1" w:styleId="2398">
    <w:name w:val="Char Char Char Char Char Char Char Char Char1"/>
    <w:basedOn w:val="1"/>
    <w:uiPriority w:val="0"/>
    <w:rPr>
      <w:rFonts w:ascii="Arial" w:hAnsi="Arial" w:cs="Arial"/>
      <w:sz w:val="20"/>
      <w:szCs w:val="20"/>
    </w:rPr>
  </w:style>
  <w:style w:type="character" w:customStyle="1" w:styleId="2399">
    <w:name w:val="gs-正文文本 Char Char"/>
    <w:link w:val="2400"/>
    <w:uiPriority w:val="0"/>
    <w:rPr>
      <w:rFonts w:ascii="Arial" w:hAnsi="Arial"/>
      <w:sz w:val="28"/>
      <w:szCs w:val="24"/>
    </w:rPr>
  </w:style>
  <w:style w:type="paragraph" w:customStyle="1" w:styleId="2400">
    <w:name w:val="gs-正文文本"/>
    <w:basedOn w:val="34"/>
    <w:link w:val="2399"/>
    <w:uiPriority w:val="0"/>
    <w:pPr>
      <w:spacing w:beforeLines="50" w:afterLines="50" w:line="312" w:lineRule="auto"/>
      <w:ind w:firstLine="200" w:firstLineChars="200"/>
    </w:pPr>
    <w:rPr>
      <w:rFonts w:ascii="Arial" w:hAnsi="Arial" w:eastAsia="宋体"/>
      <w:kern w:val="0"/>
      <w:sz w:val="28"/>
      <w:szCs w:val="24"/>
    </w:rPr>
  </w:style>
  <w:style w:type="character" w:customStyle="1" w:styleId="2401">
    <w:name w:val="gs正文+缩进 Char Char"/>
    <w:uiPriority w:val="0"/>
    <w:rPr>
      <w:rFonts w:ascii="Arial" w:hAnsi="Arial" w:eastAsia="仿宋_GB2312"/>
      <w:bCs/>
      <w:sz w:val="28"/>
      <w:szCs w:val="28"/>
    </w:rPr>
  </w:style>
  <w:style w:type="character" w:customStyle="1" w:styleId="2402">
    <w:name w:val="报告格式—正文 Char Char"/>
    <w:link w:val="2403"/>
    <w:uiPriority w:val="0"/>
    <w:rPr>
      <w:rFonts w:eastAsia="仿宋_GB2312"/>
      <w:spacing w:val="6"/>
      <w:sz w:val="28"/>
      <w:szCs w:val="36"/>
    </w:rPr>
  </w:style>
  <w:style w:type="paragraph" w:customStyle="1" w:styleId="2403">
    <w:name w:val="报告格式—正文"/>
    <w:basedOn w:val="1"/>
    <w:link w:val="2402"/>
    <w:uiPriority w:val="0"/>
    <w:pPr>
      <w:spacing w:line="580" w:lineRule="exact"/>
      <w:ind w:firstLine="584" w:firstLineChars="200"/>
    </w:pPr>
    <w:rPr>
      <w:rFonts w:eastAsia="仿宋_GB2312"/>
      <w:spacing w:val="6"/>
      <w:kern w:val="0"/>
      <w:sz w:val="28"/>
      <w:szCs w:val="36"/>
    </w:rPr>
  </w:style>
  <w:style w:type="character" w:customStyle="1" w:styleId="2404">
    <w:name w:val="样式 报告正文 + 首行缩进:  2 字符 Char Char"/>
    <w:uiPriority w:val="0"/>
    <w:rPr>
      <w:rFonts w:ascii="Times New Roman" w:hAnsi="Times New Roman"/>
      <w:sz w:val="24"/>
    </w:rPr>
  </w:style>
  <w:style w:type="character" w:customStyle="1" w:styleId="2405">
    <w:name w:val="样式 样式 列表编号 3 + (中文) 仿宋_GB2312 四号 加粗 + (西文) Arial (中文) 宋体 Char Char Char Char"/>
    <w:uiPriority w:val="0"/>
    <w:rPr>
      <w:rFonts w:ascii="Arial" w:hAnsi="Arial" w:eastAsia="宋体"/>
      <w:b/>
      <w:bCs/>
      <w:kern w:val="2"/>
      <w:sz w:val="24"/>
      <w:szCs w:val="24"/>
      <w:lang w:val="en-US" w:eastAsia="zh-CN" w:bidi="ar-SA"/>
    </w:rPr>
  </w:style>
  <w:style w:type="character" w:customStyle="1" w:styleId="2406">
    <w:name w:val="自定义标题5 Char Char"/>
    <w:link w:val="2407"/>
    <w:uiPriority w:val="0"/>
    <w:rPr>
      <w:rFonts w:ascii="仿宋_GB2312" w:eastAsia="仿宋_GB2312"/>
      <w:bCs/>
      <w:kern w:val="2"/>
      <w:sz w:val="28"/>
      <w:szCs w:val="28"/>
      <w:lang w:bidi="en-US"/>
    </w:rPr>
  </w:style>
  <w:style w:type="paragraph" w:customStyle="1" w:styleId="2407">
    <w:name w:val="自定义标题5"/>
    <w:basedOn w:val="4"/>
    <w:link w:val="2406"/>
    <w:uiPriority w:val="0"/>
    <w:pPr>
      <w:keepNext w:val="0"/>
      <w:keepLines w:val="0"/>
      <w:widowControl/>
      <w:numPr>
        <w:ilvl w:val="4"/>
        <w:numId w:val="21"/>
      </w:numPr>
      <w:adjustRightInd w:val="0"/>
      <w:spacing w:beforeLines="50" w:afterLines="50" w:line="288" w:lineRule="auto"/>
      <w:ind w:firstLine="0" w:firstLineChars="0"/>
      <w:jc w:val="left"/>
      <w:outlineLvl w:val="9"/>
    </w:pPr>
    <w:rPr>
      <w:rFonts w:ascii="仿宋_GB2312" w:hAnsi="Times New Roman" w:eastAsia="仿宋_GB2312"/>
      <w:b w:val="0"/>
      <w:sz w:val="28"/>
      <w:szCs w:val="28"/>
      <w:lang w:bidi="en-US"/>
    </w:rPr>
  </w:style>
  <w:style w:type="character" w:customStyle="1" w:styleId="2408">
    <w:name w:val="样式 标题 3Section + Times New Roman Char Char"/>
    <w:uiPriority w:val="0"/>
    <w:rPr>
      <w:rFonts w:ascii="Arial" w:hAnsi="Arial" w:eastAsia="宋体" w:cs="宋体"/>
      <w:bCs/>
      <w:kern w:val="2"/>
      <w:sz w:val="28"/>
      <w:lang w:val="en-US" w:eastAsia="zh-CN" w:bidi="ar-SA"/>
    </w:rPr>
  </w:style>
  <w:style w:type="character" w:customStyle="1" w:styleId="2409">
    <w:name w:val="列表编号 3 + Arial 小四 Char Char"/>
    <w:link w:val="2334"/>
    <w:uiPriority w:val="0"/>
    <w:rPr>
      <w:rFonts w:ascii="Arial" w:hAnsi="Arial" w:eastAsia="仿宋_GB2312"/>
      <w:b/>
      <w:kern w:val="2"/>
      <w:sz w:val="28"/>
      <w:szCs w:val="28"/>
    </w:rPr>
  </w:style>
  <w:style w:type="character" w:customStyle="1" w:styleId="2410">
    <w:name w:val="标题sdy2 Char Char"/>
    <w:uiPriority w:val="0"/>
    <w:rPr>
      <w:rFonts w:eastAsia="黑体"/>
      <w:b/>
      <w:bCs/>
      <w:kern w:val="44"/>
      <w:sz w:val="28"/>
      <w:szCs w:val="28"/>
      <w:lang w:val="en-US" w:eastAsia="zh-CN" w:bidi="ar-SA"/>
    </w:rPr>
  </w:style>
  <w:style w:type="character" w:customStyle="1" w:styleId="2411">
    <w:name w:val="goog_qs-tidbit"/>
    <w:uiPriority w:val="0"/>
  </w:style>
  <w:style w:type="character" w:customStyle="1" w:styleId="2412">
    <w:name w:val="表头 Char Char"/>
    <w:uiPriority w:val="0"/>
    <w:rPr>
      <w:rFonts w:ascii="Arial" w:hAnsi="Arial" w:eastAsia="仿宋_GB2312"/>
      <w:sz w:val="28"/>
      <w:szCs w:val="28"/>
      <w:lang w:val="zh-CN"/>
    </w:rPr>
  </w:style>
  <w:style w:type="character" w:customStyle="1" w:styleId="2413">
    <w:name w:val="样式 列表编号 3 + (中文) 仿宋_GB2312 四号 加粗 Char Char"/>
    <w:uiPriority w:val="0"/>
    <w:rPr>
      <w:rFonts w:ascii="Arial" w:hAnsi="Arial" w:eastAsia="宋体"/>
      <w:b/>
      <w:bCs/>
      <w:kern w:val="2"/>
      <w:sz w:val="24"/>
      <w:szCs w:val="24"/>
      <w:lang w:val="en-US" w:eastAsia="zh-CN" w:bidi="ar-SA"/>
    </w:rPr>
  </w:style>
  <w:style w:type="character" w:customStyle="1" w:styleId="2414">
    <w:name w:val="CN-Text08 Char Char"/>
    <w:uiPriority w:val="0"/>
    <w:rPr>
      <w:rFonts w:ascii="Times New Roman" w:hAnsi="Times New Roman" w:eastAsia="仿宋_GB2312"/>
      <w:sz w:val="28"/>
      <w:szCs w:val="28"/>
    </w:rPr>
  </w:style>
  <w:style w:type="character" w:customStyle="1" w:styleId="2415">
    <w:name w:val="表格样式 Char Char"/>
    <w:uiPriority w:val="0"/>
    <w:rPr>
      <w:rFonts w:ascii="Times New Roman" w:hAnsi="Times New Roman" w:eastAsia="仿宋_GB2312"/>
      <w:sz w:val="24"/>
      <w:szCs w:val="24"/>
    </w:rPr>
  </w:style>
  <w:style w:type="character" w:customStyle="1" w:styleId="2416">
    <w:name w:val="题注 + 居中! Char Char"/>
    <w:link w:val="2417"/>
    <w:uiPriority w:val="0"/>
    <w:rPr>
      <w:rFonts w:ascii="黑体" w:hAnsi="Arial" w:eastAsia="黑体" w:cs="宋体"/>
      <w:sz w:val="24"/>
      <w:szCs w:val="24"/>
    </w:rPr>
  </w:style>
  <w:style w:type="paragraph" w:customStyle="1" w:styleId="2417">
    <w:name w:val="题注 + 居中!"/>
    <w:basedOn w:val="22"/>
    <w:link w:val="2416"/>
    <w:uiPriority w:val="0"/>
    <w:pPr>
      <w:widowControl w:val="0"/>
      <w:adjustRightInd w:val="0"/>
      <w:snapToGrid w:val="0"/>
      <w:spacing w:before="120" w:after="120" w:line="360" w:lineRule="auto"/>
      <w:ind w:firstLine="480" w:firstLineChars="200"/>
      <w:jc w:val="both"/>
    </w:pPr>
    <w:rPr>
      <w:rFonts w:ascii="黑体" w:hAnsi="Arial" w:cs="宋体"/>
      <w:bCs w:val="0"/>
      <w:sz w:val="24"/>
      <w:szCs w:val="24"/>
    </w:rPr>
  </w:style>
  <w:style w:type="character" w:customStyle="1" w:styleId="2418">
    <w:name w:val="图 Char Char Char Char"/>
    <w:uiPriority w:val="0"/>
    <w:rPr>
      <w:rFonts w:ascii="Arial" w:hAnsi="Arial" w:eastAsia="仿宋_GB2312"/>
      <w:b/>
      <w:bCs/>
      <w:sz w:val="24"/>
      <w:szCs w:val="24"/>
    </w:rPr>
  </w:style>
  <w:style w:type="character" w:customStyle="1" w:styleId="2419">
    <w:name w:val="标题sdy Char Char"/>
    <w:uiPriority w:val="0"/>
    <w:rPr>
      <w:rFonts w:eastAsia="黑体"/>
      <w:b/>
      <w:bCs/>
      <w:kern w:val="44"/>
      <w:sz w:val="32"/>
      <w:szCs w:val="44"/>
      <w:lang w:val="en-US" w:eastAsia="zh-CN" w:bidi="ar-SA"/>
    </w:rPr>
  </w:style>
  <w:style w:type="character" w:customStyle="1" w:styleId="2420">
    <w:name w:val="数字样式 Char Char"/>
    <w:link w:val="2421"/>
    <w:uiPriority w:val="0"/>
    <w:rPr>
      <w:rFonts w:ascii="Arial" w:hAnsi="Arial" w:eastAsia="仿宋_GB2312"/>
      <w:sz w:val="28"/>
      <w:szCs w:val="24"/>
    </w:rPr>
  </w:style>
  <w:style w:type="paragraph" w:customStyle="1" w:styleId="2421">
    <w:name w:val="数字样式"/>
    <w:basedOn w:val="76"/>
    <w:link w:val="2420"/>
    <w:uiPriority w:val="0"/>
    <w:pPr>
      <w:adjustRightInd w:val="0"/>
      <w:snapToGrid w:val="0"/>
      <w:spacing w:line="300" w:lineRule="auto"/>
      <w:ind w:left="142" w:firstLine="561" w:firstLineChars="200"/>
      <w:jc w:val="both"/>
    </w:pPr>
    <w:rPr>
      <w:rFonts w:ascii="Arial" w:hAnsi="Arial" w:eastAsia="仿宋_GB2312"/>
      <w:kern w:val="0"/>
      <w:sz w:val="28"/>
      <w:szCs w:val="24"/>
    </w:rPr>
  </w:style>
  <w:style w:type="character" w:customStyle="1" w:styleId="2422">
    <w:name w:val="q6正文 Char Char"/>
    <w:link w:val="2423"/>
    <w:uiPriority w:val="0"/>
    <w:rPr>
      <w:rFonts w:ascii="Arial" w:hAnsi="Arial"/>
      <w:sz w:val="28"/>
      <w:szCs w:val="24"/>
    </w:rPr>
  </w:style>
  <w:style w:type="paragraph" w:customStyle="1" w:styleId="2423">
    <w:name w:val="q6正文"/>
    <w:basedOn w:val="1"/>
    <w:link w:val="2422"/>
    <w:uiPriority w:val="0"/>
    <w:pPr>
      <w:autoSpaceDE w:val="0"/>
      <w:autoSpaceDN w:val="0"/>
      <w:adjustRightInd w:val="0"/>
      <w:spacing w:line="288" w:lineRule="auto"/>
      <w:ind w:firstLine="200" w:firstLineChars="200"/>
      <w:jc w:val="left"/>
    </w:pPr>
    <w:rPr>
      <w:rFonts w:ascii="Arial" w:hAnsi="Arial"/>
      <w:kern w:val="0"/>
      <w:sz w:val="28"/>
    </w:rPr>
  </w:style>
  <w:style w:type="character" w:customStyle="1" w:styleId="2424">
    <w:name w:val="CN-表题 Char Char"/>
    <w:uiPriority w:val="0"/>
    <w:rPr>
      <w:rFonts w:ascii="黑体" w:hAnsi="宋体" w:eastAsia="黑体"/>
      <w:sz w:val="24"/>
      <w:szCs w:val="24"/>
      <w:lang w:val="zh-CN" w:eastAsia="zh-CN" w:bidi="ar-SA"/>
    </w:rPr>
  </w:style>
  <w:style w:type="paragraph" w:customStyle="1" w:styleId="2425">
    <w:name w:val="zhangjun3"/>
    <w:basedOn w:val="1"/>
    <w:uiPriority w:val="0"/>
    <w:pPr>
      <w:spacing w:beforeLines="50" w:afterLines="50" w:line="288" w:lineRule="auto"/>
      <w:ind w:firstLine="200" w:firstLineChars="200"/>
      <w:jc w:val="left"/>
      <w:outlineLvl w:val="2"/>
    </w:pPr>
    <w:rPr>
      <w:rFonts w:eastAsia="仿宋_GB2312"/>
      <w:b/>
      <w:sz w:val="24"/>
      <w:szCs w:val="20"/>
    </w:rPr>
  </w:style>
  <w:style w:type="paragraph" w:customStyle="1" w:styleId="2426">
    <w:name w:val="gs标题4"/>
    <w:basedOn w:val="2427"/>
    <w:uiPriority w:val="0"/>
    <w:pPr>
      <w:spacing w:beforeLines="0" w:afterLines="0"/>
      <w:ind w:firstLine="0" w:firstLineChars="0"/>
      <w:outlineLvl w:val="3"/>
    </w:pPr>
    <w:rPr>
      <w:rFonts w:eastAsia="宋体"/>
    </w:rPr>
  </w:style>
  <w:style w:type="paragraph" w:customStyle="1" w:styleId="2427">
    <w:name w:val="gs标题3"/>
    <w:basedOn w:val="1"/>
    <w:uiPriority w:val="0"/>
    <w:pPr>
      <w:keepNext/>
      <w:keepLines/>
      <w:snapToGrid w:val="0"/>
      <w:spacing w:beforeLines="50" w:afterLines="50" w:line="312" w:lineRule="auto"/>
      <w:ind w:firstLine="200" w:firstLineChars="200"/>
      <w:outlineLvl w:val="2"/>
    </w:pPr>
    <w:rPr>
      <w:rFonts w:ascii="Arial" w:hAnsi="Arial" w:eastAsia="仿宋_GB2312" w:cs="Arial"/>
      <w:b/>
      <w:bCs/>
      <w:kern w:val="44"/>
      <w:sz w:val="28"/>
      <w:szCs w:val="28"/>
    </w:rPr>
  </w:style>
  <w:style w:type="paragraph" w:customStyle="1" w:styleId="2428">
    <w:name w:val="zhangjun2"/>
    <w:basedOn w:val="1"/>
    <w:uiPriority w:val="0"/>
    <w:pPr>
      <w:spacing w:beforeLines="50" w:afterLines="50" w:line="288" w:lineRule="auto"/>
      <w:ind w:firstLine="200" w:firstLineChars="200"/>
      <w:jc w:val="left"/>
      <w:outlineLvl w:val="1"/>
    </w:pPr>
    <w:rPr>
      <w:rFonts w:ascii="仿宋_GB2312" w:eastAsia="仿宋_GB2312"/>
      <w:b/>
      <w:sz w:val="28"/>
    </w:rPr>
  </w:style>
  <w:style w:type="paragraph" w:customStyle="1" w:styleId="2429">
    <w:name w:val="正文01"/>
    <w:basedOn w:val="1"/>
    <w:uiPriority w:val="0"/>
    <w:pPr>
      <w:adjustRightInd w:val="0"/>
      <w:snapToGrid w:val="0"/>
      <w:spacing w:line="360" w:lineRule="auto"/>
      <w:ind w:firstLine="480" w:firstLineChars="200"/>
      <w:jc w:val="left"/>
    </w:pPr>
    <w:rPr>
      <w:rFonts w:ascii="仿宋_GB2312" w:eastAsia="仿宋_GB2312"/>
      <w:snapToGrid w:val="0"/>
      <w:sz w:val="24"/>
    </w:rPr>
  </w:style>
  <w:style w:type="paragraph" w:customStyle="1" w:styleId="2430">
    <w:name w:val="章节体（标题4）-（一）"/>
    <w:basedOn w:val="1"/>
    <w:uiPriority w:val="0"/>
    <w:pPr>
      <w:spacing w:line="360" w:lineRule="auto"/>
      <w:ind w:firstLine="150" w:firstLineChars="150"/>
      <w:jc w:val="left"/>
      <w:outlineLvl w:val="4"/>
    </w:pPr>
    <w:rPr>
      <w:b/>
      <w:sz w:val="28"/>
      <w:szCs w:val="36"/>
    </w:rPr>
  </w:style>
  <w:style w:type="paragraph" w:customStyle="1" w:styleId="2431">
    <w:name w:val="样式 仿宋_GB2312 四号 行距: 固定值 25 磅"/>
    <w:basedOn w:val="1"/>
    <w:uiPriority w:val="0"/>
    <w:pPr>
      <w:spacing w:line="500" w:lineRule="exact"/>
      <w:ind w:firstLine="560" w:firstLineChars="200"/>
    </w:pPr>
    <w:rPr>
      <w:rFonts w:eastAsia="仿宋_GB2312" w:cs="宋体"/>
      <w:sz w:val="28"/>
      <w:szCs w:val="28"/>
    </w:rPr>
  </w:style>
  <w:style w:type="paragraph" w:customStyle="1" w:styleId="2432">
    <w:name w:val="zhangjun1"/>
    <w:basedOn w:val="1"/>
    <w:uiPriority w:val="0"/>
    <w:pPr>
      <w:spacing w:beforeLines="50" w:afterLines="50" w:line="288" w:lineRule="auto"/>
      <w:ind w:firstLine="200" w:firstLineChars="200"/>
      <w:jc w:val="center"/>
      <w:outlineLvl w:val="0"/>
    </w:pPr>
    <w:rPr>
      <w:rFonts w:ascii="仿宋_GB2312" w:hAnsi="宋体" w:eastAsia="仿宋_GB2312"/>
      <w:b/>
      <w:sz w:val="30"/>
    </w:rPr>
  </w:style>
  <w:style w:type="paragraph" w:customStyle="1" w:styleId="2433">
    <w:name w:val="reader-word-layer"/>
    <w:basedOn w:val="1"/>
    <w:uiPriority w:val="0"/>
    <w:pPr>
      <w:widowControl/>
      <w:spacing w:beforeAutospacing="1" w:afterAutospacing="1"/>
      <w:jc w:val="left"/>
    </w:pPr>
    <w:rPr>
      <w:rFonts w:ascii="宋体" w:hAnsi="宋体" w:cs="宋体"/>
      <w:kern w:val="0"/>
      <w:sz w:val="24"/>
    </w:rPr>
  </w:style>
  <w:style w:type="paragraph" w:customStyle="1" w:styleId="2434">
    <w:name w:val="样式 标题 2标题 2 Char标题2Chapter Titleh2 + Arial 首行缩进:  1.06 厘米 ..."/>
    <w:basedOn w:val="4"/>
    <w:uiPriority w:val="0"/>
    <w:pPr>
      <w:tabs>
        <w:tab w:val="clear" w:pos="360"/>
      </w:tabs>
      <w:snapToGrid w:val="0"/>
      <w:spacing w:line="300" w:lineRule="auto"/>
      <w:ind w:left="0" w:firstLine="0" w:firstLineChars="0"/>
      <w:jc w:val="left"/>
    </w:pPr>
    <w:rPr>
      <w:rFonts w:eastAsia="仿宋_GB2312" w:cs="宋体"/>
      <w:kern w:val="0"/>
      <w:sz w:val="30"/>
      <w:szCs w:val="20"/>
    </w:rPr>
  </w:style>
  <w:style w:type="paragraph" w:customStyle="1" w:styleId="2435">
    <w:name w:val="列图编号（第二章）"/>
    <w:basedOn w:val="1"/>
    <w:uiPriority w:val="0"/>
    <w:pPr>
      <w:numPr>
        <w:ilvl w:val="0"/>
        <w:numId w:val="22"/>
      </w:numPr>
      <w:tabs>
        <w:tab w:val="left" w:pos="0"/>
      </w:tabs>
      <w:ind w:left="846"/>
      <w:jc w:val="center"/>
      <w:outlineLvl w:val="0"/>
    </w:pPr>
    <w:rPr>
      <w:rFonts w:ascii="宋体" w:hAnsi="宋体"/>
      <w:sz w:val="24"/>
    </w:rPr>
  </w:style>
  <w:style w:type="paragraph" w:customStyle="1" w:styleId="2436">
    <w:name w:val="样式__表头"/>
    <w:basedOn w:val="1"/>
    <w:uiPriority w:val="0"/>
    <w:pPr>
      <w:autoSpaceDE w:val="0"/>
      <w:autoSpaceDN w:val="0"/>
      <w:adjustRightInd w:val="0"/>
      <w:snapToGrid w:val="0"/>
      <w:spacing w:line="360" w:lineRule="auto"/>
      <w:jc w:val="center"/>
    </w:pPr>
    <w:rPr>
      <w:rFonts w:eastAsia="黑体"/>
      <w:spacing w:val="10"/>
      <w:kern w:val="0"/>
      <w:sz w:val="24"/>
      <w:szCs w:val="20"/>
    </w:rPr>
  </w:style>
  <w:style w:type="paragraph" w:customStyle="1" w:styleId="2437">
    <w:name w:val="CN-3"/>
    <w:basedOn w:val="6"/>
    <w:next w:val="2295"/>
    <w:uiPriority w:val="0"/>
    <w:pPr>
      <w:keepNext w:val="0"/>
      <w:tabs>
        <w:tab w:val="clear" w:pos="360"/>
      </w:tabs>
      <w:spacing w:beforeLines="50" w:after="120" w:line="540" w:lineRule="exact"/>
      <w:ind w:left="0"/>
      <w:jc w:val="both"/>
      <w:outlineLvl w:val="2"/>
    </w:pPr>
    <w:rPr>
      <w:rFonts w:hAnsi="Times New Roman" w:eastAsia="仿宋_GB2312"/>
      <w:b w:val="0"/>
      <w:sz w:val="28"/>
    </w:rPr>
  </w:style>
  <w:style w:type="paragraph" w:customStyle="1" w:styleId="2438">
    <w:name w:val="zhangjun5"/>
    <w:basedOn w:val="2432"/>
    <w:uiPriority w:val="0"/>
    <w:pPr>
      <w:spacing w:line="240" w:lineRule="auto"/>
      <w:jc w:val="left"/>
      <w:outlineLvl w:val="9"/>
    </w:pPr>
    <w:rPr>
      <w:b w:val="0"/>
      <w:sz w:val="24"/>
    </w:rPr>
  </w:style>
  <w:style w:type="paragraph" w:customStyle="1" w:styleId="2439">
    <w:name w:val="样式__表格"/>
    <w:basedOn w:val="1"/>
    <w:uiPriority w:val="0"/>
    <w:pPr>
      <w:autoSpaceDE w:val="0"/>
      <w:autoSpaceDN w:val="0"/>
      <w:adjustRightInd w:val="0"/>
      <w:snapToGrid w:val="0"/>
      <w:jc w:val="center"/>
    </w:pPr>
    <w:rPr>
      <w:spacing w:val="10"/>
      <w:kern w:val="0"/>
      <w:szCs w:val="20"/>
    </w:rPr>
  </w:style>
  <w:style w:type="paragraph" w:customStyle="1" w:styleId="2440">
    <w:name w:val="表文字"/>
    <w:basedOn w:val="34"/>
    <w:uiPriority w:val="0"/>
    <w:pPr>
      <w:adjustRightInd w:val="0"/>
      <w:snapToGrid w:val="0"/>
      <w:spacing w:after="120"/>
    </w:pPr>
    <w:rPr>
      <w:rFonts w:ascii="宋体" w:hAnsi="宋体" w:eastAsia="宋体"/>
      <w:bCs/>
      <w:sz w:val="24"/>
      <w:szCs w:val="24"/>
    </w:rPr>
  </w:style>
  <w:style w:type="paragraph" w:customStyle="1" w:styleId="2441">
    <w:name w:val="Char Char Char2 Char Char Char Char"/>
    <w:basedOn w:val="1"/>
    <w:uiPriority w:val="0"/>
    <w:rPr>
      <w:szCs w:val="21"/>
    </w:rPr>
  </w:style>
  <w:style w:type="paragraph" w:customStyle="1" w:styleId="2442">
    <w:name w:val="样式__表号"/>
    <w:basedOn w:val="1"/>
    <w:uiPriority w:val="0"/>
    <w:pPr>
      <w:autoSpaceDE w:val="0"/>
      <w:autoSpaceDN w:val="0"/>
      <w:adjustRightInd w:val="0"/>
      <w:snapToGrid w:val="0"/>
      <w:jc w:val="left"/>
    </w:pPr>
    <w:rPr>
      <w:spacing w:val="10"/>
      <w:kern w:val="0"/>
      <w:szCs w:val="20"/>
    </w:rPr>
  </w:style>
  <w:style w:type="paragraph" w:customStyle="1" w:styleId="2443">
    <w:name w:val="报告正文-四号"/>
    <w:basedOn w:val="1"/>
    <w:uiPriority w:val="0"/>
    <w:pPr>
      <w:tabs>
        <w:tab w:val="left" w:pos="8222"/>
        <w:tab w:val="left" w:pos="8280"/>
      </w:tabs>
      <w:adjustRightInd w:val="0"/>
      <w:spacing w:line="312" w:lineRule="auto"/>
      <w:ind w:firstLine="567"/>
      <w:textAlignment w:val="baseline"/>
    </w:pPr>
    <w:rPr>
      <w:spacing w:val="10"/>
      <w:kern w:val="0"/>
      <w:sz w:val="28"/>
      <w:szCs w:val="20"/>
    </w:rPr>
  </w:style>
  <w:style w:type="paragraph" w:customStyle="1" w:styleId="2444">
    <w:name w:val="Char Char Char3"/>
    <w:basedOn w:val="1"/>
    <w:uiPriority w:val="0"/>
  </w:style>
  <w:style w:type="paragraph" w:customStyle="1" w:styleId="2445">
    <w:name w:val="Char Char Char2"/>
    <w:basedOn w:val="1"/>
    <w:uiPriority w:val="0"/>
  </w:style>
  <w:style w:type="paragraph" w:customStyle="1" w:styleId="2446">
    <w:name w:val="xl175"/>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left"/>
    </w:pPr>
    <w:rPr>
      <w:rFonts w:ascii="宋体" w:hAnsi="宋体" w:cs="宋体"/>
      <w:kern w:val="0"/>
      <w:sz w:val="20"/>
      <w:szCs w:val="20"/>
    </w:rPr>
  </w:style>
  <w:style w:type="paragraph" w:customStyle="1" w:styleId="2447">
    <w:name w:val="xl176"/>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center"/>
    </w:pPr>
    <w:rPr>
      <w:rFonts w:ascii="宋体" w:hAnsi="宋体" w:cs="宋体"/>
      <w:kern w:val="0"/>
      <w:sz w:val="20"/>
      <w:szCs w:val="20"/>
    </w:rPr>
  </w:style>
  <w:style w:type="paragraph" w:customStyle="1" w:styleId="2448">
    <w:name w:val="xl177"/>
    <w:basedOn w:val="1"/>
    <w:uiPriority w:val="0"/>
    <w:pPr>
      <w:widowControl/>
      <w:spacing w:beforeAutospacing="1" w:afterAutospacing="1"/>
      <w:jc w:val="left"/>
    </w:pPr>
    <w:rPr>
      <w:rFonts w:ascii="宋体" w:hAnsi="宋体" w:cs="宋体"/>
      <w:kern w:val="0"/>
      <w:sz w:val="20"/>
      <w:szCs w:val="20"/>
    </w:rPr>
  </w:style>
  <w:style w:type="paragraph" w:customStyle="1" w:styleId="2449">
    <w:name w:val="xl178"/>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left"/>
    </w:pPr>
    <w:rPr>
      <w:rFonts w:ascii="宋体" w:hAnsi="宋体" w:cs="宋体"/>
      <w:kern w:val="0"/>
      <w:sz w:val="20"/>
      <w:szCs w:val="20"/>
    </w:rPr>
  </w:style>
  <w:style w:type="paragraph" w:customStyle="1" w:styleId="2450">
    <w:name w:val="xl179"/>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center"/>
    </w:pPr>
    <w:rPr>
      <w:rFonts w:ascii="宋体" w:hAnsi="宋体" w:cs="宋体"/>
      <w:kern w:val="0"/>
      <w:sz w:val="20"/>
      <w:szCs w:val="20"/>
    </w:rPr>
  </w:style>
  <w:style w:type="paragraph" w:customStyle="1" w:styleId="2451">
    <w:name w:val="xl180"/>
    <w:basedOn w:val="1"/>
    <w:uiPriority w:val="0"/>
    <w:pPr>
      <w:widowControl/>
      <w:spacing w:beforeAutospacing="1" w:afterAutospacing="1"/>
      <w:jc w:val="left"/>
    </w:pPr>
    <w:rPr>
      <w:rFonts w:ascii="宋体" w:hAnsi="宋体" w:cs="宋体"/>
      <w:kern w:val="0"/>
      <w:sz w:val="20"/>
      <w:szCs w:val="20"/>
    </w:rPr>
  </w:style>
  <w:style w:type="paragraph" w:customStyle="1" w:styleId="2452">
    <w:name w:val="xl181"/>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left"/>
    </w:pPr>
    <w:rPr>
      <w:rFonts w:ascii="宋体" w:hAnsi="宋体" w:cs="宋体"/>
      <w:kern w:val="0"/>
      <w:sz w:val="20"/>
      <w:szCs w:val="20"/>
    </w:rPr>
  </w:style>
  <w:style w:type="paragraph" w:customStyle="1" w:styleId="2453">
    <w:name w:val="xl182"/>
    <w:basedOn w:val="1"/>
    <w:uiPriority w:val="0"/>
    <w:pPr>
      <w:widowControl/>
      <w:spacing w:beforeAutospacing="1" w:afterAutospacing="1"/>
      <w:jc w:val="left"/>
    </w:pPr>
    <w:rPr>
      <w:rFonts w:ascii="宋体" w:hAnsi="宋体" w:cs="宋体"/>
      <w:kern w:val="0"/>
      <w:sz w:val="20"/>
      <w:szCs w:val="20"/>
    </w:rPr>
  </w:style>
  <w:style w:type="paragraph" w:customStyle="1" w:styleId="2454">
    <w:name w:val="xl183"/>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center"/>
    </w:pPr>
    <w:rPr>
      <w:rFonts w:ascii="宋体" w:hAnsi="宋体" w:cs="宋体"/>
      <w:kern w:val="0"/>
      <w:sz w:val="20"/>
      <w:szCs w:val="20"/>
    </w:rPr>
  </w:style>
  <w:style w:type="paragraph" w:customStyle="1" w:styleId="2455">
    <w:name w:val="xl184"/>
    <w:basedOn w:val="1"/>
    <w:uiPriority w:val="0"/>
    <w:pPr>
      <w:widowControl/>
      <w:spacing w:beforeAutospacing="1" w:afterAutospacing="1"/>
      <w:jc w:val="center"/>
    </w:pPr>
    <w:rPr>
      <w:rFonts w:ascii="宋体" w:hAnsi="宋体" w:cs="宋体"/>
      <w:kern w:val="0"/>
      <w:sz w:val="20"/>
      <w:szCs w:val="20"/>
    </w:rPr>
  </w:style>
  <w:style w:type="paragraph" w:customStyle="1" w:styleId="2456">
    <w:name w:val="xl185"/>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left"/>
    </w:pPr>
    <w:rPr>
      <w:rFonts w:ascii="宋体" w:hAnsi="宋体" w:cs="宋体"/>
      <w:kern w:val="0"/>
      <w:sz w:val="20"/>
      <w:szCs w:val="20"/>
    </w:rPr>
  </w:style>
  <w:style w:type="paragraph" w:customStyle="1" w:styleId="2457">
    <w:name w:val="xl186"/>
    <w:basedOn w:val="1"/>
    <w:uiPriority w:val="0"/>
    <w:pPr>
      <w:widowControl/>
      <w:spacing w:beforeAutospacing="1" w:afterAutospacing="1"/>
      <w:jc w:val="left"/>
    </w:pPr>
    <w:rPr>
      <w:rFonts w:ascii="宋体" w:hAnsi="宋体" w:cs="宋体"/>
      <w:kern w:val="0"/>
      <w:sz w:val="20"/>
      <w:szCs w:val="20"/>
    </w:rPr>
  </w:style>
  <w:style w:type="paragraph" w:customStyle="1" w:styleId="2458">
    <w:name w:val="xl187"/>
    <w:basedOn w:val="1"/>
    <w:uiPriority w:val="0"/>
    <w:pPr>
      <w:widowControl/>
      <w:spacing w:beforeAutospacing="1" w:afterAutospacing="1"/>
      <w:jc w:val="center"/>
    </w:pPr>
    <w:rPr>
      <w:rFonts w:ascii="宋体" w:hAnsi="宋体" w:cs="宋体"/>
      <w:kern w:val="0"/>
      <w:sz w:val="24"/>
    </w:rPr>
  </w:style>
  <w:style w:type="paragraph" w:customStyle="1" w:styleId="2459">
    <w:name w:val="xl188"/>
    <w:basedOn w:val="1"/>
    <w:uiPriority w:val="0"/>
    <w:pPr>
      <w:widowControl/>
      <w:spacing w:beforeAutospacing="1" w:afterAutospacing="1"/>
      <w:jc w:val="left"/>
    </w:pPr>
    <w:rPr>
      <w:rFonts w:ascii="宋体" w:hAnsi="宋体" w:cs="宋体"/>
      <w:kern w:val="0"/>
      <w:sz w:val="20"/>
      <w:szCs w:val="20"/>
    </w:rPr>
  </w:style>
  <w:style w:type="paragraph" w:customStyle="1" w:styleId="2460">
    <w:name w:val="xl189"/>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center"/>
    </w:pPr>
    <w:rPr>
      <w:rFonts w:ascii="宋体" w:hAnsi="宋体" w:cs="宋体"/>
      <w:kern w:val="0"/>
      <w:sz w:val="20"/>
      <w:szCs w:val="20"/>
    </w:rPr>
  </w:style>
  <w:style w:type="paragraph" w:customStyle="1" w:styleId="2461">
    <w:name w:val="表格 1"/>
    <w:basedOn w:val="1"/>
    <w:link w:val="2462"/>
    <w:uiPriority w:val="0"/>
    <w:pPr>
      <w:adjustRightInd w:val="0"/>
      <w:snapToGrid w:val="0"/>
      <w:spacing w:line="360" w:lineRule="auto"/>
      <w:jc w:val="center"/>
    </w:pPr>
    <w:rPr>
      <w:kern w:val="0"/>
      <w:sz w:val="24"/>
    </w:rPr>
  </w:style>
  <w:style w:type="character" w:customStyle="1" w:styleId="2462">
    <w:name w:val="表格 1 Char"/>
    <w:link w:val="2461"/>
    <w:uiPriority w:val="0"/>
    <w:rPr>
      <w:sz w:val="24"/>
      <w:szCs w:val="24"/>
    </w:rPr>
  </w:style>
  <w:style w:type="paragraph" w:customStyle="1" w:styleId="2463">
    <w:name w:val="xl197"/>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left"/>
    </w:pPr>
    <w:rPr>
      <w:rFonts w:ascii="宋体" w:hAnsi="宋体" w:cs="宋体"/>
      <w:kern w:val="0"/>
      <w:sz w:val="20"/>
      <w:szCs w:val="20"/>
    </w:rPr>
  </w:style>
  <w:style w:type="paragraph" w:customStyle="1" w:styleId="2464">
    <w:name w:val="xl198"/>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center"/>
    </w:pPr>
    <w:rPr>
      <w:rFonts w:ascii="宋体" w:hAnsi="宋体" w:cs="宋体"/>
      <w:kern w:val="0"/>
      <w:sz w:val="20"/>
      <w:szCs w:val="20"/>
    </w:rPr>
  </w:style>
  <w:style w:type="paragraph" w:customStyle="1" w:styleId="2465">
    <w:name w:val="xl199"/>
    <w:basedOn w:val="1"/>
    <w:uiPriority w:val="0"/>
    <w:pPr>
      <w:widowControl/>
      <w:spacing w:beforeAutospacing="1" w:afterAutospacing="1"/>
      <w:jc w:val="left"/>
    </w:pPr>
    <w:rPr>
      <w:rFonts w:ascii="宋体" w:hAnsi="宋体" w:cs="宋体"/>
      <w:kern w:val="0"/>
      <w:sz w:val="20"/>
      <w:szCs w:val="20"/>
    </w:rPr>
  </w:style>
  <w:style w:type="paragraph" w:customStyle="1" w:styleId="2466">
    <w:name w:val="xl200"/>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left"/>
    </w:pPr>
    <w:rPr>
      <w:rFonts w:ascii="宋体" w:hAnsi="宋体" w:cs="宋体"/>
      <w:kern w:val="0"/>
      <w:sz w:val="20"/>
      <w:szCs w:val="20"/>
    </w:rPr>
  </w:style>
  <w:style w:type="paragraph" w:customStyle="1" w:styleId="2467">
    <w:name w:val="xl201"/>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center"/>
    </w:pPr>
    <w:rPr>
      <w:rFonts w:ascii="宋体" w:hAnsi="宋体" w:cs="宋体"/>
      <w:kern w:val="0"/>
      <w:sz w:val="20"/>
      <w:szCs w:val="20"/>
    </w:rPr>
  </w:style>
  <w:style w:type="paragraph" w:customStyle="1" w:styleId="2468">
    <w:name w:val="xl202"/>
    <w:basedOn w:val="1"/>
    <w:uiPriority w:val="0"/>
    <w:pPr>
      <w:widowControl/>
      <w:spacing w:beforeAutospacing="1" w:afterAutospacing="1"/>
      <w:jc w:val="left"/>
    </w:pPr>
    <w:rPr>
      <w:rFonts w:ascii="宋体" w:hAnsi="宋体" w:cs="宋体"/>
      <w:kern w:val="0"/>
      <w:sz w:val="20"/>
      <w:szCs w:val="20"/>
    </w:rPr>
  </w:style>
  <w:style w:type="paragraph" w:customStyle="1" w:styleId="2469">
    <w:name w:val="xl203"/>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left"/>
    </w:pPr>
    <w:rPr>
      <w:rFonts w:ascii="宋体" w:hAnsi="宋体" w:cs="宋体"/>
      <w:kern w:val="0"/>
      <w:sz w:val="20"/>
      <w:szCs w:val="20"/>
    </w:rPr>
  </w:style>
  <w:style w:type="paragraph" w:customStyle="1" w:styleId="2470">
    <w:name w:val="xl204"/>
    <w:basedOn w:val="1"/>
    <w:uiPriority w:val="0"/>
    <w:pPr>
      <w:widowControl/>
      <w:spacing w:beforeAutospacing="1" w:afterAutospacing="1"/>
      <w:jc w:val="left"/>
    </w:pPr>
    <w:rPr>
      <w:rFonts w:ascii="宋体" w:hAnsi="宋体" w:cs="宋体"/>
      <w:kern w:val="0"/>
      <w:sz w:val="20"/>
      <w:szCs w:val="20"/>
    </w:rPr>
  </w:style>
  <w:style w:type="paragraph" w:customStyle="1" w:styleId="2471">
    <w:name w:val="xl205"/>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center"/>
    </w:pPr>
    <w:rPr>
      <w:rFonts w:ascii="宋体" w:hAnsi="宋体" w:cs="宋体"/>
      <w:kern w:val="0"/>
      <w:sz w:val="20"/>
      <w:szCs w:val="20"/>
    </w:rPr>
  </w:style>
  <w:style w:type="paragraph" w:customStyle="1" w:styleId="2472">
    <w:name w:val="xl206"/>
    <w:basedOn w:val="1"/>
    <w:uiPriority w:val="0"/>
    <w:pPr>
      <w:widowControl/>
      <w:spacing w:beforeAutospacing="1" w:afterAutospacing="1"/>
      <w:jc w:val="center"/>
    </w:pPr>
    <w:rPr>
      <w:rFonts w:ascii="宋体" w:hAnsi="宋体" w:cs="宋体"/>
      <w:kern w:val="0"/>
      <w:sz w:val="20"/>
      <w:szCs w:val="20"/>
    </w:rPr>
  </w:style>
  <w:style w:type="paragraph" w:customStyle="1" w:styleId="2473">
    <w:name w:val="xl207"/>
    <w:basedOn w:val="1"/>
    <w:uiPriority w:val="0"/>
    <w:pPr>
      <w:widowControl/>
      <w:pBdr>
        <w:top w:val="single" w:color="auto" w:sz="4" w:space="0"/>
        <w:left w:val="single" w:color="auto" w:sz="4" w:space="0"/>
        <w:bottom w:val="single" w:color="auto" w:sz="4" w:space="0"/>
        <w:right w:val="single" w:color="auto" w:sz="4" w:space="0"/>
      </w:pBdr>
      <w:spacing w:beforeAutospacing="1" w:afterAutospacing="1"/>
      <w:jc w:val="left"/>
    </w:pPr>
    <w:rPr>
      <w:rFonts w:ascii="宋体" w:hAnsi="宋体" w:cs="宋体"/>
      <w:kern w:val="0"/>
      <w:sz w:val="20"/>
      <w:szCs w:val="20"/>
    </w:rPr>
  </w:style>
  <w:style w:type="paragraph" w:customStyle="1" w:styleId="2474">
    <w:name w:val="xl208"/>
    <w:basedOn w:val="1"/>
    <w:uiPriority w:val="0"/>
    <w:pPr>
      <w:widowControl/>
      <w:spacing w:beforeAutospacing="1" w:afterAutospacing="1"/>
      <w:jc w:val="left"/>
    </w:pPr>
    <w:rPr>
      <w:rFonts w:ascii="宋体" w:hAnsi="宋体" w:cs="宋体"/>
      <w:kern w:val="0"/>
      <w:sz w:val="20"/>
      <w:szCs w:val="20"/>
    </w:rPr>
  </w:style>
  <w:style w:type="paragraph" w:customStyle="1" w:styleId="2475">
    <w:name w:val="xl209"/>
    <w:basedOn w:val="1"/>
    <w:uiPriority w:val="0"/>
    <w:pPr>
      <w:widowControl/>
      <w:spacing w:beforeAutospacing="1" w:afterAutospacing="1"/>
      <w:jc w:val="center"/>
    </w:pPr>
    <w:rPr>
      <w:rFonts w:ascii="宋体" w:hAnsi="宋体" w:cs="宋体"/>
      <w:kern w:val="0"/>
      <w:sz w:val="24"/>
    </w:rPr>
  </w:style>
  <w:style w:type="paragraph" w:customStyle="1" w:styleId="2476">
    <w:name w:val="样式 样式 样式 标题 3 + 段前: 0.5 行 段后: 0.5 行 + 段前: 0.5 行 段后: 0.5 行 + 段前: ..."/>
    <w:basedOn w:val="1"/>
    <w:uiPriority w:val="0"/>
    <w:pPr>
      <w:keepNext/>
      <w:keepLines/>
      <w:adjustRightInd w:val="0"/>
      <w:snapToGrid w:val="0"/>
      <w:spacing w:beforeLines="50" w:afterLines="50"/>
      <w:jc w:val="left"/>
      <w:outlineLvl w:val="2"/>
    </w:pPr>
    <w:rPr>
      <w:rFonts w:cs="宋体"/>
      <w:b/>
      <w:bCs/>
      <w:sz w:val="28"/>
      <w:szCs w:val="20"/>
    </w:rPr>
  </w:style>
  <w:style w:type="paragraph" w:customStyle="1" w:styleId="2477">
    <w:name w:val="样式 正文文本缩进 + (西文) 宋体 (中文) 宋体 小四 右侧:  0.32 厘米 行距: 1.5 倍行距 首行缩..."/>
    <w:basedOn w:val="35"/>
    <w:uiPriority w:val="0"/>
    <w:pPr>
      <w:spacing w:line="360" w:lineRule="auto"/>
      <w:ind w:right="181" w:firstLine="482"/>
    </w:pPr>
    <w:rPr>
      <w:rFonts w:ascii="宋体" w:hAnsi="宋体" w:cs="宋体"/>
      <w:sz w:val="24"/>
      <w:szCs w:val="20"/>
    </w:rPr>
  </w:style>
  <w:style w:type="paragraph" w:customStyle="1" w:styleId="2478">
    <w:name w:val="样式 题注 + 居中1"/>
    <w:basedOn w:val="22"/>
    <w:uiPriority w:val="0"/>
    <w:pPr>
      <w:widowControl w:val="0"/>
      <w:spacing w:line="360" w:lineRule="auto"/>
    </w:pPr>
    <w:rPr>
      <w:rFonts w:ascii="Arial" w:hAnsi="Arial" w:eastAsia="宋体" w:cs="宋体"/>
      <w:bCs w:val="0"/>
      <w:kern w:val="2"/>
      <w:u w:color="000000"/>
    </w:rPr>
  </w:style>
  <w:style w:type="table" w:customStyle="1" w:styleId="2479">
    <w:name w:val="表格主题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2480">
    <w:name w:val="样式 样式 标题 3 + 段前: 0.5 行 段后: 0.5 行 + 段前: 0.5 行 段后: 0.5 行"/>
    <w:basedOn w:val="1"/>
    <w:uiPriority w:val="0"/>
    <w:pPr>
      <w:keepNext/>
      <w:keepLines/>
      <w:adjustRightInd w:val="0"/>
      <w:snapToGrid w:val="0"/>
      <w:spacing w:beforeLines="20" w:afterLines="20"/>
      <w:jc w:val="left"/>
      <w:outlineLvl w:val="2"/>
    </w:pPr>
    <w:rPr>
      <w:rFonts w:cs="宋体"/>
      <w:b/>
      <w:bCs/>
      <w:sz w:val="24"/>
      <w:szCs w:val="20"/>
    </w:rPr>
  </w:style>
  <w:style w:type="table" w:customStyle="1" w:styleId="2481">
    <w:name w:val="典雅型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paragraph" w:customStyle="1" w:styleId="2482">
    <w:name w:val="样式 正文文本正文文本 Char正文文字 + (西文) Times New Roman (中文) 华文中宋 小四 首行..."/>
    <w:basedOn w:val="34"/>
    <w:uiPriority w:val="0"/>
    <w:pPr>
      <w:adjustRightInd w:val="0"/>
      <w:spacing w:after="100" w:line="360" w:lineRule="exact"/>
      <w:ind w:firstLine="459"/>
      <w:textAlignment w:val="baseline"/>
    </w:pPr>
    <w:rPr>
      <w:rFonts w:eastAsia="华文中宋" w:cs="宋体"/>
      <w:kern w:val="0"/>
      <w:sz w:val="24"/>
    </w:rPr>
  </w:style>
  <w:style w:type="paragraph" w:customStyle="1" w:styleId="2483">
    <w:name w:val="样式 样式 样式 样式 标题 3一节，一1.1.1 + 黑体 小四 段前: 6 磅 段后: 0 磅 行距: 固定值 18 磅 +..."/>
    <w:basedOn w:val="1"/>
    <w:uiPriority w:val="0"/>
    <w:pPr>
      <w:keepNext/>
      <w:keepLines/>
      <w:spacing w:before="120" w:afterLines="20" w:line="360" w:lineRule="exact"/>
      <w:ind w:left="120" w:leftChars="120"/>
      <w:outlineLvl w:val="2"/>
    </w:pPr>
    <w:rPr>
      <w:rFonts w:ascii="黑体" w:eastAsia="黑体" w:cs="宋体"/>
      <w:b/>
      <w:bCs/>
      <w:sz w:val="24"/>
      <w:szCs w:val="20"/>
    </w:rPr>
  </w:style>
  <w:style w:type="paragraph" w:customStyle="1" w:styleId="2484">
    <w:name w:val="样式 样式 样式 (中文) 华文中宋 小四 段后: 3.6 磅 行距: 固定值 20 磅 + 首行缩进:  2 字符 + 首行缩..."/>
    <w:basedOn w:val="1"/>
    <w:uiPriority w:val="0"/>
    <w:pPr>
      <w:spacing w:after="120" w:line="400" w:lineRule="atLeast"/>
      <w:ind w:firstLine="200" w:firstLineChars="200"/>
    </w:pPr>
    <w:rPr>
      <w:rFonts w:eastAsia="华文中宋" w:cs="宋体"/>
      <w:kern w:val="0"/>
      <w:sz w:val="24"/>
      <w:szCs w:val="20"/>
    </w:rPr>
  </w:style>
  <w:style w:type="paragraph" w:customStyle="1" w:styleId="2485">
    <w:name w:val="样式 样式 (中文) 华文中宋 小四 段后: 4.65 磅 行距: 固定值 20 磅 + 首行缩进:  2 字符"/>
    <w:basedOn w:val="1"/>
    <w:uiPriority w:val="0"/>
    <w:pPr>
      <w:spacing w:after="120" w:line="400" w:lineRule="atLeast"/>
      <w:ind w:firstLine="200" w:firstLineChars="200"/>
    </w:pPr>
    <w:rPr>
      <w:rFonts w:eastAsia="华文中宋" w:cs="宋体"/>
      <w:kern w:val="0"/>
      <w:sz w:val="24"/>
      <w:szCs w:val="20"/>
    </w:rPr>
  </w:style>
  <w:style w:type="paragraph" w:customStyle="1" w:styleId="2486">
    <w:name w:val="样式 (中文) 华文中宋 小四 段后: 6 磅 行距: 固定值 20 磅"/>
    <w:basedOn w:val="1"/>
    <w:uiPriority w:val="0"/>
    <w:pPr>
      <w:spacing w:after="120" w:line="400" w:lineRule="atLeast"/>
      <w:ind w:firstLine="200" w:firstLineChars="200"/>
    </w:pPr>
    <w:rPr>
      <w:rFonts w:eastAsia="华文中宋" w:cs="宋体"/>
      <w:kern w:val="0"/>
      <w:sz w:val="24"/>
      <w:szCs w:val="20"/>
    </w:rPr>
  </w:style>
  <w:style w:type="table" w:customStyle="1" w:styleId="2487">
    <w:name w:val="表格虚线1"/>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2488">
    <w:name w:val="样式 样式 样式 华文中宋 小四 段后: 6 磅 行距: 最小值 18 磅 + 首行缩进:  2 字符 + 首行缩进:  2 字符"/>
    <w:basedOn w:val="1"/>
    <w:uiPriority w:val="0"/>
    <w:pPr>
      <w:spacing w:after="120" w:line="400" w:lineRule="atLeast"/>
      <w:ind w:firstLine="200" w:firstLineChars="200"/>
    </w:pPr>
    <w:rPr>
      <w:rFonts w:ascii="华文中宋" w:hAnsi="华文中宋" w:eastAsia="华文中宋" w:cs="宋体"/>
      <w:sz w:val="24"/>
      <w:szCs w:val="20"/>
    </w:rPr>
  </w:style>
  <w:style w:type="paragraph" w:customStyle="1" w:styleId="2489">
    <w:name w:val="样式 样式 华文中宋 小四 段后: 6 磅 行距: 最小值 18 磅 + 首行缩进:  2 字符"/>
    <w:basedOn w:val="1"/>
    <w:uiPriority w:val="0"/>
    <w:pPr>
      <w:spacing w:after="120" w:line="360" w:lineRule="atLeast"/>
      <w:ind w:firstLine="200" w:firstLineChars="200"/>
    </w:pPr>
    <w:rPr>
      <w:rFonts w:ascii="华文中宋" w:hAnsi="华文中宋" w:eastAsia="华文中宋" w:cs="宋体"/>
      <w:sz w:val="24"/>
      <w:szCs w:val="20"/>
    </w:rPr>
  </w:style>
  <w:style w:type="paragraph" w:customStyle="1" w:styleId="2490">
    <w:name w:val="附录四级条标题"/>
    <w:basedOn w:val="1"/>
    <w:next w:val="1"/>
    <w:uiPriority w:val="0"/>
    <w:pPr>
      <w:widowControl/>
      <w:tabs>
        <w:tab w:val="left" w:pos="3060"/>
      </w:tabs>
      <w:wordWrap w:val="0"/>
      <w:overflowPunct w:val="0"/>
      <w:autoSpaceDE w:val="0"/>
      <w:autoSpaceDN w:val="0"/>
      <w:ind w:left="3060" w:hanging="420"/>
      <w:textAlignment w:val="baseline"/>
      <w:outlineLvl w:val="5"/>
    </w:pPr>
    <w:rPr>
      <w:rFonts w:ascii="黑体" w:eastAsia="黑体" w:cs="黑体"/>
      <w:kern w:val="21"/>
      <w:szCs w:val="21"/>
    </w:rPr>
  </w:style>
  <w:style w:type="character" w:customStyle="1" w:styleId="2491">
    <w:name w:val="Char Char Char Char6"/>
    <w:uiPriority w:val="0"/>
    <w:rPr>
      <w:rFonts w:ascii="宋体" w:hAnsi="Courier New" w:eastAsia="宋体" w:cs="Courier New"/>
      <w:kern w:val="2"/>
      <w:sz w:val="21"/>
      <w:szCs w:val="21"/>
      <w:lang w:val="en-US" w:eastAsia="zh-CN" w:bidi="ar-SA"/>
    </w:rPr>
  </w:style>
  <w:style w:type="paragraph" w:customStyle="1" w:styleId="2492">
    <w:name w:val="4444"/>
    <w:basedOn w:val="1"/>
    <w:uiPriority w:val="0"/>
    <w:pPr>
      <w:widowControl/>
      <w:spacing w:after="160" w:line="240" w:lineRule="exact"/>
      <w:jc w:val="left"/>
    </w:pPr>
    <w:rPr>
      <w:rFonts w:ascii="Verdana" w:hAnsi="Verdana"/>
      <w:kern w:val="0"/>
      <w:sz w:val="20"/>
      <w:szCs w:val="20"/>
      <w:lang w:eastAsia="en-US"/>
    </w:rPr>
  </w:style>
  <w:style w:type="character" w:customStyle="1" w:styleId="2493">
    <w:name w:val="Char Char Char31"/>
    <w:uiPriority w:val="0"/>
    <w:rPr>
      <w:rFonts w:ascii="宋体" w:hAnsi="Courier New" w:eastAsia="宋体"/>
      <w:kern w:val="2"/>
      <w:sz w:val="24"/>
      <w:lang w:val="en-US" w:eastAsia="zh-CN" w:bidi="ar-SA"/>
    </w:rPr>
  </w:style>
  <w:style w:type="paragraph" w:customStyle="1" w:styleId="2494">
    <w:name w:val="样式 标题 1 + 两端对齐"/>
    <w:basedOn w:val="3"/>
    <w:uiPriority w:val="0"/>
    <w:pPr>
      <w:keepLines/>
      <w:tabs>
        <w:tab w:val="clear" w:pos="360"/>
      </w:tabs>
      <w:adjustRightInd w:val="0"/>
      <w:spacing w:line="720" w:lineRule="auto"/>
      <w:ind w:left="0" w:firstLine="0" w:firstLineChars="0"/>
      <w:jc w:val="both"/>
      <w:textAlignment w:val="baseline"/>
    </w:pPr>
    <w:rPr>
      <w:rFonts w:eastAsia="黑体" w:cs="宋体"/>
      <w:bCs/>
      <w:kern w:val="44"/>
      <w:sz w:val="32"/>
      <w:szCs w:val="20"/>
    </w:rPr>
  </w:style>
  <w:style w:type="paragraph" w:customStyle="1" w:styleId="2495">
    <w:name w:val="样式 标题 2 + 两端对齐 段前: 0.25 行 段后: 0.25 行 行距: 1.5 倍行距"/>
    <w:basedOn w:val="4"/>
    <w:uiPriority w:val="0"/>
    <w:pPr>
      <w:keepLines w:val="0"/>
      <w:widowControl/>
      <w:tabs>
        <w:tab w:val="clear" w:pos="360"/>
      </w:tabs>
      <w:adjustRightInd w:val="0"/>
      <w:spacing w:before="0" w:after="0" w:line="360" w:lineRule="auto"/>
      <w:ind w:left="0" w:firstLine="601" w:firstLineChars="200"/>
      <w:jc w:val="left"/>
      <w:textAlignment w:val="baseline"/>
    </w:pPr>
    <w:rPr>
      <w:rFonts w:ascii="Times New Roman" w:hAnsi="Times New Roman" w:cs="宋体"/>
      <w:b w:val="0"/>
      <w:kern w:val="28"/>
      <w:sz w:val="30"/>
      <w:szCs w:val="20"/>
    </w:rPr>
  </w:style>
  <w:style w:type="paragraph" w:customStyle="1" w:styleId="2496">
    <w:name w:val="样式 样式 标题 2 + 两端对齐 段前: 0.25 行 段后: 0.25 行 行距: 1.5 倍行距 + 段前: 0.25 行..."/>
    <w:basedOn w:val="2495"/>
    <w:uiPriority w:val="0"/>
    <w:pPr>
      <w:spacing w:before="25" w:after="25"/>
      <w:ind w:firstLine="0" w:firstLineChars="0"/>
    </w:pPr>
  </w:style>
  <w:style w:type="paragraph" w:customStyle="1" w:styleId="2497">
    <w:name w:val="样式 样式 标题 2 + 两端对齐 段前: 0.25 行 段后: 0.25 行 行距: 1.5 倍行距 + 段前: 0.25 行...1"/>
    <w:basedOn w:val="2495"/>
    <w:uiPriority w:val="0"/>
    <w:pPr>
      <w:spacing w:before="25" w:after="25"/>
      <w:ind w:firstLine="0" w:firstLineChars="0"/>
    </w:pPr>
  </w:style>
  <w:style w:type="paragraph" w:customStyle="1" w:styleId="2498">
    <w:name w:val="样式 样式 标题 2 + 两端对齐 段前: 0.25 行 段后: 0.25 行 行距: 1.5 倍行距 + 段前: 0.25 行...2"/>
    <w:basedOn w:val="2495"/>
    <w:uiPriority w:val="0"/>
    <w:pPr>
      <w:spacing w:before="25" w:after="25"/>
      <w:ind w:firstLine="0" w:firstLineChars="0"/>
    </w:pPr>
  </w:style>
  <w:style w:type="paragraph" w:customStyle="1" w:styleId="2499">
    <w:name w:val="样式 标题 2 + 四号 两端对齐 段前: 0.25 行 段后: 0.25 行 行距: 1.5 倍行距"/>
    <w:basedOn w:val="4"/>
    <w:uiPriority w:val="0"/>
    <w:pPr>
      <w:keepLines w:val="0"/>
      <w:widowControl/>
      <w:tabs>
        <w:tab w:val="clear" w:pos="360"/>
      </w:tabs>
      <w:adjustRightInd w:val="0"/>
      <w:spacing w:before="0" w:after="0" w:line="360" w:lineRule="auto"/>
      <w:ind w:left="0" w:firstLine="0" w:firstLineChars="0"/>
      <w:jc w:val="left"/>
      <w:textAlignment w:val="baseline"/>
    </w:pPr>
    <w:rPr>
      <w:rFonts w:ascii="Times New Roman" w:hAnsi="Times New Roman" w:cs="宋体"/>
      <w:b w:val="0"/>
      <w:kern w:val="0"/>
      <w:sz w:val="28"/>
      <w:szCs w:val="20"/>
    </w:rPr>
  </w:style>
  <w:style w:type="paragraph" w:customStyle="1" w:styleId="2500">
    <w:name w:val="样式 四号 加粗 黑色 两端对齐 行距: 1.5 倍行距"/>
    <w:basedOn w:val="1"/>
    <w:uiPriority w:val="0"/>
    <w:pPr>
      <w:adjustRightInd w:val="0"/>
      <w:spacing w:line="360" w:lineRule="auto"/>
      <w:textAlignment w:val="baseline"/>
    </w:pPr>
    <w:rPr>
      <w:rFonts w:cs="宋体"/>
      <w:b/>
      <w:bCs/>
      <w:color w:val="000000"/>
      <w:kern w:val="0"/>
      <w:sz w:val="28"/>
      <w:szCs w:val="20"/>
    </w:rPr>
  </w:style>
  <w:style w:type="paragraph" w:customStyle="1" w:styleId="2501">
    <w:name w:val="样式 标题 1 + 两端对齐1"/>
    <w:basedOn w:val="3"/>
    <w:uiPriority w:val="0"/>
    <w:pPr>
      <w:keepLines/>
      <w:tabs>
        <w:tab w:val="clear" w:pos="360"/>
      </w:tabs>
      <w:adjustRightInd w:val="0"/>
      <w:spacing w:beforeLines="50" w:line="720" w:lineRule="auto"/>
      <w:ind w:left="0" w:firstLine="0" w:firstLineChars="0"/>
      <w:textAlignment w:val="baseline"/>
    </w:pPr>
    <w:rPr>
      <w:rFonts w:eastAsia="黑体" w:cs="宋体"/>
      <w:bCs/>
      <w:kern w:val="44"/>
      <w:sz w:val="32"/>
      <w:szCs w:val="20"/>
    </w:rPr>
  </w:style>
  <w:style w:type="paragraph" w:customStyle="1" w:styleId="2502">
    <w:name w:val="样式 标题 1 + 两端对齐2"/>
    <w:basedOn w:val="3"/>
    <w:uiPriority w:val="0"/>
    <w:pPr>
      <w:keepLines/>
      <w:tabs>
        <w:tab w:val="clear" w:pos="360"/>
      </w:tabs>
      <w:adjustRightInd w:val="0"/>
      <w:spacing w:beforeLines="50" w:line="720" w:lineRule="auto"/>
      <w:ind w:left="0" w:firstLine="0" w:firstLineChars="0"/>
      <w:textAlignment w:val="baseline"/>
    </w:pPr>
    <w:rPr>
      <w:rFonts w:eastAsia="黑体" w:cs="宋体"/>
      <w:bCs/>
      <w:kern w:val="44"/>
      <w:sz w:val="32"/>
      <w:szCs w:val="20"/>
    </w:rPr>
  </w:style>
  <w:style w:type="paragraph" w:customStyle="1" w:styleId="2503">
    <w:name w:val="样式 标题 1 + 两端对齐3"/>
    <w:basedOn w:val="3"/>
    <w:uiPriority w:val="0"/>
    <w:pPr>
      <w:keepLines/>
      <w:tabs>
        <w:tab w:val="clear" w:pos="360"/>
      </w:tabs>
      <w:adjustRightInd w:val="0"/>
      <w:spacing w:beforeLines="50" w:line="720" w:lineRule="auto"/>
      <w:ind w:left="0" w:firstLine="0" w:firstLineChars="0"/>
      <w:textAlignment w:val="baseline"/>
    </w:pPr>
    <w:rPr>
      <w:rFonts w:eastAsia="黑体" w:cs="宋体"/>
      <w:bCs/>
      <w:kern w:val="44"/>
      <w:sz w:val="32"/>
      <w:szCs w:val="20"/>
    </w:rPr>
  </w:style>
  <w:style w:type="paragraph" w:customStyle="1" w:styleId="2504">
    <w:name w:val="正文新样式"/>
    <w:basedOn w:val="1"/>
    <w:uiPriority w:val="0"/>
    <w:pPr>
      <w:adjustRightInd w:val="0"/>
      <w:spacing w:line="360" w:lineRule="auto"/>
      <w:ind w:firstLine="200" w:firstLineChars="200"/>
      <w:textAlignment w:val="baseline"/>
    </w:pPr>
    <w:rPr>
      <w:kern w:val="0"/>
      <w:sz w:val="28"/>
      <w:szCs w:val="28"/>
    </w:rPr>
  </w:style>
  <w:style w:type="paragraph" w:customStyle="1" w:styleId="2505">
    <w:name w:val="文件名称"/>
    <w:basedOn w:val="1"/>
    <w:next w:val="1"/>
    <w:uiPriority w:val="0"/>
    <w:pPr>
      <w:adjustRightInd w:val="0"/>
      <w:snapToGrid w:val="0"/>
      <w:spacing w:line="480" w:lineRule="auto"/>
      <w:jc w:val="center"/>
    </w:pPr>
    <w:rPr>
      <w:rFonts w:ascii="楷体_GB2312" w:hAnsi="楷体_GB2312" w:eastAsia="隶书" w:cs="宋体"/>
      <w:b/>
      <w:bCs/>
      <w:color w:val="000000"/>
      <w:kern w:val="0"/>
      <w:sz w:val="52"/>
      <w:szCs w:val="20"/>
    </w:rPr>
  </w:style>
  <w:style w:type="paragraph" w:customStyle="1" w:styleId="2506">
    <w:name w:val="一级段落编号"/>
    <w:basedOn w:val="1"/>
    <w:uiPriority w:val="0"/>
    <w:pPr>
      <w:spacing w:beforeLines="50" w:afterLines="50" w:line="360" w:lineRule="auto"/>
    </w:pPr>
    <w:rPr>
      <w:rFonts w:eastAsia="仿宋_GB2312"/>
      <w:b/>
      <w:sz w:val="30"/>
      <w:szCs w:val="30"/>
    </w:rPr>
  </w:style>
  <w:style w:type="paragraph" w:customStyle="1" w:styleId="2507">
    <w:name w:val="GK二级格式二"/>
    <w:basedOn w:val="1"/>
    <w:uiPriority w:val="0"/>
    <w:pPr>
      <w:adjustRightInd w:val="0"/>
      <w:snapToGrid w:val="0"/>
      <w:spacing w:beforeLines="100" w:line="360" w:lineRule="auto"/>
      <w:outlineLvl w:val="0"/>
    </w:pPr>
    <w:rPr>
      <w:b/>
      <w:bCs/>
      <w:sz w:val="30"/>
      <w:szCs w:val="30"/>
    </w:rPr>
  </w:style>
  <w:style w:type="character" w:customStyle="1" w:styleId="2508">
    <w:name w:val="news-011"/>
    <w:uiPriority w:val="0"/>
    <w:rPr>
      <w:sz w:val="18"/>
      <w:szCs w:val="18"/>
    </w:rPr>
  </w:style>
  <w:style w:type="character" w:customStyle="1" w:styleId="2509">
    <w:name w:val="段落文字 Char Char Char"/>
    <w:uiPriority w:val="0"/>
    <w:rPr>
      <w:rFonts w:ascii="仿宋_GB2312" w:eastAsia="仿宋_GB2312" w:cs="宋体"/>
      <w:kern w:val="2"/>
      <w:sz w:val="28"/>
      <w:szCs w:val="28"/>
      <w:lang w:val="en-US" w:eastAsia="zh-CN" w:bidi="ar-SA"/>
    </w:rPr>
  </w:style>
  <w:style w:type="paragraph" w:customStyle="1" w:styleId="2510">
    <w:name w:val="样式 列表 + 段前: 0.5 行"/>
    <w:basedOn w:val="66"/>
    <w:uiPriority w:val="0"/>
    <w:pPr>
      <w:tabs>
        <w:tab w:val="left" w:pos="552"/>
        <w:tab w:val="clear" w:pos="283"/>
      </w:tabs>
      <w:spacing w:before="190" w:line="480" w:lineRule="atLeast"/>
      <w:jc w:val="both"/>
    </w:pPr>
    <w:rPr>
      <w:rFonts w:eastAsia="仿宋_GB2312" w:cs="宋体"/>
      <w:bCs/>
    </w:rPr>
  </w:style>
  <w:style w:type="character" w:customStyle="1" w:styleId="2511">
    <w:name w:val="tit2"/>
    <w:uiPriority w:val="0"/>
    <w:rPr>
      <w:b/>
      <w:bCs/>
      <w:sz w:val="48"/>
      <w:szCs w:val="48"/>
    </w:rPr>
  </w:style>
  <w:style w:type="paragraph" w:customStyle="1" w:styleId="2512">
    <w:name w:val="正文-lp"/>
    <w:basedOn w:val="1"/>
    <w:uiPriority w:val="0"/>
    <w:pPr>
      <w:adjustRightInd w:val="0"/>
      <w:snapToGrid w:val="0"/>
      <w:spacing w:line="520" w:lineRule="exact"/>
      <w:ind w:firstLine="200" w:firstLineChars="200"/>
    </w:pPr>
    <w:rPr>
      <w:sz w:val="28"/>
      <w:szCs w:val="28"/>
    </w:rPr>
  </w:style>
  <w:style w:type="character" w:customStyle="1" w:styleId="2513">
    <w:name w:val="正文-lp Char"/>
    <w:uiPriority w:val="0"/>
    <w:rPr>
      <w:rFonts w:eastAsia="宋体"/>
      <w:kern w:val="2"/>
      <w:sz w:val="28"/>
      <w:szCs w:val="28"/>
      <w:lang w:val="en-US" w:eastAsia="zh-CN" w:bidi="ar-SA"/>
    </w:rPr>
  </w:style>
  <w:style w:type="paragraph" w:customStyle="1" w:styleId="2514">
    <w:name w:val="Char Char Char1 Char Char Char Char3"/>
    <w:basedOn w:val="1"/>
    <w:uiPriority w:val="0"/>
    <w:pPr>
      <w:spacing w:line="360" w:lineRule="auto"/>
      <w:ind w:firstLine="200" w:firstLineChars="200"/>
    </w:pPr>
    <w:rPr>
      <w:rFonts w:ascii="宋体" w:hAnsi="宋体" w:cs="宋体"/>
      <w:sz w:val="24"/>
    </w:rPr>
  </w:style>
  <w:style w:type="character" w:customStyle="1" w:styleId="2515">
    <w:name w:val="表头4 Char"/>
    <w:uiPriority w:val="0"/>
    <w:rPr>
      <w:rFonts w:eastAsia="宋体"/>
      <w:b/>
      <w:kern w:val="2"/>
      <w:sz w:val="28"/>
      <w:szCs w:val="24"/>
      <w:lang w:val="en-US" w:eastAsia="zh-CN" w:bidi="ar-SA"/>
    </w:rPr>
  </w:style>
  <w:style w:type="character" w:customStyle="1" w:styleId="2516">
    <w:name w:val="word1"/>
    <w:uiPriority w:val="0"/>
    <w:rPr>
      <w:color w:val="333333"/>
      <w:sz w:val="18"/>
      <w:szCs w:val="18"/>
    </w:rPr>
  </w:style>
  <w:style w:type="paragraph" w:customStyle="1" w:styleId="2517">
    <w:name w:val="标题1 Char Char Char Char"/>
    <w:basedOn w:val="1"/>
    <w:uiPriority w:val="0"/>
    <w:rPr>
      <w:rFonts w:eastAsia="楷体_GB2312"/>
      <w:szCs w:val="21"/>
    </w:rPr>
  </w:style>
  <w:style w:type="paragraph" w:customStyle="1" w:styleId="2518">
    <w:name w:val="样式 标题 4款标题1.1.1.1(一)条，(一)标题 41. + 仿宋_GB2312 小四 非加粗"/>
    <w:basedOn w:val="6"/>
    <w:uiPriority w:val="0"/>
    <w:pPr>
      <w:tabs>
        <w:tab w:val="clear" w:pos="360"/>
      </w:tabs>
      <w:spacing w:before="100" w:beforeAutospacing="1" w:after="100" w:afterAutospacing="1"/>
      <w:ind w:left="0" w:firstLine="0" w:firstLineChars="0"/>
      <w:jc w:val="both"/>
    </w:pPr>
    <w:rPr>
      <w:rFonts w:ascii="仿宋_GB2312" w:hAnsi="仿宋_GB2312" w:eastAsia="仿宋_GB2312"/>
      <w:bCs w:val="0"/>
      <w:sz w:val="24"/>
    </w:rPr>
  </w:style>
  <w:style w:type="paragraph" w:customStyle="1" w:styleId="2519">
    <w:name w:val="a正文"/>
    <w:basedOn w:val="1"/>
    <w:link w:val="2520"/>
    <w:uiPriority w:val="0"/>
    <w:pPr>
      <w:spacing w:line="360" w:lineRule="auto"/>
      <w:ind w:firstLine="200" w:firstLineChars="200"/>
    </w:pPr>
    <w:rPr>
      <w:sz w:val="24"/>
    </w:rPr>
  </w:style>
  <w:style w:type="character" w:customStyle="1" w:styleId="2520">
    <w:name w:val="a正文 Char"/>
    <w:link w:val="2519"/>
    <w:uiPriority w:val="0"/>
    <w:rPr>
      <w:kern w:val="2"/>
      <w:sz w:val="24"/>
      <w:szCs w:val="24"/>
    </w:rPr>
  </w:style>
  <w:style w:type="paragraph" w:customStyle="1" w:styleId="2521">
    <w:name w:val="我的图文标题"/>
    <w:basedOn w:val="1"/>
    <w:link w:val="2522"/>
    <w:qFormat/>
    <w:uiPriority w:val="0"/>
    <w:pPr>
      <w:jc w:val="center"/>
    </w:pPr>
    <w:rPr>
      <w:rFonts w:ascii="黑体" w:hAnsi="Calibri" w:eastAsia="黑体"/>
      <w:szCs w:val="22"/>
    </w:rPr>
  </w:style>
  <w:style w:type="character" w:customStyle="1" w:styleId="2522">
    <w:name w:val="我的图文标题 Char"/>
    <w:link w:val="2521"/>
    <w:uiPriority w:val="0"/>
    <w:rPr>
      <w:rFonts w:ascii="黑体" w:hAnsi="Calibri" w:eastAsia="黑体"/>
      <w:kern w:val="2"/>
      <w:sz w:val="21"/>
      <w:szCs w:val="22"/>
    </w:rPr>
  </w:style>
  <w:style w:type="character" w:customStyle="1" w:styleId="2523">
    <w:name w:val="Char Char Char Char Char Char Char Char1"/>
    <w:link w:val="1291"/>
    <w:uiPriority w:val="0"/>
    <w:rPr>
      <w:rFonts w:ascii="宋体" w:hAnsi="宋体" w:cs="宋体"/>
      <w:kern w:val="2"/>
      <w:sz w:val="24"/>
      <w:szCs w:val="24"/>
    </w:rPr>
  </w:style>
  <w:style w:type="paragraph" w:customStyle="1" w:styleId="2524">
    <w:name w:val="样式 样式 标题 4(一)条，(一)款标题1.1.1.1标题 41. + 左侧:  -0.01 字符 + 加粗 行距: 1.5..."/>
    <w:basedOn w:val="1"/>
    <w:uiPriority w:val="0"/>
    <w:pPr>
      <w:autoSpaceDE w:val="0"/>
      <w:autoSpaceDN w:val="0"/>
      <w:adjustRightInd w:val="0"/>
      <w:snapToGrid w:val="0"/>
      <w:spacing w:beforeLines="50" w:line="360" w:lineRule="auto"/>
      <w:ind w:left="-1" w:leftChars="-1"/>
      <w:jc w:val="left"/>
      <w:outlineLvl w:val="3"/>
    </w:pPr>
    <w:rPr>
      <w:rFonts w:cs="宋体"/>
      <w:b/>
      <w:bCs/>
      <w:kern w:val="0"/>
      <w:sz w:val="24"/>
      <w:szCs w:val="20"/>
      <w:lang w:val="zh-CN"/>
    </w:rPr>
  </w:style>
  <w:style w:type="paragraph" w:customStyle="1" w:styleId="2525">
    <w:name w:val="其他发布日期"/>
    <w:basedOn w:val="1"/>
    <w:uiPriority w:val="0"/>
    <w:pPr>
      <w:framePr w:w="3997" w:h="471" w:hRule="exact" w:vSpace="181" w:wrap="around" w:vAnchor="page" w:hAnchor="page" w:x="1419" w:y="14097" w:anchorLock="1"/>
      <w:widowControl/>
      <w:numPr>
        <w:ilvl w:val="0"/>
        <w:numId w:val="23"/>
      </w:numPr>
      <w:jc w:val="left"/>
    </w:pPr>
    <w:rPr>
      <w:rFonts w:eastAsia="黑体"/>
      <w:kern w:val="0"/>
      <w:sz w:val="28"/>
      <w:szCs w:val="20"/>
    </w:rPr>
  </w:style>
  <w:style w:type="paragraph" w:customStyle="1" w:styleId="2526">
    <w:name w:val="2 Char Char Char Char Char Char Char"/>
    <w:basedOn w:val="1"/>
    <w:uiPriority w:val="0"/>
  </w:style>
  <w:style w:type="paragraph" w:customStyle="1" w:styleId="2527">
    <w:name w:val="本文正文123"/>
    <w:basedOn w:val="1"/>
    <w:link w:val="2528"/>
    <w:qFormat/>
    <w:uiPriority w:val="0"/>
    <w:pPr>
      <w:adjustRightInd w:val="0"/>
      <w:snapToGrid w:val="0"/>
      <w:spacing w:line="360" w:lineRule="auto"/>
      <w:ind w:firstLine="200" w:firstLineChars="200"/>
    </w:pPr>
    <w:rPr>
      <w:sz w:val="24"/>
    </w:rPr>
  </w:style>
  <w:style w:type="character" w:customStyle="1" w:styleId="2528">
    <w:name w:val="本文正文123 Char"/>
    <w:link w:val="2527"/>
    <w:uiPriority w:val="0"/>
    <w:rPr>
      <w:kern w:val="2"/>
      <w:sz w:val="24"/>
      <w:szCs w:val="24"/>
    </w:rPr>
  </w:style>
  <w:style w:type="paragraph" w:customStyle="1" w:styleId="2529">
    <w:name w:val="本文图表"/>
    <w:basedOn w:val="1"/>
    <w:link w:val="2530"/>
    <w:qFormat/>
    <w:uiPriority w:val="0"/>
    <w:pPr>
      <w:spacing w:line="360" w:lineRule="auto"/>
      <w:jc w:val="center"/>
    </w:pPr>
    <w:rPr>
      <w:rFonts w:ascii="仿宋" w:hAnsi="仿宋" w:eastAsia="仿宋"/>
      <w:b/>
      <w:sz w:val="24"/>
    </w:rPr>
  </w:style>
  <w:style w:type="character" w:customStyle="1" w:styleId="2530">
    <w:name w:val="本文图表 Char"/>
    <w:link w:val="2529"/>
    <w:uiPriority w:val="0"/>
    <w:rPr>
      <w:rFonts w:ascii="仿宋" w:hAnsi="仿宋" w:eastAsia="仿宋"/>
      <w:b/>
      <w:kern w:val="2"/>
      <w:sz w:val="24"/>
      <w:szCs w:val="24"/>
    </w:rPr>
  </w:style>
  <w:style w:type="paragraph" w:customStyle="1" w:styleId="2531">
    <w:name w:val="表格表头"/>
    <w:basedOn w:val="1"/>
    <w:uiPriority w:val="0"/>
    <w:pPr>
      <w:spacing w:line="240" w:lineRule="atLeast"/>
      <w:jc w:val="center"/>
    </w:pPr>
    <w:rPr>
      <w:szCs w:val="20"/>
    </w:rPr>
  </w:style>
  <w:style w:type="paragraph" w:customStyle="1" w:styleId="2532">
    <w:name w:val="ljsh"/>
    <w:uiPriority w:val="0"/>
    <w:pPr>
      <w:adjustRightInd w:val="0"/>
      <w:snapToGrid w:val="0"/>
      <w:spacing w:line="360" w:lineRule="auto"/>
      <w:ind w:left="350" w:leftChars="350" w:firstLine="200" w:firstLineChars="200"/>
    </w:pPr>
    <w:rPr>
      <w:rFonts w:ascii="宋体" w:hAnsi="宋体" w:eastAsia="宋体" w:cs="Times New Roman"/>
      <w:snapToGrid w:val="0"/>
      <w:color w:val="000000"/>
      <w:sz w:val="24"/>
      <w:szCs w:val="24"/>
      <w:lang w:val="en-US" w:eastAsia="zh-CN" w:bidi="ar-SA"/>
    </w:rPr>
  </w:style>
  <w:style w:type="paragraph" w:customStyle="1" w:styleId="2533">
    <w:name w:val="wmf"/>
    <w:basedOn w:val="1"/>
    <w:uiPriority w:val="0"/>
    <w:pPr>
      <w:snapToGrid w:val="0"/>
      <w:spacing w:line="360" w:lineRule="auto"/>
      <w:ind w:left="350" w:leftChars="350" w:firstLine="200" w:firstLineChars="200"/>
    </w:pPr>
    <w:rPr>
      <w:spacing w:val="6"/>
      <w:sz w:val="24"/>
    </w:rPr>
  </w:style>
  <w:style w:type="paragraph" w:customStyle="1" w:styleId="2534">
    <w:name w:val="ljszhengwen"/>
    <w:uiPriority w:val="0"/>
    <w:pPr>
      <w:adjustRightInd w:val="0"/>
      <w:snapToGrid w:val="0"/>
      <w:spacing w:line="360" w:lineRule="auto"/>
      <w:ind w:left="350" w:leftChars="350" w:firstLine="200" w:firstLineChars="200"/>
    </w:pPr>
    <w:rPr>
      <w:rFonts w:ascii="宋体" w:hAnsi="宋体" w:eastAsia="宋体" w:cs="Times New Roman"/>
      <w:bCs/>
      <w:snapToGrid w:val="0"/>
      <w:sz w:val="24"/>
      <w:szCs w:val="24"/>
      <w:lang w:val="en-US" w:eastAsia="zh-CN" w:bidi="ar-SA"/>
    </w:rPr>
  </w:style>
  <w:style w:type="paragraph" w:customStyle="1" w:styleId="2535">
    <w:name w:val="Char1 Char"/>
    <w:basedOn w:val="1"/>
    <w:uiPriority w:val="0"/>
    <w:pPr>
      <w:spacing w:line="520" w:lineRule="exact"/>
    </w:pPr>
    <w:rPr>
      <w:sz w:val="24"/>
      <w:szCs w:val="20"/>
    </w:rPr>
  </w:style>
  <w:style w:type="character" w:customStyle="1" w:styleId="2536">
    <w:name w:val="Char Char31"/>
    <w:uiPriority w:val="0"/>
    <w:rPr>
      <w:rFonts w:eastAsia="宋体"/>
      <w:kern w:val="2"/>
      <w:sz w:val="36"/>
      <w:lang w:val="en-US" w:eastAsia="zh-CN" w:bidi="ar-SA"/>
    </w:rPr>
  </w:style>
  <w:style w:type="character" w:customStyle="1" w:styleId="2537">
    <w:name w:val="标题7"/>
    <w:uiPriority w:val="0"/>
  </w:style>
  <w:style w:type="paragraph" w:customStyle="1" w:styleId="2538">
    <w:name w:val="04表格"/>
    <w:basedOn w:val="1"/>
    <w:uiPriority w:val="0"/>
    <w:pPr>
      <w:spacing w:line="300" w:lineRule="auto"/>
    </w:pPr>
    <w:rPr>
      <w:sz w:val="24"/>
      <w:szCs w:val="28"/>
    </w:rPr>
  </w:style>
  <w:style w:type="character" w:customStyle="1" w:styleId="2539">
    <w:name w:val="zhang正文 Char"/>
    <w:link w:val="1505"/>
    <w:uiPriority w:val="0"/>
    <w:rPr>
      <w:rFonts w:eastAsia="楷体_GB2312"/>
      <w:sz w:val="28"/>
    </w:rPr>
  </w:style>
  <w:style w:type="paragraph" w:customStyle="1" w:styleId="2540">
    <w:name w:val="正文首行缩进-修改"/>
    <w:basedOn w:val="1"/>
    <w:uiPriority w:val="0"/>
    <w:pPr>
      <w:spacing w:line="360" w:lineRule="auto"/>
      <w:ind w:firstLine="480" w:firstLineChars="200"/>
    </w:pPr>
    <w:rPr>
      <w:rFonts w:ascii="宋体" w:hAnsi="宋体" w:cs="宋体"/>
      <w:sz w:val="24"/>
      <w:szCs w:val="20"/>
    </w:rPr>
  </w:style>
  <w:style w:type="table" w:customStyle="1" w:styleId="2541">
    <w:name w:val="网格型 13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paragraph" w:customStyle="1" w:styleId="2542">
    <w:name w:val="普通(网站)3"/>
    <w:basedOn w:val="1"/>
    <w:uiPriority w:val="0"/>
    <w:pPr>
      <w:widowControl/>
      <w:adjustRightInd w:val="0"/>
      <w:spacing w:before="100" w:after="100"/>
      <w:jc w:val="left"/>
      <w:textAlignment w:val="baseline"/>
    </w:pPr>
    <w:rPr>
      <w:rFonts w:ascii="宋体" w:hAnsi="宋体"/>
      <w:kern w:val="0"/>
      <w:sz w:val="24"/>
      <w:szCs w:val="28"/>
    </w:rPr>
  </w:style>
  <w:style w:type="paragraph" w:customStyle="1" w:styleId="2543">
    <w:name w:val="日期4"/>
    <w:basedOn w:val="1"/>
    <w:next w:val="1"/>
    <w:uiPriority w:val="0"/>
    <w:pPr>
      <w:adjustRightInd w:val="0"/>
      <w:spacing w:line="312" w:lineRule="atLeast"/>
      <w:textAlignment w:val="baseline"/>
    </w:pPr>
    <w:rPr>
      <w:rFonts w:ascii="宋体"/>
      <w:kern w:val="0"/>
      <w:sz w:val="28"/>
      <w:szCs w:val="20"/>
    </w:rPr>
  </w:style>
  <w:style w:type="character" w:customStyle="1" w:styleId="2544">
    <w:name w:val="Char Char28"/>
    <w:uiPriority w:val="0"/>
    <w:rPr>
      <w:rFonts w:ascii="宋体" w:hAnsi="Courier New" w:eastAsia="宋体"/>
      <w:kern w:val="2"/>
      <w:sz w:val="21"/>
      <w:lang w:val="en-US" w:eastAsia="zh-CN" w:bidi="ar-SA"/>
    </w:rPr>
  </w:style>
  <w:style w:type="paragraph" w:customStyle="1" w:styleId="2545">
    <w:name w:val="批注框文本 Char Char Char Char Char Char Char"/>
    <w:basedOn w:val="1"/>
    <w:uiPriority w:val="0"/>
    <w:rPr>
      <w:rFonts w:hint="eastAsia"/>
      <w:sz w:val="18"/>
      <w:szCs w:val="20"/>
    </w:rPr>
  </w:style>
  <w:style w:type="paragraph" w:customStyle="1" w:styleId="2546">
    <w:name w:val="样式 标题 2H21.1标题 2 + (中文) 宋体"/>
    <w:basedOn w:val="4"/>
    <w:uiPriority w:val="0"/>
    <w:pPr>
      <w:keepNext w:val="0"/>
      <w:keepLines w:val="0"/>
      <w:tabs>
        <w:tab w:val="clear" w:pos="360"/>
      </w:tabs>
      <w:topLinePunct/>
      <w:adjustRightInd w:val="0"/>
      <w:snapToGrid w:val="0"/>
      <w:spacing w:before="120" w:after="120" w:line="240" w:lineRule="auto"/>
      <w:ind w:left="0" w:firstLine="0" w:firstLineChars="0"/>
      <w:jc w:val="left"/>
    </w:pPr>
    <w:rPr>
      <w:rFonts w:ascii="宋体" w:hAnsi="Times New Roman" w:eastAsia="宋体"/>
      <w:bCs w:val="0"/>
      <w:caps/>
      <w:spacing w:val="10"/>
      <w:kern w:val="20"/>
      <w:szCs w:val="20"/>
    </w:rPr>
  </w:style>
  <w:style w:type="paragraph" w:customStyle="1" w:styleId="2547">
    <w:name w:val="批注框文本 Char Char Char Char Char Char"/>
    <w:basedOn w:val="1"/>
    <w:uiPriority w:val="0"/>
    <w:rPr>
      <w:rFonts w:hint="eastAsia"/>
      <w:sz w:val="18"/>
      <w:szCs w:val="20"/>
    </w:rPr>
  </w:style>
  <w:style w:type="paragraph" w:customStyle="1" w:styleId="2548">
    <w:name w:val="页眉3"/>
    <w:basedOn w:val="1"/>
    <w:uiPriority w:val="0"/>
    <w:pPr>
      <w:pBdr>
        <w:bottom w:val="single" w:color="auto" w:sz="6" w:space="1"/>
      </w:pBdr>
      <w:tabs>
        <w:tab w:val="center" w:pos="4153"/>
        <w:tab w:val="right" w:pos="8306"/>
      </w:tabs>
      <w:snapToGrid w:val="0"/>
      <w:jc w:val="center"/>
    </w:pPr>
    <w:rPr>
      <w:rFonts w:hint="eastAsia"/>
      <w:sz w:val="18"/>
      <w:szCs w:val="20"/>
    </w:rPr>
  </w:style>
  <w:style w:type="paragraph" w:customStyle="1" w:styleId="2549">
    <w:name w:val="Char Char Char Char Char Char Char Char Char2"/>
    <w:basedOn w:val="1"/>
    <w:uiPriority w:val="0"/>
    <w:rPr>
      <w:sz w:val="24"/>
    </w:rPr>
  </w:style>
  <w:style w:type="paragraph" w:customStyle="1" w:styleId="2550">
    <w:name w:val="五号表格"/>
    <w:next w:val="1"/>
    <w:uiPriority w:val="0"/>
    <w:rPr>
      <w:rFonts w:ascii="宋体" w:hAnsi="Times New Roman" w:eastAsia="宋体" w:cs="Times New Roman"/>
      <w:sz w:val="21"/>
      <w:lang w:val="en-US" w:eastAsia="zh-CN" w:bidi="ar-SA"/>
    </w:rPr>
  </w:style>
  <w:style w:type="character" w:customStyle="1" w:styleId="2551">
    <w:name w:val="我的正文 Char Char"/>
    <w:uiPriority w:val="0"/>
    <w:rPr>
      <w:rFonts w:ascii="宋体" w:hAnsi="宋体" w:cs="华文中宋"/>
      <w:kern w:val="0"/>
      <w:sz w:val="24"/>
      <w:szCs w:val="24"/>
    </w:rPr>
  </w:style>
  <w:style w:type="paragraph" w:customStyle="1" w:styleId="2552">
    <w:name w:val="CM99"/>
    <w:basedOn w:val="266"/>
    <w:next w:val="266"/>
    <w:uiPriority w:val="99"/>
    <w:rPr>
      <w:rFonts w:ascii="华文中宋" w:hAnsi="Calibri" w:eastAsia="华文中宋"/>
      <w:color w:val="auto"/>
    </w:rPr>
  </w:style>
  <w:style w:type="character" w:customStyle="1" w:styleId="2553">
    <w:name w:val="本文耳机 Char"/>
    <w:link w:val="2554"/>
    <w:uiPriority w:val="0"/>
    <w:rPr>
      <w:rFonts w:ascii="仿宋" w:hAnsi="仿宋" w:eastAsia="仿宋"/>
      <w:b/>
      <w:bCs/>
      <w:sz w:val="28"/>
      <w:szCs w:val="32"/>
    </w:rPr>
  </w:style>
  <w:style w:type="paragraph" w:customStyle="1" w:styleId="2554">
    <w:name w:val="本文二级"/>
    <w:basedOn w:val="4"/>
    <w:link w:val="2553"/>
    <w:uiPriority w:val="0"/>
    <w:pPr>
      <w:tabs>
        <w:tab w:val="clear" w:pos="360"/>
      </w:tabs>
      <w:adjustRightInd w:val="0"/>
      <w:snapToGrid w:val="0"/>
      <w:spacing w:beforeLines="20" w:after="0" w:line="360" w:lineRule="auto"/>
      <w:ind w:left="0" w:firstLine="0" w:firstLineChars="0"/>
      <w:jc w:val="left"/>
    </w:pPr>
    <w:rPr>
      <w:rFonts w:ascii="仿宋" w:hAnsi="仿宋" w:eastAsia="仿宋"/>
      <w:kern w:val="0"/>
      <w:sz w:val="28"/>
    </w:rPr>
  </w:style>
  <w:style w:type="character" w:customStyle="1" w:styleId="2555">
    <w:name w:val="本文四级 Char"/>
    <w:link w:val="2556"/>
    <w:uiPriority w:val="0"/>
    <w:rPr>
      <w:rFonts w:ascii="仿宋" w:hAnsi="仿宋" w:eastAsia="仿宋"/>
      <w:b/>
      <w:sz w:val="24"/>
      <w:szCs w:val="24"/>
    </w:rPr>
  </w:style>
  <w:style w:type="paragraph" w:customStyle="1" w:styleId="2556">
    <w:name w:val="本文四级"/>
    <w:basedOn w:val="1"/>
    <w:link w:val="2555"/>
    <w:uiPriority w:val="0"/>
    <w:pPr>
      <w:adjustRightInd w:val="0"/>
      <w:snapToGrid w:val="0"/>
      <w:spacing w:line="360" w:lineRule="auto"/>
      <w:ind w:firstLine="480" w:firstLineChars="200"/>
    </w:pPr>
    <w:rPr>
      <w:rFonts w:ascii="仿宋" w:hAnsi="仿宋" w:eastAsia="仿宋"/>
      <w:b/>
      <w:kern w:val="0"/>
      <w:sz w:val="24"/>
    </w:rPr>
  </w:style>
  <w:style w:type="character" w:customStyle="1" w:styleId="2557">
    <w:name w:val="本文三级 Char"/>
    <w:link w:val="2558"/>
    <w:uiPriority w:val="0"/>
    <w:rPr>
      <w:rFonts w:ascii="仿宋" w:hAnsi="仿宋" w:eastAsia="仿宋"/>
      <w:b/>
      <w:sz w:val="28"/>
      <w:szCs w:val="28"/>
    </w:rPr>
  </w:style>
  <w:style w:type="paragraph" w:customStyle="1" w:styleId="2558">
    <w:name w:val="本文三级"/>
    <w:basedOn w:val="1"/>
    <w:link w:val="2557"/>
    <w:uiPriority w:val="0"/>
    <w:pPr>
      <w:adjustRightInd w:val="0"/>
      <w:snapToGrid w:val="0"/>
      <w:spacing w:line="360" w:lineRule="auto"/>
      <w:jc w:val="left"/>
    </w:pPr>
    <w:rPr>
      <w:rFonts w:ascii="仿宋" w:hAnsi="仿宋" w:eastAsia="仿宋"/>
      <w:b/>
      <w:kern w:val="0"/>
      <w:sz w:val="28"/>
      <w:szCs w:val="28"/>
    </w:rPr>
  </w:style>
  <w:style w:type="table" w:customStyle="1" w:styleId="2559">
    <w:name w:val="灰度表格2"/>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560">
    <w:name w:val="正文-使用 Char"/>
    <w:link w:val="1006"/>
    <w:uiPriority w:val="0"/>
    <w:rPr>
      <w:kern w:val="1"/>
      <w:sz w:val="24"/>
      <w:lang w:eastAsia="ar-SA"/>
    </w:rPr>
  </w:style>
  <w:style w:type="paragraph" w:customStyle="1" w:styleId="2561">
    <w:name w:val="My表"/>
    <w:basedOn w:val="1"/>
    <w:uiPriority w:val="0"/>
    <w:pPr>
      <w:adjustRightInd w:val="0"/>
      <w:snapToGrid w:val="0"/>
      <w:jc w:val="center"/>
    </w:pPr>
    <w:rPr>
      <w:snapToGrid w:val="0"/>
      <w:color w:val="000000"/>
      <w:kern w:val="0"/>
      <w:szCs w:val="21"/>
    </w:rPr>
  </w:style>
  <w:style w:type="paragraph" w:customStyle="1" w:styleId="2562">
    <w:name w:val="CM30"/>
    <w:basedOn w:val="266"/>
    <w:next w:val="266"/>
    <w:uiPriority w:val="99"/>
    <w:rPr>
      <w:rFonts w:ascii="宋体" w:hAnsi="Calibri"/>
      <w:color w:val="auto"/>
    </w:rPr>
  </w:style>
  <w:style w:type="paragraph" w:customStyle="1" w:styleId="2563">
    <w:name w:val="CM4"/>
    <w:basedOn w:val="266"/>
    <w:next w:val="266"/>
    <w:uiPriority w:val="99"/>
    <w:rPr>
      <w:rFonts w:ascii="宋体" w:hAnsi="Calibri"/>
      <w:color w:val="auto"/>
    </w:rPr>
  </w:style>
  <w:style w:type="paragraph" w:customStyle="1" w:styleId="2564">
    <w:name w:val="CM31"/>
    <w:basedOn w:val="266"/>
    <w:next w:val="266"/>
    <w:uiPriority w:val="99"/>
    <w:rPr>
      <w:rFonts w:ascii="宋体" w:hAnsi="Calibri"/>
      <w:color w:val="auto"/>
    </w:rPr>
  </w:style>
  <w:style w:type="character" w:customStyle="1" w:styleId="2565">
    <w:name w:val="Default Char"/>
    <w:link w:val="266"/>
    <w:locked/>
    <w:uiPriority w:val="0"/>
    <w:rPr>
      <w:color w:val="000000"/>
      <w:sz w:val="24"/>
      <w:szCs w:val="24"/>
    </w:rPr>
  </w:style>
  <w:style w:type="table" w:customStyle="1" w:styleId="2566">
    <w:name w:val="表格主题3"/>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2567">
    <w:name w:val="典雅型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2568">
    <w:name w:val="三线11"/>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569">
    <w:name w:val="Char Char Char Char7"/>
    <w:uiPriority w:val="0"/>
    <w:rPr>
      <w:rFonts w:ascii="宋体" w:hAnsi="Courier New" w:eastAsia="宋体" w:cs="Courier New"/>
      <w:kern w:val="2"/>
      <w:sz w:val="21"/>
      <w:szCs w:val="21"/>
      <w:lang w:val="en-US" w:eastAsia="zh-CN" w:bidi="ar-SA"/>
    </w:rPr>
  </w:style>
  <w:style w:type="paragraph" w:customStyle="1" w:styleId="2570">
    <w:name w:val="Char Char Char Char Char Char Char5"/>
    <w:basedOn w:val="1"/>
    <w:link w:val="2571"/>
    <w:uiPriority w:val="0"/>
    <w:pPr>
      <w:spacing w:line="360" w:lineRule="auto"/>
      <w:ind w:firstLine="200" w:firstLineChars="200"/>
    </w:pPr>
    <w:rPr>
      <w:rFonts w:ascii="宋体" w:hAnsi="宋体"/>
      <w:sz w:val="24"/>
    </w:rPr>
  </w:style>
  <w:style w:type="character" w:customStyle="1" w:styleId="2571">
    <w:name w:val="Char Char Char Char Char Char Char Char2"/>
    <w:link w:val="2570"/>
    <w:uiPriority w:val="0"/>
    <w:rPr>
      <w:rFonts w:ascii="宋体" w:hAnsi="宋体"/>
      <w:kern w:val="2"/>
      <w:sz w:val="24"/>
      <w:szCs w:val="24"/>
    </w:rPr>
  </w:style>
  <w:style w:type="character" w:customStyle="1" w:styleId="2572">
    <w:name w:val="Char Char Char321"/>
    <w:uiPriority w:val="0"/>
    <w:rPr>
      <w:rFonts w:ascii="宋体" w:hAnsi="Courier New" w:eastAsia="宋体"/>
      <w:kern w:val="2"/>
      <w:sz w:val="24"/>
      <w:lang w:val="en-US" w:eastAsia="zh-CN" w:bidi="ar-SA"/>
    </w:rPr>
  </w:style>
  <w:style w:type="character" w:customStyle="1" w:styleId="2573">
    <w:name w:val="Char Char123"/>
    <w:uiPriority w:val="0"/>
    <w:rPr>
      <w:rFonts w:eastAsia="宋体"/>
      <w:b/>
      <w:kern w:val="2"/>
      <w:sz w:val="28"/>
      <w:szCs w:val="28"/>
      <w:lang w:val="en-US" w:eastAsia="zh-CN" w:bidi="ar-SA"/>
    </w:rPr>
  </w:style>
  <w:style w:type="paragraph" w:customStyle="1" w:styleId="2574">
    <w:name w:val="Char13"/>
    <w:basedOn w:val="1"/>
    <w:uiPriority w:val="0"/>
  </w:style>
  <w:style w:type="paragraph" w:customStyle="1" w:styleId="2575">
    <w:name w:val="Char Char Char1 Char Char Char Char4"/>
    <w:basedOn w:val="1"/>
    <w:uiPriority w:val="0"/>
    <w:pPr>
      <w:spacing w:line="360" w:lineRule="auto"/>
      <w:ind w:firstLine="200" w:firstLineChars="200"/>
    </w:pPr>
    <w:rPr>
      <w:rFonts w:ascii="宋体" w:hAnsi="宋体" w:cs="宋体"/>
      <w:sz w:val="24"/>
    </w:rPr>
  </w:style>
  <w:style w:type="paragraph" w:customStyle="1" w:styleId="2576">
    <w:name w:val="Char Char Char Char Char Char3"/>
    <w:basedOn w:val="1"/>
    <w:uiPriority w:val="0"/>
  </w:style>
  <w:style w:type="paragraph" w:customStyle="1" w:styleId="2577">
    <w:name w:val="Char1 Char Char Char3"/>
    <w:basedOn w:val="1"/>
    <w:uiPriority w:val="0"/>
    <w:rPr>
      <w:sz w:val="24"/>
    </w:rPr>
  </w:style>
  <w:style w:type="paragraph" w:customStyle="1" w:styleId="2578">
    <w:name w:val="Char1 Char1"/>
    <w:basedOn w:val="1"/>
    <w:uiPriority w:val="0"/>
    <w:pPr>
      <w:spacing w:line="520" w:lineRule="exact"/>
    </w:pPr>
    <w:rPr>
      <w:sz w:val="24"/>
      <w:szCs w:val="20"/>
    </w:rPr>
  </w:style>
  <w:style w:type="character" w:customStyle="1" w:styleId="2579">
    <w:name w:val="Char Char32"/>
    <w:uiPriority w:val="0"/>
    <w:rPr>
      <w:rFonts w:eastAsia="宋体"/>
      <w:kern w:val="2"/>
      <w:sz w:val="36"/>
      <w:lang w:val="en-US" w:eastAsia="zh-CN" w:bidi="ar-SA"/>
    </w:rPr>
  </w:style>
  <w:style w:type="character" w:customStyle="1" w:styleId="2580">
    <w:name w:val="标题9"/>
    <w:uiPriority w:val="0"/>
  </w:style>
  <w:style w:type="paragraph" w:customStyle="1" w:styleId="2581">
    <w:name w:val="Char Char Char Char Char Char Char Char Char1 Char Char Char Char Char Char Char Char Char Char Char Char Char Char Char Char Char Char Char Char Char Char Char Char Char Char Char Char Char Char Char Char Char Char Char Char Char Char Char Char3"/>
    <w:basedOn w:val="1"/>
    <w:uiPriority w:val="0"/>
    <w:pPr>
      <w:spacing w:line="360" w:lineRule="auto"/>
      <w:ind w:firstLine="200" w:firstLineChars="200"/>
    </w:pPr>
    <w:rPr>
      <w:rFonts w:ascii="宋体" w:hAnsi="宋体" w:cs="宋体"/>
      <w:sz w:val="24"/>
    </w:rPr>
  </w:style>
  <w:style w:type="paragraph" w:customStyle="1" w:styleId="2582">
    <w:name w:val="纯文本3"/>
    <w:basedOn w:val="1"/>
    <w:uiPriority w:val="0"/>
    <w:pPr>
      <w:adjustRightInd w:val="0"/>
      <w:spacing w:line="520" w:lineRule="exact"/>
      <w:jc w:val="left"/>
      <w:textAlignment w:val="baseline"/>
    </w:pPr>
    <w:rPr>
      <w:rFonts w:ascii="宋体" w:hAnsi="Courier New"/>
      <w:sz w:val="24"/>
      <w:szCs w:val="20"/>
    </w:rPr>
  </w:style>
  <w:style w:type="paragraph" w:customStyle="1" w:styleId="2583">
    <w:name w:val="正文6"/>
    <w:uiPriority w:val="0"/>
    <w:pPr>
      <w:widowControl w:val="0"/>
      <w:adjustRightInd w:val="0"/>
      <w:spacing w:line="240" w:lineRule="atLeast"/>
      <w:ind w:firstLine="567"/>
      <w:jc w:val="both"/>
      <w:textAlignment w:val="baseline"/>
    </w:pPr>
    <w:rPr>
      <w:rFonts w:ascii="仿宋体" w:hAnsi="Times New Roman" w:eastAsia="仿宋体" w:cs="Times New Roman"/>
      <w:sz w:val="32"/>
      <w:lang w:val="en-US" w:eastAsia="zh-CN" w:bidi="ar-SA"/>
    </w:rPr>
  </w:style>
  <w:style w:type="paragraph" w:customStyle="1" w:styleId="2584">
    <w:name w:val="Char23"/>
    <w:basedOn w:val="1"/>
    <w:uiPriority w:val="0"/>
    <w:pPr>
      <w:adjustRightInd w:val="0"/>
      <w:spacing w:line="360" w:lineRule="auto"/>
      <w:textAlignment w:val="baseline"/>
    </w:pPr>
    <w:rPr>
      <w:kern w:val="0"/>
      <w:sz w:val="24"/>
      <w:szCs w:val="28"/>
    </w:rPr>
  </w:style>
  <w:style w:type="paragraph" w:customStyle="1" w:styleId="2585">
    <w:name w:val="Char2 Char Char Char4"/>
    <w:basedOn w:val="1"/>
    <w:uiPriority w:val="0"/>
    <w:pPr>
      <w:spacing w:line="360" w:lineRule="auto"/>
      <w:ind w:firstLine="200" w:firstLineChars="200"/>
    </w:pPr>
    <w:rPr>
      <w:rFonts w:ascii="宋体" w:hAnsi="宋体" w:cs="宋体"/>
      <w:sz w:val="24"/>
    </w:rPr>
  </w:style>
  <w:style w:type="paragraph" w:customStyle="1" w:styleId="2586">
    <w:name w:val="Char Char Char Char Char Char Char Char Char1 Char Char Char1 Char Char Char Char3"/>
    <w:basedOn w:val="1"/>
    <w:uiPriority w:val="0"/>
    <w:pPr>
      <w:spacing w:line="360" w:lineRule="auto"/>
      <w:ind w:firstLine="200" w:firstLineChars="200"/>
    </w:pPr>
    <w:rPr>
      <w:rFonts w:ascii="宋体" w:hAnsi="宋体" w:cs="宋体"/>
      <w:sz w:val="24"/>
    </w:rPr>
  </w:style>
  <w:style w:type="paragraph" w:customStyle="1" w:styleId="2587">
    <w:name w:val="Char1 Char Char Char1 Char Char Char3"/>
    <w:basedOn w:val="1"/>
    <w:uiPriority w:val="0"/>
    <w:pPr>
      <w:spacing w:line="360" w:lineRule="auto"/>
      <w:ind w:firstLine="200" w:firstLineChars="200"/>
    </w:pPr>
    <w:rPr>
      <w:rFonts w:ascii="宋体" w:hAnsi="宋体" w:cs="宋体"/>
      <w:sz w:val="24"/>
    </w:rPr>
  </w:style>
  <w:style w:type="paragraph" w:customStyle="1" w:styleId="2588">
    <w:name w:val="Char Char Char1 Char6"/>
    <w:basedOn w:val="1"/>
    <w:uiPriority w:val="0"/>
    <w:pPr>
      <w:spacing w:line="360" w:lineRule="auto"/>
      <w:ind w:firstLine="200" w:firstLineChars="200"/>
    </w:pPr>
    <w:rPr>
      <w:rFonts w:ascii="宋体" w:hAnsi="宋体" w:cs="宋体"/>
      <w:sz w:val="24"/>
    </w:rPr>
  </w:style>
  <w:style w:type="paragraph" w:customStyle="1" w:styleId="2589">
    <w:name w:val="Char Char Char Char Char Char Char Char Char1 Char Char Char1 Char Char Char Char Char Char Char3"/>
    <w:basedOn w:val="1"/>
    <w:uiPriority w:val="0"/>
    <w:pPr>
      <w:spacing w:line="360" w:lineRule="auto"/>
      <w:ind w:firstLine="200" w:firstLineChars="200"/>
    </w:pPr>
    <w:rPr>
      <w:rFonts w:ascii="宋体" w:hAnsi="宋体"/>
      <w:kern w:val="0"/>
      <w:sz w:val="24"/>
      <w:szCs w:val="20"/>
    </w:rPr>
  </w:style>
  <w:style w:type="table" w:customStyle="1" w:styleId="2590">
    <w:name w:val="网格型 14"/>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paragraph" w:customStyle="1" w:styleId="2591">
    <w:name w:val="正文文本 32"/>
    <w:basedOn w:val="1"/>
    <w:uiPriority w:val="0"/>
    <w:pPr>
      <w:adjustRightInd w:val="0"/>
      <w:spacing w:line="360" w:lineRule="atLeast"/>
      <w:jc w:val="center"/>
      <w:textAlignment w:val="baseline"/>
    </w:pPr>
    <w:rPr>
      <w:rFonts w:ascii="仿宋体" w:hAnsi="宋体" w:eastAsia="仿宋体"/>
      <w:kern w:val="0"/>
      <w:sz w:val="24"/>
      <w:szCs w:val="20"/>
    </w:rPr>
  </w:style>
  <w:style w:type="paragraph" w:customStyle="1" w:styleId="2592">
    <w:name w:val="普通(网站)4"/>
    <w:basedOn w:val="1"/>
    <w:uiPriority w:val="0"/>
    <w:pPr>
      <w:widowControl/>
      <w:adjustRightInd w:val="0"/>
      <w:spacing w:before="100" w:after="100"/>
      <w:jc w:val="left"/>
      <w:textAlignment w:val="baseline"/>
    </w:pPr>
    <w:rPr>
      <w:rFonts w:ascii="宋体" w:hAnsi="宋体"/>
      <w:kern w:val="0"/>
      <w:sz w:val="24"/>
      <w:szCs w:val="28"/>
    </w:rPr>
  </w:style>
  <w:style w:type="paragraph" w:customStyle="1" w:styleId="2593">
    <w:name w:val="日期5"/>
    <w:basedOn w:val="1"/>
    <w:next w:val="1"/>
    <w:uiPriority w:val="0"/>
    <w:pPr>
      <w:adjustRightInd w:val="0"/>
      <w:spacing w:line="312" w:lineRule="atLeast"/>
      <w:textAlignment w:val="baseline"/>
    </w:pPr>
    <w:rPr>
      <w:rFonts w:ascii="宋体"/>
      <w:kern w:val="0"/>
      <w:sz w:val="28"/>
      <w:szCs w:val="20"/>
    </w:rPr>
  </w:style>
  <w:style w:type="paragraph" w:customStyle="1" w:styleId="2594">
    <w:name w:val="Char Char Char Char Char Char Char Char Char Char4"/>
    <w:basedOn w:val="1"/>
    <w:uiPriority w:val="0"/>
  </w:style>
  <w:style w:type="character" w:customStyle="1" w:styleId="2595">
    <w:name w:val="Char Char291"/>
    <w:uiPriority w:val="0"/>
    <w:rPr>
      <w:rFonts w:ascii="宋体" w:hAnsi="Courier New" w:eastAsia="宋体"/>
      <w:kern w:val="2"/>
      <w:sz w:val="21"/>
      <w:lang w:val="en-US" w:eastAsia="zh-CN" w:bidi="ar-SA"/>
    </w:rPr>
  </w:style>
  <w:style w:type="paragraph" w:customStyle="1" w:styleId="2596">
    <w:name w:val="页眉4"/>
    <w:basedOn w:val="1"/>
    <w:uiPriority w:val="0"/>
    <w:pPr>
      <w:pBdr>
        <w:bottom w:val="single" w:color="auto" w:sz="6" w:space="1"/>
      </w:pBdr>
      <w:tabs>
        <w:tab w:val="center" w:pos="4153"/>
        <w:tab w:val="right" w:pos="8306"/>
      </w:tabs>
      <w:snapToGrid w:val="0"/>
      <w:jc w:val="center"/>
    </w:pPr>
    <w:rPr>
      <w:rFonts w:hint="eastAsia"/>
      <w:sz w:val="18"/>
      <w:szCs w:val="20"/>
    </w:rPr>
  </w:style>
  <w:style w:type="paragraph" w:customStyle="1" w:styleId="2597">
    <w:name w:val="Char Char Char Char Char Char Char Char Char3"/>
    <w:basedOn w:val="1"/>
    <w:uiPriority w:val="0"/>
    <w:rPr>
      <w:sz w:val="24"/>
    </w:rPr>
  </w:style>
  <w:style w:type="character" w:customStyle="1" w:styleId="2598">
    <w:name w:val="四级标题 Char"/>
    <w:link w:val="1386"/>
    <w:uiPriority w:val="0"/>
    <w:rPr>
      <w:rFonts w:ascii="宋体" w:hAnsi="宋体" w:cs="宋体"/>
      <w:b/>
      <w:bCs/>
      <w:sz w:val="22"/>
      <w:lang w:eastAsia="en-US" w:bidi="en-US"/>
    </w:rPr>
  </w:style>
  <w:style w:type="paragraph" w:customStyle="1" w:styleId="2599">
    <w:name w:val="西港区四级"/>
    <w:basedOn w:val="1386"/>
    <w:uiPriority w:val="0"/>
    <w:pPr>
      <w:widowControl w:val="0"/>
      <w:adjustRightInd w:val="0"/>
      <w:snapToGrid w:val="0"/>
      <w:spacing w:after="0"/>
      <w:ind w:firstLine="489" w:firstLineChars="200"/>
      <w:jc w:val="both"/>
    </w:pPr>
    <w:rPr>
      <w:rFonts w:ascii="Times New Roman" w:eastAsia="Times New Roman" w:cs="Times New Roman"/>
      <w:bCs w:val="0"/>
      <w:kern w:val="2"/>
      <w:sz w:val="24"/>
      <w:szCs w:val="24"/>
      <w:lang w:eastAsia="zh-CN" w:bidi="ar-SA"/>
    </w:rPr>
  </w:style>
  <w:style w:type="paragraph" w:customStyle="1" w:styleId="2600">
    <w:name w:val="西港区正文"/>
    <w:basedOn w:val="587"/>
    <w:uiPriority w:val="0"/>
    <w:pPr>
      <w:adjustRightInd w:val="0"/>
      <w:snapToGrid w:val="0"/>
      <w:ind w:firstLine="487"/>
    </w:pPr>
    <w:rPr>
      <w:rFonts w:ascii="Times New Roman" w:eastAsia="楷体_GB2312"/>
    </w:rPr>
  </w:style>
  <w:style w:type="paragraph" w:customStyle="1" w:styleId="2601">
    <w:name w:val="西港区图表"/>
    <w:basedOn w:val="552"/>
    <w:uiPriority w:val="0"/>
    <w:pPr>
      <w:snapToGrid/>
      <w:spacing w:line="360" w:lineRule="auto"/>
      <w:textAlignment w:val="auto"/>
    </w:pPr>
    <w:rPr>
      <w:rFonts w:ascii="Times New Roman" w:eastAsia="Times New Roman"/>
      <w:b/>
      <w:kern w:val="2"/>
      <w:sz w:val="24"/>
    </w:rPr>
  </w:style>
  <w:style w:type="character" w:customStyle="1" w:styleId="2602">
    <w:name w:val="首行缩进 Char Char Char Char"/>
    <w:uiPriority w:val="0"/>
    <w:rPr>
      <w:rFonts w:ascii="宋体" w:eastAsia="宋体"/>
      <w:kern w:val="2"/>
      <w:sz w:val="24"/>
      <w:szCs w:val="24"/>
      <w:lang w:val="en-US" w:eastAsia="zh-CN" w:bidi="ar-SA"/>
    </w:rPr>
  </w:style>
  <w:style w:type="character" w:customStyle="1" w:styleId="2603">
    <w:name w:val="02 二级标题 Char"/>
    <w:uiPriority w:val="0"/>
    <w:rPr>
      <w:rFonts w:ascii="宋体" w:hAnsi="宋体" w:eastAsia="宋体"/>
      <w:b/>
      <w:bCs/>
      <w:kern w:val="2"/>
      <w:sz w:val="32"/>
      <w:szCs w:val="32"/>
      <w:lang w:val="en-US" w:eastAsia="zh-CN" w:bidi="ar-SA"/>
    </w:rPr>
  </w:style>
  <w:style w:type="character" w:customStyle="1" w:styleId="2604">
    <w:name w:val="样式2 Char Char Char Char"/>
    <w:uiPriority w:val="0"/>
    <w:rPr>
      <w:rFonts w:eastAsia="宋体"/>
      <w:sz w:val="24"/>
      <w:szCs w:val="24"/>
      <w:lang w:val="en-US" w:eastAsia="zh-CN" w:bidi="ar-SA"/>
    </w:rPr>
  </w:style>
  <w:style w:type="character" w:customStyle="1" w:styleId="2605">
    <w:name w:val="样式 正文报告 + Char"/>
    <w:uiPriority w:val="0"/>
  </w:style>
  <w:style w:type="character" w:customStyle="1" w:styleId="2606">
    <w:name w:val="正文报告 Char"/>
    <w:uiPriority w:val="0"/>
    <w:rPr>
      <w:rFonts w:eastAsia="宋体"/>
      <w:kern w:val="2"/>
      <w:sz w:val="24"/>
      <w:szCs w:val="24"/>
      <w:lang w:val="en-US" w:eastAsia="zh-CN" w:bidi="ar-SA"/>
    </w:rPr>
  </w:style>
  <w:style w:type="character" w:customStyle="1" w:styleId="2607">
    <w:name w:val="标题 3周 Char"/>
    <w:link w:val="2608"/>
    <w:uiPriority w:val="0"/>
    <w:rPr>
      <w:b/>
      <w:bCs/>
      <w:sz w:val="24"/>
      <w:szCs w:val="24"/>
    </w:rPr>
  </w:style>
  <w:style w:type="paragraph" w:customStyle="1" w:styleId="2608">
    <w:name w:val="标题 3周"/>
    <w:basedOn w:val="5"/>
    <w:link w:val="2607"/>
    <w:uiPriority w:val="0"/>
    <w:pPr>
      <w:keepLines/>
      <w:tabs>
        <w:tab w:val="clear" w:pos="360"/>
      </w:tabs>
      <w:ind w:left="0" w:firstLine="0" w:firstLineChars="0"/>
    </w:pPr>
    <w:rPr>
      <w:rFonts w:ascii="Times New Roman" w:hAnsi="Times New Roman" w:eastAsia="宋体"/>
      <w:b/>
      <w:kern w:val="0"/>
    </w:rPr>
  </w:style>
  <w:style w:type="character" w:customStyle="1" w:styleId="2609">
    <w:name w:val="小焦正文 Char"/>
    <w:link w:val="2610"/>
    <w:uiPriority w:val="0"/>
    <w:rPr>
      <w:rFonts w:ascii="宋体" w:hAnsi="宋体"/>
      <w:kern w:val="2"/>
      <w:sz w:val="24"/>
      <w:szCs w:val="24"/>
    </w:rPr>
  </w:style>
  <w:style w:type="paragraph" w:customStyle="1" w:styleId="2610">
    <w:name w:val="小焦正文"/>
    <w:basedOn w:val="1"/>
    <w:link w:val="2609"/>
    <w:uiPriority w:val="0"/>
    <w:pPr>
      <w:spacing w:line="360" w:lineRule="auto"/>
      <w:ind w:firstLine="200" w:firstLineChars="200"/>
    </w:pPr>
    <w:rPr>
      <w:rFonts w:ascii="宋体" w:hAnsi="宋体"/>
      <w:sz w:val="24"/>
    </w:rPr>
  </w:style>
  <w:style w:type="character" w:customStyle="1" w:styleId="2611">
    <w:name w:val="cucd-3 Char"/>
    <w:link w:val="2612"/>
    <w:uiPriority w:val="0"/>
    <w:rPr>
      <w:rFonts w:ascii="宋体" w:hAnsi="宋体"/>
      <w:color w:val="000000"/>
      <w:kern w:val="28"/>
      <w:sz w:val="28"/>
      <w:szCs w:val="28"/>
    </w:rPr>
  </w:style>
  <w:style w:type="paragraph" w:customStyle="1" w:styleId="2612">
    <w:name w:val="cucd-3"/>
    <w:next w:val="1"/>
    <w:link w:val="2611"/>
    <w:uiPriority w:val="0"/>
    <w:pPr>
      <w:spacing w:line="360" w:lineRule="auto"/>
      <w:ind w:firstLine="560" w:firstLineChars="200"/>
      <w:outlineLvl w:val="2"/>
    </w:pPr>
    <w:rPr>
      <w:rFonts w:ascii="宋体" w:hAnsi="宋体" w:eastAsia="宋体" w:cs="Times New Roman"/>
      <w:color w:val="000000"/>
      <w:kern w:val="28"/>
      <w:sz w:val="28"/>
      <w:szCs w:val="28"/>
      <w:lang w:val="en-US" w:eastAsia="zh-CN" w:bidi="ar-SA"/>
    </w:rPr>
  </w:style>
  <w:style w:type="character" w:customStyle="1" w:styleId="2613">
    <w:name w:val="正文—小四 Char Char"/>
    <w:uiPriority w:val="0"/>
    <w:rPr>
      <w:rFonts w:ascii="宋体" w:hAnsi="宋体" w:eastAsia="宋体"/>
      <w:snapToGrid w:val="0"/>
      <w:sz w:val="24"/>
      <w:szCs w:val="24"/>
      <w:lang w:val="en-US" w:eastAsia="zh-CN" w:bidi="ar-SA"/>
    </w:rPr>
  </w:style>
  <w:style w:type="character" w:customStyle="1" w:styleId="2614">
    <w:name w:val="列表 Char"/>
    <w:uiPriority w:val="0"/>
    <w:rPr>
      <w:rFonts w:eastAsia="宋体"/>
      <w:kern w:val="2"/>
      <w:sz w:val="28"/>
      <w:szCs w:val="24"/>
      <w:lang w:val="en-US" w:eastAsia="zh-CN" w:bidi="ar-SA"/>
    </w:rPr>
  </w:style>
  <w:style w:type="character" w:customStyle="1" w:styleId="2615">
    <w:name w:val="曲琳正 Char"/>
    <w:link w:val="2616"/>
    <w:uiPriority w:val="0"/>
    <w:rPr>
      <w:kern w:val="2"/>
      <w:sz w:val="24"/>
      <w:szCs w:val="24"/>
    </w:rPr>
  </w:style>
  <w:style w:type="paragraph" w:customStyle="1" w:styleId="2616">
    <w:name w:val="曲琳正"/>
    <w:basedOn w:val="1"/>
    <w:link w:val="2615"/>
    <w:uiPriority w:val="0"/>
    <w:pPr>
      <w:spacing w:line="360" w:lineRule="auto"/>
      <w:ind w:firstLine="480" w:firstLineChars="200"/>
    </w:pPr>
    <w:rPr>
      <w:sz w:val="24"/>
    </w:rPr>
  </w:style>
  <w:style w:type="character" w:customStyle="1" w:styleId="2617">
    <w:name w:val="超链接1"/>
    <w:uiPriority w:val="0"/>
    <w:rPr>
      <w:color w:val="000000"/>
      <w:sz w:val="21"/>
      <w:szCs w:val="21"/>
      <w:u w:val="none"/>
    </w:rPr>
  </w:style>
  <w:style w:type="character" w:customStyle="1" w:styleId="2618">
    <w:name w:val="正文缩进 Char1 Char1 Char"/>
    <w:uiPriority w:val="0"/>
    <w:rPr>
      <w:rFonts w:eastAsia="宋体"/>
      <w:kern w:val="2"/>
      <w:sz w:val="24"/>
      <w:szCs w:val="24"/>
      <w:lang w:val="en-US" w:eastAsia="zh-CN" w:bidi="ar-SA"/>
    </w:rPr>
  </w:style>
  <w:style w:type="character" w:customStyle="1" w:styleId="2619">
    <w:name w:val="lianj1"/>
    <w:uiPriority w:val="0"/>
    <w:rPr>
      <w:rFonts w:eastAsia="宋体"/>
      <w:color w:val="000000"/>
      <w:kern w:val="2"/>
      <w:sz w:val="18"/>
      <w:szCs w:val="18"/>
      <w:lang w:val="en-US" w:eastAsia="zh-CN" w:bidi="ar-SA"/>
    </w:rPr>
  </w:style>
  <w:style w:type="character" w:customStyle="1" w:styleId="2620">
    <w:name w:val="articletime"/>
    <w:uiPriority w:val="0"/>
  </w:style>
  <w:style w:type="character" w:customStyle="1" w:styleId="2621">
    <w:name w:val="样式3 Char Char Char"/>
    <w:uiPriority w:val="0"/>
    <w:rPr>
      <w:rFonts w:eastAsia="宋体"/>
      <w:kern w:val="2"/>
      <w:sz w:val="24"/>
      <w:szCs w:val="24"/>
      <w:lang w:val="en-US" w:eastAsia="zh-CN" w:bidi="ar-SA"/>
    </w:rPr>
  </w:style>
  <w:style w:type="character" w:customStyle="1" w:styleId="2622">
    <w:name w:val="aaa标题 2 Char"/>
    <w:uiPriority w:val="0"/>
    <w:rPr>
      <w:rFonts w:ascii="Arial" w:hAnsi="Arial" w:eastAsia="黑体"/>
      <w:b/>
      <w:bCs/>
      <w:kern w:val="2"/>
      <w:sz w:val="28"/>
      <w:szCs w:val="32"/>
      <w:lang w:val="en-US" w:eastAsia="zh-CN" w:bidi="ar-SA"/>
    </w:rPr>
  </w:style>
  <w:style w:type="character" w:customStyle="1" w:styleId="2623">
    <w:name w:val="linetxt1"/>
    <w:uiPriority w:val="0"/>
    <w:rPr>
      <w:color w:val="000000"/>
      <w:sz w:val="18"/>
      <w:szCs w:val="18"/>
    </w:rPr>
  </w:style>
  <w:style w:type="character" w:customStyle="1" w:styleId="2624">
    <w:name w:val="正文30 Char Char"/>
    <w:uiPriority w:val="0"/>
    <w:rPr>
      <w:rFonts w:hAnsi="宋体" w:eastAsia="仿宋"/>
      <w:kern w:val="2"/>
      <w:sz w:val="28"/>
      <w:szCs w:val="28"/>
      <w:lang w:val="en-US" w:eastAsia="zh-CN" w:bidi="ar-SA"/>
    </w:rPr>
  </w:style>
  <w:style w:type="character" w:customStyle="1" w:styleId="2625">
    <w:name w:val="图表名-zp Char Char"/>
    <w:uiPriority w:val="0"/>
    <w:rPr>
      <w:rFonts w:eastAsia="宋体"/>
      <w:b/>
      <w:kern w:val="2"/>
      <w:sz w:val="21"/>
      <w:szCs w:val="24"/>
    </w:rPr>
  </w:style>
  <w:style w:type="character" w:customStyle="1" w:styleId="2626">
    <w:name w:val="s1"/>
    <w:uiPriority w:val="0"/>
    <w:rPr>
      <w:sz w:val="24"/>
      <w:szCs w:val="24"/>
    </w:rPr>
  </w:style>
  <w:style w:type="character" w:customStyle="1" w:styleId="2627">
    <w:name w:val="articletitle1"/>
    <w:uiPriority w:val="0"/>
    <w:rPr>
      <w:sz w:val="24"/>
      <w:szCs w:val="24"/>
    </w:rPr>
  </w:style>
  <w:style w:type="character" w:customStyle="1" w:styleId="2628">
    <w:name w:val="w正文 Char"/>
    <w:link w:val="2629"/>
    <w:uiPriority w:val="0"/>
    <w:rPr>
      <w:rFonts w:ascii="黑体"/>
      <w:kern w:val="2"/>
      <w:sz w:val="28"/>
      <w:szCs w:val="28"/>
    </w:rPr>
  </w:style>
  <w:style w:type="paragraph" w:customStyle="1" w:styleId="2629">
    <w:name w:val="w正文"/>
    <w:basedOn w:val="1"/>
    <w:next w:val="1"/>
    <w:link w:val="2628"/>
    <w:uiPriority w:val="0"/>
    <w:pPr>
      <w:spacing w:line="500" w:lineRule="exact"/>
    </w:pPr>
    <w:rPr>
      <w:rFonts w:ascii="黑体"/>
      <w:sz w:val="28"/>
      <w:szCs w:val="28"/>
    </w:rPr>
  </w:style>
  <w:style w:type="character" w:customStyle="1" w:styleId="2630">
    <w:name w:val="特点标题 Char Char1"/>
    <w:uiPriority w:val="0"/>
    <w:rPr>
      <w:rFonts w:ascii="宋体" w:hAnsi="宋体" w:eastAsia="宋体" w:cs="宋体"/>
      <w:sz w:val="24"/>
      <w:szCs w:val="24"/>
      <w:lang w:val="en-US" w:eastAsia="zh-CN" w:bidi="ar-SA"/>
    </w:rPr>
  </w:style>
  <w:style w:type="character" w:customStyle="1" w:styleId="2631">
    <w:name w:val="图表名称 Char"/>
    <w:link w:val="685"/>
    <w:uiPriority w:val="0"/>
    <w:rPr>
      <w:kern w:val="2"/>
      <w:sz w:val="24"/>
      <w:szCs w:val="24"/>
    </w:rPr>
  </w:style>
  <w:style w:type="character" w:customStyle="1" w:styleId="2632">
    <w:name w:val="段 Char Char"/>
    <w:uiPriority w:val="0"/>
    <w:rPr>
      <w:rFonts w:ascii="宋体" w:eastAsia="宋体"/>
      <w:sz w:val="21"/>
      <w:lang w:val="en-US" w:eastAsia="zh-CN" w:bidi="ar-SA"/>
    </w:rPr>
  </w:style>
  <w:style w:type="character" w:customStyle="1" w:styleId="2633">
    <w:name w:val="图表标 Char"/>
    <w:link w:val="2634"/>
    <w:uiPriority w:val="0"/>
    <w:rPr>
      <w:rFonts w:ascii="仿宋_GB2312" w:eastAsia="仿宋_GB2312"/>
      <w:b/>
      <w:color w:val="000000"/>
      <w:kern w:val="2"/>
      <w:sz w:val="24"/>
      <w:szCs w:val="24"/>
    </w:rPr>
  </w:style>
  <w:style w:type="paragraph" w:customStyle="1" w:styleId="2634">
    <w:name w:val="图表标"/>
    <w:basedOn w:val="747"/>
    <w:link w:val="2633"/>
    <w:uiPriority w:val="0"/>
    <w:pPr>
      <w:tabs>
        <w:tab w:val="left" w:pos="1040"/>
        <w:tab w:val="clear" w:pos="854"/>
      </w:tabs>
      <w:spacing w:line="300" w:lineRule="auto"/>
      <w:ind w:left="0" w:leftChars="0" w:firstLine="482" w:firstLineChars="200"/>
      <w:jc w:val="center"/>
    </w:pPr>
    <w:rPr>
      <w:rFonts w:ascii="仿宋_GB2312" w:eastAsia="仿宋_GB2312"/>
      <w:b/>
      <w:color w:val="000000"/>
      <w:kern w:val="2"/>
      <w:sz w:val="24"/>
      <w:szCs w:val="24"/>
    </w:rPr>
  </w:style>
  <w:style w:type="character" w:customStyle="1" w:styleId="2635">
    <w:name w:val="列项—— Char"/>
    <w:link w:val="747"/>
    <w:uiPriority w:val="0"/>
    <w:rPr>
      <w:rFonts w:ascii="宋体"/>
      <w:sz w:val="21"/>
    </w:rPr>
  </w:style>
  <w:style w:type="character" w:customStyle="1" w:styleId="2636">
    <w:name w:val="题目 Char Char"/>
    <w:uiPriority w:val="0"/>
    <w:rPr>
      <w:rFonts w:ascii="Arial" w:hAnsi="Arial" w:eastAsia="宋体" w:cs="Arial"/>
      <w:b/>
      <w:bCs/>
      <w:kern w:val="28"/>
      <w:sz w:val="32"/>
      <w:szCs w:val="32"/>
      <w:lang w:val="en-US" w:eastAsia="zh-CN" w:bidi="ar-SA"/>
    </w:rPr>
  </w:style>
  <w:style w:type="character" w:customStyle="1" w:styleId="2637">
    <w:name w:val="style41"/>
    <w:uiPriority w:val="0"/>
    <w:rPr>
      <w:color w:val="FF0000"/>
      <w:sz w:val="20"/>
      <w:szCs w:val="20"/>
    </w:rPr>
  </w:style>
  <w:style w:type="character" w:customStyle="1" w:styleId="2638">
    <w:name w:val="报告格式—正文 Char"/>
    <w:uiPriority w:val="0"/>
    <w:rPr>
      <w:rFonts w:ascii="Cambria" w:hAnsi="Cambria"/>
      <w:spacing w:val="6"/>
      <w:sz w:val="28"/>
      <w:szCs w:val="36"/>
      <w:lang w:eastAsia="en-US" w:bidi="en-US"/>
    </w:rPr>
  </w:style>
  <w:style w:type="character" w:customStyle="1" w:styleId="2639">
    <w:name w:val="WW8Num24z0"/>
    <w:uiPriority w:val="0"/>
    <w:rPr>
      <w:sz w:val="24"/>
    </w:rPr>
  </w:style>
  <w:style w:type="character" w:customStyle="1" w:styleId="2640">
    <w:name w:val="表字 Char"/>
    <w:link w:val="1489"/>
    <w:qFormat/>
    <w:uiPriority w:val="0"/>
    <w:rPr>
      <w:rFonts w:eastAsia="楷体_GB2312"/>
      <w:kern w:val="2"/>
      <w:sz w:val="24"/>
    </w:rPr>
  </w:style>
  <w:style w:type="character" w:customStyle="1" w:styleId="2641">
    <w:name w:val="正文缩进 Char1 Char Char Char"/>
    <w:uiPriority w:val="0"/>
    <w:rPr>
      <w:rFonts w:eastAsia="宋体"/>
      <w:kern w:val="2"/>
      <w:sz w:val="24"/>
      <w:szCs w:val="24"/>
      <w:lang w:val="en-US" w:eastAsia="zh-CN" w:bidi="ar-SA"/>
    </w:rPr>
  </w:style>
  <w:style w:type="character" w:customStyle="1" w:styleId="2642">
    <w:name w:val="textcontents"/>
    <w:uiPriority w:val="0"/>
  </w:style>
  <w:style w:type="character" w:customStyle="1" w:styleId="2643">
    <w:name w:val="正文(首行缩进2字) Char Char Char Char1"/>
    <w:uiPriority w:val="0"/>
    <w:rPr>
      <w:rFonts w:eastAsia="宋体"/>
      <w:sz w:val="24"/>
      <w:lang w:val="en-US" w:eastAsia="zh-CN" w:bidi="ar-SA"/>
    </w:rPr>
  </w:style>
  <w:style w:type="character" w:customStyle="1" w:styleId="2644">
    <w:name w:val="样式 超链接 + (西文) 黑体 (中文) 黑体 自动设置 无下划线 Char"/>
    <w:uiPriority w:val="0"/>
    <w:rPr>
      <w:rFonts w:ascii="黑体" w:eastAsia="黑体"/>
      <w:kern w:val="2"/>
      <w:sz w:val="28"/>
      <w:szCs w:val="24"/>
      <w:lang w:val="en-US" w:eastAsia="zh-CN" w:bidi="ar-SA"/>
    </w:rPr>
  </w:style>
  <w:style w:type="character" w:customStyle="1" w:styleId="2645">
    <w:name w:val="样式7表名 Char"/>
    <w:link w:val="2646"/>
    <w:uiPriority w:val="0"/>
    <w:rPr>
      <w:rFonts w:ascii="黑体" w:eastAsia="黑体"/>
      <w:spacing w:val="60"/>
      <w:sz w:val="24"/>
    </w:rPr>
  </w:style>
  <w:style w:type="paragraph" w:customStyle="1" w:styleId="2646">
    <w:name w:val="样式7表名"/>
    <w:next w:val="2647"/>
    <w:link w:val="2645"/>
    <w:uiPriority w:val="0"/>
    <w:pPr>
      <w:spacing w:before="120" w:line="360" w:lineRule="auto"/>
      <w:jc w:val="center"/>
    </w:pPr>
    <w:rPr>
      <w:rFonts w:ascii="黑体" w:hAnsi="Times New Roman" w:eastAsia="黑体" w:cs="Times New Roman"/>
      <w:spacing w:val="60"/>
      <w:sz w:val="24"/>
      <w:lang w:val="en-US" w:eastAsia="zh-CN" w:bidi="ar-SA"/>
    </w:rPr>
  </w:style>
  <w:style w:type="paragraph" w:customStyle="1" w:styleId="2647">
    <w:name w:val="样式8表号"/>
    <w:next w:val="2648"/>
    <w:uiPriority w:val="0"/>
    <w:pPr>
      <w:widowControl w:val="0"/>
      <w:spacing w:line="360" w:lineRule="auto"/>
      <w:ind w:firstLine="510"/>
      <w:jc w:val="both"/>
    </w:pPr>
    <w:rPr>
      <w:rFonts w:ascii="Times New Roman" w:hAnsi="Times New Roman" w:eastAsia="宋体" w:cs="Times New Roman"/>
      <w:lang w:val="en-US" w:eastAsia="zh-CN" w:bidi="ar-SA"/>
    </w:rPr>
  </w:style>
  <w:style w:type="paragraph" w:customStyle="1" w:styleId="2648">
    <w:name w:val="样式9表格"/>
    <w:next w:val="1"/>
    <w:uiPriority w:val="0"/>
    <w:pPr>
      <w:widowControl w:val="0"/>
      <w:spacing w:before="100" w:afterLines="40"/>
      <w:jc w:val="center"/>
    </w:pPr>
    <w:rPr>
      <w:rFonts w:ascii="Times New Roman" w:hAnsi="Times New Roman" w:eastAsia="宋体" w:cs="Times New Roman"/>
      <w:lang w:val="en-US" w:eastAsia="zh-CN" w:bidi="ar-SA"/>
    </w:rPr>
  </w:style>
  <w:style w:type="character" w:customStyle="1" w:styleId="2649">
    <w:name w:val="正文段落 Char"/>
    <w:link w:val="787"/>
    <w:uiPriority w:val="0"/>
    <w:rPr>
      <w:kern w:val="2"/>
      <w:sz w:val="24"/>
      <w:szCs w:val="21"/>
    </w:rPr>
  </w:style>
  <w:style w:type="character" w:customStyle="1" w:styleId="2650">
    <w:name w:val="正文30 Char"/>
    <w:link w:val="2651"/>
    <w:uiPriority w:val="0"/>
    <w:rPr>
      <w:rFonts w:ascii="宋体" w:hAnsi="宋体" w:eastAsia="仿宋"/>
      <w:kern w:val="2"/>
      <w:sz w:val="28"/>
      <w:szCs w:val="28"/>
    </w:rPr>
  </w:style>
  <w:style w:type="paragraph" w:customStyle="1" w:styleId="2651">
    <w:name w:val="正文30"/>
    <w:basedOn w:val="1"/>
    <w:link w:val="2650"/>
    <w:qFormat/>
    <w:uiPriority w:val="0"/>
    <w:pPr>
      <w:snapToGrid w:val="0"/>
      <w:spacing w:line="288" w:lineRule="auto"/>
      <w:ind w:left="300" w:leftChars="300" w:firstLine="200" w:firstLineChars="200"/>
    </w:pPr>
    <w:rPr>
      <w:rFonts w:ascii="宋体" w:hAnsi="宋体" w:eastAsia="仿宋"/>
      <w:sz w:val="28"/>
      <w:szCs w:val="28"/>
    </w:rPr>
  </w:style>
  <w:style w:type="character" w:customStyle="1" w:styleId="2652">
    <w:name w:val="列表编号 5 Char"/>
    <w:uiPriority w:val="0"/>
    <w:rPr>
      <w:rFonts w:eastAsia="宋体"/>
      <w:kern w:val="2"/>
      <w:sz w:val="21"/>
      <w:szCs w:val="24"/>
    </w:rPr>
  </w:style>
  <w:style w:type="character" w:customStyle="1" w:styleId="2653">
    <w:name w:val="u2"/>
    <w:uiPriority w:val="0"/>
    <w:rPr>
      <w:rFonts w:eastAsia="宋体"/>
      <w:kern w:val="2"/>
      <w:sz w:val="24"/>
      <w:szCs w:val="24"/>
      <w:lang w:val="en-US" w:eastAsia="zh-CN" w:bidi="ar-SA"/>
    </w:rPr>
  </w:style>
  <w:style w:type="character" w:customStyle="1" w:styleId="2654">
    <w:name w:val="正文—首行缩进 Char"/>
    <w:link w:val="1138"/>
    <w:uiPriority w:val="0"/>
    <w:rPr>
      <w:rFonts w:ascii="宋体" w:hAnsi="宋体"/>
      <w:kern w:val="2"/>
      <w:sz w:val="21"/>
      <w:szCs w:val="48"/>
    </w:rPr>
  </w:style>
  <w:style w:type="character" w:customStyle="1" w:styleId="2655">
    <w:name w:val="二级标 Char"/>
    <w:link w:val="2656"/>
    <w:uiPriority w:val="0"/>
    <w:rPr>
      <w:rFonts w:eastAsia="仿宋_GB2312"/>
      <w:b/>
      <w:color w:val="000000"/>
      <w:kern w:val="2"/>
      <w:sz w:val="28"/>
      <w:szCs w:val="28"/>
    </w:rPr>
  </w:style>
  <w:style w:type="paragraph" w:customStyle="1" w:styleId="2656">
    <w:name w:val="二级标"/>
    <w:basedOn w:val="4"/>
    <w:link w:val="2655"/>
    <w:uiPriority w:val="0"/>
    <w:pPr>
      <w:tabs>
        <w:tab w:val="clear" w:pos="360"/>
      </w:tabs>
      <w:adjustRightInd w:val="0"/>
      <w:snapToGrid w:val="0"/>
      <w:spacing w:before="48" w:after="0" w:line="360" w:lineRule="auto"/>
      <w:ind w:left="0" w:firstLine="0" w:firstLineChars="0"/>
    </w:pPr>
    <w:rPr>
      <w:rFonts w:ascii="Times New Roman" w:hAnsi="Times New Roman" w:eastAsia="仿宋_GB2312"/>
      <w:bCs w:val="0"/>
      <w:color w:val="000000"/>
      <w:sz w:val="28"/>
      <w:szCs w:val="28"/>
    </w:rPr>
  </w:style>
  <w:style w:type="character" w:customStyle="1" w:styleId="2657">
    <w:name w:val="样式 (符号) 宋体 小四 行距: 1.5 倍行距 Char"/>
    <w:link w:val="2658"/>
    <w:uiPriority w:val="0"/>
    <w:rPr>
      <w:rFonts w:cs="宋体"/>
      <w:kern w:val="2"/>
      <w:sz w:val="24"/>
    </w:rPr>
  </w:style>
  <w:style w:type="paragraph" w:customStyle="1" w:styleId="2658">
    <w:name w:val="样式 (符号) 宋体 小四 行距: 1.5 倍行距"/>
    <w:basedOn w:val="1"/>
    <w:link w:val="2657"/>
    <w:uiPriority w:val="0"/>
    <w:pPr>
      <w:spacing w:line="360" w:lineRule="auto"/>
      <w:ind w:firstLine="200" w:firstLineChars="200"/>
    </w:pPr>
    <w:rPr>
      <w:rFonts w:cs="宋体"/>
      <w:sz w:val="24"/>
      <w:szCs w:val="20"/>
    </w:rPr>
  </w:style>
  <w:style w:type="character" w:customStyle="1" w:styleId="2659">
    <w:name w:val="正文尹东晓 Char Char"/>
    <w:uiPriority w:val="0"/>
    <w:rPr>
      <w:snapToGrid w:val="0"/>
      <w:sz w:val="24"/>
      <w:szCs w:val="24"/>
    </w:rPr>
  </w:style>
  <w:style w:type="character" w:customStyle="1" w:styleId="2660">
    <w:name w:val="font122"/>
    <w:uiPriority w:val="0"/>
    <w:rPr>
      <w:sz w:val="18"/>
      <w:szCs w:val="18"/>
      <w:u w:val="none"/>
    </w:rPr>
  </w:style>
  <w:style w:type="character" w:customStyle="1" w:styleId="2661">
    <w:name w:val="居中2 Char"/>
    <w:link w:val="2662"/>
    <w:uiPriority w:val="0"/>
    <w:rPr>
      <w:kern w:val="2"/>
      <w:sz w:val="24"/>
      <w:szCs w:val="24"/>
    </w:rPr>
  </w:style>
  <w:style w:type="paragraph" w:customStyle="1" w:styleId="2662">
    <w:name w:val="居中2"/>
    <w:basedOn w:val="1"/>
    <w:link w:val="2661"/>
    <w:uiPriority w:val="0"/>
    <w:pPr>
      <w:spacing w:line="360" w:lineRule="auto"/>
      <w:jc w:val="center"/>
    </w:pPr>
    <w:rPr>
      <w:sz w:val="24"/>
    </w:rPr>
  </w:style>
  <w:style w:type="character" w:customStyle="1" w:styleId="2663">
    <w:name w:val="正文—小四 Char"/>
    <w:link w:val="2664"/>
    <w:uiPriority w:val="0"/>
    <w:rPr>
      <w:rFonts w:ascii="宋体" w:hAnsi="宋体" w:cs="宋体"/>
      <w:color w:val="000000"/>
      <w:kern w:val="2"/>
      <w:sz w:val="24"/>
      <w:szCs w:val="24"/>
    </w:rPr>
  </w:style>
  <w:style w:type="paragraph" w:customStyle="1" w:styleId="2664">
    <w:name w:val="正文—小四"/>
    <w:basedOn w:val="1"/>
    <w:link w:val="2663"/>
    <w:uiPriority w:val="0"/>
    <w:pPr>
      <w:adjustRightInd w:val="0"/>
      <w:snapToGrid w:val="0"/>
      <w:spacing w:line="360" w:lineRule="auto"/>
      <w:ind w:firstLine="200" w:firstLineChars="200"/>
      <w:jc w:val="left"/>
    </w:pPr>
    <w:rPr>
      <w:rFonts w:ascii="宋体" w:hAnsi="宋体" w:cs="宋体"/>
      <w:color w:val="000000"/>
      <w:sz w:val="24"/>
    </w:rPr>
  </w:style>
  <w:style w:type="character" w:customStyle="1" w:styleId="2665">
    <w:name w:val="css1"/>
    <w:uiPriority w:val="0"/>
    <w:rPr>
      <w:sz w:val="20"/>
      <w:szCs w:val="20"/>
    </w:rPr>
  </w:style>
  <w:style w:type="character" w:customStyle="1" w:styleId="2666">
    <w:name w:val="正文格式090609 Char"/>
    <w:link w:val="900"/>
    <w:uiPriority w:val="0"/>
    <w:rPr>
      <w:kern w:val="2"/>
      <w:sz w:val="21"/>
    </w:rPr>
  </w:style>
  <w:style w:type="character" w:customStyle="1" w:styleId="2667">
    <w:name w:val="样式 标题 1aaaaaaaaaa标题 1章标题 1b1 + 四号 非加粗 Char"/>
    <w:link w:val="2668"/>
    <w:uiPriority w:val="0"/>
    <w:rPr>
      <w:rFonts w:eastAsia="黑体"/>
      <w:b/>
      <w:kern w:val="44"/>
      <w:sz w:val="32"/>
      <w:szCs w:val="44"/>
    </w:rPr>
  </w:style>
  <w:style w:type="paragraph" w:customStyle="1" w:styleId="2668">
    <w:name w:val="样式 标题 1aaaaaaaaaa标题 1章标题 1b1 + 四号 非加粗"/>
    <w:basedOn w:val="3"/>
    <w:link w:val="2667"/>
    <w:uiPriority w:val="0"/>
    <w:pPr>
      <w:keepLines/>
      <w:pageBreakBefore/>
      <w:tabs>
        <w:tab w:val="clear" w:pos="360"/>
      </w:tabs>
      <w:spacing w:beforeLines="50" w:after="330" w:line="576" w:lineRule="auto"/>
      <w:ind w:left="0" w:firstLine="0" w:firstLineChars="0"/>
    </w:pPr>
    <w:rPr>
      <w:rFonts w:eastAsia="黑体"/>
      <w:b/>
      <w:kern w:val="44"/>
      <w:sz w:val="32"/>
      <w:szCs w:val="44"/>
    </w:rPr>
  </w:style>
  <w:style w:type="character" w:customStyle="1" w:styleId="2669">
    <w:name w:val="Char Char1811"/>
    <w:uiPriority w:val="0"/>
    <w:rPr>
      <w:rFonts w:eastAsia="楷体_GB2312"/>
      <w:b/>
      <w:bCs/>
      <w:kern w:val="44"/>
      <w:sz w:val="44"/>
      <w:szCs w:val="44"/>
      <w:lang w:val="en-US" w:eastAsia="zh-CN" w:bidi="ar-SA"/>
    </w:rPr>
  </w:style>
  <w:style w:type="character" w:customStyle="1" w:styleId="2670">
    <w:name w:val="列表 Char1"/>
    <w:link w:val="66"/>
    <w:uiPriority w:val="0"/>
    <w:rPr>
      <w:b/>
      <w:kern w:val="2"/>
      <w:sz w:val="28"/>
    </w:rPr>
  </w:style>
  <w:style w:type="character" w:customStyle="1" w:styleId="2671">
    <w:name w:val="样式3 Char"/>
    <w:uiPriority w:val="0"/>
    <w:rPr>
      <w:rFonts w:eastAsia="宋体"/>
      <w:kern w:val="2"/>
      <w:sz w:val="24"/>
      <w:szCs w:val="24"/>
      <w:lang w:val="en-US" w:eastAsia="zh-CN" w:bidi="ar-SA"/>
    </w:rPr>
  </w:style>
  <w:style w:type="character" w:customStyle="1" w:styleId="2672">
    <w:name w:val="图片格式 Char"/>
    <w:link w:val="2673"/>
    <w:uiPriority w:val="0"/>
    <w:rPr>
      <w:kern w:val="2"/>
      <w:sz w:val="21"/>
      <w:szCs w:val="21"/>
    </w:rPr>
  </w:style>
  <w:style w:type="paragraph" w:customStyle="1" w:styleId="2673">
    <w:name w:val="图片格式"/>
    <w:link w:val="2672"/>
    <w:uiPriority w:val="0"/>
    <w:pPr>
      <w:jc w:val="center"/>
    </w:pPr>
    <w:rPr>
      <w:rFonts w:ascii="Times New Roman" w:hAnsi="Times New Roman" w:eastAsia="宋体" w:cs="Times New Roman"/>
      <w:kern w:val="2"/>
      <w:sz w:val="21"/>
      <w:szCs w:val="21"/>
      <w:lang w:val="en-US" w:eastAsia="zh-CN" w:bidi="ar-SA"/>
    </w:rPr>
  </w:style>
  <w:style w:type="character" w:customStyle="1" w:styleId="2674">
    <w:name w:val="图表名 Char Char Char Char"/>
    <w:uiPriority w:val="0"/>
    <w:rPr>
      <w:rFonts w:ascii="Times New Roman" w:hAnsi="Times New Roman" w:eastAsia="宋体"/>
      <w:b/>
      <w:kern w:val="2"/>
      <w:sz w:val="21"/>
      <w:szCs w:val="24"/>
      <w:lang w:val="en-US" w:eastAsia="zh-CN" w:bidi="ar-SA"/>
    </w:rPr>
  </w:style>
  <w:style w:type="character" w:customStyle="1" w:styleId="2675">
    <w:name w:val="正文首行缩进 2 + Times New Roman Char1"/>
    <w:uiPriority w:val="0"/>
    <w:rPr>
      <w:rFonts w:eastAsia="宋体"/>
      <w:kern w:val="2"/>
      <w:sz w:val="24"/>
      <w:szCs w:val="24"/>
      <w:lang w:val="en-US" w:eastAsia="zh-CN" w:bidi="ar-SA"/>
    </w:rPr>
  </w:style>
  <w:style w:type="character" w:customStyle="1" w:styleId="2676">
    <w:name w:val="WW8Num1z0"/>
    <w:uiPriority w:val="0"/>
    <w:rPr>
      <w:rFonts w:ascii="Univers" w:hAnsi="Univers"/>
      <w:sz w:val="28"/>
    </w:rPr>
  </w:style>
  <w:style w:type="character" w:customStyle="1" w:styleId="2677">
    <w:name w:val="表格题注 Char"/>
    <w:link w:val="2678"/>
    <w:uiPriority w:val="0"/>
    <w:rPr>
      <w:rFonts w:ascii="宋体" w:hAnsi="宋体" w:cs="宋体"/>
      <w:b/>
      <w:snapToGrid w:val="0"/>
      <w:kern w:val="24"/>
      <w:sz w:val="24"/>
      <w:szCs w:val="24"/>
    </w:rPr>
  </w:style>
  <w:style w:type="paragraph" w:customStyle="1" w:styleId="2678">
    <w:name w:val="表格题注"/>
    <w:basedOn w:val="1"/>
    <w:link w:val="2677"/>
    <w:uiPriority w:val="0"/>
    <w:pPr>
      <w:adjustRightInd w:val="0"/>
      <w:spacing w:before="152" w:after="160"/>
      <w:jc w:val="center"/>
      <w:textAlignment w:val="baseline"/>
    </w:pPr>
    <w:rPr>
      <w:rFonts w:ascii="宋体" w:hAnsi="宋体" w:cs="宋体"/>
      <w:b/>
      <w:snapToGrid w:val="0"/>
      <w:kern w:val="24"/>
      <w:sz w:val="24"/>
    </w:rPr>
  </w:style>
  <w:style w:type="character" w:customStyle="1" w:styleId="2679">
    <w:name w:val="一级标 Char"/>
    <w:link w:val="2680"/>
    <w:uiPriority w:val="0"/>
    <w:rPr>
      <w:rFonts w:ascii="仿宋" w:hAnsi="仿宋" w:eastAsia="仿宋"/>
      <w:b/>
      <w:bCs/>
      <w:kern w:val="44"/>
      <w:sz w:val="30"/>
      <w:szCs w:val="30"/>
    </w:rPr>
  </w:style>
  <w:style w:type="paragraph" w:customStyle="1" w:styleId="2680">
    <w:name w:val="一级标"/>
    <w:basedOn w:val="3"/>
    <w:link w:val="2679"/>
    <w:uiPriority w:val="0"/>
    <w:pPr>
      <w:keepLines/>
      <w:tabs>
        <w:tab w:val="clear" w:pos="360"/>
      </w:tabs>
      <w:adjustRightInd w:val="0"/>
      <w:snapToGrid w:val="0"/>
      <w:spacing w:line="360" w:lineRule="auto"/>
      <w:ind w:left="0" w:firstLine="0" w:firstLineChars="0"/>
      <w:jc w:val="both"/>
    </w:pPr>
    <w:rPr>
      <w:rFonts w:ascii="仿宋" w:hAnsi="仿宋" w:eastAsia="仿宋"/>
      <w:b/>
      <w:bCs/>
      <w:kern w:val="44"/>
      <w:szCs w:val="30"/>
    </w:rPr>
  </w:style>
  <w:style w:type="character" w:customStyle="1" w:styleId="2681">
    <w:name w:val="font121"/>
    <w:uiPriority w:val="0"/>
    <w:rPr>
      <w:sz w:val="18"/>
      <w:szCs w:val="18"/>
      <w:u w:val="none"/>
    </w:rPr>
  </w:style>
  <w:style w:type="character" w:customStyle="1" w:styleId="2682">
    <w:name w:val="样式 Char Char Char Char Char Char Char Char Char Char Char Char Char Char Char Char Char Char Char Char Char Char"/>
    <w:uiPriority w:val="0"/>
    <w:rPr>
      <w:rFonts w:eastAsia="宋体"/>
      <w:kern w:val="2"/>
      <w:sz w:val="24"/>
      <w:szCs w:val="24"/>
      <w:lang w:val="en-US" w:eastAsia="zh-CN" w:bidi="ar-SA"/>
    </w:rPr>
  </w:style>
  <w:style w:type="character" w:customStyle="1" w:styleId="2683">
    <w:name w:val="表格格式 Char"/>
    <w:uiPriority w:val="0"/>
    <w:rPr>
      <w:rFonts w:ascii="Arial" w:hAnsi="Arial"/>
      <w:snapToGrid w:val="0"/>
      <w:sz w:val="21"/>
      <w:szCs w:val="24"/>
    </w:rPr>
  </w:style>
  <w:style w:type="character" w:customStyle="1" w:styleId="2684">
    <w:name w:val="报告正文 Char Char Char Char"/>
    <w:uiPriority w:val="0"/>
    <w:rPr>
      <w:rFonts w:eastAsia="宋体" w:cs="宋体"/>
      <w:snapToGrid w:val="0"/>
      <w:kern w:val="24"/>
      <w:sz w:val="24"/>
      <w:szCs w:val="24"/>
      <w:lang w:val="en-US" w:eastAsia="zh-CN" w:bidi="ar-SA"/>
    </w:rPr>
  </w:style>
  <w:style w:type="character" w:customStyle="1" w:styleId="2685">
    <w:name w:val="样式 样式 (符号) 宋体 12 磅 黑色 行距: 1.5 倍行距 + 首行缩进:  2 字符1 Char"/>
    <w:link w:val="2686"/>
    <w:uiPriority w:val="0"/>
    <w:rPr>
      <w:rFonts w:cs="宋体"/>
      <w:color w:val="000000"/>
      <w:kern w:val="2"/>
      <w:sz w:val="24"/>
    </w:rPr>
  </w:style>
  <w:style w:type="paragraph" w:customStyle="1" w:styleId="2686">
    <w:name w:val="样式 样式 (符号) 宋体 12 磅 黑色 行距: 1.5 倍行距 + 首行缩进:  2 字符1"/>
    <w:basedOn w:val="1"/>
    <w:link w:val="2685"/>
    <w:uiPriority w:val="0"/>
    <w:pPr>
      <w:spacing w:line="360" w:lineRule="auto"/>
      <w:ind w:firstLine="480" w:firstLineChars="200"/>
    </w:pPr>
    <w:rPr>
      <w:rFonts w:cs="宋体"/>
      <w:color w:val="000000"/>
      <w:sz w:val="24"/>
      <w:szCs w:val="20"/>
    </w:rPr>
  </w:style>
  <w:style w:type="character" w:customStyle="1" w:styleId="2687">
    <w:name w:val="WW8Num41z0"/>
    <w:uiPriority w:val="0"/>
    <w:rPr>
      <w:rFonts w:ascii="Wingdings" w:hAnsi="Wingdings"/>
    </w:rPr>
  </w:style>
  <w:style w:type="character" w:customStyle="1" w:styleId="2688">
    <w:name w:val="lw正文 Char"/>
    <w:link w:val="1001"/>
    <w:uiPriority w:val="0"/>
    <w:rPr>
      <w:sz w:val="24"/>
    </w:rPr>
  </w:style>
  <w:style w:type="character" w:customStyle="1" w:styleId="2689">
    <w:name w:val="hang1"/>
    <w:uiPriority w:val="0"/>
    <w:rPr>
      <w:u w:val="none"/>
    </w:rPr>
  </w:style>
  <w:style w:type="character" w:customStyle="1" w:styleId="2690">
    <w:name w:val="表头尹东晓 Char Char"/>
    <w:uiPriority w:val="0"/>
    <w:rPr>
      <w:rFonts w:ascii="Arial" w:hAnsi="Arial"/>
      <w:b/>
      <w:snapToGrid w:val="0"/>
      <w:kern w:val="2"/>
      <w:sz w:val="21"/>
      <w:szCs w:val="21"/>
    </w:rPr>
  </w:style>
  <w:style w:type="character" w:customStyle="1" w:styleId="2691">
    <w:name w:val="正文3 Char"/>
    <w:link w:val="866"/>
    <w:uiPriority w:val="0"/>
    <w:rPr>
      <w:rFonts w:ascii="仿宋体" w:eastAsia="仿宋体"/>
      <w:sz w:val="32"/>
    </w:rPr>
  </w:style>
  <w:style w:type="character" w:customStyle="1" w:styleId="2692">
    <w:name w:val="edit-number"/>
    <w:uiPriority w:val="0"/>
  </w:style>
  <w:style w:type="character" w:customStyle="1" w:styleId="2693">
    <w:name w:val="tx1"/>
    <w:uiPriority w:val="0"/>
    <w:rPr>
      <w:b/>
      <w:bCs/>
    </w:rPr>
  </w:style>
  <w:style w:type="character" w:customStyle="1" w:styleId="2694">
    <w:name w:val="样式3 Char Char Char Char Char Char Char Char Char Char Char Char Char Char Char"/>
    <w:uiPriority w:val="0"/>
    <w:rPr>
      <w:rFonts w:eastAsia="宋体"/>
      <w:kern w:val="2"/>
      <w:sz w:val="24"/>
      <w:szCs w:val="24"/>
      <w:lang w:val="en-US" w:eastAsia="zh-CN" w:bidi="ar-SA"/>
    </w:rPr>
  </w:style>
  <w:style w:type="character" w:customStyle="1" w:styleId="2695">
    <w:name w:val="章 Char Char"/>
    <w:uiPriority w:val="0"/>
    <w:rPr>
      <w:rFonts w:ascii="黑体" w:eastAsia="黑体"/>
      <w:b/>
      <w:bCs/>
      <w:spacing w:val="6"/>
      <w:sz w:val="36"/>
    </w:rPr>
  </w:style>
  <w:style w:type="character" w:customStyle="1" w:styleId="2696">
    <w:name w:val="14normal1"/>
    <w:uiPriority w:val="0"/>
    <w:rPr>
      <w:rFonts w:hint="default" w:ascii="ˎ̥" w:hAnsi="ˎ̥"/>
      <w:color w:val="000000"/>
      <w:sz w:val="21"/>
      <w:szCs w:val="21"/>
    </w:rPr>
  </w:style>
  <w:style w:type="character" w:customStyle="1" w:styleId="2697">
    <w:name w:val="a表头 Char"/>
    <w:link w:val="1537"/>
    <w:uiPriority w:val="0"/>
    <w:rPr>
      <w:rFonts w:eastAsia="楷体_GB2312"/>
      <w:b/>
      <w:kern w:val="2"/>
      <w:sz w:val="24"/>
    </w:rPr>
  </w:style>
  <w:style w:type="character" w:customStyle="1" w:styleId="2698">
    <w:name w:val="样式 标题 1标题 1 Char章标题篇宋二111213141511112113116112122... Char"/>
    <w:link w:val="2699"/>
    <w:uiPriority w:val="0"/>
    <w:rPr>
      <w:rFonts w:eastAsia="仿宋_GB2312"/>
      <w:b/>
      <w:bCs/>
      <w:kern w:val="44"/>
      <w:sz w:val="36"/>
      <w:szCs w:val="32"/>
    </w:rPr>
  </w:style>
  <w:style w:type="paragraph" w:customStyle="1" w:styleId="2699">
    <w:name w:val="样式 标题 1标题 1 Char章标题篇宋二111213141511112113116112122..."/>
    <w:basedOn w:val="3"/>
    <w:link w:val="2698"/>
    <w:uiPriority w:val="0"/>
    <w:pPr>
      <w:keepLines/>
      <w:tabs>
        <w:tab w:val="clear" w:pos="360"/>
      </w:tabs>
      <w:adjustRightInd w:val="0"/>
      <w:snapToGrid w:val="0"/>
      <w:spacing w:line="360" w:lineRule="auto"/>
      <w:ind w:left="0" w:firstLine="0" w:firstLineChars="0"/>
      <w:jc w:val="left"/>
    </w:pPr>
    <w:rPr>
      <w:rFonts w:eastAsia="仿宋_GB2312"/>
      <w:b/>
      <w:bCs/>
      <w:kern w:val="44"/>
      <w:sz w:val="36"/>
      <w:szCs w:val="32"/>
    </w:rPr>
  </w:style>
  <w:style w:type="character" w:customStyle="1" w:styleId="2700">
    <w:name w:val="text_edit editable-title"/>
    <w:uiPriority w:val="0"/>
  </w:style>
  <w:style w:type="character" w:customStyle="1" w:styleId="2701">
    <w:name w:val="图表标新 Char"/>
    <w:link w:val="2702"/>
    <w:uiPriority w:val="0"/>
  </w:style>
  <w:style w:type="paragraph" w:customStyle="1" w:styleId="2702">
    <w:name w:val="图表标新"/>
    <w:basedOn w:val="2634"/>
    <w:link w:val="2701"/>
    <w:uiPriority w:val="0"/>
    <w:pPr>
      <w:tabs>
        <w:tab w:val="clear" w:pos="1040"/>
      </w:tabs>
      <w:spacing w:line="360" w:lineRule="auto"/>
      <w:ind w:firstLine="0" w:firstLineChars="0"/>
    </w:pPr>
    <w:rPr>
      <w:rFonts w:ascii="Times New Roman" w:eastAsia="宋体"/>
      <w:b w:val="0"/>
      <w:color w:val="auto"/>
      <w:kern w:val="0"/>
      <w:sz w:val="20"/>
      <w:szCs w:val="20"/>
    </w:rPr>
  </w:style>
  <w:style w:type="character" w:customStyle="1" w:styleId="2703">
    <w:name w:val="样式6 正文 Char1"/>
    <w:link w:val="2704"/>
    <w:uiPriority w:val="0"/>
    <w:rPr>
      <w:sz w:val="24"/>
    </w:rPr>
  </w:style>
  <w:style w:type="paragraph" w:customStyle="1" w:styleId="2704">
    <w:name w:val="样式6 正文"/>
    <w:link w:val="2703"/>
    <w:uiPriority w:val="0"/>
    <w:pPr>
      <w:widowControl w:val="0"/>
      <w:tabs>
        <w:tab w:val="left" w:pos="420"/>
      </w:tabs>
      <w:spacing w:line="360" w:lineRule="auto"/>
      <w:ind w:firstLine="482"/>
      <w:jc w:val="both"/>
    </w:pPr>
    <w:rPr>
      <w:rFonts w:ascii="Times New Roman" w:hAnsi="Times New Roman" w:eastAsia="宋体" w:cs="Times New Roman"/>
      <w:sz w:val="24"/>
      <w:lang w:val="en-US" w:eastAsia="zh-CN" w:bidi="ar-SA"/>
    </w:rPr>
  </w:style>
  <w:style w:type="character" w:customStyle="1" w:styleId="2705">
    <w:name w:val="正文尹东晓2 Char Char"/>
    <w:link w:val="2706"/>
    <w:uiPriority w:val="0"/>
    <w:rPr>
      <w:snapToGrid w:val="0"/>
      <w:kern w:val="2"/>
      <w:sz w:val="24"/>
      <w:szCs w:val="24"/>
    </w:rPr>
  </w:style>
  <w:style w:type="paragraph" w:customStyle="1" w:styleId="2706">
    <w:name w:val="正文尹东晓2"/>
    <w:basedOn w:val="1"/>
    <w:link w:val="2705"/>
    <w:uiPriority w:val="0"/>
    <w:pPr>
      <w:adjustRightInd w:val="0"/>
      <w:snapToGrid w:val="0"/>
      <w:spacing w:line="360" w:lineRule="auto"/>
      <w:ind w:firstLine="482"/>
    </w:pPr>
    <w:rPr>
      <w:snapToGrid w:val="0"/>
      <w:sz w:val="24"/>
    </w:rPr>
  </w:style>
  <w:style w:type="character" w:customStyle="1" w:styleId="2707">
    <w:name w:val="表内5中 Char"/>
    <w:link w:val="1011"/>
    <w:uiPriority w:val="0"/>
    <w:rPr>
      <w:sz w:val="21"/>
    </w:rPr>
  </w:style>
  <w:style w:type="character" w:customStyle="1" w:styleId="2708">
    <w:name w:val="正文首行缩进 2 Char2"/>
    <w:uiPriority w:val="0"/>
    <w:rPr>
      <w:sz w:val="28"/>
      <w:szCs w:val="24"/>
    </w:rPr>
  </w:style>
  <w:style w:type="character" w:customStyle="1" w:styleId="2709">
    <w:name w:val="内容 Char Char"/>
    <w:link w:val="2710"/>
    <w:uiPriority w:val="0"/>
    <w:rPr>
      <w:rFonts w:cs="宋体"/>
      <w:b/>
      <w:bCs/>
      <w:kern w:val="2"/>
      <w:sz w:val="24"/>
      <w:szCs w:val="28"/>
    </w:rPr>
  </w:style>
  <w:style w:type="paragraph" w:customStyle="1" w:styleId="2710">
    <w:name w:val="内容 Char"/>
    <w:basedOn w:val="1"/>
    <w:link w:val="2709"/>
    <w:uiPriority w:val="0"/>
    <w:pPr>
      <w:spacing w:line="360" w:lineRule="auto"/>
      <w:ind w:firstLine="560" w:firstLineChars="200"/>
    </w:pPr>
    <w:rPr>
      <w:rFonts w:cs="宋体"/>
      <w:b/>
      <w:bCs/>
      <w:sz w:val="24"/>
      <w:szCs w:val="28"/>
    </w:rPr>
  </w:style>
  <w:style w:type="character" w:customStyle="1" w:styleId="2711">
    <w:name w:val="图标志 Char"/>
    <w:link w:val="2712"/>
    <w:uiPriority w:val="0"/>
    <w:rPr>
      <w:kern w:val="2"/>
      <w:sz w:val="24"/>
      <w:szCs w:val="30"/>
    </w:rPr>
  </w:style>
  <w:style w:type="paragraph" w:customStyle="1" w:styleId="2712">
    <w:name w:val="图标志"/>
    <w:link w:val="2711"/>
    <w:uiPriority w:val="0"/>
    <w:pPr>
      <w:spacing w:line="360" w:lineRule="auto"/>
      <w:jc w:val="center"/>
    </w:pPr>
    <w:rPr>
      <w:rFonts w:ascii="Times New Roman" w:hAnsi="Times New Roman" w:eastAsia="宋体" w:cs="Times New Roman"/>
      <w:kern w:val="2"/>
      <w:sz w:val="24"/>
      <w:szCs w:val="30"/>
      <w:lang w:val="en-US" w:eastAsia="zh-CN" w:bidi="ar-SA"/>
    </w:rPr>
  </w:style>
  <w:style w:type="character" w:customStyle="1" w:styleId="2713">
    <w:name w:val="gyy 正文 Char"/>
    <w:link w:val="2714"/>
    <w:uiPriority w:val="0"/>
    <w:rPr>
      <w:color w:val="000000"/>
      <w:kern w:val="2"/>
      <w:sz w:val="28"/>
      <w:szCs w:val="28"/>
    </w:rPr>
  </w:style>
  <w:style w:type="paragraph" w:customStyle="1" w:styleId="2714">
    <w:name w:val="gyy 正文"/>
    <w:basedOn w:val="1"/>
    <w:link w:val="2713"/>
    <w:uiPriority w:val="0"/>
    <w:pPr>
      <w:snapToGrid w:val="0"/>
      <w:spacing w:beforeLines="50" w:afterLines="50" w:line="336" w:lineRule="auto"/>
      <w:ind w:firstLine="560" w:firstLineChars="200"/>
      <w:jc w:val="left"/>
    </w:pPr>
    <w:rPr>
      <w:color w:val="000000"/>
      <w:sz w:val="28"/>
      <w:szCs w:val="28"/>
    </w:rPr>
  </w:style>
  <w:style w:type="character" w:customStyle="1" w:styleId="2715">
    <w:name w:val="AAA Char"/>
    <w:link w:val="2716"/>
    <w:uiPriority w:val="0"/>
    <w:rPr>
      <w:rFonts w:cs="宋体"/>
      <w:b/>
      <w:kern w:val="2"/>
      <w:sz w:val="24"/>
      <w:szCs w:val="24"/>
    </w:rPr>
  </w:style>
  <w:style w:type="paragraph" w:customStyle="1" w:styleId="2716">
    <w:name w:val="AAA"/>
    <w:basedOn w:val="285"/>
    <w:link w:val="2715"/>
    <w:uiPriority w:val="0"/>
    <w:pPr>
      <w:adjustRightInd/>
      <w:snapToGrid/>
      <w:spacing w:line="460" w:lineRule="exact"/>
      <w:jc w:val="both"/>
    </w:pPr>
    <w:rPr>
      <w:rFonts w:ascii="Times New Roman" w:cs="宋体"/>
      <w:b/>
      <w:szCs w:val="24"/>
    </w:rPr>
  </w:style>
  <w:style w:type="character" w:customStyle="1" w:styleId="2717">
    <w:name w:val="正文10 Char"/>
    <w:link w:val="2718"/>
    <w:uiPriority w:val="0"/>
    <w:rPr>
      <w:rFonts w:hAnsi="宋体" w:eastAsia="仿宋"/>
      <w:kern w:val="2"/>
      <w:sz w:val="28"/>
      <w:szCs w:val="28"/>
    </w:rPr>
  </w:style>
  <w:style w:type="paragraph" w:customStyle="1" w:styleId="2718">
    <w:name w:val="正文10"/>
    <w:basedOn w:val="1"/>
    <w:link w:val="2717"/>
    <w:uiPriority w:val="0"/>
    <w:pPr>
      <w:snapToGrid w:val="0"/>
      <w:spacing w:line="288" w:lineRule="auto"/>
      <w:ind w:firstLine="200" w:firstLineChars="200"/>
    </w:pPr>
    <w:rPr>
      <w:rFonts w:hAnsi="宋体" w:eastAsia="仿宋"/>
      <w:sz w:val="28"/>
      <w:szCs w:val="28"/>
    </w:rPr>
  </w:style>
  <w:style w:type="character" w:customStyle="1" w:styleId="2719">
    <w:name w:val="样式2 Char Char1"/>
    <w:uiPriority w:val="0"/>
    <w:rPr>
      <w:rFonts w:eastAsia="宋体"/>
      <w:kern w:val="2"/>
      <w:sz w:val="24"/>
      <w:szCs w:val="24"/>
      <w:lang w:val="en-US" w:eastAsia="zh-CN" w:bidi="ar-SA"/>
    </w:rPr>
  </w:style>
  <w:style w:type="character" w:customStyle="1" w:styleId="2720">
    <w:name w:val="样式 宋体 四号 Char"/>
    <w:uiPriority w:val="0"/>
    <w:rPr>
      <w:rFonts w:ascii="宋体" w:hAnsi="宋体"/>
      <w:kern w:val="2"/>
      <w:sz w:val="28"/>
      <w:szCs w:val="28"/>
    </w:rPr>
  </w:style>
  <w:style w:type="character" w:customStyle="1" w:styleId="2721">
    <w:name w:val="style111"/>
    <w:uiPriority w:val="0"/>
    <w:rPr>
      <w:color w:val="FF0000"/>
      <w:sz w:val="20"/>
      <w:szCs w:val="20"/>
    </w:rPr>
  </w:style>
  <w:style w:type="character" w:customStyle="1" w:styleId="2722">
    <w:name w:val="正文20 Char"/>
    <w:link w:val="2723"/>
    <w:uiPriority w:val="0"/>
    <w:rPr>
      <w:rFonts w:ascii="宋体" w:hAnsi="宋体" w:eastAsia="仿宋"/>
      <w:kern w:val="2"/>
      <w:sz w:val="28"/>
      <w:szCs w:val="28"/>
    </w:rPr>
  </w:style>
  <w:style w:type="paragraph" w:customStyle="1" w:styleId="2723">
    <w:name w:val="正文20"/>
    <w:basedOn w:val="1"/>
    <w:link w:val="2722"/>
    <w:uiPriority w:val="0"/>
    <w:pPr>
      <w:snapToGrid w:val="0"/>
      <w:spacing w:line="288" w:lineRule="auto"/>
      <w:ind w:left="150" w:leftChars="150" w:firstLine="200" w:firstLineChars="200"/>
    </w:pPr>
    <w:rPr>
      <w:rFonts w:ascii="宋体" w:hAnsi="宋体" w:eastAsia="仿宋"/>
      <w:sz w:val="28"/>
      <w:szCs w:val="28"/>
    </w:rPr>
  </w:style>
  <w:style w:type="character" w:customStyle="1" w:styleId="2724">
    <w:name w:val="yangshi-h41"/>
    <w:uiPriority w:val="0"/>
    <w:rPr>
      <w:rFonts w:ascii="黑体" w:eastAsia="黑体"/>
      <w:b/>
      <w:bCs/>
      <w:color w:val="000000"/>
      <w:kern w:val="2"/>
      <w:sz w:val="24"/>
      <w:szCs w:val="24"/>
      <w:lang w:val="en-US" w:eastAsia="zh-CN" w:bidi="ar-SA"/>
    </w:rPr>
  </w:style>
  <w:style w:type="character" w:customStyle="1" w:styleId="2725">
    <w:name w:val="正文2 Char"/>
    <w:link w:val="804"/>
    <w:uiPriority w:val="0"/>
    <w:rPr>
      <w:sz w:val="24"/>
    </w:rPr>
  </w:style>
  <w:style w:type="character" w:customStyle="1" w:styleId="2726">
    <w:name w:val="标题-3 Char Char"/>
    <w:link w:val="2727"/>
    <w:uiPriority w:val="0"/>
    <w:rPr>
      <w:b/>
      <w:kern w:val="2"/>
      <w:sz w:val="24"/>
      <w:szCs w:val="28"/>
    </w:rPr>
  </w:style>
  <w:style w:type="paragraph" w:customStyle="1" w:styleId="2727">
    <w:name w:val="标题-3"/>
    <w:link w:val="2726"/>
    <w:uiPriority w:val="0"/>
    <w:pPr>
      <w:spacing w:line="480" w:lineRule="exact"/>
      <w:outlineLvl w:val="2"/>
    </w:pPr>
    <w:rPr>
      <w:rFonts w:ascii="Times New Roman" w:hAnsi="Times New Roman" w:eastAsia="宋体" w:cs="Times New Roman"/>
      <w:b/>
      <w:kern w:val="2"/>
      <w:sz w:val="24"/>
      <w:szCs w:val="28"/>
      <w:lang w:val="en-US" w:eastAsia="zh-CN" w:bidi="ar-SA"/>
    </w:rPr>
  </w:style>
  <w:style w:type="character" w:customStyle="1" w:styleId="2728">
    <w:name w:val="图p Char"/>
    <w:link w:val="2729"/>
    <w:uiPriority w:val="0"/>
    <w:rPr>
      <w:bCs/>
      <w:snapToGrid w:val="0"/>
      <w:sz w:val="21"/>
      <w:szCs w:val="24"/>
    </w:rPr>
  </w:style>
  <w:style w:type="paragraph" w:customStyle="1" w:styleId="2729">
    <w:name w:val="图p"/>
    <w:basedOn w:val="1"/>
    <w:link w:val="2728"/>
    <w:uiPriority w:val="0"/>
    <w:pPr>
      <w:adjustRightInd w:val="0"/>
      <w:snapToGrid w:val="0"/>
      <w:jc w:val="center"/>
    </w:pPr>
    <w:rPr>
      <w:bCs/>
      <w:snapToGrid w:val="0"/>
      <w:kern w:val="0"/>
    </w:rPr>
  </w:style>
  <w:style w:type="character" w:customStyle="1" w:styleId="2730">
    <w:name w:val="表字 Char Char"/>
    <w:uiPriority w:val="0"/>
    <w:rPr>
      <w:rFonts w:ascii="Arial" w:hAnsi="Arial"/>
      <w:sz w:val="21"/>
    </w:rPr>
  </w:style>
  <w:style w:type="character" w:customStyle="1" w:styleId="2731">
    <w:name w:val="正文首行缩进 Char Char Char Char"/>
    <w:uiPriority w:val="0"/>
    <w:rPr>
      <w:rFonts w:ascii="宋体" w:eastAsia="宋体"/>
      <w:spacing w:val="20"/>
      <w:kern w:val="2"/>
      <w:sz w:val="24"/>
      <w:szCs w:val="24"/>
      <w:lang w:val="en-US" w:eastAsia="zh-CN" w:bidi="ar-SA"/>
    </w:rPr>
  </w:style>
  <w:style w:type="character" w:customStyle="1" w:styleId="2732">
    <w:name w:val="样式 Char Char Char Char Char Char Char Char Char Char Char Char Char Char Char Char Char"/>
    <w:uiPriority w:val="0"/>
    <w:rPr>
      <w:rFonts w:eastAsia="宋体"/>
      <w:kern w:val="2"/>
      <w:sz w:val="24"/>
      <w:szCs w:val="24"/>
      <w:lang w:val="en-US" w:eastAsia="zh-CN" w:bidi="ar-SA"/>
    </w:rPr>
  </w:style>
  <w:style w:type="character" w:customStyle="1" w:styleId="2733">
    <w:name w:val="Char Char133"/>
    <w:uiPriority w:val="0"/>
    <w:rPr>
      <w:rFonts w:eastAsia="楷体_GB2312"/>
      <w:kern w:val="2"/>
      <w:sz w:val="18"/>
      <w:lang w:val="en-US" w:eastAsia="zh-CN" w:bidi="ar-SA"/>
    </w:rPr>
  </w:style>
  <w:style w:type="character" w:customStyle="1" w:styleId="2734">
    <w:name w:val="图表名称 Char Char"/>
    <w:uiPriority w:val="0"/>
    <w:rPr>
      <w:rFonts w:eastAsia="宋体" w:cs="宋体"/>
      <w:kern w:val="2"/>
      <w:sz w:val="24"/>
      <w:lang w:val="en-US" w:eastAsia="zh-CN" w:bidi="ar-SA"/>
    </w:rPr>
  </w:style>
  <w:style w:type="character" w:customStyle="1" w:styleId="2735">
    <w:name w:val="zrf表格内容 Char"/>
    <w:link w:val="910"/>
    <w:uiPriority w:val="0"/>
    <w:rPr>
      <w:rFonts w:cs="宋体"/>
      <w:bCs/>
      <w:sz w:val="21"/>
    </w:rPr>
  </w:style>
  <w:style w:type="paragraph" w:customStyle="1" w:styleId="2736">
    <w:name w:val="基准标题"/>
    <w:basedOn w:val="34"/>
    <w:next w:val="34"/>
    <w:uiPriority w:val="0"/>
    <w:pPr>
      <w:keepNext/>
      <w:keepLines/>
      <w:widowControl/>
      <w:spacing w:line="240" w:lineRule="atLeast"/>
      <w:jc w:val="left"/>
    </w:pPr>
    <w:rPr>
      <w:rFonts w:ascii="Garamond" w:hAnsi="Garamond" w:eastAsia="宋体"/>
      <w:kern w:val="20"/>
      <w:sz w:val="21"/>
    </w:rPr>
  </w:style>
  <w:style w:type="character" w:customStyle="1" w:styleId="2737">
    <w:name w:val="cucd-0 Char"/>
    <w:link w:val="2738"/>
    <w:uiPriority w:val="0"/>
    <w:rPr>
      <w:rFonts w:ascii="宋体" w:hAnsi="宋体"/>
      <w:kern w:val="2"/>
      <w:sz w:val="24"/>
      <w:szCs w:val="24"/>
    </w:rPr>
  </w:style>
  <w:style w:type="paragraph" w:customStyle="1" w:styleId="2738">
    <w:name w:val="cucd-0"/>
    <w:link w:val="2737"/>
    <w:uiPriority w:val="0"/>
    <w:pPr>
      <w:spacing w:line="360" w:lineRule="auto"/>
      <w:ind w:firstLine="480" w:firstLineChars="200"/>
    </w:pPr>
    <w:rPr>
      <w:rFonts w:ascii="宋体" w:hAnsi="宋体" w:eastAsia="宋体" w:cs="Times New Roman"/>
      <w:kern w:val="2"/>
      <w:sz w:val="24"/>
      <w:szCs w:val="24"/>
      <w:lang w:val="en-US" w:eastAsia="zh-CN" w:bidi="ar-SA"/>
    </w:rPr>
  </w:style>
  <w:style w:type="character" w:customStyle="1" w:styleId="2739">
    <w:name w:val="本文一级 Char"/>
    <w:link w:val="2740"/>
    <w:uiPriority w:val="0"/>
    <w:rPr>
      <w:rFonts w:ascii="仿宋" w:hAnsi="仿宋" w:eastAsia="仿宋"/>
      <w:b/>
      <w:bCs/>
      <w:kern w:val="44"/>
      <w:sz w:val="30"/>
      <w:szCs w:val="30"/>
    </w:rPr>
  </w:style>
  <w:style w:type="paragraph" w:customStyle="1" w:styleId="2740">
    <w:name w:val="本文一级"/>
    <w:basedOn w:val="1"/>
    <w:link w:val="2739"/>
    <w:uiPriority w:val="0"/>
    <w:pPr>
      <w:keepNext/>
      <w:keepLines/>
      <w:adjustRightInd w:val="0"/>
      <w:snapToGrid w:val="0"/>
      <w:spacing w:line="360" w:lineRule="auto"/>
      <w:outlineLvl w:val="0"/>
    </w:pPr>
    <w:rPr>
      <w:rFonts w:ascii="仿宋" w:hAnsi="仿宋" w:eastAsia="仿宋"/>
      <w:b/>
      <w:bCs/>
      <w:kern w:val="44"/>
      <w:sz w:val="30"/>
      <w:szCs w:val="30"/>
    </w:rPr>
  </w:style>
  <w:style w:type="character" w:customStyle="1" w:styleId="2741">
    <w:name w:val="标准正文 Char Char"/>
    <w:uiPriority w:val="0"/>
    <w:rPr>
      <w:rFonts w:eastAsia="宋体"/>
      <w:kern w:val="2"/>
      <w:sz w:val="24"/>
      <w:szCs w:val="24"/>
      <w:lang w:val="en-US" w:eastAsia="zh-CN" w:bidi="ar-SA"/>
    </w:rPr>
  </w:style>
  <w:style w:type="character" w:customStyle="1" w:styleId="2742">
    <w:name w:val="表题 Char1"/>
    <w:uiPriority w:val="0"/>
    <w:rPr>
      <w:rFonts w:ascii="黑体" w:hAnsi="Times New Roman" w:eastAsia="黑体"/>
      <w:kern w:val="2"/>
      <w:sz w:val="21"/>
    </w:rPr>
  </w:style>
  <w:style w:type="character" w:customStyle="1" w:styleId="2743">
    <w:name w:val="hui14xi"/>
    <w:uiPriority w:val="0"/>
  </w:style>
  <w:style w:type="character" w:customStyle="1" w:styleId="2744">
    <w:name w:val="标题-2 Char"/>
    <w:link w:val="2745"/>
    <w:uiPriority w:val="0"/>
    <w:rPr>
      <w:b/>
      <w:spacing w:val="20"/>
      <w:kern w:val="2"/>
      <w:sz w:val="28"/>
      <w:szCs w:val="30"/>
    </w:rPr>
  </w:style>
  <w:style w:type="paragraph" w:customStyle="1" w:styleId="2745">
    <w:name w:val="标题-2"/>
    <w:next w:val="45"/>
    <w:link w:val="2744"/>
    <w:uiPriority w:val="0"/>
    <w:pPr>
      <w:spacing w:line="480" w:lineRule="exact"/>
      <w:outlineLvl w:val="1"/>
    </w:pPr>
    <w:rPr>
      <w:rFonts w:ascii="Times New Roman" w:hAnsi="Times New Roman" w:eastAsia="宋体" w:cs="Times New Roman"/>
      <w:b/>
      <w:spacing w:val="20"/>
      <w:kern w:val="2"/>
      <w:sz w:val="28"/>
      <w:szCs w:val="30"/>
      <w:lang w:val="en-US" w:eastAsia="zh-CN" w:bidi="ar-SA"/>
    </w:rPr>
  </w:style>
  <w:style w:type="character" w:customStyle="1" w:styleId="2746">
    <w:name w:val="WW8Num1z7"/>
    <w:uiPriority w:val="0"/>
    <w:rPr>
      <w:rFonts w:ascii="宋体" w:hAnsi="宋体" w:eastAsia="宋体"/>
      <w:b/>
      <w:color w:val="000000"/>
      <w:sz w:val="28"/>
    </w:rPr>
  </w:style>
  <w:style w:type="character" w:customStyle="1" w:styleId="2747">
    <w:name w:val="title14"/>
    <w:uiPriority w:val="0"/>
  </w:style>
  <w:style w:type="character" w:customStyle="1" w:styleId="2748">
    <w:name w:val="标题 3 Char2 Char Char"/>
    <w:uiPriority w:val="0"/>
    <w:rPr>
      <w:rFonts w:ascii="仿宋_GB2312" w:eastAsia="仿宋_GB2312"/>
      <w:b/>
      <w:spacing w:val="6"/>
      <w:kern w:val="2"/>
      <w:sz w:val="28"/>
      <w:lang w:val="en-US" w:eastAsia="zh-CN"/>
    </w:rPr>
  </w:style>
  <w:style w:type="character" w:customStyle="1" w:styleId="2749">
    <w:name w:val="sd1"/>
    <w:uiPriority w:val="0"/>
    <w:rPr>
      <w:sz w:val="21"/>
      <w:szCs w:val="21"/>
    </w:rPr>
  </w:style>
  <w:style w:type="character" w:customStyle="1" w:styleId="2750">
    <w:name w:val="1 Char1"/>
    <w:link w:val="1003"/>
    <w:uiPriority w:val="0"/>
    <w:rPr>
      <w:rFonts w:ascii="宋体" w:hAnsi="Courier New"/>
      <w:kern w:val="2"/>
      <w:sz w:val="21"/>
    </w:rPr>
  </w:style>
  <w:style w:type="character" w:customStyle="1" w:styleId="2751">
    <w:name w:val="Char Char113"/>
    <w:uiPriority w:val="0"/>
    <w:rPr>
      <w:rFonts w:ascii="宋体" w:eastAsia="宋体"/>
      <w:kern w:val="2"/>
      <w:sz w:val="28"/>
      <w:lang w:val="en-US" w:eastAsia="zh-CN" w:bidi="ar-SA"/>
    </w:rPr>
  </w:style>
  <w:style w:type="character" w:customStyle="1" w:styleId="2752">
    <w:name w:val="四号 正文 Char Char"/>
    <w:uiPriority w:val="0"/>
    <w:rPr>
      <w:rFonts w:eastAsia="宋体"/>
      <w:spacing w:val="6"/>
      <w:kern w:val="2"/>
      <w:sz w:val="28"/>
      <w:lang w:val="en-US" w:eastAsia="zh-CN" w:bidi="ar-SA"/>
    </w:rPr>
  </w:style>
  <w:style w:type="character" w:customStyle="1" w:styleId="2753">
    <w:name w:val="三级标 Char"/>
    <w:link w:val="2754"/>
    <w:uiPriority w:val="0"/>
    <w:rPr>
      <w:rFonts w:eastAsia="仿宋_GB2312"/>
      <w:b/>
      <w:kern w:val="2"/>
      <w:sz w:val="24"/>
      <w:szCs w:val="24"/>
    </w:rPr>
  </w:style>
  <w:style w:type="paragraph" w:customStyle="1" w:styleId="2754">
    <w:name w:val="三级标"/>
    <w:basedOn w:val="1"/>
    <w:link w:val="2753"/>
    <w:uiPriority w:val="0"/>
    <w:pPr>
      <w:jc w:val="left"/>
    </w:pPr>
    <w:rPr>
      <w:rFonts w:eastAsia="仿宋_GB2312"/>
      <w:b/>
      <w:sz w:val="24"/>
    </w:rPr>
  </w:style>
  <w:style w:type="character" w:customStyle="1" w:styleId="2755">
    <w:name w:val="样式 表头1 + 段前: 0.35 行 Char"/>
    <w:link w:val="769"/>
    <w:uiPriority w:val="0"/>
    <w:rPr>
      <w:rFonts w:cs="宋体"/>
      <w:b/>
      <w:bCs/>
      <w:kern w:val="2"/>
      <w:sz w:val="28"/>
    </w:rPr>
  </w:style>
  <w:style w:type="character" w:customStyle="1" w:styleId="2756">
    <w:name w:val="标题--3 Char Char"/>
    <w:link w:val="2757"/>
    <w:uiPriority w:val="0"/>
    <w:rPr>
      <w:rFonts w:hAnsi="宋体" w:cs="宋体"/>
      <w:b/>
      <w:bCs/>
      <w:snapToGrid w:val="0"/>
      <w:color w:val="000000"/>
      <w:kern w:val="2"/>
      <w:sz w:val="24"/>
      <w:szCs w:val="24"/>
    </w:rPr>
  </w:style>
  <w:style w:type="paragraph" w:customStyle="1" w:styleId="2757">
    <w:name w:val="标题--3"/>
    <w:basedOn w:val="1"/>
    <w:link w:val="2756"/>
    <w:uiPriority w:val="0"/>
    <w:pPr>
      <w:spacing w:line="480" w:lineRule="exact"/>
      <w:jc w:val="left"/>
      <w:outlineLvl w:val="2"/>
    </w:pPr>
    <w:rPr>
      <w:rFonts w:hAnsi="宋体" w:cs="宋体"/>
      <w:b/>
      <w:bCs/>
      <w:snapToGrid w:val="0"/>
      <w:color w:val="000000"/>
      <w:sz w:val="24"/>
    </w:rPr>
  </w:style>
  <w:style w:type="character" w:customStyle="1" w:styleId="2758">
    <w:name w:val="表图头 Char"/>
    <w:link w:val="2759"/>
    <w:uiPriority w:val="0"/>
    <w:rPr>
      <w:bCs/>
      <w:snapToGrid w:val="0"/>
      <w:sz w:val="21"/>
      <w:szCs w:val="24"/>
    </w:rPr>
  </w:style>
  <w:style w:type="paragraph" w:customStyle="1" w:styleId="2759">
    <w:name w:val="表图头"/>
    <w:basedOn w:val="1"/>
    <w:link w:val="2758"/>
    <w:uiPriority w:val="0"/>
    <w:pPr>
      <w:jc w:val="center"/>
    </w:pPr>
    <w:rPr>
      <w:bCs/>
      <w:snapToGrid w:val="0"/>
      <w:kern w:val="0"/>
    </w:rPr>
  </w:style>
  <w:style w:type="character" w:customStyle="1" w:styleId="2760">
    <w:name w:val="中远正文 Char"/>
    <w:link w:val="2761"/>
    <w:uiPriority w:val="0"/>
    <w:rPr>
      <w:snapToGrid w:val="0"/>
      <w:kern w:val="24"/>
      <w:sz w:val="24"/>
    </w:rPr>
  </w:style>
  <w:style w:type="paragraph" w:customStyle="1" w:styleId="2761">
    <w:name w:val="中远正文"/>
    <w:basedOn w:val="1"/>
    <w:link w:val="2760"/>
    <w:uiPriority w:val="0"/>
    <w:pPr>
      <w:adjustRightInd w:val="0"/>
      <w:spacing w:line="360" w:lineRule="auto"/>
      <w:ind w:right="-28" w:rightChars="-10" w:firstLine="480" w:firstLineChars="200"/>
      <w:textAlignment w:val="baseline"/>
    </w:pPr>
    <w:rPr>
      <w:snapToGrid w:val="0"/>
      <w:kern w:val="24"/>
      <w:sz w:val="24"/>
      <w:szCs w:val="20"/>
    </w:rPr>
  </w:style>
  <w:style w:type="character" w:customStyle="1" w:styleId="2762">
    <w:name w:val="引用文章 Char"/>
    <w:link w:val="1221"/>
    <w:uiPriority w:val="0"/>
    <w:rPr>
      <w:rFonts w:eastAsia="楷体_GB2312" w:cs="宋体"/>
      <w:kern w:val="2"/>
      <w:sz w:val="24"/>
    </w:rPr>
  </w:style>
  <w:style w:type="character" w:customStyle="1" w:styleId="2763">
    <w:name w:val="正文文本-- Char"/>
    <w:link w:val="778"/>
    <w:uiPriority w:val="0"/>
    <w:rPr>
      <w:sz w:val="24"/>
    </w:rPr>
  </w:style>
  <w:style w:type="character" w:customStyle="1" w:styleId="2764">
    <w:name w:val="WW-默认段落字体"/>
    <w:uiPriority w:val="0"/>
  </w:style>
  <w:style w:type="character" w:customStyle="1" w:styleId="2765">
    <w:name w:val="unnamed21"/>
    <w:uiPriority w:val="0"/>
    <w:rPr>
      <w:rFonts w:eastAsia="宋体"/>
      <w:kern w:val="2"/>
      <w:sz w:val="18"/>
      <w:szCs w:val="18"/>
      <w:u w:val="none"/>
      <w:lang w:val="en-US" w:eastAsia="zh-CN" w:bidi="ar-SA"/>
    </w:rPr>
  </w:style>
  <w:style w:type="character" w:customStyle="1" w:styleId="2766">
    <w:name w:val="zrf正文 Char Char"/>
    <w:uiPriority w:val="0"/>
    <w:rPr>
      <w:rFonts w:eastAsia="宋体" w:cs="宋体"/>
      <w:snapToGrid w:val="0"/>
      <w:kern w:val="2"/>
      <w:sz w:val="24"/>
      <w:szCs w:val="24"/>
      <w:lang w:val="en-US" w:eastAsia="zh-CN" w:bidi="ar-SA"/>
    </w:rPr>
  </w:style>
  <w:style w:type="character" w:customStyle="1" w:styleId="2767">
    <w:name w:val="样式3 Char Char Char Char Char Char"/>
    <w:uiPriority w:val="0"/>
    <w:rPr>
      <w:rFonts w:eastAsia="宋体"/>
      <w:kern w:val="2"/>
      <w:sz w:val="24"/>
      <w:szCs w:val="24"/>
      <w:lang w:val="en-US" w:eastAsia="zh-CN" w:bidi="ar-SA"/>
    </w:rPr>
  </w:style>
  <w:style w:type="character" w:customStyle="1" w:styleId="2768">
    <w:name w:val="样式 样式 样式 标题 2Chapter HeadingSeHead wsa2 CharHead wsa2 Char Char ... Char"/>
    <w:link w:val="2769"/>
    <w:uiPriority w:val="0"/>
    <w:rPr>
      <w:b/>
      <w:bCs/>
      <w:kern w:val="2"/>
      <w:sz w:val="32"/>
      <w:szCs w:val="32"/>
    </w:rPr>
  </w:style>
  <w:style w:type="paragraph" w:customStyle="1" w:styleId="2769">
    <w:name w:val="样式 样式 样式 标题 2Chapter HeadingSeHead wsa2 CharHead wsa2 Char Char ..."/>
    <w:next w:val="1"/>
    <w:link w:val="2768"/>
    <w:uiPriority w:val="0"/>
    <w:pPr>
      <w:spacing w:line="360" w:lineRule="auto"/>
      <w:outlineLvl w:val="1"/>
    </w:pPr>
    <w:rPr>
      <w:rFonts w:ascii="Times New Roman" w:hAnsi="Times New Roman" w:eastAsia="宋体" w:cs="Times New Roman"/>
      <w:b/>
      <w:bCs/>
      <w:kern w:val="2"/>
      <w:sz w:val="32"/>
      <w:szCs w:val="32"/>
      <w:lang w:val="en-US" w:eastAsia="zh-CN" w:bidi="ar-SA"/>
    </w:rPr>
  </w:style>
  <w:style w:type="character" w:customStyle="1" w:styleId="2770">
    <w:name w:val="style71"/>
    <w:uiPriority w:val="0"/>
    <w:rPr>
      <w:sz w:val="18"/>
      <w:szCs w:val="18"/>
    </w:rPr>
  </w:style>
  <w:style w:type="character" w:customStyle="1" w:styleId="2771">
    <w:name w:val="WW8Num1z8"/>
    <w:uiPriority w:val="0"/>
    <w:rPr>
      <w:rFonts w:ascii="Wingdings" w:hAnsi="Wingdings"/>
      <w:b/>
      <w:sz w:val="24"/>
    </w:rPr>
  </w:style>
  <w:style w:type="character" w:customStyle="1" w:styleId="2772">
    <w:name w:val="WW8Num27z0"/>
    <w:uiPriority w:val="0"/>
    <w:rPr>
      <w:rFonts w:ascii="Wingdings" w:hAnsi="Wingdings"/>
    </w:rPr>
  </w:style>
  <w:style w:type="character" w:customStyle="1" w:styleId="2773">
    <w:name w:val="editortmp"/>
    <w:uiPriority w:val="0"/>
  </w:style>
  <w:style w:type="character" w:customStyle="1" w:styleId="2774">
    <w:name w:val="m1"/>
    <w:uiPriority w:val="0"/>
    <w:rPr>
      <w:color w:val="0000FF"/>
    </w:rPr>
  </w:style>
  <w:style w:type="character" w:customStyle="1" w:styleId="2775">
    <w:name w:val="style191"/>
    <w:uiPriority w:val="0"/>
    <w:rPr>
      <w:color w:val="FF0000"/>
    </w:rPr>
  </w:style>
  <w:style w:type="character" w:customStyle="1" w:styleId="2776">
    <w:name w:val="标题 3 Char Char3"/>
    <w:uiPriority w:val="0"/>
    <w:rPr>
      <w:rFonts w:ascii="宋体" w:hAnsi="宋体" w:eastAsia="宋体"/>
      <w:b/>
      <w:bCs/>
      <w:kern w:val="2"/>
      <w:sz w:val="30"/>
      <w:szCs w:val="30"/>
      <w:lang w:val="en-US" w:eastAsia="zh-CN" w:bidi="ar-SA"/>
    </w:rPr>
  </w:style>
  <w:style w:type="character" w:customStyle="1" w:styleId="2777">
    <w:name w:val="正文文本-zp Char Char"/>
    <w:uiPriority w:val="0"/>
    <w:rPr>
      <w:rFonts w:ascii="宋体" w:hAnsi="宋体" w:eastAsia="宋体"/>
      <w:kern w:val="2"/>
      <w:sz w:val="24"/>
      <w:szCs w:val="28"/>
    </w:rPr>
  </w:style>
  <w:style w:type="character" w:customStyle="1" w:styleId="2778">
    <w:name w:val="表头东晓 Char Char"/>
    <w:uiPriority w:val="0"/>
    <w:rPr>
      <w:rFonts w:cs="Courier New"/>
      <w:sz w:val="21"/>
      <w:szCs w:val="21"/>
    </w:rPr>
  </w:style>
  <w:style w:type="character" w:customStyle="1" w:styleId="2779">
    <w:name w:val="样式 Char Char Char Char Char Char Char Char Char Char Char Char Char Char Char Char"/>
    <w:uiPriority w:val="0"/>
    <w:rPr>
      <w:rFonts w:eastAsia="宋体"/>
      <w:kern w:val="2"/>
      <w:sz w:val="24"/>
      <w:szCs w:val="24"/>
      <w:lang w:val="en-US" w:eastAsia="zh-CN" w:bidi="ar-SA"/>
    </w:rPr>
  </w:style>
  <w:style w:type="paragraph" w:customStyle="1" w:styleId="2780">
    <w:name w:val="表格文字1"/>
    <w:basedOn w:val="1"/>
    <w:uiPriority w:val="0"/>
    <w:pPr>
      <w:tabs>
        <w:tab w:val="left" w:pos="0"/>
      </w:tabs>
      <w:autoSpaceDE w:val="0"/>
      <w:autoSpaceDN w:val="0"/>
      <w:adjustRightInd w:val="0"/>
      <w:spacing w:before="60"/>
      <w:ind w:left="57" w:right="57"/>
      <w:jc w:val="center"/>
      <w:textAlignment w:val="baseline"/>
    </w:pPr>
  </w:style>
  <w:style w:type="paragraph" w:customStyle="1" w:styleId="2781">
    <w:name w:val="偶页页眉样式"/>
    <w:basedOn w:val="57"/>
    <w:uiPriority w:val="0"/>
  </w:style>
  <w:style w:type="paragraph" w:customStyle="1" w:styleId="2782">
    <w:name w:val="xl128"/>
    <w:basedOn w:val="1"/>
    <w:uiPriority w:val="0"/>
    <w:pPr>
      <w:widowControl/>
      <w:pBdr>
        <w:top w:val="single" w:color="auto" w:sz="4" w:space="0"/>
        <w:bottom w:val="single" w:color="auto" w:sz="4" w:space="0"/>
        <w:right w:val="single" w:color="auto" w:sz="8"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2783">
    <w:name w:val="正文S"/>
    <w:uiPriority w:val="0"/>
    <w:pPr>
      <w:spacing w:beforeLines="50"/>
      <w:ind w:firstLine="482"/>
      <w:jc w:val="center"/>
    </w:pPr>
    <w:rPr>
      <w:rFonts w:ascii="宋体" w:hAnsi="宋体" w:eastAsia="黑体" w:cs="Times New Roman"/>
      <w:kern w:val="2"/>
      <w:sz w:val="24"/>
      <w:szCs w:val="24"/>
      <w:lang w:val="en-US" w:eastAsia="zh-CN" w:bidi="ar-SA"/>
    </w:rPr>
  </w:style>
  <w:style w:type="paragraph" w:customStyle="1" w:styleId="2784">
    <w:name w:val="xl158"/>
    <w:basedOn w:val="1"/>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785">
    <w:name w:val="正文首行缩"/>
    <w:basedOn w:val="1"/>
    <w:uiPriority w:val="0"/>
    <w:pPr>
      <w:spacing w:line="360" w:lineRule="auto"/>
      <w:ind w:firstLine="200" w:firstLineChars="200"/>
    </w:pPr>
    <w:rPr>
      <w:sz w:val="24"/>
    </w:rPr>
  </w:style>
  <w:style w:type="paragraph" w:customStyle="1" w:styleId="2786">
    <w:name w:val="样式 宋体 小四 行距: 1.5 倍行距"/>
    <w:basedOn w:val="1"/>
    <w:uiPriority w:val="0"/>
    <w:pPr>
      <w:spacing w:line="360" w:lineRule="auto"/>
      <w:ind w:left="1" w:firstLine="478" w:firstLineChars="199"/>
    </w:pPr>
    <w:rPr>
      <w:rFonts w:ascii="宋体" w:hAnsi="宋体"/>
      <w:sz w:val="24"/>
      <w:szCs w:val="20"/>
    </w:rPr>
  </w:style>
  <w:style w:type="paragraph" w:customStyle="1" w:styleId="2787">
    <w:name w:val="标题=3"/>
    <w:basedOn w:val="1"/>
    <w:uiPriority w:val="0"/>
    <w:pPr>
      <w:spacing w:line="460" w:lineRule="exact"/>
      <w:ind w:firstLine="200" w:firstLineChars="200"/>
    </w:pPr>
    <w:rPr>
      <w:rFonts w:eastAsia="黑体"/>
      <w:b/>
      <w:sz w:val="28"/>
    </w:rPr>
  </w:style>
  <w:style w:type="paragraph" w:customStyle="1" w:styleId="2788">
    <w:name w:val="xl96"/>
    <w:basedOn w:val="1"/>
    <w:uiPriority w:val="0"/>
    <w:pPr>
      <w:widowControl/>
      <w:pBdr>
        <w:top w:val="single" w:color="auto" w:sz="4" w:space="0"/>
        <w:left w:val="single" w:color="auto" w:sz="8" w:space="0"/>
      </w:pBdr>
      <w:shd w:val="clear" w:color="auto" w:fill="33CCCC"/>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789">
    <w:name w:val="样式 Char Char Char Char Char Char Char Char Char Char Char Char Char Char Char"/>
    <w:basedOn w:val="21"/>
    <w:uiPriority w:val="0"/>
    <w:pPr>
      <w:widowControl/>
      <w:overflowPunct w:val="0"/>
      <w:autoSpaceDE w:val="0"/>
      <w:autoSpaceDN w:val="0"/>
      <w:adjustRightInd w:val="0"/>
      <w:ind w:firstLine="491" w:firstLineChars="200"/>
      <w:textAlignment w:val="baseline"/>
    </w:pPr>
    <w:rPr>
      <w:sz w:val="24"/>
      <w:szCs w:val="24"/>
    </w:rPr>
  </w:style>
  <w:style w:type="paragraph" w:customStyle="1" w:styleId="2790">
    <w:name w:val="AAA表格"/>
    <w:basedOn w:val="1"/>
    <w:uiPriority w:val="0"/>
    <w:pPr>
      <w:snapToGrid w:val="0"/>
      <w:spacing w:line="480" w:lineRule="exact"/>
      <w:ind w:firstLine="200" w:firstLineChars="200"/>
      <w:jc w:val="center"/>
      <w:textAlignment w:val="center"/>
    </w:pPr>
    <w:rPr>
      <w:b/>
      <w:bCs/>
      <w:snapToGrid w:val="0"/>
      <w:kern w:val="0"/>
    </w:rPr>
  </w:style>
  <w:style w:type="paragraph" w:customStyle="1" w:styleId="2791">
    <w:name w:val="WW-正文文字 3"/>
    <w:basedOn w:val="1"/>
    <w:uiPriority w:val="0"/>
    <w:pPr>
      <w:widowControl/>
      <w:suppressAutoHyphens/>
      <w:spacing w:line="200" w:lineRule="exact"/>
      <w:jc w:val="left"/>
    </w:pPr>
    <w:rPr>
      <w:rFonts w:ascii="宋体" w:hAnsi="宋体" w:cs="宋体"/>
      <w:kern w:val="1"/>
      <w:sz w:val="10"/>
      <w:szCs w:val="20"/>
      <w:lang w:eastAsia="ar-SA"/>
    </w:rPr>
  </w:style>
  <w:style w:type="paragraph" w:customStyle="1" w:styleId="2792">
    <w:name w:val="xl133"/>
    <w:basedOn w:val="1"/>
    <w:uiPriority w:val="0"/>
    <w:pPr>
      <w:widowControl/>
      <w:pBdr>
        <w:left w:val="single" w:color="auto" w:sz="4" w:space="0"/>
        <w:bottom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2793">
    <w:name w:val="基准目录样式"/>
    <w:basedOn w:val="1"/>
    <w:uiPriority w:val="0"/>
    <w:pPr>
      <w:widowControl/>
      <w:tabs>
        <w:tab w:val="right" w:leader="dot" w:pos="-18551"/>
      </w:tabs>
      <w:spacing w:after="240" w:line="240" w:lineRule="atLeast"/>
      <w:jc w:val="left"/>
    </w:pPr>
    <w:rPr>
      <w:rFonts w:ascii="Garamond" w:hAnsi="Garamond"/>
      <w:kern w:val="0"/>
      <w:sz w:val="22"/>
      <w:szCs w:val="20"/>
    </w:rPr>
  </w:style>
  <w:style w:type="paragraph" w:customStyle="1" w:styleId="2794">
    <w:name w:val="标题  1"/>
    <w:basedOn w:val="1"/>
    <w:uiPriority w:val="0"/>
    <w:pPr>
      <w:tabs>
        <w:tab w:val="left" w:pos="425"/>
      </w:tabs>
      <w:spacing w:line="360" w:lineRule="auto"/>
      <w:ind w:left="425" w:hanging="425"/>
    </w:pPr>
    <w:rPr>
      <w:rFonts w:ascii="Tahoma" w:hAnsi="Tahoma"/>
      <w:sz w:val="24"/>
      <w:szCs w:val="20"/>
    </w:rPr>
  </w:style>
  <w:style w:type="paragraph" w:customStyle="1" w:styleId="2795">
    <w:name w:val="xl13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796">
    <w:name w:val="xl193"/>
    <w:basedOn w:val="1"/>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2797">
    <w:name w:val="正文居中"/>
    <w:basedOn w:val="1"/>
    <w:uiPriority w:val="0"/>
    <w:pPr>
      <w:spacing w:line="360" w:lineRule="auto"/>
      <w:jc w:val="center"/>
    </w:pPr>
    <w:rPr>
      <w:sz w:val="24"/>
    </w:rPr>
  </w:style>
  <w:style w:type="paragraph" w:customStyle="1" w:styleId="2798">
    <w:name w:val="xl174"/>
    <w:basedOn w:val="1"/>
    <w:uiPriority w:val="0"/>
    <w:pPr>
      <w:widowControl/>
      <w:pBdr>
        <w:top w:val="single" w:color="auto" w:sz="4" w:space="0"/>
        <w:bottom w:val="single" w:color="auto" w:sz="8" w:space="0"/>
        <w:right w:val="single" w:color="auto" w:sz="8"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2799">
    <w:name w:val="xl14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2800">
    <w:name w:val="xl172"/>
    <w:basedOn w:val="1"/>
    <w:uiPriority w:val="0"/>
    <w:pPr>
      <w:widowControl/>
      <w:pBdr>
        <w:top w:val="single" w:color="auto" w:sz="4" w:space="0"/>
        <w:left w:val="single" w:color="auto" w:sz="4" w:space="0"/>
        <w:bottom w:val="single" w:color="auto" w:sz="8" w:space="0"/>
        <w:right w:val="single" w:color="auto" w:sz="4"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2801">
    <w:name w:val="章节副题目"/>
    <w:basedOn w:val="64"/>
    <w:uiPriority w:val="0"/>
    <w:pPr>
      <w:keepNext/>
      <w:keepLines/>
      <w:widowControl/>
      <w:tabs>
        <w:tab w:val="clear" w:pos="425"/>
      </w:tabs>
      <w:spacing w:before="140" w:after="420" w:line="240" w:lineRule="auto"/>
      <w:ind w:left="0" w:firstLine="0"/>
      <w:outlineLvl w:val="9"/>
    </w:pPr>
    <w:rPr>
      <w:rFonts w:ascii="Garamond" w:hAnsi="Garamond" w:eastAsia="楷体_GB2312"/>
      <w:bCs w:val="0"/>
      <w:smallCaps/>
      <w:spacing w:val="20"/>
      <w:kern w:val="20"/>
      <w:sz w:val="27"/>
      <w:szCs w:val="20"/>
    </w:rPr>
  </w:style>
  <w:style w:type="paragraph" w:customStyle="1" w:styleId="2802">
    <w:name w:val="样式 右侧:  0.49 厘米"/>
    <w:basedOn w:val="1"/>
    <w:uiPriority w:val="0"/>
    <w:pPr>
      <w:spacing w:line="312" w:lineRule="auto"/>
      <w:ind w:firstLine="480" w:firstLineChars="200"/>
      <w:textAlignment w:val="baseline"/>
    </w:pPr>
    <w:rPr>
      <w:rFonts w:ascii="宋体" w:hAnsi="宋体" w:cs="宋体"/>
      <w:bCs/>
      <w:kern w:val="44"/>
      <w:sz w:val="24"/>
    </w:rPr>
  </w:style>
  <w:style w:type="paragraph" w:customStyle="1" w:styleId="2803">
    <w:name w:val="密级编号"/>
    <w:basedOn w:val="1"/>
    <w:uiPriority w:val="0"/>
    <w:pPr>
      <w:adjustRightInd w:val="0"/>
      <w:jc w:val="center"/>
      <w:textAlignment w:val="baseline"/>
    </w:pPr>
    <w:rPr>
      <w:rFonts w:ascii="仿宋_GB2312" w:eastAsia="仿宋_GB2312"/>
      <w:kern w:val="0"/>
      <w:sz w:val="24"/>
      <w:szCs w:val="20"/>
    </w:rPr>
  </w:style>
  <w:style w:type="paragraph" w:customStyle="1" w:styleId="2804">
    <w:name w:val="数字体（标题2）-1.1"/>
    <w:basedOn w:val="1"/>
    <w:uiPriority w:val="0"/>
    <w:pPr>
      <w:spacing w:beforeLines="100" w:line="360" w:lineRule="auto"/>
      <w:jc w:val="left"/>
      <w:outlineLvl w:val="2"/>
    </w:pPr>
    <w:rPr>
      <w:b/>
      <w:spacing w:val="10"/>
      <w:sz w:val="28"/>
      <w:szCs w:val="21"/>
    </w:rPr>
  </w:style>
  <w:style w:type="paragraph" w:customStyle="1" w:styleId="2805">
    <w:name w:val="封面标题2"/>
    <w:basedOn w:val="1"/>
    <w:uiPriority w:val="0"/>
    <w:pPr>
      <w:spacing w:line="360" w:lineRule="auto"/>
      <w:jc w:val="center"/>
    </w:pPr>
    <w:rPr>
      <w:b/>
      <w:sz w:val="44"/>
      <w:szCs w:val="20"/>
    </w:rPr>
  </w:style>
  <w:style w:type="paragraph" w:customStyle="1" w:styleId="2806">
    <w:name w:val="图头"/>
    <w:basedOn w:val="467"/>
    <w:uiPriority w:val="0"/>
    <w:pPr>
      <w:spacing w:beforeLines="50" w:afterLines="50" w:line="240" w:lineRule="auto"/>
      <w:ind w:firstLine="0" w:firstLineChars="0"/>
      <w:jc w:val="center"/>
    </w:pPr>
    <w:rPr>
      <w:rFonts w:ascii="Times New Roman" w:hAnsi="Times New Roman"/>
      <w:szCs w:val="24"/>
    </w:rPr>
  </w:style>
  <w:style w:type="paragraph" w:customStyle="1" w:styleId="2807">
    <w:name w:val="w1"/>
    <w:basedOn w:val="1"/>
    <w:uiPriority w:val="0"/>
    <w:pPr>
      <w:snapToGrid w:val="0"/>
      <w:spacing w:before="120" w:after="120" w:line="312" w:lineRule="auto"/>
      <w:ind w:firstLine="567"/>
    </w:pPr>
    <w:rPr>
      <w:rFonts w:ascii="宋体"/>
      <w:b/>
      <w:spacing w:val="6"/>
      <w:sz w:val="32"/>
      <w:szCs w:val="20"/>
    </w:rPr>
  </w:style>
  <w:style w:type="paragraph" w:customStyle="1" w:styleId="2808">
    <w:name w:val="文章题目"/>
    <w:basedOn w:val="1"/>
    <w:next w:val="1"/>
    <w:uiPriority w:val="0"/>
    <w:pPr>
      <w:adjustRightInd w:val="0"/>
      <w:spacing w:before="600" w:after="360" w:line="312" w:lineRule="atLeast"/>
      <w:jc w:val="center"/>
      <w:textAlignment w:val="baseline"/>
    </w:pPr>
    <w:rPr>
      <w:b/>
      <w:kern w:val="0"/>
      <w:sz w:val="32"/>
      <w:szCs w:val="20"/>
    </w:rPr>
  </w:style>
  <w:style w:type="paragraph" w:customStyle="1" w:styleId="2809">
    <w:name w:val="论文题目、摘要"/>
    <w:uiPriority w:val="0"/>
    <w:pPr>
      <w:widowControl w:val="0"/>
      <w:spacing w:line="360" w:lineRule="auto"/>
      <w:jc w:val="center"/>
    </w:pPr>
    <w:rPr>
      <w:rFonts w:ascii="Times New Roman" w:hAnsi="Times New Roman" w:eastAsia="宋体" w:cs="Times New Roman"/>
      <w:b/>
      <w:bCs/>
      <w:kern w:val="44"/>
      <w:sz w:val="44"/>
      <w:szCs w:val="44"/>
      <w:lang w:val="en-US" w:eastAsia="zh-CN" w:bidi="ar-SA"/>
    </w:rPr>
  </w:style>
  <w:style w:type="paragraph" w:customStyle="1" w:styleId="2810">
    <w:name w:val="正文001"/>
    <w:basedOn w:val="1"/>
    <w:uiPriority w:val="0"/>
    <w:pPr>
      <w:spacing w:before="60" w:line="460" w:lineRule="exact"/>
      <w:ind w:firstLine="482"/>
    </w:pPr>
    <w:rPr>
      <w:rFonts w:ascii="Arial" w:hAnsi="Arial"/>
      <w:sz w:val="24"/>
      <w:szCs w:val="20"/>
    </w:rPr>
  </w:style>
  <w:style w:type="paragraph" w:customStyle="1" w:styleId="2811">
    <w:name w:val="xl125"/>
    <w:basedOn w:val="1"/>
    <w:uiPriority w:val="0"/>
    <w:pPr>
      <w:widowControl/>
      <w:pBdr>
        <w:top w:val="single" w:color="auto" w:sz="8" w:space="0"/>
        <w:bottom w:val="single" w:color="auto" w:sz="4" w:space="0"/>
        <w:right w:val="single" w:color="auto" w:sz="8"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2812">
    <w:name w:val="wy2"/>
    <w:basedOn w:val="1"/>
    <w:uiPriority w:val="0"/>
    <w:pPr>
      <w:snapToGrid w:val="0"/>
      <w:spacing w:line="312" w:lineRule="auto"/>
      <w:ind w:firstLine="680"/>
    </w:pPr>
    <w:rPr>
      <w:rFonts w:ascii="宋体"/>
      <w:b/>
      <w:spacing w:val="6"/>
      <w:sz w:val="32"/>
      <w:szCs w:val="20"/>
    </w:rPr>
  </w:style>
  <w:style w:type="paragraph" w:customStyle="1" w:styleId="2813">
    <w:name w:val="xl135"/>
    <w:basedOn w:val="1"/>
    <w:uiPriority w:val="0"/>
    <w:pPr>
      <w:widowControl/>
      <w:pBdr>
        <w:left w:val="single" w:color="auto" w:sz="4" w:space="0"/>
        <w:bottom w:val="single" w:color="auto" w:sz="4" w:space="0"/>
        <w:right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2814">
    <w:name w:val="表头一"/>
    <w:basedOn w:val="1"/>
    <w:next w:val="20"/>
    <w:uiPriority w:val="0"/>
    <w:pPr>
      <w:jc w:val="center"/>
    </w:pPr>
    <w:rPr>
      <w:b/>
      <w:sz w:val="28"/>
      <w:szCs w:val="20"/>
    </w:rPr>
  </w:style>
  <w:style w:type="paragraph" w:customStyle="1" w:styleId="2815">
    <w:name w:val="西港区一级"/>
    <w:basedOn w:val="1"/>
    <w:uiPriority w:val="0"/>
    <w:pPr>
      <w:keepNext/>
      <w:keepLines/>
      <w:adjustRightInd w:val="0"/>
      <w:snapToGrid w:val="0"/>
      <w:spacing w:line="360" w:lineRule="auto"/>
      <w:outlineLvl w:val="0"/>
    </w:pPr>
    <w:rPr>
      <w:b/>
      <w:bCs/>
      <w:kern w:val="44"/>
      <w:sz w:val="30"/>
      <w:szCs w:val="30"/>
    </w:rPr>
  </w:style>
  <w:style w:type="paragraph" w:customStyle="1" w:styleId="2816">
    <w:name w:val="样式3 Char Char Char Char Char Char Char Char Char Char Char Char Char Char"/>
    <w:basedOn w:val="21"/>
    <w:uiPriority w:val="0"/>
    <w:pPr>
      <w:widowControl/>
      <w:overflowPunct w:val="0"/>
      <w:autoSpaceDE w:val="0"/>
      <w:autoSpaceDN w:val="0"/>
      <w:adjustRightInd w:val="0"/>
      <w:spacing w:line="360" w:lineRule="auto"/>
      <w:ind w:firstLine="491" w:firstLineChars="200"/>
      <w:textAlignment w:val="baseline"/>
    </w:pPr>
    <w:rPr>
      <w:sz w:val="24"/>
      <w:szCs w:val="24"/>
    </w:rPr>
  </w:style>
  <w:style w:type="paragraph" w:customStyle="1" w:styleId="2817">
    <w:name w:val="样式2 Char Char Char"/>
    <w:basedOn w:val="21"/>
    <w:uiPriority w:val="0"/>
    <w:pPr>
      <w:widowControl/>
      <w:overflowPunct w:val="0"/>
      <w:autoSpaceDE w:val="0"/>
      <w:autoSpaceDN w:val="0"/>
      <w:adjustRightInd w:val="0"/>
      <w:ind w:firstLine="491" w:firstLineChars="200"/>
      <w:textAlignment w:val="baseline"/>
    </w:pPr>
    <w:rPr>
      <w:sz w:val="24"/>
      <w:szCs w:val="24"/>
    </w:rPr>
  </w:style>
  <w:style w:type="paragraph" w:customStyle="1" w:styleId="2818">
    <w:name w:val="表头  图名"/>
    <w:basedOn w:val="1"/>
    <w:uiPriority w:val="0"/>
    <w:pPr>
      <w:spacing w:line="480" w:lineRule="exact"/>
      <w:ind w:firstLine="200" w:firstLineChars="200"/>
    </w:pPr>
    <w:rPr>
      <w:b/>
      <w:sz w:val="24"/>
    </w:rPr>
  </w:style>
  <w:style w:type="paragraph" w:customStyle="1" w:styleId="2819">
    <w:name w:val="样式 标题 3ReHead 3 WSAh3标题 3 Char Char Char标题 3 Char Char Char...1"/>
    <w:basedOn w:val="5"/>
    <w:uiPriority w:val="0"/>
    <w:pPr>
      <w:keepLines/>
      <w:widowControl/>
      <w:tabs>
        <w:tab w:val="left" w:pos="709"/>
        <w:tab w:val="clear" w:pos="360"/>
      </w:tabs>
      <w:adjustRightInd/>
      <w:snapToGrid/>
      <w:spacing w:before="100" w:after="156" w:line="460" w:lineRule="exact"/>
      <w:ind w:left="709" w:hanging="709" w:firstLineChars="0"/>
      <w:jc w:val="left"/>
    </w:pPr>
    <w:rPr>
      <w:rFonts w:ascii="Times New Roman" w:hAnsi="Times New Roman" w:eastAsia="宋体" w:cs="宋体"/>
      <w:b/>
      <w:bCs w:val="0"/>
      <w:snapToGrid w:val="0"/>
      <w:kern w:val="44"/>
      <w:szCs w:val="20"/>
    </w:rPr>
  </w:style>
  <w:style w:type="paragraph" w:customStyle="1" w:styleId="2820">
    <w:name w:val="样式-表头"/>
    <w:basedOn w:val="1"/>
    <w:uiPriority w:val="0"/>
    <w:pPr>
      <w:adjustRightInd w:val="0"/>
      <w:snapToGrid w:val="0"/>
      <w:spacing w:line="288" w:lineRule="auto"/>
      <w:ind w:firstLine="200" w:firstLineChars="200"/>
      <w:jc w:val="center"/>
      <w:textAlignment w:val="baseline"/>
    </w:pPr>
    <w:rPr>
      <w:rFonts w:eastAsia="黑体"/>
      <w:b/>
      <w:spacing w:val="10"/>
      <w:kern w:val="0"/>
      <w:sz w:val="24"/>
    </w:rPr>
  </w:style>
  <w:style w:type="paragraph" w:customStyle="1" w:styleId="2821">
    <w:name w:val="xl27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rPr>
  </w:style>
  <w:style w:type="paragraph" w:customStyle="1" w:styleId="2822">
    <w:name w:val="Char Char Char Char Char Char Char Char Char Char Char Char Char Char Char Char3"/>
    <w:basedOn w:val="1"/>
    <w:uiPriority w:val="0"/>
    <w:pPr>
      <w:spacing w:line="360" w:lineRule="auto"/>
      <w:ind w:firstLine="200" w:firstLineChars="200"/>
    </w:pPr>
    <w:rPr>
      <w:rFonts w:ascii="宋体" w:hAnsi="宋体" w:cs="宋体"/>
      <w:sz w:val="24"/>
    </w:rPr>
  </w:style>
  <w:style w:type="paragraph" w:customStyle="1" w:styleId="2823">
    <w:name w:val="a标题 1"/>
    <w:basedOn w:val="3"/>
    <w:uiPriority w:val="0"/>
    <w:pPr>
      <w:tabs>
        <w:tab w:val="clear" w:pos="360"/>
      </w:tabs>
      <w:spacing w:afterLines="50" w:line="360" w:lineRule="auto"/>
      <w:ind w:left="0" w:firstLine="0" w:firstLineChars="0"/>
      <w:jc w:val="both"/>
    </w:pPr>
    <w:rPr>
      <w:rFonts w:eastAsia="黑体" w:cs="宋体"/>
      <w:iCs/>
      <w:sz w:val="36"/>
      <w:szCs w:val="36"/>
    </w:rPr>
  </w:style>
  <w:style w:type="paragraph" w:customStyle="1" w:styleId="2824">
    <w:name w:val="表尾"/>
    <w:basedOn w:val="1"/>
    <w:uiPriority w:val="0"/>
    <w:pPr>
      <w:tabs>
        <w:tab w:val="left" w:pos="1021"/>
      </w:tabs>
      <w:spacing w:line="160" w:lineRule="exact"/>
    </w:pPr>
    <w:rPr>
      <w:sz w:val="10"/>
      <w:szCs w:val="20"/>
    </w:rPr>
  </w:style>
  <w:style w:type="paragraph" w:customStyle="1" w:styleId="2825">
    <w:name w:val="首行缩进 Char Char Char"/>
    <w:basedOn w:val="1"/>
    <w:uiPriority w:val="0"/>
    <w:pPr>
      <w:numPr>
        <w:ilvl w:val="0"/>
        <w:numId w:val="24"/>
      </w:numPr>
      <w:tabs>
        <w:tab w:val="clear" w:pos="1620"/>
      </w:tabs>
      <w:snapToGrid w:val="0"/>
      <w:spacing w:line="360" w:lineRule="auto"/>
      <w:ind w:left="0" w:firstLine="499"/>
    </w:pPr>
    <w:rPr>
      <w:rFonts w:ascii="宋体"/>
      <w:sz w:val="24"/>
      <w:szCs w:val="20"/>
    </w:rPr>
  </w:style>
  <w:style w:type="paragraph" w:customStyle="1" w:styleId="2826">
    <w:name w:val="样式 四号 首行缩进:  1.06 厘米"/>
    <w:basedOn w:val="1"/>
    <w:uiPriority w:val="0"/>
    <w:pPr>
      <w:spacing w:line="500" w:lineRule="exact"/>
      <w:ind w:firstLine="544" w:firstLineChars="200"/>
    </w:pPr>
    <w:rPr>
      <w:spacing w:val="-4"/>
      <w:sz w:val="28"/>
    </w:rPr>
  </w:style>
  <w:style w:type="paragraph" w:customStyle="1" w:styleId="2827">
    <w:name w:val="Char Char Char Char Char Char Char Char Char1 Char11"/>
    <w:basedOn w:val="1"/>
    <w:uiPriority w:val="0"/>
    <w:pPr>
      <w:spacing w:line="360" w:lineRule="auto"/>
      <w:ind w:firstLine="200" w:firstLineChars="200"/>
    </w:pPr>
    <w:rPr>
      <w:rFonts w:ascii="宋体" w:hAnsi="宋体" w:cs="宋体"/>
      <w:sz w:val="24"/>
    </w:rPr>
  </w:style>
  <w:style w:type="paragraph" w:customStyle="1" w:styleId="2828">
    <w:name w:val="xl121"/>
    <w:basedOn w:val="1"/>
    <w:uiPriority w:val="0"/>
    <w:pPr>
      <w:widowControl/>
      <w:pBdr>
        <w:top w:val="single" w:color="auto" w:sz="4" w:space="0"/>
        <w:left w:val="single" w:color="auto" w:sz="8" w:space="0"/>
        <w:bottom w:val="single" w:color="auto" w:sz="8" w:space="0"/>
        <w:right w:val="single" w:color="auto" w:sz="4" w:space="0"/>
      </w:pBdr>
      <w:shd w:val="clear" w:color="auto" w:fill="FFCC99"/>
      <w:spacing w:before="100" w:beforeAutospacing="1" w:after="100" w:afterAutospacing="1"/>
      <w:jc w:val="center"/>
    </w:pPr>
    <w:rPr>
      <w:rFonts w:hint="eastAsia" w:ascii="宋体" w:hAnsi="宋体" w:cs="Arial Unicode MS"/>
      <w:color w:val="000000"/>
      <w:kern w:val="0"/>
      <w:sz w:val="20"/>
      <w:szCs w:val="20"/>
    </w:rPr>
  </w:style>
  <w:style w:type="paragraph" w:customStyle="1" w:styleId="2829">
    <w:name w:val="标书6-正文"/>
    <w:basedOn w:val="1"/>
    <w:uiPriority w:val="0"/>
    <w:pPr>
      <w:tabs>
        <w:tab w:val="left" w:pos="420"/>
      </w:tabs>
      <w:spacing w:line="360" w:lineRule="auto"/>
      <w:ind w:firstLine="482"/>
    </w:pPr>
    <w:rPr>
      <w:kern w:val="0"/>
      <w:sz w:val="24"/>
      <w:szCs w:val="20"/>
    </w:rPr>
  </w:style>
  <w:style w:type="paragraph" w:customStyle="1" w:styleId="2830">
    <w:name w:val="xl143"/>
    <w:basedOn w:val="1"/>
    <w:uiPriority w:val="0"/>
    <w:pPr>
      <w:widowControl/>
      <w:pBdr>
        <w:top w:val="single" w:color="auto" w:sz="4" w:space="0"/>
        <w:left w:val="single" w:color="auto" w:sz="4" w:space="0"/>
        <w:bottom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2831">
    <w:name w:val="样式 标题 2 + 四号 段前: 0 磅 段后: 6 磅 行距: 1.5 倍行距"/>
    <w:basedOn w:val="4"/>
    <w:uiPriority w:val="0"/>
    <w:pPr>
      <w:tabs>
        <w:tab w:val="left" w:pos="420"/>
        <w:tab w:val="left" w:pos="1140"/>
        <w:tab w:val="clear" w:pos="360"/>
      </w:tabs>
      <w:adjustRightInd w:val="0"/>
      <w:spacing w:beforeLines="20" w:after="120" w:line="360" w:lineRule="auto"/>
      <w:ind w:left="1140" w:hanging="420" w:firstLineChars="200"/>
      <w:jc w:val="left"/>
      <w:textAlignment w:val="baseline"/>
    </w:pPr>
    <w:rPr>
      <w:rFonts w:cs="黑体"/>
      <w:b w:val="0"/>
      <w:kern w:val="0"/>
      <w:sz w:val="28"/>
      <w:szCs w:val="20"/>
    </w:rPr>
  </w:style>
  <w:style w:type="paragraph" w:customStyle="1" w:styleId="2832">
    <w:name w:val="b15"/>
    <w:basedOn w:val="1"/>
    <w:uiPriority w:val="0"/>
    <w:pPr>
      <w:widowControl/>
      <w:spacing w:before="100" w:beforeAutospacing="1" w:after="100" w:afterAutospacing="1"/>
      <w:jc w:val="left"/>
    </w:pPr>
    <w:rPr>
      <w:rFonts w:ascii="宋体" w:hAnsi="宋体" w:cs="宋体"/>
      <w:b/>
      <w:color w:val="000000"/>
      <w:kern w:val="0"/>
      <w:sz w:val="23"/>
      <w:szCs w:val="20"/>
    </w:rPr>
  </w:style>
  <w:style w:type="paragraph" w:customStyle="1" w:styleId="2833">
    <w:name w:val="标题5-1"/>
    <w:basedOn w:val="8"/>
    <w:uiPriority w:val="0"/>
    <w:pPr>
      <w:widowControl w:val="0"/>
      <w:tabs>
        <w:tab w:val="left" w:pos="1152"/>
        <w:tab w:val="clear" w:pos="360"/>
      </w:tabs>
      <w:adjustRightInd/>
      <w:snapToGrid/>
      <w:spacing w:beforeLines="0" w:afterLines="0" w:line="360" w:lineRule="auto"/>
      <w:ind w:left="1152" w:hanging="1152" w:firstLineChars="0"/>
    </w:pPr>
    <w:rPr>
      <w:rFonts w:ascii="Arial" w:hAnsi="Arial"/>
      <w:b w:val="0"/>
      <w:kern w:val="2"/>
    </w:rPr>
  </w:style>
  <w:style w:type="paragraph" w:customStyle="1" w:styleId="2834">
    <w:name w:val="11111111"/>
    <w:basedOn w:val="35"/>
    <w:uiPriority w:val="0"/>
    <w:pPr>
      <w:spacing w:line="460" w:lineRule="exact"/>
      <w:ind w:firstLine="0"/>
      <w:jc w:val="left"/>
    </w:pPr>
    <w:rPr>
      <w:rFonts w:eastAsia="黑体"/>
      <w:b/>
      <w:bCs/>
      <w:sz w:val="24"/>
    </w:rPr>
  </w:style>
  <w:style w:type="paragraph" w:customStyle="1" w:styleId="2835">
    <w:name w:val="样式 标题 1 + 黑体 居中"/>
    <w:basedOn w:val="3"/>
    <w:uiPriority w:val="0"/>
    <w:pPr>
      <w:keepLines/>
      <w:tabs>
        <w:tab w:val="left" w:pos="1200"/>
        <w:tab w:val="clear" w:pos="360"/>
      </w:tabs>
      <w:spacing w:before="120" w:after="120" w:line="360" w:lineRule="auto"/>
      <w:ind w:left="1200" w:hanging="720" w:firstLineChars="200"/>
    </w:pPr>
    <w:rPr>
      <w:rFonts w:ascii="黑体" w:hAnsi="黑体" w:eastAsia="黑体" w:cs="黑体"/>
      <w:bCs/>
      <w:kern w:val="44"/>
      <w:sz w:val="32"/>
      <w:szCs w:val="20"/>
    </w:rPr>
  </w:style>
  <w:style w:type="paragraph" w:customStyle="1" w:styleId="2836">
    <w:name w:val="jj标题2"/>
    <w:basedOn w:val="4"/>
    <w:uiPriority w:val="0"/>
    <w:pPr>
      <w:widowControl/>
      <w:tabs>
        <w:tab w:val="clear" w:pos="360"/>
      </w:tabs>
      <w:spacing w:beforeLines="50" w:after="0" w:line="413" w:lineRule="auto"/>
      <w:ind w:left="0" w:firstLine="0" w:firstLineChars="0"/>
      <w:jc w:val="left"/>
    </w:pPr>
    <w:rPr>
      <w:rFonts w:eastAsia="华文新魏" w:cs="宋体"/>
      <w:b w:val="0"/>
      <w:bCs w:val="0"/>
      <w:color w:val="008080"/>
      <w:spacing w:val="16"/>
      <w:szCs w:val="20"/>
      <w:shd w:val="pct10" w:color="auto" w:fill="FFFFFF"/>
    </w:rPr>
  </w:style>
  <w:style w:type="paragraph" w:customStyle="1" w:styleId="2837">
    <w:name w:val="表格名称"/>
    <w:basedOn w:val="1"/>
    <w:uiPriority w:val="0"/>
    <w:pPr>
      <w:snapToGrid w:val="0"/>
      <w:spacing w:beforeLines="20" w:afterLines="20" w:line="312" w:lineRule="auto"/>
      <w:ind w:left="2" w:leftChars="-2" w:hanging="6" w:hangingChars="2"/>
      <w:textAlignment w:val="baseline"/>
    </w:pPr>
    <w:rPr>
      <w:rFonts w:ascii="仿宋_GB2312" w:eastAsia="仿宋_GB2312"/>
      <w:bCs/>
      <w:color w:val="FF0000"/>
      <w:spacing w:val="5"/>
      <w:kern w:val="44"/>
      <w:sz w:val="24"/>
    </w:rPr>
  </w:style>
  <w:style w:type="paragraph" w:customStyle="1" w:styleId="2838">
    <w:name w:val="样式 标题 1标题 1 Char Char标题 1 Char + 行距: 固定值 23 磅"/>
    <w:basedOn w:val="3"/>
    <w:uiPriority w:val="0"/>
    <w:pPr>
      <w:keepLines/>
      <w:tabs>
        <w:tab w:val="clear" w:pos="360"/>
      </w:tabs>
      <w:spacing w:before="340" w:after="330" w:line="560" w:lineRule="exact"/>
      <w:ind w:left="0" w:firstLine="200" w:firstLineChars="200"/>
      <w:jc w:val="both"/>
    </w:pPr>
    <w:rPr>
      <w:rFonts w:ascii="黑体" w:eastAsia="黑体"/>
      <w:b/>
      <w:bCs/>
      <w:kern w:val="44"/>
      <w:sz w:val="24"/>
    </w:rPr>
  </w:style>
  <w:style w:type="paragraph" w:customStyle="1" w:styleId="2839">
    <w:name w:val="样式 标题 3aaa标题 3 + 首行缩进:  1 字符"/>
    <w:basedOn w:val="5"/>
    <w:uiPriority w:val="0"/>
    <w:pPr>
      <w:keepLines/>
      <w:tabs>
        <w:tab w:val="clear" w:pos="360"/>
      </w:tabs>
      <w:adjustRightInd/>
      <w:snapToGrid/>
      <w:spacing w:before="180" w:after="180"/>
      <w:ind w:left="0" w:firstLine="100" w:firstLineChars="100"/>
    </w:pPr>
    <w:rPr>
      <w:rFonts w:ascii="Times New Roman" w:hAnsi="Times New Roman" w:eastAsia="宋体" w:cs="宋体"/>
      <w:bCs w:val="0"/>
      <w:sz w:val="28"/>
      <w:szCs w:val="20"/>
    </w:rPr>
  </w:style>
  <w:style w:type="paragraph" w:customStyle="1" w:styleId="2840">
    <w:name w:val="xl118"/>
    <w:basedOn w:val="1"/>
    <w:uiPriority w:val="0"/>
    <w:pPr>
      <w:widowControl/>
      <w:pBdr>
        <w:top w:val="single" w:color="auto" w:sz="4"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2841">
    <w:name w:val="支"/>
    <w:basedOn w:val="1"/>
    <w:uiPriority w:val="0"/>
    <w:pPr>
      <w:tabs>
        <w:tab w:val="left" w:pos="360"/>
      </w:tabs>
      <w:adjustRightInd w:val="0"/>
      <w:spacing w:line="460" w:lineRule="exact"/>
      <w:ind w:left="360" w:hanging="360"/>
      <w:jc w:val="left"/>
      <w:textAlignment w:val="baseline"/>
    </w:pPr>
    <w:rPr>
      <w:kern w:val="0"/>
      <w:sz w:val="24"/>
    </w:rPr>
  </w:style>
  <w:style w:type="paragraph" w:customStyle="1" w:styleId="2842">
    <w:name w:val="xl102"/>
    <w:basedOn w:val="1"/>
    <w:uiPriority w:val="0"/>
    <w:pPr>
      <w:widowControl/>
      <w:pBdr>
        <w:top w:val="single" w:color="auto" w:sz="4" w:space="0"/>
        <w:left w:val="single" w:color="auto" w:sz="8" w:space="0"/>
        <w:right w:val="single" w:color="auto" w:sz="8" w:space="0"/>
      </w:pBdr>
      <w:shd w:val="clear" w:color="auto" w:fill="33CCCC"/>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843">
    <w:name w:val="xl13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844">
    <w:name w:val="样式2 Char Char"/>
    <w:basedOn w:val="21"/>
    <w:uiPriority w:val="0"/>
    <w:pPr>
      <w:widowControl/>
      <w:overflowPunct w:val="0"/>
      <w:autoSpaceDE w:val="0"/>
      <w:autoSpaceDN w:val="0"/>
      <w:adjustRightInd w:val="0"/>
      <w:ind w:firstLine="491" w:firstLineChars="200"/>
      <w:textAlignment w:val="baseline"/>
    </w:pPr>
    <w:rPr>
      <w:sz w:val="24"/>
      <w:szCs w:val="24"/>
    </w:rPr>
  </w:style>
  <w:style w:type="paragraph" w:customStyle="1" w:styleId="2845">
    <w:name w:val="编号汉字数字"/>
    <w:basedOn w:val="2846"/>
    <w:next w:val="1"/>
    <w:uiPriority w:val="0"/>
    <w:pPr>
      <w:tabs>
        <w:tab w:val="left" w:pos="0"/>
        <w:tab w:val="left" w:pos="939"/>
      </w:tabs>
      <w:ind w:left="0" w:firstLine="822"/>
      <w:outlineLvl w:val="9"/>
    </w:pPr>
  </w:style>
  <w:style w:type="paragraph" w:customStyle="1" w:styleId="2846">
    <w:name w:val="编号括号数字"/>
    <w:basedOn w:val="1"/>
    <w:uiPriority w:val="0"/>
    <w:pPr>
      <w:widowControl/>
      <w:tabs>
        <w:tab w:val="left" w:pos="939"/>
      </w:tabs>
      <w:spacing w:line="360" w:lineRule="auto"/>
      <w:ind w:left="342" w:firstLine="198"/>
      <w:jc w:val="left"/>
      <w:outlineLvl w:val="4"/>
    </w:pPr>
    <w:rPr>
      <w:rFonts w:ascii="宋体" w:hAnsi="宋体" w:cs="宋体"/>
      <w:kern w:val="0"/>
      <w:sz w:val="24"/>
      <w:szCs w:val="20"/>
    </w:rPr>
  </w:style>
  <w:style w:type="paragraph" w:customStyle="1" w:styleId="2847">
    <w:name w:val="xl164"/>
    <w:basedOn w:val="1"/>
    <w:uiPriority w:val="0"/>
    <w:pPr>
      <w:widowControl/>
      <w:pBdr>
        <w:top w:val="single" w:color="auto" w:sz="8" w:space="0"/>
        <w:left w:val="single" w:color="auto" w:sz="4" w:space="0"/>
        <w:bottom w:val="single" w:color="auto" w:sz="4" w:space="0"/>
        <w:right w:val="single" w:color="auto" w:sz="4"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2848">
    <w:name w:val="框内容"/>
    <w:basedOn w:val="34"/>
    <w:uiPriority w:val="0"/>
    <w:pPr>
      <w:suppressAutoHyphens/>
      <w:spacing w:after="120" w:line="360" w:lineRule="auto"/>
      <w:ind w:firstLine="200"/>
      <w:jc w:val="left"/>
    </w:pPr>
    <w:rPr>
      <w:rFonts w:hAnsi="宋体" w:eastAsia="宋体"/>
      <w:kern w:val="1"/>
      <w:sz w:val="18"/>
      <w:lang w:eastAsia="ar-SA"/>
    </w:rPr>
  </w:style>
  <w:style w:type="paragraph" w:customStyle="1" w:styleId="2849">
    <w:name w:val="正文，居中"/>
    <w:uiPriority w:val="0"/>
    <w:pPr>
      <w:widowControl w:val="0"/>
      <w:adjustRightInd w:val="0"/>
      <w:snapToGrid w:val="0"/>
      <w:jc w:val="center"/>
    </w:pPr>
    <w:rPr>
      <w:rFonts w:ascii="宋体" w:hAnsi="宋体" w:eastAsia="宋体" w:cs="Times New Roman"/>
      <w:sz w:val="24"/>
      <w:szCs w:val="24"/>
      <w:lang w:val="en-US" w:eastAsia="zh-CN" w:bidi="ar-SA"/>
    </w:rPr>
  </w:style>
  <w:style w:type="paragraph" w:customStyle="1" w:styleId="2850">
    <w:name w:val="部分标签"/>
    <w:basedOn w:val="2851"/>
    <w:uiPriority w:val="0"/>
  </w:style>
  <w:style w:type="paragraph" w:customStyle="1" w:styleId="2851">
    <w:name w:val="节标签"/>
    <w:basedOn w:val="2736"/>
    <w:next w:val="34"/>
    <w:uiPriority w:val="0"/>
    <w:pPr>
      <w:pBdr>
        <w:bottom w:val="single" w:color="808080" w:sz="6" w:space="24"/>
      </w:pBdr>
      <w:spacing w:after="720"/>
      <w:jc w:val="center"/>
    </w:pPr>
    <w:rPr>
      <w:caps/>
      <w:spacing w:val="80"/>
      <w:sz w:val="48"/>
    </w:rPr>
  </w:style>
  <w:style w:type="paragraph" w:customStyle="1" w:styleId="2852">
    <w:name w:val="样式 正文缩进 + 五号 Char Char Char Char Char Char Char Char Char Char Char Char Char Char Char Char Char Char Char Char Char Char Char Char Char Char Char Char Char Char Char Char Char Char Char Char Char Char Char Char Char Char"/>
    <w:basedOn w:val="21"/>
    <w:uiPriority w:val="0"/>
    <w:pPr>
      <w:widowControl/>
      <w:overflowPunct w:val="0"/>
      <w:autoSpaceDE w:val="0"/>
      <w:autoSpaceDN w:val="0"/>
      <w:adjustRightInd w:val="0"/>
    </w:pPr>
    <w:rPr>
      <w:kern w:val="0"/>
      <w:sz w:val="24"/>
      <w:szCs w:val="24"/>
    </w:rPr>
  </w:style>
  <w:style w:type="paragraph" w:customStyle="1" w:styleId="2853">
    <w:name w:val="xl110"/>
    <w:basedOn w:val="1"/>
    <w:uiPriority w:val="0"/>
    <w:pPr>
      <w:widowControl/>
      <w:pBdr>
        <w:top w:val="single" w:color="auto" w:sz="8" w:space="0"/>
        <w:left w:val="single" w:color="auto" w:sz="8" w:space="0"/>
        <w:bottom w:val="single" w:color="auto" w:sz="4" w:space="0"/>
        <w:right w:val="single" w:color="auto" w:sz="8" w:space="0"/>
      </w:pBdr>
      <w:shd w:val="clear" w:color="auto" w:fill="339966"/>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854">
    <w:name w:val="样式 标题 4 + (中文) 宋体"/>
    <w:basedOn w:val="6"/>
    <w:uiPriority w:val="0"/>
    <w:pPr>
      <w:widowControl/>
      <w:tabs>
        <w:tab w:val="clear" w:pos="360"/>
      </w:tabs>
      <w:spacing w:line="520" w:lineRule="exact"/>
      <w:ind w:left="0"/>
    </w:pPr>
    <w:rPr>
      <w:rFonts w:hAnsi="Times New Roman"/>
      <w:bCs w:val="0"/>
      <w:sz w:val="28"/>
    </w:rPr>
  </w:style>
  <w:style w:type="paragraph" w:customStyle="1" w:styleId="2855">
    <w:name w:val="表格6号"/>
    <w:basedOn w:val="1"/>
    <w:uiPriority w:val="0"/>
    <w:pPr>
      <w:widowControl/>
      <w:suppressAutoHyphens/>
      <w:jc w:val="center"/>
    </w:pPr>
    <w:rPr>
      <w:rFonts w:ascii="宋体" w:hAnsi="宋体" w:cs="宋体"/>
      <w:kern w:val="1"/>
      <w:sz w:val="24"/>
      <w:szCs w:val="20"/>
    </w:rPr>
  </w:style>
  <w:style w:type="paragraph" w:customStyle="1" w:styleId="2856">
    <w:name w:val="xl196"/>
    <w:basedOn w:val="1"/>
    <w:uiPriority w:val="0"/>
    <w:pPr>
      <w:widowControl/>
      <w:pBdr>
        <w:top w:val="single" w:color="auto" w:sz="4" w:space="0"/>
        <w:left w:val="single" w:color="auto" w:sz="4" w:space="0"/>
        <w:bottom w:val="single" w:color="auto" w:sz="8"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857">
    <w:name w:val="责任表文"/>
    <w:basedOn w:val="1"/>
    <w:uiPriority w:val="0"/>
    <w:pPr>
      <w:tabs>
        <w:tab w:val="left" w:pos="4760"/>
      </w:tabs>
      <w:adjustRightInd w:val="0"/>
      <w:spacing w:line="360" w:lineRule="auto"/>
      <w:jc w:val="center"/>
      <w:textAlignment w:val="baseline"/>
    </w:pPr>
    <w:rPr>
      <w:rFonts w:ascii="宋体" w:hAnsi="宋体"/>
      <w:b/>
      <w:snapToGrid w:val="0"/>
      <w:spacing w:val="20"/>
      <w:kern w:val="24"/>
      <w:sz w:val="28"/>
      <w:szCs w:val="28"/>
    </w:rPr>
  </w:style>
  <w:style w:type="paragraph" w:customStyle="1" w:styleId="2858">
    <w:name w:val="TOC 91"/>
    <w:basedOn w:val="1"/>
    <w:next w:val="1"/>
    <w:uiPriority w:val="0"/>
    <w:pPr>
      <w:tabs>
        <w:tab w:val="left" w:pos="0"/>
        <w:tab w:val="left" w:pos="1440"/>
        <w:tab w:val="right" w:leader="hyphen" w:pos="9071"/>
      </w:tabs>
      <w:adjustRightInd w:val="0"/>
      <w:spacing w:line="400" w:lineRule="atLeast"/>
      <w:ind w:left="1820" w:firstLine="454" w:firstLineChars="200"/>
      <w:jc w:val="left"/>
      <w:textAlignment w:val="baseline"/>
    </w:pPr>
    <w:rPr>
      <w:rFonts w:ascii="宋体"/>
      <w:b/>
      <w:kern w:val="0"/>
      <w:sz w:val="18"/>
      <w:szCs w:val="20"/>
    </w:rPr>
  </w:style>
  <w:style w:type="paragraph" w:customStyle="1" w:styleId="2859">
    <w:name w:val="奇数页页眉"/>
    <w:basedOn w:val="57"/>
    <w:uiPriority w:val="0"/>
    <w:pPr>
      <w:pBdr>
        <w:bottom w:val="double" w:color="auto" w:sz="6" w:space="3"/>
      </w:pBdr>
      <w:tabs>
        <w:tab w:val="center" w:pos="4147"/>
        <w:tab w:val="right" w:pos="8309"/>
        <w:tab w:val="clear" w:pos="4153"/>
        <w:tab w:val="clear" w:pos="8306"/>
      </w:tabs>
      <w:overflowPunct w:val="0"/>
      <w:autoSpaceDE w:val="0"/>
      <w:autoSpaceDN w:val="0"/>
      <w:adjustRightInd w:val="0"/>
      <w:snapToGrid/>
      <w:spacing w:line="460" w:lineRule="atLeast"/>
      <w:jc w:val="right"/>
      <w:textAlignment w:val="baseline"/>
    </w:pPr>
    <w:rPr>
      <w:rFonts w:ascii="宋体"/>
      <w:kern w:val="0"/>
      <w:sz w:val="21"/>
      <w:szCs w:val="20"/>
    </w:rPr>
  </w:style>
  <w:style w:type="paragraph" w:customStyle="1" w:styleId="2860">
    <w:name w:val="样式 标题 3 + 段后: 0.5 行"/>
    <w:basedOn w:val="5"/>
    <w:uiPriority w:val="0"/>
    <w:pPr>
      <w:keepNext w:val="0"/>
      <w:keepLines/>
      <w:tabs>
        <w:tab w:val="clear" w:pos="360"/>
      </w:tabs>
      <w:adjustRightInd/>
      <w:snapToGrid/>
      <w:spacing w:before="120" w:afterLines="50" w:line="400" w:lineRule="exact"/>
      <w:ind w:left="0" w:firstLine="0" w:firstLineChars="0"/>
    </w:pPr>
    <w:rPr>
      <w:rFonts w:eastAsia="黑体" w:cs="宋体"/>
      <w:bCs w:val="0"/>
      <w:sz w:val="26"/>
      <w:szCs w:val="20"/>
    </w:rPr>
  </w:style>
  <w:style w:type="paragraph" w:customStyle="1" w:styleId="2861">
    <w:name w:val="xl159"/>
    <w:basedOn w:val="1"/>
    <w:uiPriority w:val="0"/>
    <w:pPr>
      <w:widowControl/>
      <w:pBdr>
        <w:top w:val="single" w:color="auto" w:sz="4"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2862">
    <w:name w:val="WW-列表 2"/>
    <w:basedOn w:val="1"/>
    <w:uiPriority w:val="0"/>
    <w:pPr>
      <w:widowControl/>
      <w:suppressAutoHyphens/>
      <w:ind w:left="840" w:hanging="420"/>
      <w:jc w:val="left"/>
    </w:pPr>
    <w:rPr>
      <w:rFonts w:ascii="宋体" w:hAnsi="宋体" w:cs="宋体"/>
      <w:kern w:val="1"/>
      <w:sz w:val="24"/>
      <w:szCs w:val="20"/>
    </w:rPr>
  </w:style>
  <w:style w:type="paragraph" w:customStyle="1" w:styleId="2863">
    <w:name w:val="xl170"/>
    <w:basedOn w:val="1"/>
    <w:uiPriority w:val="0"/>
    <w:pPr>
      <w:widowControl/>
      <w:pBdr>
        <w:top w:val="single" w:color="auto" w:sz="4" w:space="0"/>
        <w:left w:val="single" w:color="auto" w:sz="4" w:space="0"/>
        <w:bottom w:val="single" w:color="auto" w:sz="8" w:space="0"/>
        <w:right w:val="single" w:color="auto" w:sz="8"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2864">
    <w:name w:val="WW-正文（首行缩进两字）"/>
    <w:basedOn w:val="1"/>
    <w:uiPriority w:val="0"/>
    <w:pPr>
      <w:widowControl/>
      <w:suppressAutoHyphens/>
      <w:ind w:firstLine="420"/>
      <w:jc w:val="left"/>
      <w:textAlignment w:val="baseline"/>
    </w:pPr>
    <w:rPr>
      <w:rFonts w:ascii="宋体" w:hAnsi="宋体" w:cs="宋体"/>
      <w:kern w:val="1"/>
      <w:sz w:val="24"/>
      <w:szCs w:val="20"/>
    </w:rPr>
  </w:style>
  <w:style w:type="paragraph" w:customStyle="1" w:styleId="2865">
    <w:name w:val="Char3 Char Char Char Char Char Char Char Char Char Char Char Char"/>
    <w:basedOn w:val="1"/>
    <w:uiPriority w:val="0"/>
    <w:pPr>
      <w:widowControl/>
      <w:spacing w:after="160" w:line="240" w:lineRule="exact"/>
      <w:jc w:val="left"/>
    </w:pPr>
  </w:style>
  <w:style w:type="paragraph" w:customStyle="1" w:styleId="2866">
    <w:name w:val="wmf-正文"/>
    <w:basedOn w:val="1"/>
    <w:uiPriority w:val="0"/>
    <w:pPr>
      <w:adjustRightInd w:val="0"/>
      <w:snapToGrid w:val="0"/>
      <w:spacing w:line="360" w:lineRule="auto"/>
      <w:ind w:left="350" w:leftChars="350" w:firstLine="200" w:firstLineChars="200"/>
    </w:pPr>
    <w:rPr>
      <w:rFonts w:ascii="宋体" w:hAnsi="宋体"/>
      <w:spacing w:val="6"/>
      <w:sz w:val="24"/>
      <w:szCs w:val="20"/>
    </w:rPr>
  </w:style>
  <w:style w:type="paragraph" w:customStyle="1" w:styleId="2867">
    <w:name w:val="xl122"/>
    <w:basedOn w:val="1"/>
    <w:uiPriority w:val="0"/>
    <w:pPr>
      <w:widowControl/>
      <w:pBdr>
        <w:top w:val="single" w:color="auto" w:sz="4" w:space="0"/>
        <w:bottom w:val="single" w:color="auto" w:sz="8" w:space="0"/>
        <w:right w:val="single" w:color="auto" w:sz="8" w:space="0"/>
      </w:pBdr>
      <w:shd w:val="clear" w:color="auto" w:fill="FFCC99"/>
      <w:spacing w:before="100" w:beforeAutospacing="1" w:after="100" w:afterAutospacing="1"/>
      <w:jc w:val="center"/>
    </w:pPr>
    <w:rPr>
      <w:rFonts w:hint="eastAsia" w:ascii="宋体" w:hAnsi="宋体" w:cs="Arial Unicode MS"/>
      <w:color w:val="000000"/>
      <w:kern w:val="0"/>
      <w:sz w:val="20"/>
      <w:szCs w:val="20"/>
    </w:rPr>
  </w:style>
  <w:style w:type="paragraph" w:customStyle="1" w:styleId="2868">
    <w:name w:val="标题02"/>
    <w:next w:val="34"/>
    <w:qFormat/>
    <w:uiPriority w:val="0"/>
    <w:pPr>
      <w:keepNext/>
      <w:adjustRightInd w:val="0"/>
      <w:snapToGrid w:val="0"/>
      <w:spacing w:beforeLines="20" w:afterLines="20" w:line="312" w:lineRule="auto"/>
      <w:jc w:val="both"/>
      <w:outlineLvl w:val="1"/>
    </w:pPr>
    <w:rPr>
      <w:rFonts w:ascii="Times New Roman" w:hAnsi="Times New Roman" w:eastAsia="宋体" w:cs="Times New Roman"/>
      <w:b/>
      <w:kern w:val="2"/>
      <w:sz w:val="24"/>
      <w:szCs w:val="24"/>
      <w:lang w:val="en-US" w:eastAsia="zh-CN" w:bidi="ar-SA"/>
    </w:rPr>
  </w:style>
  <w:style w:type="paragraph" w:customStyle="1" w:styleId="2869">
    <w:name w:val="标题4_zw"/>
    <w:basedOn w:val="6"/>
    <w:uiPriority w:val="0"/>
    <w:pPr>
      <w:tabs>
        <w:tab w:val="clear" w:pos="360"/>
      </w:tabs>
      <w:adjustRightInd w:val="0"/>
      <w:snapToGrid w:val="0"/>
      <w:spacing w:line="360" w:lineRule="auto"/>
      <w:ind w:left="0" w:firstLine="0" w:firstLineChars="0"/>
    </w:pPr>
    <w:rPr>
      <w:rFonts w:hAnsi="Times New Roman"/>
      <w:b w:val="0"/>
      <w:sz w:val="24"/>
      <w:szCs w:val="24"/>
    </w:rPr>
  </w:style>
  <w:style w:type="paragraph" w:customStyle="1" w:styleId="2870">
    <w:name w:val="附录五级条标题"/>
    <w:basedOn w:val="2490"/>
    <w:next w:val="1"/>
    <w:uiPriority w:val="0"/>
    <w:pPr>
      <w:tabs>
        <w:tab w:val="left" w:pos="3540"/>
        <w:tab w:val="clear" w:pos="3060"/>
      </w:tabs>
      <w:spacing w:beforeLines="50" w:afterLines="50"/>
      <w:ind w:left="3540"/>
      <w:outlineLvl w:val="6"/>
    </w:pPr>
    <w:rPr>
      <w:rFonts w:cs="Times New Roman"/>
      <w:szCs w:val="20"/>
    </w:rPr>
  </w:style>
  <w:style w:type="paragraph" w:customStyle="1" w:styleId="2871">
    <w:name w:val="xl194"/>
    <w:basedOn w:val="1"/>
    <w:uiPriority w:val="0"/>
    <w:pPr>
      <w:widowControl/>
      <w:pBdr>
        <w:top w:val="single" w:color="auto" w:sz="4" w:space="0"/>
        <w:left w:val="single" w:color="auto" w:sz="4" w:space="0"/>
        <w:bottom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2872">
    <w:name w:val="Char Char Char Char Char Char Char Char Char111"/>
    <w:basedOn w:val="1"/>
    <w:uiPriority w:val="0"/>
    <w:pPr>
      <w:spacing w:line="360" w:lineRule="auto"/>
      <w:ind w:firstLine="200" w:firstLineChars="200"/>
    </w:pPr>
    <w:rPr>
      <w:rFonts w:ascii="宋体" w:hAnsi="宋体" w:cs="宋体"/>
      <w:sz w:val="24"/>
    </w:rPr>
  </w:style>
  <w:style w:type="paragraph" w:customStyle="1" w:styleId="2873">
    <w:name w:val="xl141"/>
    <w:basedOn w:val="1"/>
    <w:uiPriority w:val="0"/>
    <w:pPr>
      <w:widowControl/>
      <w:pBdr>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2874">
    <w:name w:val="偶页脚样式"/>
    <w:basedOn w:val="55"/>
    <w:uiPriority w:val="0"/>
    <w:rPr>
      <w:szCs w:val="18"/>
    </w:rPr>
  </w:style>
  <w:style w:type="paragraph" w:customStyle="1" w:styleId="2875">
    <w:name w:val="部分题目"/>
    <w:basedOn w:val="84"/>
    <w:uiPriority w:val="0"/>
    <w:pPr>
      <w:keepNext/>
      <w:keepLines/>
      <w:spacing w:before="140" w:after="0"/>
      <w:outlineLvl w:val="9"/>
    </w:pPr>
    <w:rPr>
      <w:rFonts w:ascii="Garamond" w:hAnsi="Garamond"/>
      <w:b w:val="0"/>
      <w:caps/>
      <w:spacing w:val="60"/>
      <w:kern w:val="20"/>
      <w:sz w:val="44"/>
      <w:szCs w:val="20"/>
    </w:rPr>
  </w:style>
  <w:style w:type="paragraph" w:customStyle="1" w:styleId="2876">
    <w:name w:val="xl105"/>
    <w:basedOn w:val="1"/>
    <w:uiPriority w:val="0"/>
    <w:pPr>
      <w:widowControl/>
      <w:pBdr>
        <w:top w:val="single" w:color="auto" w:sz="8" w:space="0"/>
        <w:left w:val="single" w:color="auto" w:sz="8" w:space="0"/>
        <w:bottom w:val="single" w:color="auto" w:sz="4" w:space="0"/>
        <w:right w:val="single" w:color="auto" w:sz="4" w:space="0"/>
      </w:pBdr>
      <w:shd w:val="clear" w:color="auto" w:fill="339966"/>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877">
    <w:name w:val="样式 表格编号 + 首行缩进:  2 字符 段前: 0.25 行 段后: 1 行"/>
    <w:basedOn w:val="1"/>
    <w:uiPriority w:val="0"/>
    <w:pPr>
      <w:tabs>
        <w:tab w:val="left" w:pos="720"/>
        <w:tab w:val="left" w:pos="1275"/>
      </w:tabs>
      <w:spacing w:beforeLines="25" w:afterLines="25" w:line="480" w:lineRule="exact"/>
      <w:ind w:firstLine="200" w:firstLineChars="200"/>
    </w:pPr>
    <w:rPr>
      <w:b/>
      <w:szCs w:val="20"/>
    </w:rPr>
  </w:style>
  <w:style w:type="paragraph" w:customStyle="1" w:styleId="2878">
    <w:name w:val="节3"/>
    <w:basedOn w:val="1"/>
    <w:uiPriority w:val="0"/>
    <w:pPr>
      <w:widowControl/>
      <w:adjustRightInd w:val="0"/>
      <w:snapToGrid w:val="0"/>
      <w:spacing w:beforeLines="50" w:afterLines="50" w:line="312" w:lineRule="auto"/>
      <w:ind w:firstLine="567"/>
      <w:outlineLvl w:val="1"/>
    </w:pPr>
    <w:rPr>
      <w:rFonts w:ascii="宋体" w:hAnsi="宋体"/>
      <w:b/>
      <w:spacing w:val="6"/>
      <w:kern w:val="0"/>
      <w:sz w:val="32"/>
    </w:rPr>
  </w:style>
  <w:style w:type="paragraph" w:customStyle="1" w:styleId="2879">
    <w:name w:val="奇页页眉样式"/>
    <w:basedOn w:val="57"/>
    <w:uiPriority w:val="0"/>
  </w:style>
  <w:style w:type="paragraph" w:customStyle="1" w:styleId="2880">
    <w:name w:val="表头标题"/>
    <w:basedOn w:val="43"/>
    <w:next w:val="1"/>
    <w:uiPriority w:val="0"/>
    <w:pPr>
      <w:spacing w:after="0" w:line="480" w:lineRule="exact"/>
      <w:ind w:left="0" w:leftChars="0"/>
      <w:jc w:val="center"/>
      <w:outlineLvl w:val="4"/>
    </w:pPr>
    <w:rPr>
      <w:rFonts w:cs="Calibri"/>
      <w:snapToGrid w:val="0"/>
      <w:kern w:val="0"/>
      <w:sz w:val="28"/>
      <w:szCs w:val="24"/>
    </w:rPr>
  </w:style>
  <w:style w:type="paragraph" w:customStyle="1" w:styleId="2881">
    <w:name w:val="xl15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882">
    <w:name w:val="章节号"/>
    <w:basedOn w:val="2851"/>
    <w:uiPriority w:val="0"/>
  </w:style>
  <w:style w:type="paragraph" w:customStyle="1" w:styleId="2883">
    <w:name w:val="支下"/>
    <w:basedOn w:val="1"/>
    <w:uiPriority w:val="0"/>
    <w:pPr>
      <w:tabs>
        <w:tab w:val="left" w:pos="420"/>
        <w:tab w:val="left" w:pos="510"/>
      </w:tabs>
      <w:adjustRightInd w:val="0"/>
      <w:spacing w:line="460" w:lineRule="exact"/>
      <w:ind w:left="420" w:hanging="420"/>
      <w:jc w:val="left"/>
      <w:textAlignment w:val="baseline"/>
    </w:pPr>
    <w:rPr>
      <w:kern w:val="0"/>
      <w:sz w:val="24"/>
    </w:rPr>
  </w:style>
  <w:style w:type="paragraph" w:customStyle="1" w:styleId="2884">
    <w:name w:val="xl191"/>
    <w:basedOn w:val="1"/>
    <w:uiPriority w:val="0"/>
    <w:pPr>
      <w:widowControl/>
      <w:pBdr>
        <w:top w:val="single" w:color="auto" w:sz="4" w:space="0"/>
        <w:left w:val="single" w:color="auto" w:sz="4" w:space="0"/>
        <w:bottom w:val="single" w:color="auto" w:sz="4"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2885">
    <w:name w:val="xl144"/>
    <w:basedOn w:val="1"/>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2886">
    <w:name w:val="样式 标题 1 + (西文) 黑体 (中文) 黑体 小二 居中"/>
    <w:basedOn w:val="3"/>
    <w:uiPriority w:val="0"/>
    <w:pPr>
      <w:keepLines/>
      <w:tabs>
        <w:tab w:val="clear" w:pos="360"/>
      </w:tabs>
      <w:spacing w:before="120" w:after="120"/>
      <w:ind w:left="0" w:firstLine="0" w:firstLineChars="0"/>
    </w:pPr>
    <w:rPr>
      <w:rFonts w:hAnsi="宋体" w:eastAsia="宋体"/>
      <w:b/>
      <w:bCs/>
      <w:color w:val="000000"/>
      <w:kern w:val="44"/>
      <w:sz w:val="32"/>
      <w:szCs w:val="32"/>
    </w:rPr>
  </w:style>
  <w:style w:type="paragraph" w:customStyle="1" w:styleId="2887">
    <w:name w:val="表名LA"/>
    <w:basedOn w:val="1"/>
    <w:uiPriority w:val="0"/>
    <w:pPr>
      <w:widowControl/>
      <w:tabs>
        <w:tab w:val="left" w:pos="0"/>
      </w:tabs>
      <w:adjustRightInd w:val="0"/>
      <w:snapToGrid w:val="0"/>
      <w:spacing w:beforeLines="80" w:afterLines="20"/>
      <w:jc w:val="center"/>
    </w:pPr>
    <w:rPr>
      <w:b/>
      <w:snapToGrid w:val="0"/>
      <w:kern w:val="0"/>
      <w:szCs w:val="20"/>
    </w:rPr>
  </w:style>
  <w:style w:type="paragraph" w:customStyle="1" w:styleId="2888">
    <w:name w:val="样式 标题 4 + 段后: 0.5 行"/>
    <w:basedOn w:val="6"/>
    <w:uiPriority w:val="0"/>
    <w:pPr>
      <w:keepNext w:val="0"/>
      <w:tabs>
        <w:tab w:val="clear" w:pos="360"/>
      </w:tabs>
      <w:spacing w:before="120" w:afterLines="50" w:line="400" w:lineRule="exact"/>
      <w:ind w:left="0" w:firstLine="0" w:firstLineChars="0"/>
      <w:jc w:val="both"/>
    </w:pPr>
    <w:rPr>
      <w:rFonts w:ascii="Arial" w:hAnsi="Arial" w:eastAsia="黑体" w:cs="宋体"/>
      <w:bCs w:val="0"/>
      <w:spacing w:val="12"/>
      <w:sz w:val="24"/>
      <w:szCs w:val="32"/>
    </w:rPr>
  </w:style>
  <w:style w:type="paragraph" w:customStyle="1" w:styleId="2889">
    <w:name w:val="内容"/>
    <w:basedOn w:val="1"/>
    <w:uiPriority w:val="0"/>
    <w:pPr>
      <w:spacing w:line="360" w:lineRule="auto"/>
      <w:ind w:firstLine="560" w:firstLineChars="200"/>
    </w:pPr>
    <w:rPr>
      <w:rFonts w:cs="宋体"/>
      <w:sz w:val="24"/>
      <w:szCs w:val="28"/>
    </w:rPr>
  </w:style>
  <w:style w:type="paragraph" w:customStyle="1" w:styleId="2890">
    <w:name w:val="xl98"/>
    <w:basedOn w:val="1"/>
    <w:uiPriority w:val="0"/>
    <w:pPr>
      <w:widowControl/>
      <w:pBdr>
        <w:top w:val="single" w:color="auto" w:sz="4" w:space="0"/>
        <w:left w:val="single" w:color="auto" w:sz="4" w:space="0"/>
        <w:right w:val="single" w:color="auto" w:sz="8" w:space="0"/>
      </w:pBdr>
      <w:shd w:val="clear" w:color="auto" w:fill="33CCCC"/>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891">
    <w:name w:val="xl15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2892">
    <w:name w:val="表标题2"/>
    <w:basedOn w:val="1"/>
    <w:next w:val="1"/>
    <w:uiPriority w:val="0"/>
    <w:pPr>
      <w:widowControl/>
      <w:spacing w:beforeLines="50" w:after="120" w:line="312" w:lineRule="auto"/>
      <w:jc w:val="center"/>
    </w:pPr>
    <w:rPr>
      <w:rFonts w:ascii="宋体" w:hAnsi="宋体" w:cs="宋体"/>
      <w:kern w:val="0"/>
      <w:sz w:val="24"/>
      <w:szCs w:val="20"/>
    </w:rPr>
  </w:style>
  <w:style w:type="paragraph" w:customStyle="1" w:styleId="2893">
    <w:name w:val="样式 宋体 粉红 首行缩进:  1.01 厘米 行距: 1.5 倍行距"/>
    <w:basedOn w:val="1"/>
    <w:uiPriority w:val="0"/>
    <w:pPr>
      <w:spacing w:line="300" w:lineRule="auto"/>
      <w:ind w:firstLine="567"/>
    </w:pPr>
    <w:rPr>
      <w:rFonts w:ascii="宋体" w:cs="宋体"/>
      <w:spacing w:val="4"/>
      <w:sz w:val="24"/>
    </w:rPr>
  </w:style>
  <w:style w:type="paragraph" w:customStyle="1" w:styleId="2894">
    <w:name w:val="样式 章 + 首行缩进:  0 厘米"/>
    <w:basedOn w:val="3"/>
    <w:uiPriority w:val="0"/>
    <w:pPr>
      <w:keepLines/>
      <w:tabs>
        <w:tab w:val="clear" w:pos="360"/>
      </w:tabs>
      <w:adjustRightInd w:val="0"/>
      <w:snapToGrid w:val="0"/>
      <w:spacing w:line="312" w:lineRule="auto"/>
      <w:ind w:left="0" w:firstLine="0" w:firstLineChars="200"/>
      <w:textAlignment w:val="baseline"/>
    </w:pPr>
    <w:rPr>
      <w:rFonts w:ascii="黑体" w:eastAsia="黑体" w:cs="宋体"/>
      <w:b/>
      <w:bCs/>
      <w:spacing w:val="6"/>
      <w:kern w:val="44"/>
      <w:sz w:val="36"/>
      <w:szCs w:val="36"/>
    </w:rPr>
  </w:style>
  <w:style w:type="paragraph" w:customStyle="1" w:styleId="2895">
    <w:name w:val="样式 表格标题"/>
    <w:basedOn w:val="1"/>
    <w:uiPriority w:val="0"/>
    <w:pPr>
      <w:spacing w:line="360" w:lineRule="auto"/>
      <w:jc w:val="center"/>
    </w:pPr>
    <w:rPr>
      <w:rFonts w:cs="宋体"/>
      <w:b/>
      <w:sz w:val="24"/>
    </w:rPr>
  </w:style>
  <w:style w:type="paragraph" w:customStyle="1" w:styleId="2896">
    <w:name w:val="Char Char Char Char Char Char Char Char Char1 Char Char Char Char Char Char Char"/>
    <w:basedOn w:val="1"/>
    <w:uiPriority w:val="0"/>
    <w:pPr>
      <w:spacing w:line="360" w:lineRule="auto"/>
      <w:ind w:firstLine="200" w:firstLineChars="200"/>
    </w:pPr>
    <w:rPr>
      <w:rFonts w:ascii="宋体" w:hAnsi="宋体" w:cs="宋体"/>
      <w:sz w:val="24"/>
    </w:rPr>
  </w:style>
  <w:style w:type="paragraph" w:customStyle="1" w:styleId="2897">
    <w:name w:val="Char1 Char Char Char Char Char Char2"/>
    <w:basedOn w:val="1"/>
    <w:next w:val="51"/>
    <w:uiPriority w:val="0"/>
    <w:pPr>
      <w:spacing w:line="360" w:lineRule="auto"/>
      <w:ind w:firstLine="480" w:firstLineChars="200"/>
    </w:pPr>
    <w:rPr>
      <w:kern w:val="0"/>
      <w:sz w:val="24"/>
    </w:rPr>
  </w:style>
  <w:style w:type="paragraph" w:customStyle="1" w:styleId="2898">
    <w:name w:val="样式 段落样式 Char + 字符缩放: 100% 加宽量  1 磅"/>
    <w:basedOn w:val="1"/>
    <w:uiPriority w:val="0"/>
    <w:pPr>
      <w:keepNext/>
      <w:suppressLineNumbers/>
      <w:suppressAutoHyphens/>
      <w:topLinePunct/>
      <w:adjustRightInd w:val="0"/>
      <w:snapToGrid w:val="0"/>
      <w:spacing w:line="480" w:lineRule="atLeast"/>
      <w:ind w:firstLine="482"/>
      <w:textAlignment w:val="baseline"/>
    </w:pPr>
    <w:rPr>
      <w:snapToGrid w:val="0"/>
      <w:kern w:val="0"/>
      <w:sz w:val="28"/>
      <w:szCs w:val="28"/>
    </w:rPr>
  </w:style>
  <w:style w:type="paragraph" w:customStyle="1" w:styleId="2899">
    <w:name w:val="xl99"/>
    <w:basedOn w:val="1"/>
    <w:uiPriority w:val="0"/>
    <w:pPr>
      <w:widowControl/>
      <w:pBdr>
        <w:top w:val="single" w:color="auto" w:sz="4" w:space="0"/>
        <w:right w:val="single" w:color="auto" w:sz="4" w:space="0"/>
      </w:pBdr>
      <w:shd w:val="clear" w:color="auto" w:fill="33CCCC"/>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900">
    <w:name w:val="Char Char Char Char Char Char Char Char Char Char Char Char Char Char Char Char Char Char Char Char Char"/>
    <w:basedOn w:val="1"/>
    <w:uiPriority w:val="0"/>
    <w:pPr>
      <w:spacing w:line="360" w:lineRule="auto"/>
      <w:ind w:firstLine="200" w:firstLineChars="200"/>
    </w:pPr>
    <w:rPr>
      <w:rFonts w:ascii="宋体" w:hAnsi="宋体" w:cs="宋体"/>
      <w:sz w:val="24"/>
    </w:rPr>
  </w:style>
  <w:style w:type="paragraph" w:customStyle="1" w:styleId="2901">
    <w:name w:val="样式 标题 2aaa标题 2 + 两端对齐 段前: 1 行 段后: 0.5 行"/>
    <w:basedOn w:val="4"/>
    <w:uiPriority w:val="0"/>
    <w:pPr>
      <w:tabs>
        <w:tab w:val="clear" w:pos="360"/>
      </w:tabs>
      <w:spacing w:beforeLines="100" w:afterLines="100" w:line="360" w:lineRule="auto"/>
      <w:ind w:left="100" w:hanging="100" w:hangingChars="100"/>
      <w:jc w:val="left"/>
    </w:pPr>
    <w:rPr>
      <w:rFonts w:cs="宋体"/>
      <w:b w:val="0"/>
      <w:sz w:val="28"/>
      <w:szCs w:val="30"/>
    </w:rPr>
  </w:style>
  <w:style w:type="paragraph" w:customStyle="1" w:styleId="2902">
    <w:name w:val="目"/>
    <w:basedOn w:val="1"/>
    <w:uiPriority w:val="0"/>
    <w:pPr>
      <w:tabs>
        <w:tab w:val="left" w:pos="360"/>
        <w:tab w:val="left" w:pos="510"/>
      </w:tabs>
      <w:adjustRightInd w:val="0"/>
      <w:spacing w:line="460" w:lineRule="exact"/>
      <w:ind w:left="360" w:hanging="360"/>
      <w:jc w:val="left"/>
      <w:textAlignment w:val="baseline"/>
    </w:pPr>
    <w:rPr>
      <w:kern w:val="0"/>
      <w:sz w:val="24"/>
    </w:rPr>
  </w:style>
  <w:style w:type="paragraph" w:customStyle="1" w:styleId="2903">
    <w:name w:val="gwp-1"/>
    <w:basedOn w:val="1"/>
    <w:uiPriority w:val="0"/>
    <w:pPr>
      <w:widowControl/>
      <w:adjustRightInd w:val="0"/>
      <w:snapToGrid w:val="0"/>
      <w:spacing w:before="240" w:line="300" w:lineRule="auto"/>
      <w:ind w:firstLine="567"/>
    </w:pPr>
    <w:rPr>
      <w:rFonts w:ascii="宋体"/>
      <w:sz w:val="28"/>
    </w:rPr>
  </w:style>
  <w:style w:type="paragraph" w:customStyle="1" w:styleId="2904">
    <w:name w:val="西港区三级"/>
    <w:basedOn w:val="5"/>
    <w:uiPriority w:val="0"/>
    <w:pPr>
      <w:keepNext w:val="0"/>
      <w:tabs>
        <w:tab w:val="clear" w:pos="360"/>
      </w:tabs>
      <w:ind w:left="0" w:firstLine="0" w:firstLineChars="0"/>
      <w:jc w:val="left"/>
      <w:outlineLvl w:val="9"/>
    </w:pPr>
    <w:rPr>
      <w:rFonts w:ascii="Times New Roman" w:hAnsi="Times New Roman" w:eastAsia="宋体"/>
      <w:b/>
      <w:bCs w:val="0"/>
      <w:sz w:val="28"/>
      <w:szCs w:val="28"/>
    </w:rPr>
  </w:style>
  <w:style w:type="paragraph" w:customStyle="1" w:styleId="2905">
    <w:name w:val="wgf 1正文"/>
    <w:basedOn w:val="1"/>
    <w:uiPriority w:val="0"/>
    <w:pPr>
      <w:spacing w:line="360" w:lineRule="auto"/>
      <w:ind w:firstLine="200" w:firstLineChars="200"/>
    </w:pPr>
    <w:rPr>
      <w:sz w:val="28"/>
    </w:rPr>
  </w:style>
  <w:style w:type="paragraph" w:customStyle="1" w:styleId="2906">
    <w:name w:val="Char1 Char Char Char Char Char Char211"/>
    <w:basedOn w:val="1"/>
    <w:next w:val="51"/>
    <w:uiPriority w:val="0"/>
    <w:pPr>
      <w:spacing w:line="360" w:lineRule="auto"/>
      <w:ind w:firstLine="480" w:firstLineChars="200"/>
    </w:pPr>
    <w:rPr>
      <w:kern w:val="0"/>
      <w:sz w:val="24"/>
    </w:rPr>
  </w:style>
  <w:style w:type="paragraph" w:customStyle="1" w:styleId="2907">
    <w:name w:val="港珠澳正文"/>
    <w:basedOn w:val="1"/>
    <w:uiPriority w:val="0"/>
    <w:pPr>
      <w:spacing w:beforeLines="100" w:afterLines="100" w:line="360" w:lineRule="auto"/>
      <w:ind w:firstLine="200" w:firstLineChars="200"/>
      <w:jc w:val="left"/>
    </w:pPr>
    <w:rPr>
      <w:color w:val="000000"/>
      <w:sz w:val="24"/>
    </w:rPr>
  </w:style>
  <w:style w:type="paragraph" w:customStyle="1" w:styleId="2908">
    <w:name w:val="列项◆（三级）"/>
    <w:basedOn w:val="1"/>
    <w:uiPriority w:val="0"/>
    <w:pPr>
      <w:tabs>
        <w:tab w:val="left" w:pos="1678"/>
      </w:tabs>
      <w:ind w:left="1678" w:hanging="414"/>
    </w:pPr>
    <w:rPr>
      <w:rFonts w:ascii="宋体"/>
      <w:szCs w:val="21"/>
    </w:rPr>
  </w:style>
  <w:style w:type="paragraph" w:customStyle="1" w:styleId="2909">
    <w:name w:val="xl117"/>
    <w:basedOn w:val="1"/>
    <w:uiPriority w:val="0"/>
    <w:pPr>
      <w:widowControl/>
      <w:pBdr>
        <w:top w:val="single" w:color="auto" w:sz="4" w:space="0"/>
        <w:left w:val="single" w:color="auto" w:sz="4" w:space="0"/>
        <w:bottom w:val="single" w:color="auto" w:sz="4" w:space="0"/>
      </w:pBdr>
      <w:shd w:val="clear" w:color="auto" w:fill="00FF00"/>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910">
    <w:name w:val="文章"/>
    <w:basedOn w:val="21"/>
    <w:uiPriority w:val="0"/>
    <w:pPr>
      <w:adjustRightInd w:val="0"/>
      <w:snapToGrid w:val="0"/>
      <w:spacing w:beforeLines="20" w:afterLines="20" w:line="360" w:lineRule="auto"/>
      <w:ind w:firstLine="520" w:firstLineChars="200"/>
    </w:pPr>
    <w:rPr>
      <w:rFonts w:ascii="Garamond" w:hAnsi="Garamond"/>
      <w:sz w:val="26"/>
      <w:szCs w:val="24"/>
    </w:rPr>
  </w:style>
  <w:style w:type="paragraph" w:customStyle="1" w:styleId="2911">
    <w:name w:val="正文00"/>
    <w:next w:val="34"/>
    <w:uiPriority w:val="0"/>
    <w:pPr>
      <w:adjustRightInd w:val="0"/>
      <w:snapToGrid w:val="0"/>
      <w:spacing w:before="62" w:after="62" w:line="360" w:lineRule="auto"/>
      <w:ind w:firstLine="480" w:firstLineChars="200"/>
      <w:jc w:val="both"/>
      <w:textAlignment w:val="center"/>
    </w:pPr>
    <w:rPr>
      <w:rFonts w:ascii="Times New Roman" w:hAnsi="Times New Roman" w:eastAsia="宋体" w:cs="Times New Roman"/>
      <w:kern w:val="2"/>
      <w:sz w:val="24"/>
      <w:szCs w:val="24"/>
      <w:lang w:val="en-US" w:eastAsia="zh-CN" w:bidi="ar-SA"/>
    </w:rPr>
  </w:style>
  <w:style w:type="paragraph" w:customStyle="1" w:styleId="2912">
    <w:name w:val="WW-文档结构图"/>
    <w:basedOn w:val="1"/>
    <w:uiPriority w:val="0"/>
    <w:pPr>
      <w:widowControl/>
      <w:shd w:val="clear" w:color="auto" w:fill="000080"/>
      <w:suppressAutoHyphens/>
      <w:jc w:val="left"/>
    </w:pPr>
    <w:rPr>
      <w:rFonts w:ascii="宋体" w:hAnsi="宋体" w:cs="宋体"/>
      <w:kern w:val="1"/>
      <w:sz w:val="24"/>
      <w:szCs w:val="20"/>
      <w:lang w:eastAsia="ar-SA"/>
    </w:rPr>
  </w:style>
  <w:style w:type="paragraph" w:customStyle="1" w:styleId="2913">
    <w:name w:val="样式 样式 (西文) 华文中宋 (中文) 华文中宋 小四 行距: 固定值 20 磅 首行缩进:  2 字符 + 首行缩进:  2..."/>
    <w:basedOn w:val="1"/>
    <w:uiPriority w:val="0"/>
    <w:pPr>
      <w:spacing w:after="60" w:line="400" w:lineRule="exact"/>
      <w:ind w:firstLine="200" w:firstLineChars="200"/>
    </w:pPr>
    <w:rPr>
      <w:rFonts w:ascii="华文中宋" w:hAnsi="华文中宋" w:eastAsia="华文中宋" w:cs="宋体"/>
      <w:b/>
      <w:sz w:val="24"/>
      <w:szCs w:val="20"/>
    </w:rPr>
  </w:style>
  <w:style w:type="paragraph" w:customStyle="1" w:styleId="2914">
    <w:name w:val="表名A"/>
    <w:basedOn w:val="1"/>
    <w:uiPriority w:val="0"/>
    <w:pPr>
      <w:widowControl/>
      <w:tabs>
        <w:tab w:val="left" w:pos="0"/>
      </w:tabs>
      <w:adjustRightInd w:val="0"/>
      <w:snapToGrid w:val="0"/>
      <w:spacing w:beforeLines="80" w:afterLines="20"/>
      <w:jc w:val="center"/>
    </w:pPr>
    <w:rPr>
      <w:b/>
      <w:snapToGrid w:val="0"/>
      <w:kern w:val="0"/>
      <w:szCs w:val="20"/>
    </w:rPr>
  </w:style>
  <w:style w:type="paragraph" w:customStyle="1" w:styleId="2915">
    <w:name w:val="表格内文字"/>
    <w:basedOn w:val="1"/>
    <w:uiPriority w:val="0"/>
    <w:pPr>
      <w:snapToGrid w:val="0"/>
      <w:ind w:left="-60" w:leftChars="-44" w:right="-108" w:rightChars="-45" w:hanging="46" w:hangingChars="22"/>
      <w:jc w:val="center"/>
    </w:pPr>
    <w:rPr>
      <w:rFonts w:ascii="宋体" w:hAnsi="宋体"/>
      <w:szCs w:val="20"/>
      <w:lang w:val="zh-CN"/>
    </w:rPr>
  </w:style>
  <w:style w:type="paragraph" w:customStyle="1" w:styleId="2916">
    <w:name w:val="样式 生物附录 + 小四 段前: 6 磅 段后: 6 磅 非加宽量 / 紧缩量  行距: 1.5 倍行距1"/>
    <w:basedOn w:val="1"/>
    <w:uiPriority w:val="0"/>
    <w:pPr>
      <w:widowControl/>
      <w:spacing w:before="120" w:after="120" w:line="360" w:lineRule="auto"/>
      <w:jc w:val="left"/>
    </w:pPr>
    <w:rPr>
      <w:rFonts w:ascii="宋体" w:hAnsi="宋体" w:cs="宋体"/>
      <w:b/>
      <w:kern w:val="0"/>
      <w:sz w:val="24"/>
      <w:szCs w:val="20"/>
    </w:rPr>
  </w:style>
  <w:style w:type="paragraph" w:customStyle="1" w:styleId="2917">
    <w:name w:val="样式 标题 3节标题 1.1 Char1.1标题2 Charb2 Char标题3 Char标题 2霍 CharH2 ..."/>
    <w:basedOn w:val="5"/>
    <w:uiPriority w:val="0"/>
    <w:pPr>
      <w:keepNext w:val="0"/>
      <w:tabs>
        <w:tab w:val="clear" w:pos="360"/>
      </w:tabs>
      <w:adjustRightInd/>
      <w:snapToGrid/>
      <w:spacing w:before="120" w:after="120" w:line="413" w:lineRule="auto"/>
      <w:ind w:left="0" w:firstLine="0" w:firstLineChars="0"/>
    </w:pPr>
    <w:rPr>
      <w:rFonts w:ascii="宋体" w:hAnsi="宋体" w:eastAsia="宋体" w:cs="宋体"/>
      <w:b/>
      <w:szCs w:val="20"/>
    </w:rPr>
  </w:style>
  <w:style w:type="paragraph" w:customStyle="1" w:styleId="2918">
    <w:name w:val="xs"/>
    <w:basedOn w:val="1"/>
    <w:uiPriority w:val="0"/>
    <w:pPr>
      <w:widowControl/>
      <w:spacing w:before="100" w:beforeAutospacing="1" w:after="100" w:afterAutospacing="1" w:line="285" w:lineRule="atLeast"/>
      <w:jc w:val="left"/>
    </w:pPr>
    <w:rPr>
      <w:rFonts w:ascii="宋体" w:hAnsi="宋体" w:cs="宋体"/>
      <w:kern w:val="0"/>
      <w:sz w:val="20"/>
      <w:szCs w:val="20"/>
    </w:rPr>
  </w:style>
  <w:style w:type="paragraph" w:customStyle="1" w:styleId="2919">
    <w:name w:val="点项"/>
    <w:basedOn w:val="5"/>
    <w:uiPriority w:val="0"/>
    <w:pPr>
      <w:keepNext w:val="0"/>
      <w:tabs>
        <w:tab w:val="clear" w:pos="360"/>
      </w:tabs>
      <w:ind w:left="0" w:firstLine="480"/>
      <w:jc w:val="left"/>
      <w:textAlignment w:val="baseline"/>
      <w:outlineLvl w:val="9"/>
    </w:pPr>
    <w:rPr>
      <w:rFonts w:ascii="Times New Roman" w:hAnsi="宋体" w:eastAsia="宋体"/>
      <w:bCs w:val="0"/>
      <w:kern w:val="28"/>
    </w:rPr>
  </w:style>
  <w:style w:type="paragraph" w:customStyle="1" w:styleId="2920">
    <w:name w:val="0.0文本"/>
    <w:basedOn w:val="1"/>
    <w:uiPriority w:val="0"/>
    <w:pPr>
      <w:autoSpaceDE w:val="0"/>
      <w:autoSpaceDN w:val="0"/>
      <w:adjustRightInd w:val="0"/>
      <w:snapToGrid w:val="0"/>
      <w:spacing w:line="360" w:lineRule="auto"/>
      <w:ind w:left="720" w:leftChars="300"/>
      <w:textAlignment w:val="baseline"/>
    </w:pPr>
    <w:rPr>
      <w:rFonts w:ascii="宋体" w:hAnsi="MS Mincho" w:cs="Tms Rmn"/>
      <w:kern w:val="0"/>
      <w:sz w:val="24"/>
    </w:rPr>
  </w:style>
  <w:style w:type="paragraph" w:customStyle="1" w:styleId="2921">
    <w:name w:val="标准图表名"/>
    <w:basedOn w:val="1"/>
    <w:uiPriority w:val="0"/>
    <w:pPr>
      <w:jc w:val="center"/>
    </w:pPr>
    <w:rPr>
      <w:rFonts w:cs="Courier New"/>
      <w:kern w:val="0"/>
      <w:szCs w:val="21"/>
    </w:rPr>
  </w:style>
  <w:style w:type="paragraph" w:customStyle="1" w:styleId="2922">
    <w:name w:val="xl160"/>
    <w:basedOn w:val="1"/>
    <w:uiPriority w:val="0"/>
    <w:pPr>
      <w:widowControl/>
      <w:pBdr>
        <w:top w:val="single" w:color="auto" w:sz="4"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2923">
    <w:name w:val="西港区二级"/>
    <w:basedOn w:val="4"/>
    <w:uiPriority w:val="0"/>
    <w:pPr>
      <w:tabs>
        <w:tab w:val="clear" w:pos="360"/>
      </w:tabs>
      <w:adjustRightInd w:val="0"/>
      <w:snapToGrid w:val="0"/>
      <w:spacing w:beforeLines="20" w:after="0" w:line="360" w:lineRule="auto"/>
      <w:ind w:left="0" w:firstLine="0" w:firstLineChars="0"/>
      <w:jc w:val="left"/>
    </w:pPr>
    <w:rPr>
      <w:rFonts w:ascii="Times New Roman" w:hAnsi="Times New Roman" w:eastAsia="Times New Roman"/>
      <w:sz w:val="28"/>
    </w:rPr>
  </w:style>
  <w:style w:type="paragraph" w:customStyle="1" w:styleId="2924">
    <w:name w:val="标签"/>
    <w:basedOn w:val="1"/>
    <w:uiPriority w:val="0"/>
    <w:pPr>
      <w:widowControl/>
      <w:suppressLineNumbers/>
      <w:suppressAutoHyphens/>
      <w:spacing w:before="120" w:after="120"/>
      <w:jc w:val="left"/>
    </w:pPr>
    <w:rPr>
      <w:rFonts w:ascii="宋体" w:hAnsi="宋体" w:cs="宋体"/>
      <w:i/>
      <w:kern w:val="1"/>
      <w:sz w:val="20"/>
      <w:szCs w:val="20"/>
      <w:lang w:eastAsia="ar-SA"/>
    </w:rPr>
  </w:style>
  <w:style w:type="paragraph" w:customStyle="1" w:styleId="2925">
    <w:name w:val="章节题目"/>
    <w:basedOn w:val="84"/>
    <w:uiPriority w:val="0"/>
    <w:pPr>
      <w:keepNext/>
      <w:keepLines/>
      <w:spacing w:before="140" w:after="0"/>
      <w:outlineLvl w:val="9"/>
    </w:pPr>
    <w:rPr>
      <w:rFonts w:ascii="Garamond" w:hAnsi="Garamond"/>
      <w:b w:val="0"/>
      <w:caps/>
      <w:spacing w:val="60"/>
      <w:kern w:val="20"/>
      <w:sz w:val="44"/>
      <w:szCs w:val="20"/>
    </w:rPr>
  </w:style>
  <w:style w:type="paragraph" w:customStyle="1" w:styleId="2926">
    <w:name w:val="样式 标题 1aaaaaaaaaa标题 1章标题 1b1 + 两端对齐"/>
    <w:basedOn w:val="3"/>
    <w:uiPriority w:val="0"/>
    <w:pPr>
      <w:keepLines/>
      <w:pageBreakBefore/>
      <w:tabs>
        <w:tab w:val="clear" w:pos="360"/>
      </w:tabs>
      <w:spacing w:beforeLines="50" w:after="330" w:line="576" w:lineRule="auto"/>
      <w:ind w:left="0" w:firstLine="0" w:firstLineChars="0"/>
    </w:pPr>
    <w:rPr>
      <w:rFonts w:eastAsia="黑体" w:cs="宋体"/>
      <w:bCs/>
      <w:kern w:val="44"/>
      <w:sz w:val="32"/>
      <w:szCs w:val="20"/>
    </w:rPr>
  </w:style>
  <w:style w:type="paragraph" w:customStyle="1" w:styleId="2927">
    <w:name w:val="首页脚样式"/>
    <w:basedOn w:val="55"/>
    <w:uiPriority w:val="0"/>
    <w:rPr>
      <w:szCs w:val="18"/>
    </w:rPr>
  </w:style>
  <w:style w:type="paragraph" w:customStyle="1" w:styleId="2928">
    <w:name w:val="文3"/>
    <w:basedOn w:val="1"/>
    <w:uiPriority w:val="0"/>
    <w:pPr>
      <w:tabs>
        <w:tab w:val="left" w:pos="425"/>
      </w:tabs>
      <w:adjustRightInd w:val="0"/>
      <w:spacing w:line="500" w:lineRule="atLeast"/>
      <w:ind w:left="425" w:hanging="425"/>
      <w:textAlignment w:val="baseline"/>
    </w:pPr>
    <w:rPr>
      <w:kern w:val="0"/>
      <w:sz w:val="28"/>
      <w:szCs w:val="20"/>
    </w:rPr>
  </w:style>
  <w:style w:type="paragraph" w:customStyle="1" w:styleId="2929">
    <w:name w:val="基准索引样式"/>
    <w:basedOn w:val="1"/>
    <w:uiPriority w:val="0"/>
    <w:pPr>
      <w:widowControl/>
      <w:spacing w:line="240" w:lineRule="atLeast"/>
      <w:ind w:left="360" w:hanging="360"/>
      <w:jc w:val="left"/>
    </w:pPr>
    <w:rPr>
      <w:rFonts w:ascii="Garamond" w:hAnsi="Garamond"/>
      <w:kern w:val="0"/>
      <w:sz w:val="22"/>
      <w:szCs w:val="20"/>
    </w:rPr>
  </w:style>
  <w:style w:type="paragraph" w:customStyle="1" w:styleId="2930">
    <w:name w:val="xl146"/>
    <w:basedOn w:val="1"/>
    <w:uiPriority w:val="0"/>
    <w:pPr>
      <w:widowControl/>
      <w:pBdr>
        <w:top w:val="single" w:color="auto" w:sz="4" w:space="0"/>
        <w:bottom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931">
    <w:name w:val="xl107"/>
    <w:basedOn w:val="1"/>
    <w:uiPriority w:val="0"/>
    <w:pPr>
      <w:widowControl/>
      <w:pBdr>
        <w:top w:val="single" w:color="auto" w:sz="8" w:space="0"/>
        <w:bottom w:val="single" w:color="auto" w:sz="4" w:space="0"/>
        <w:right w:val="single" w:color="auto" w:sz="4" w:space="0"/>
      </w:pBdr>
      <w:shd w:val="clear" w:color="auto" w:fill="339966"/>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932">
    <w:name w:val="jj标题1"/>
    <w:basedOn w:val="3"/>
    <w:uiPriority w:val="0"/>
    <w:pPr>
      <w:keepLines/>
      <w:widowControl/>
      <w:tabs>
        <w:tab w:val="clear" w:pos="360"/>
      </w:tabs>
      <w:spacing w:beforeLines="50" w:after="330" w:line="576" w:lineRule="auto"/>
      <w:ind w:left="0" w:firstLine="0" w:firstLineChars="0"/>
      <w:jc w:val="left"/>
    </w:pPr>
    <w:rPr>
      <w:rFonts w:ascii="方正舒体" w:hAnsi="宋体" w:eastAsia="方正舒体" w:cs="宋体"/>
      <w:b/>
      <w:shadow/>
      <w:color w:val="800080"/>
      <w:spacing w:val="20"/>
      <w:kern w:val="44"/>
      <w:sz w:val="44"/>
      <w:szCs w:val="20"/>
    </w:rPr>
  </w:style>
  <w:style w:type="paragraph" w:customStyle="1" w:styleId="2933">
    <w:name w:val="表头右"/>
    <w:basedOn w:val="1"/>
    <w:uiPriority w:val="0"/>
    <w:pPr>
      <w:widowControl/>
      <w:spacing w:line="360" w:lineRule="auto"/>
      <w:ind w:firstLine="448" w:firstLineChars="200"/>
      <w:jc w:val="right"/>
    </w:pPr>
    <w:rPr>
      <w:rFonts w:ascii="宋体" w:hAnsi="宋体" w:cs="宋体"/>
      <w:kern w:val="0"/>
      <w:sz w:val="24"/>
      <w:szCs w:val="20"/>
    </w:rPr>
  </w:style>
  <w:style w:type="paragraph" w:customStyle="1" w:styleId="2934">
    <w:name w:val="xl153"/>
    <w:basedOn w:val="1"/>
    <w:uiPriority w:val="0"/>
    <w:pPr>
      <w:widowControl/>
      <w:pBdr>
        <w:top w:val="single" w:color="auto" w:sz="4" w:space="0"/>
        <w:left w:val="single" w:color="auto" w:sz="4" w:space="0"/>
        <w:bottom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2935">
    <w:name w:val="jj正文"/>
    <w:basedOn w:val="1"/>
    <w:uiPriority w:val="0"/>
    <w:pPr>
      <w:keepNext/>
      <w:widowControl/>
      <w:spacing w:line="312" w:lineRule="auto"/>
      <w:ind w:firstLine="200" w:firstLineChars="200"/>
      <w:jc w:val="left"/>
    </w:pPr>
    <w:rPr>
      <w:rFonts w:ascii="宋体" w:hAnsi="宋体" w:cs="宋体"/>
      <w:spacing w:val="4"/>
      <w:kern w:val="0"/>
      <w:sz w:val="24"/>
      <w:szCs w:val="20"/>
    </w:rPr>
  </w:style>
  <w:style w:type="paragraph" w:customStyle="1" w:styleId="2936">
    <w:name w:val="xl161"/>
    <w:basedOn w:val="1"/>
    <w:uiPriority w:val="0"/>
    <w:pPr>
      <w:widowControl/>
      <w:pBdr>
        <w:top w:val="single" w:color="auto" w:sz="4" w:space="0"/>
        <w:bottom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937">
    <w:name w:val="样式 AAA + 首行缩进:  2 字符1"/>
    <w:basedOn w:val="2716"/>
    <w:uiPriority w:val="0"/>
    <w:pPr>
      <w:ind w:firstLine="480"/>
    </w:pPr>
    <w:rPr>
      <w:szCs w:val="20"/>
    </w:rPr>
  </w:style>
  <w:style w:type="paragraph" w:customStyle="1" w:styleId="2938">
    <w:name w:val="xl163"/>
    <w:basedOn w:val="1"/>
    <w:uiPriority w:val="0"/>
    <w:pPr>
      <w:widowControl/>
      <w:pBdr>
        <w:top w:val="single" w:color="auto" w:sz="8" w:space="0"/>
        <w:left w:val="single" w:color="auto" w:sz="8" w:space="0"/>
        <w:bottom w:val="single" w:color="auto" w:sz="4" w:space="0"/>
        <w:right w:val="single" w:color="auto" w:sz="4"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2939">
    <w:name w:val="首页页眉样式"/>
    <w:basedOn w:val="57"/>
    <w:uiPriority w:val="0"/>
  </w:style>
  <w:style w:type="paragraph" w:customStyle="1" w:styleId="2940">
    <w:name w:val="nospace"/>
    <w:basedOn w:val="1"/>
    <w:uiPriority w:val="0"/>
    <w:pPr>
      <w:widowControl/>
      <w:spacing w:before="100" w:beforeAutospacing="1" w:after="100" w:afterAutospacing="1"/>
      <w:jc w:val="left"/>
    </w:pPr>
    <w:rPr>
      <w:rFonts w:ascii="宋体" w:hAnsi="宋体" w:cs="宋体"/>
      <w:color w:val="000000"/>
      <w:kern w:val="0"/>
      <w:sz w:val="24"/>
    </w:rPr>
  </w:style>
  <w:style w:type="paragraph" w:customStyle="1" w:styleId="2941">
    <w:name w:val="xl139"/>
    <w:basedOn w:val="1"/>
    <w:uiPriority w:val="0"/>
    <w:pPr>
      <w:widowControl/>
      <w:pBdr>
        <w:left w:val="single" w:color="auto" w:sz="8" w:space="0"/>
        <w:bottom w:val="single" w:color="auto" w:sz="4"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942">
    <w:name w:val="WW-正文文字缩进 3"/>
    <w:basedOn w:val="1"/>
    <w:uiPriority w:val="0"/>
    <w:pPr>
      <w:widowControl/>
      <w:suppressAutoHyphens/>
      <w:spacing w:line="360" w:lineRule="auto"/>
      <w:ind w:firstLine="539"/>
      <w:jc w:val="left"/>
    </w:pPr>
    <w:rPr>
      <w:rFonts w:ascii="宋体" w:hAnsi="宋体" w:cs="宋体"/>
      <w:kern w:val="1"/>
      <w:sz w:val="24"/>
      <w:szCs w:val="20"/>
      <w:lang w:eastAsia="ar-SA"/>
    </w:rPr>
  </w:style>
  <w:style w:type="paragraph" w:customStyle="1" w:styleId="2943">
    <w:name w:val="Char Char Char Char Char Char Char Char Char Char Char Char Char Char Char Char Char Char Char Char Char11"/>
    <w:basedOn w:val="1"/>
    <w:uiPriority w:val="0"/>
    <w:pPr>
      <w:spacing w:line="360" w:lineRule="auto"/>
      <w:ind w:firstLine="200" w:firstLineChars="200"/>
    </w:pPr>
    <w:rPr>
      <w:rFonts w:ascii="宋体" w:hAnsi="宋体" w:cs="宋体"/>
      <w:sz w:val="24"/>
    </w:rPr>
  </w:style>
  <w:style w:type="paragraph" w:customStyle="1" w:styleId="2944">
    <w:name w:val="xl101"/>
    <w:basedOn w:val="1"/>
    <w:uiPriority w:val="0"/>
    <w:pPr>
      <w:widowControl/>
      <w:pBdr>
        <w:top w:val="single" w:color="auto" w:sz="4" w:space="0"/>
        <w:left w:val="single" w:color="auto" w:sz="4" w:space="0"/>
      </w:pBdr>
      <w:shd w:val="clear" w:color="auto" w:fill="33CCCC"/>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945">
    <w:name w:val="xl157"/>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946">
    <w:name w:val="xl124"/>
    <w:basedOn w:val="1"/>
    <w:uiPriority w:val="0"/>
    <w:pPr>
      <w:widowControl/>
      <w:pBdr>
        <w:top w:val="single" w:color="auto" w:sz="4"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2947">
    <w:name w:val="xl137"/>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948">
    <w:name w:val="xl100"/>
    <w:basedOn w:val="1"/>
    <w:uiPriority w:val="0"/>
    <w:pPr>
      <w:widowControl/>
      <w:pBdr>
        <w:top w:val="single" w:color="auto" w:sz="4" w:space="0"/>
        <w:left w:val="single" w:color="auto" w:sz="4" w:space="0"/>
        <w:right w:val="single" w:color="auto" w:sz="4" w:space="0"/>
      </w:pBdr>
      <w:shd w:val="clear" w:color="auto" w:fill="33CCCC"/>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949">
    <w:name w:val="xl190"/>
    <w:basedOn w:val="1"/>
    <w:uiPriority w:val="0"/>
    <w:pPr>
      <w:widowControl/>
      <w:pBdr>
        <w:top w:val="single" w:color="auto" w:sz="4" w:space="0"/>
        <w:left w:val="single" w:color="auto" w:sz="4" w:space="0"/>
        <w:bottom w:val="single" w:color="auto" w:sz="4" w:space="0"/>
        <w:right w:val="single" w:color="auto" w:sz="4"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2950">
    <w:name w:val="样式 Char Char Char Char Char Char Char Char Char Char Char Char Char Char Char Char Char Char Char Char Char"/>
    <w:basedOn w:val="21"/>
    <w:uiPriority w:val="0"/>
    <w:pPr>
      <w:widowControl/>
      <w:overflowPunct w:val="0"/>
      <w:autoSpaceDE w:val="0"/>
      <w:autoSpaceDN w:val="0"/>
      <w:adjustRightInd w:val="0"/>
      <w:ind w:firstLine="491" w:firstLineChars="200"/>
      <w:textAlignment w:val="baseline"/>
    </w:pPr>
    <w:rPr>
      <w:sz w:val="24"/>
      <w:szCs w:val="24"/>
    </w:rPr>
  </w:style>
  <w:style w:type="paragraph" w:customStyle="1" w:styleId="2951">
    <w:name w:val="xl154"/>
    <w:basedOn w:val="1"/>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2952">
    <w:name w:val="样式 标题 2 + (西文) 宋体 (中文) 宋体"/>
    <w:basedOn w:val="4"/>
    <w:uiPriority w:val="0"/>
    <w:pPr>
      <w:tabs>
        <w:tab w:val="clear" w:pos="360"/>
      </w:tabs>
      <w:spacing w:before="120" w:after="120" w:line="240" w:lineRule="auto"/>
      <w:ind w:left="0" w:firstLine="0" w:firstLineChars="0"/>
    </w:pPr>
    <w:rPr>
      <w:rFonts w:ascii="Times New Roman" w:hAnsi="Times New Roman" w:eastAsia="Times New Roman"/>
      <w:color w:val="000000"/>
      <w:sz w:val="28"/>
      <w:szCs w:val="28"/>
    </w:rPr>
  </w:style>
  <w:style w:type="paragraph" w:customStyle="1" w:styleId="2953">
    <w:name w:val="xl168"/>
    <w:basedOn w:val="1"/>
    <w:uiPriority w:val="0"/>
    <w:pPr>
      <w:widowControl/>
      <w:pBdr>
        <w:top w:val="single" w:color="auto" w:sz="4" w:space="0"/>
        <w:left w:val="single" w:color="auto" w:sz="4" w:space="0"/>
        <w:bottom w:val="single" w:color="auto" w:sz="8" w:space="0"/>
        <w:right w:val="single" w:color="auto" w:sz="4" w:space="0"/>
      </w:pBdr>
      <w:shd w:val="clear" w:color="auto" w:fill="FFCC99"/>
      <w:spacing w:before="100" w:beforeAutospacing="1" w:after="100" w:afterAutospacing="1"/>
      <w:jc w:val="right"/>
    </w:pPr>
    <w:rPr>
      <w:rFonts w:hint="eastAsia" w:ascii="宋体" w:hAnsi="宋体" w:cs="Arial Unicode MS"/>
      <w:kern w:val="0"/>
      <w:sz w:val="20"/>
      <w:szCs w:val="20"/>
    </w:rPr>
  </w:style>
  <w:style w:type="paragraph" w:customStyle="1" w:styleId="2954">
    <w:name w:val="样式 目录 2 + 左侧:  2 字符"/>
    <w:basedOn w:val="74"/>
    <w:uiPriority w:val="0"/>
    <w:pPr>
      <w:tabs>
        <w:tab w:val="left" w:pos="1050"/>
        <w:tab w:val="right" w:leader="middleDot" w:pos="8296"/>
      </w:tabs>
      <w:adjustRightInd/>
      <w:snapToGrid/>
      <w:spacing w:beforeLines="0" w:afterLines="0" w:line="276" w:lineRule="auto"/>
      <w:ind w:left="240" w:leftChars="0" w:firstLine="0" w:firstLineChars="0"/>
      <w:jc w:val="left"/>
    </w:pPr>
    <w:rPr>
      <w:rFonts w:ascii="Vladimir Script" w:hAnsi="Vladimir Script" w:eastAsia="楷体_GB2312" w:cs="宋体"/>
      <w:b/>
      <w:bCs w:val="0"/>
      <w:smallCaps/>
      <w:sz w:val="20"/>
      <w:szCs w:val="20"/>
    </w:rPr>
  </w:style>
  <w:style w:type="paragraph" w:customStyle="1" w:styleId="2955">
    <w:name w:val="列表项目"/>
    <w:basedOn w:val="24"/>
    <w:uiPriority w:val="0"/>
    <w:pPr>
      <w:tabs>
        <w:tab w:val="clear" w:pos="360"/>
      </w:tabs>
      <w:spacing w:before="120" w:line="360" w:lineRule="auto"/>
      <w:ind w:left="0" w:firstLine="0"/>
      <w:jc w:val="center"/>
      <w:outlineLvl w:val="0"/>
    </w:pPr>
    <w:rPr>
      <w:sz w:val="30"/>
      <w:szCs w:val="21"/>
    </w:rPr>
  </w:style>
  <w:style w:type="paragraph" w:customStyle="1" w:styleId="2956">
    <w:name w:val="编号圆圈数字"/>
    <w:basedOn w:val="1"/>
    <w:uiPriority w:val="0"/>
    <w:pPr>
      <w:widowControl/>
      <w:tabs>
        <w:tab w:val="left" w:pos="597"/>
      </w:tabs>
      <w:spacing w:line="360" w:lineRule="auto"/>
      <w:ind w:left="140" w:firstLine="480"/>
      <w:jc w:val="left"/>
    </w:pPr>
    <w:rPr>
      <w:rFonts w:ascii="宋体" w:hAnsi="宋体" w:cs="宋体"/>
      <w:kern w:val="0"/>
      <w:sz w:val="24"/>
      <w:szCs w:val="20"/>
    </w:rPr>
  </w:style>
  <w:style w:type="paragraph" w:customStyle="1" w:styleId="2957">
    <w:name w:val="样式 正文缩进 + 五号"/>
    <w:basedOn w:val="21"/>
    <w:uiPriority w:val="0"/>
    <w:pPr>
      <w:widowControl/>
      <w:overflowPunct w:val="0"/>
      <w:autoSpaceDE w:val="0"/>
      <w:autoSpaceDN w:val="0"/>
      <w:adjustRightInd w:val="0"/>
      <w:jc w:val="left"/>
      <w:textAlignment w:val="baseline"/>
    </w:pPr>
    <w:rPr>
      <w:kern w:val="0"/>
      <w:sz w:val="24"/>
    </w:rPr>
  </w:style>
  <w:style w:type="paragraph" w:customStyle="1" w:styleId="2958">
    <w:name w:val="Body Text First Indent3"/>
    <w:basedOn w:val="34"/>
    <w:uiPriority w:val="0"/>
    <w:pPr>
      <w:tabs>
        <w:tab w:val="left" w:pos="7840"/>
      </w:tabs>
      <w:adjustRightInd w:val="0"/>
      <w:spacing w:before="120" w:after="120" w:line="360" w:lineRule="auto"/>
      <w:ind w:firstLine="567"/>
      <w:textAlignment w:val="baseline"/>
    </w:pPr>
    <w:rPr>
      <w:rFonts w:eastAsia="宋体"/>
      <w:kern w:val="28"/>
      <w:sz w:val="28"/>
    </w:rPr>
  </w:style>
  <w:style w:type="paragraph" w:customStyle="1" w:styleId="2959">
    <w:name w:val="表文LA"/>
    <w:uiPriority w:val="0"/>
    <w:pPr>
      <w:tabs>
        <w:tab w:val="left" w:pos="0"/>
      </w:tabs>
      <w:adjustRightInd w:val="0"/>
      <w:snapToGrid w:val="0"/>
      <w:spacing w:beforeLines="10" w:afterLines="10"/>
      <w:jc w:val="center"/>
    </w:pPr>
    <w:rPr>
      <w:rFonts w:ascii="宋体" w:hAnsi="Times New Roman" w:eastAsia="宋体" w:cs="Times New Roman"/>
      <w:snapToGrid w:val="0"/>
      <w:sz w:val="21"/>
      <w:lang w:val="en-US" w:eastAsia="zh-CN" w:bidi="ar-SA"/>
    </w:rPr>
  </w:style>
  <w:style w:type="paragraph" w:customStyle="1" w:styleId="2960">
    <w:name w:val="Char Char Char Char Char Char Char Char Char1 Char Char Char"/>
    <w:basedOn w:val="1"/>
    <w:uiPriority w:val="0"/>
    <w:pPr>
      <w:spacing w:line="360" w:lineRule="auto"/>
      <w:ind w:firstLine="200" w:firstLineChars="200"/>
    </w:pPr>
    <w:rPr>
      <w:rFonts w:ascii="宋体" w:hAnsi="宋体" w:cs="宋体"/>
      <w:sz w:val="24"/>
    </w:rPr>
  </w:style>
  <w:style w:type="paragraph" w:customStyle="1" w:styleId="2961">
    <w:name w:val="标题=2"/>
    <w:basedOn w:val="1"/>
    <w:uiPriority w:val="0"/>
    <w:pPr>
      <w:spacing w:line="560" w:lineRule="exact"/>
      <w:ind w:firstLine="200" w:firstLineChars="200"/>
      <w:outlineLvl w:val="1"/>
    </w:pPr>
    <w:rPr>
      <w:rFonts w:eastAsia="黑体"/>
      <w:b/>
      <w:sz w:val="30"/>
    </w:rPr>
  </w:style>
  <w:style w:type="paragraph" w:customStyle="1" w:styleId="2962">
    <w:name w:val="xl150"/>
    <w:basedOn w:val="1"/>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963">
    <w:name w:val="样式 小四 行距: 1.5 倍行距"/>
    <w:basedOn w:val="1"/>
    <w:uiPriority w:val="0"/>
    <w:pPr>
      <w:widowControl/>
      <w:spacing w:line="360" w:lineRule="auto"/>
      <w:ind w:firstLine="480" w:firstLineChars="200"/>
      <w:jc w:val="left"/>
    </w:pPr>
    <w:rPr>
      <w:rFonts w:ascii="宋体" w:hAnsi="宋体" w:cs="宋体"/>
      <w:kern w:val="28"/>
      <w:sz w:val="24"/>
      <w:szCs w:val="20"/>
    </w:rPr>
  </w:style>
  <w:style w:type="paragraph" w:customStyle="1" w:styleId="2964">
    <w:name w:val="样式 华文中宋 小四 段前: 7.8 磅 行距: 固定值 18 磅"/>
    <w:basedOn w:val="1"/>
    <w:uiPriority w:val="0"/>
    <w:pPr>
      <w:keepNext/>
      <w:autoSpaceDE w:val="0"/>
      <w:autoSpaceDN w:val="0"/>
      <w:snapToGrid w:val="0"/>
      <w:spacing w:before="120" w:after="120" w:line="360" w:lineRule="exact"/>
      <w:ind w:firstLine="200" w:firstLineChars="200"/>
      <w:jc w:val="left"/>
    </w:pPr>
    <w:rPr>
      <w:rFonts w:ascii="华文中宋" w:hAnsi="华文中宋" w:eastAsia="华文中宋" w:cs="宋体"/>
      <w:b/>
      <w:kern w:val="0"/>
      <w:sz w:val="24"/>
      <w:szCs w:val="20"/>
    </w:rPr>
  </w:style>
  <w:style w:type="paragraph" w:customStyle="1" w:styleId="2965">
    <w:name w:val="样式 样式 正文首行缩进 + Times New Roman + 首行缩进:  2 字符"/>
    <w:basedOn w:val="1"/>
    <w:uiPriority w:val="0"/>
    <w:pPr>
      <w:tabs>
        <w:tab w:val="left" w:pos="0"/>
      </w:tabs>
      <w:autoSpaceDE w:val="0"/>
      <w:autoSpaceDN w:val="0"/>
      <w:adjustRightInd w:val="0"/>
      <w:spacing w:line="360" w:lineRule="auto"/>
      <w:ind w:firstLine="200" w:firstLineChars="200"/>
      <w:textAlignment w:val="baseline"/>
    </w:pPr>
    <w:rPr>
      <w:rFonts w:cs="宋体"/>
      <w:sz w:val="24"/>
      <w:szCs w:val="20"/>
    </w:rPr>
  </w:style>
  <w:style w:type="paragraph" w:customStyle="1" w:styleId="2966">
    <w:name w:val="正文样式3"/>
    <w:basedOn w:val="1"/>
    <w:uiPriority w:val="0"/>
    <w:pPr>
      <w:keepLines/>
      <w:adjustRightInd w:val="0"/>
      <w:spacing w:line="20" w:lineRule="atLeast"/>
      <w:jc w:val="center"/>
      <w:textAlignment w:val="baseline"/>
    </w:pPr>
    <w:rPr>
      <w:kern w:val="0"/>
      <w:sz w:val="24"/>
      <w:szCs w:val="20"/>
    </w:rPr>
  </w:style>
  <w:style w:type="paragraph" w:customStyle="1" w:styleId="2967">
    <w:name w:val="样式 标题 2节标题 1.11.1标题2b2Chapter Titlek标题 2标题2标题 2霍H2SeHe..."/>
    <w:basedOn w:val="4"/>
    <w:uiPriority w:val="0"/>
    <w:pPr>
      <w:tabs>
        <w:tab w:val="clear" w:pos="360"/>
      </w:tabs>
      <w:adjustRightInd w:val="0"/>
      <w:snapToGrid w:val="0"/>
      <w:spacing w:beforeLines="40" w:afterLines="20" w:line="560" w:lineRule="exact"/>
      <w:ind w:left="0" w:firstLine="200" w:firstLineChars="200"/>
    </w:pPr>
    <w:rPr>
      <w:rFonts w:ascii="黑体" w:hAnsi="Times New Roman"/>
      <w:snapToGrid w:val="0"/>
      <w:kern w:val="0"/>
      <w:sz w:val="24"/>
      <w:szCs w:val="24"/>
    </w:rPr>
  </w:style>
  <w:style w:type="paragraph" w:customStyle="1" w:styleId="2968">
    <w:name w:val="宋体，加粗，无缩进"/>
    <w:basedOn w:val="76"/>
    <w:uiPriority w:val="0"/>
    <w:pPr>
      <w:adjustRightInd w:val="0"/>
      <w:spacing w:beforeLines="50" w:line="360" w:lineRule="auto"/>
      <w:ind w:firstLine="200" w:firstLineChars="200"/>
      <w:jc w:val="left"/>
      <w:textAlignment w:val="baseline"/>
    </w:pPr>
    <w:rPr>
      <w:rFonts w:ascii="宋体" w:hAnsi="宋体" w:eastAsia="宋体"/>
      <w:spacing w:val="6"/>
      <w:kern w:val="0"/>
      <w:sz w:val="28"/>
      <w:szCs w:val="28"/>
    </w:rPr>
  </w:style>
  <w:style w:type="paragraph" w:customStyle="1" w:styleId="2969">
    <w:name w:val="样式 宋体 五号 非加粗"/>
    <w:basedOn w:val="1"/>
    <w:next w:val="2970"/>
    <w:uiPriority w:val="0"/>
    <w:pPr>
      <w:spacing w:line="480" w:lineRule="exact"/>
      <w:ind w:firstLine="482" w:firstLineChars="200"/>
    </w:pPr>
    <w:rPr>
      <w:rFonts w:ascii="宋体" w:hAnsi="宋体" w:cs="宋体"/>
      <w:b/>
      <w:snapToGrid w:val="0"/>
      <w:kern w:val="0"/>
      <w:szCs w:val="20"/>
    </w:rPr>
  </w:style>
  <w:style w:type="paragraph" w:customStyle="1" w:styleId="2970">
    <w:name w:val="样式 宋体 两端对齐"/>
    <w:basedOn w:val="1"/>
    <w:uiPriority w:val="0"/>
    <w:pPr>
      <w:adjustRightInd w:val="0"/>
      <w:spacing w:line="360" w:lineRule="auto"/>
      <w:ind w:firstLine="567" w:firstLineChars="200"/>
    </w:pPr>
    <w:rPr>
      <w:rFonts w:ascii="宋体" w:hAnsi="宋体" w:cs="宋体"/>
      <w:b/>
      <w:kern w:val="0"/>
      <w:sz w:val="28"/>
      <w:szCs w:val="20"/>
    </w:rPr>
  </w:style>
  <w:style w:type="paragraph" w:customStyle="1" w:styleId="2971">
    <w:name w:val="Char Char Char Char Char Char Char Char Char Char Char Char Char Char Char Char Char Char Char Char Char Char Char Char Char Char"/>
    <w:basedOn w:val="1"/>
    <w:uiPriority w:val="0"/>
    <w:pPr>
      <w:spacing w:line="360" w:lineRule="auto"/>
      <w:ind w:firstLine="200" w:firstLineChars="200"/>
    </w:pPr>
    <w:rPr>
      <w:rFonts w:ascii="宋体" w:hAnsi="宋体" w:cs="宋体"/>
      <w:sz w:val="24"/>
    </w:rPr>
  </w:style>
  <w:style w:type="paragraph" w:customStyle="1" w:styleId="2972">
    <w:name w:val="表格内容1"/>
    <w:basedOn w:val="1"/>
    <w:next w:val="1"/>
    <w:uiPriority w:val="0"/>
    <w:pPr>
      <w:spacing w:line="400" w:lineRule="exact"/>
      <w:jc w:val="center"/>
    </w:pPr>
    <w:rPr>
      <w:rFonts w:cs="宋体"/>
      <w:szCs w:val="20"/>
    </w:rPr>
  </w:style>
  <w:style w:type="paragraph" w:customStyle="1" w:styleId="2973">
    <w:name w:val="表格（小）"/>
    <w:basedOn w:val="1"/>
    <w:uiPriority w:val="0"/>
    <w:pPr>
      <w:adjustRightInd w:val="0"/>
      <w:snapToGrid w:val="0"/>
    </w:pPr>
    <w:rPr>
      <w:snapToGrid w:val="0"/>
      <w:kern w:val="0"/>
    </w:rPr>
  </w:style>
  <w:style w:type="paragraph" w:customStyle="1" w:styleId="2974">
    <w:name w:val="Char Char Char Char Char Char Char Char Char1 Char Char Char Char Char Char Char Char Char Char Char Char Char Char Char Char Char Char Char Char Char Char Char Char Char Char Char Char"/>
    <w:basedOn w:val="1"/>
    <w:uiPriority w:val="0"/>
    <w:pPr>
      <w:spacing w:line="360" w:lineRule="auto"/>
      <w:ind w:firstLine="200" w:firstLineChars="200"/>
    </w:pPr>
    <w:rPr>
      <w:rFonts w:ascii="宋体" w:hAnsi="宋体" w:cs="宋体"/>
      <w:sz w:val="24"/>
    </w:rPr>
  </w:style>
  <w:style w:type="paragraph" w:customStyle="1" w:styleId="2975">
    <w:name w:val="样式 小四 左侧:  0.85 厘米 行距: 固定值 23 磅"/>
    <w:basedOn w:val="1"/>
    <w:uiPriority w:val="0"/>
    <w:pPr>
      <w:spacing w:line="460" w:lineRule="exact"/>
      <w:ind w:firstLine="200" w:firstLineChars="200"/>
    </w:pPr>
    <w:rPr>
      <w:rFonts w:cs="宋体"/>
      <w:bCs/>
      <w:snapToGrid w:val="0"/>
      <w:sz w:val="24"/>
      <w:szCs w:val="20"/>
    </w:rPr>
  </w:style>
  <w:style w:type="paragraph" w:customStyle="1" w:styleId="2976">
    <w:name w:val="报告格式—图标题"/>
    <w:basedOn w:val="1"/>
    <w:uiPriority w:val="0"/>
    <w:pPr>
      <w:spacing w:beforeLines="50" w:line="360" w:lineRule="auto"/>
      <w:jc w:val="center"/>
      <w:outlineLvl w:val="8"/>
    </w:pPr>
    <w:rPr>
      <w:rFonts w:eastAsia="黑体"/>
      <w:spacing w:val="6"/>
      <w:sz w:val="24"/>
      <w:szCs w:val="21"/>
      <w:lang w:val="en-GB"/>
    </w:rPr>
  </w:style>
  <w:style w:type="character" w:customStyle="1" w:styleId="2977">
    <w:name w:val="宏文本 字符"/>
    <w:basedOn w:val="97"/>
    <w:semiHidden/>
    <w:uiPriority w:val="0"/>
    <w:rPr>
      <w:rFonts w:ascii="Courier New" w:hAnsi="Courier New" w:cs="Courier New"/>
      <w:kern w:val="2"/>
      <w:sz w:val="24"/>
      <w:szCs w:val="24"/>
    </w:rPr>
  </w:style>
  <w:style w:type="character" w:customStyle="1" w:styleId="2978">
    <w:name w:val="宏文本 Char"/>
    <w:link w:val="2"/>
    <w:uiPriority w:val="0"/>
    <w:rPr>
      <w:rFonts w:ascii="Courier New" w:hAnsi="Courier New"/>
      <w:kern w:val="2"/>
      <w:sz w:val="24"/>
      <w:szCs w:val="24"/>
    </w:rPr>
  </w:style>
  <w:style w:type="paragraph" w:customStyle="1" w:styleId="2979">
    <w:name w:val="样式 行距: 固定值 26 磅"/>
    <w:basedOn w:val="1"/>
    <w:uiPriority w:val="0"/>
    <w:pPr>
      <w:spacing w:line="520" w:lineRule="exact"/>
      <w:ind w:firstLine="200" w:firstLineChars="200"/>
    </w:pPr>
    <w:rPr>
      <w:rFonts w:cs="宋体"/>
      <w:sz w:val="24"/>
      <w:szCs w:val="20"/>
    </w:rPr>
  </w:style>
  <w:style w:type="paragraph" w:customStyle="1" w:styleId="2980">
    <w:name w:val="标准图"/>
    <w:basedOn w:val="1"/>
    <w:uiPriority w:val="0"/>
    <w:pPr>
      <w:jc w:val="center"/>
    </w:pPr>
    <w:rPr>
      <w:rFonts w:cs="宋体"/>
      <w:szCs w:val="20"/>
    </w:rPr>
  </w:style>
  <w:style w:type="paragraph" w:customStyle="1" w:styleId="2981">
    <w:name w:val="回信地址"/>
    <w:uiPriority w:val="0"/>
    <w:pPr>
      <w:tabs>
        <w:tab w:val="left" w:pos="-18551"/>
      </w:tabs>
      <w:spacing w:line="240" w:lineRule="atLeast"/>
      <w:ind w:right="-240"/>
      <w:jc w:val="center"/>
    </w:pPr>
    <w:rPr>
      <w:rFonts w:ascii="Garamond" w:hAnsi="Garamond" w:eastAsia="宋体" w:cs="Times New Roman"/>
      <w:caps/>
      <w:spacing w:val="30"/>
      <w:sz w:val="14"/>
      <w:lang w:val="en-US" w:eastAsia="zh-CN" w:bidi="ar-SA"/>
    </w:rPr>
  </w:style>
  <w:style w:type="paragraph" w:customStyle="1" w:styleId="2982">
    <w:name w:val="xl195"/>
    <w:basedOn w:val="1"/>
    <w:uiPriority w:val="0"/>
    <w:pPr>
      <w:widowControl/>
      <w:pBdr>
        <w:top w:val="single" w:color="auto" w:sz="4" w:space="0"/>
        <w:left w:val="single" w:color="auto" w:sz="8" w:space="0"/>
        <w:bottom w:val="single" w:color="auto" w:sz="8"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2983">
    <w:name w:val="数字体（标题4）-1.1.1.1"/>
    <w:basedOn w:val="2984"/>
    <w:uiPriority w:val="0"/>
    <w:pPr>
      <w:outlineLvl w:val="4"/>
    </w:pPr>
    <w:rPr>
      <w:b w:val="0"/>
    </w:rPr>
  </w:style>
  <w:style w:type="paragraph" w:customStyle="1" w:styleId="2984">
    <w:name w:val="数字体（标题3）-1.1.1"/>
    <w:basedOn w:val="2804"/>
    <w:uiPriority w:val="0"/>
    <w:pPr>
      <w:outlineLvl w:val="3"/>
    </w:pPr>
    <w:rPr>
      <w:spacing w:val="0"/>
    </w:rPr>
  </w:style>
  <w:style w:type="paragraph" w:customStyle="1" w:styleId="2985">
    <w:name w:val="Char Char Char Char Char Char Char Char Char Char Char Char Char4"/>
    <w:basedOn w:val="1"/>
    <w:uiPriority w:val="0"/>
    <w:pPr>
      <w:spacing w:beforeLines="50" w:afterLines="50" w:line="480" w:lineRule="exact"/>
      <w:ind w:firstLine="200" w:firstLineChars="200"/>
      <w:jc w:val="center"/>
    </w:pPr>
    <w:rPr>
      <w:rFonts w:ascii="黑体" w:eastAsia="黑体"/>
      <w:b/>
      <w:spacing w:val="6"/>
      <w:sz w:val="24"/>
      <w:szCs w:val="28"/>
    </w:rPr>
  </w:style>
  <w:style w:type="paragraph" w:customStyle="1" w:styleId="2986">
    <w:name w:val="关键词"/>
    <w:uiPriority w:val="0"/>
    <w:pPr>
      <w:adjustRightInd w:val="0"/>
      <w:snapToGrid w:val="0"/>
      <w:spacing w:beforeLines="10" w:afterLines="10" w:line="360" w:lineRule="auto"/>
      <w:jc w:val="both"/>
    </w:pPr>
    <w:rPr>
      <w:rFonts w:ascii="Times New Roman" w:hAnsi="Times New Roman" w:eastAsia="黑体" w:cs="Times New Roman"/>
      <w:b/>
      <w:bCs/>
      <w:kern w:val="44"/>
      <w:sz w:val="24"/>
      <w:szCs w:val="44"/>
      <w:lang w:val="en-US" w:eastAsia="zh-CN" w:bidi="ar-SA"/>
    </w:rPr>
  </w:style>
  <w:style w:type="paragraph" w:customStyle="1" w:styleId="2987">
    <w:name w:val="xl166"/>
    <w:basedOn w:val="1"/>
    <w:uiPriority w:val="0"/>
    <w:pPr>
      <w:widowControl/>
      <w:pBdr>
        <w:top w:val="single" w:color="auto" w:sz="4" w:space="0"/>
        <w:left w:val="single" w:color="auto" w:sz="4" w:space="0"/>
        <w:bottom w:val="single" w:color="auto" w:sz="8" w:space="0"/>
      </w:pBdr>
      <w:shd w:val="clear" w:color="auto" w:fill="FFCC99"/>
      <w:spacing w:before="100" w:beforeAutospacing="1" w:after="100" w:afterAutospacing="1"/>
      <w:jc w:val="right"/>
    </w:pPr>
    <w:rPr>
      <w:rFonts w:hint="eastAsia" w:ascii="宋体" w:hAnsi="宋体" w:cs="Arial Unicode MS"/>
      <w:kern w:val="0"/>
      <w:sz w:val="20"/>
      <w:szCs w:val="20"/>
    </w:rPr>
  </w:style>
  <w:style w:type="paragraph" w:customStyle="1" w:styleId="2988">
    <w:name w:val="节节"/>
    <w:basedOn w:val="1"/>
    <w:uiPriority w:val="0"/>
    <w:pPr>
      <w:adjustRightInd w:val="0"/>
      <w:snapToGrid w:val="0"/>
      <w:spacing w:before="120" w:after="120" w:line="312" w:lineRule="auto"/>
      <w:ind w:firstLine="567" w:firstLineChars="200"/>
      <w:outlineLvl w:val="0"/>
    </w:pPr>
    <w:rPr>
      <w:rFonts w:ascii="宋体" w:hAnsi="Abadi MT Condensed Light"/>
      <w:spacing w:val="6"/>
      <w:sz w:val="32"/>
      <w:szCs w:val="20"/>
    </w:rPr>
  </w:style>
  <w:style w:type="paragraph" w:customStyle="1" w:styleId="2989">
    <w:name w:val="奇数页页脚"/>
    <w:basedOn w:val="55"/>
    <w:uiPriority w:val="0"/>
    <w:pPr>
      <w:tabs>
        <w:tab w:val="center" w:pos="4819"/>
        <w:tab w:val="right" w:pos="9071"/>
        <w:tab w:val="clear" w:pos="4153"/>
        <w:tab w:val="clear" w:pos="8306"/>
      </w:tabs>
      <w:overflowPunct w:val="0"/>
      <w:autoSpaceDE w:val="0"/>
      <w:autoSpaceDN w:val="0"/>
      <w:adjustRightInd w:val="0"/>
      <w:snapToGrid/>
      <w:spacing w:line="0" w:lineRule="atLeast"/>
      <w:jc w:val="right"/>
      <w:textAlignment w:val="baseline"/>
    </w:pPr>
    <w:rPr>
      <w:rFonts w:ascii="宋体"/>
      <w:b/>
      <w:kern w:val="0"/>
      <w:sz w:val="28"/>
    </w:rPr>
  </w:style>
  <w:style w:type="paragraph" w:customStyle="1" w:styleId="2990">
    <w:name w:val="xl112"/>
    <w:basedOn w:val="1"/>
    <w:uiPriority w:val="0"/>
    <w:pPr>
      <w:widowControl/>
      <w:pBdr>
        <w:top w:val="single" w:color="auto" w:sz="4" w:space="0"/>
        <w:left w:val="single" w:color="auto" w:sz="8" w:space="0"/>
        <w:bottom w:val="single" w:color="auto" w:sz="4" w:space="0"/>
      </w:pBdr>
      <w:shd w:val="clear" w:color="auto" w:fill="00FF00"/>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2991">
    <w:name w:val="样式冯4"/>
    <w:basedOn w:val="1"/>
    <w:uiPriority w:val="0"/>
    <w:pPr>
      <w:widowControl/>
      <w:ind w:firstLine="200" w:firstLineChars="200"/>
      <w:jc w:val="left"/>
    </w:pPr>
    <w:rPr>
      <w:rFonts w:ascii="宋体" w:hAnsi="宋体" w:cs="宋体"/>
      <w:kern w:val="0"/>
      <w:sz w:val="28"/>
      <w:szCs w:val="20"/>
    </w:rPr>
  </w:style>
  <w:style w:type="paragraph" w:customStyle="1" w:styleId="2992">
    <w:name w:val="Char Char Char Char Char Char1 Char Char Char Char Char Char Char"/>
    <w:basedOn w:val="1"/>
    <w:uiPriority w:val="0"/>
  </w:style>
  <w:style w:type="paragraph" w:customStyle="1" w:styleId="2993">
    <w:name w:val="WW-表格"/>
    <w:basedOn w:val="1"/>
    <w:uiPriority w:val="0"/>
    <w:pPr>
      <w:widowControl/>
      <w:suppressAutoHyphens/>
      <w:snapToGrid w:val="0"/>
      <w:spacing w:before="20" w:after="20"/>
      <w:jc w:val="center"/>
    </w:pPr>
    <w:rPr>
      <w:rFonts w:ascii="宋体" w:hAnsi="宋体" w:cs="宋体"/>
      <w:kern w:val="1"/>
      <w:sz w:val="24"/>
      <w:szCs w:val="20"/>
      <w:lang w:eastAsia="ar-SA"/>
    </w:rPr>
  </w:style>
  <w:style w:type="paragraph" w:customStyle="1" w:styleId="2994">
    <w:name w:val="样式 小四 段后: 6 磅 行距: 1.5 倍行距"/>
    <w:basedOn w:val="1"/>
    <w:uiPriority w:val="0"/>
    <w:pPr>
      <w:spacing w:after="80" w:line="360" w:lineRule="auto"/>
      <w:ind w:firstLine="200" w:firstLineChars="200"/>
    </w:pPr>
    <w:rPr>
      <w:b/>
      <w:sz w:val="24"/>
      <w:szCs w:val="20"/>
    </w:rPr>
  </w:style>
  <w:style w:type="paragraph" w:customStyle="1" w:styleId="2995">
    <w:name w:val="文档标签"/>
    <w:next w:val="1"/>
    <w:uiPriority w:val="0"/>
    <w:pPr>
      <w:pBdr>
        <w:top w:val="single" w:color="808080" w:sz="6" w:space="6"/>
        <w:bottom w:val="single" w:color="808080" w:sz="6" w:space="6"/>
      </w:pBdr>
      <w:spacing w:line="240" w:lineRule="atLeast"/>
      <w:jc w:val="center"/>
    </w:pPr>
    <w:rPr>
      <w:rFonts w:ascii="Garamond" w:hAnsi="Garamond" w:eastAsia="宋体" w:cs="Times New Roman"/>
      <w:b/>
      <w:caps/>
      <w:spacing w:val="40"/>
      <w:sz w:val="18"/>
      <w:lang w:val="en-US" w:eastAsia="zh-CN" w:bidi="ar-SA"/>
    </w:rPr>
  </w:style>
  <w:style w:type="paragraph" w:customStyle="1" w:styleId="2996">
    <w:name w:val="time"/>
    <w:basedOn w:val="1"/>
    <w:uiPriority w:val="0"/>
    <w:pPr>
      <w:widowControl/>
      <w:spacing w:before="100" w:beforeAutospacing="1" w:after="100" w:afterAutospacing="1"/>
      <w:jc w:val="left"/>
    </w:pPr>
    <w:rPr>
      <w:rFonts w:ascii="宋体" w:hAnsi="宋体" w:cs="宋体"/>
      <w:color w:val="000000"/>
      <w:kern w:val="0"/>
      <w:sz w:val="24"/>
    </w:rPr>
  </w:style>
  <w:style w:type="paragraph" w:customStyle="1" w:styleId="2997">
    <w:name w:val="Char Char Char Char Char Char Char Char Char Char Char Char Char Char Char Char Char Char Char Char Char Char Char Char Char Char11"/>
    <w:basedOn w:val="1"/>
    <w:uiPriority w:val="0"/>
    <w:pPr>
      <w:spacing w:line="360" w:lineRule="auto"/>
      <w:ind w:firstLine="200" w:firstLineChars="200"/>
    </w:pPr>
    <w:rPr>
      <w:rFonts w:ascii="宋体" w:hAnsi="宋体" w:cs="宋体"/>
      <w:sz w:val="24"/>
    </w:rPr>
  </w:style>
  <w:style w:type="paragraph" w:customStyle="1" w:styleId="2998">
    <w:name w:val="样式 正文报告 +"/>
    <w:basedOn w:val="1246"/>
    <w:uiPriority w:val="0"/>
    <w:pPr>
      <w:spacing w:line="500" w:lineRule="atLeast"/>
    </w:pPr>
    <w:rPr>
      <w:kern w:val="2"/>
      <w:szCs w:val="24"/>
    </w:rPr>
  </w:style>
  <w:style w:type="paragraph" w:customStyle="1" w:styleId="2999">
    <w:name w:val="Char Char Char Char Char Char Char Char Char1 Char1"/>
    <w:basedOn w:val="1"/>
    <w:uiPriority w:val="0"/>
    <w:pPr>
      <w:spacing w:line="360" w:lineRule="auto"/>
      <w:ind w:firstLine="200" w:firstLineChars="200"/>
    </w:pPr>
    <w:rPr>
      <w:rFonts w:ascii="宋体" w:hAnsi="宋体" w:cs="宋体"/>
      <w:sz w:val="24"/>
    </w:rPr>
  </w:style>
  <w:style w:type="paragraph" w:customStyle="1" w:styleId="3000">
    <w:name w:val="Char Char Char Char Char Char Char Char Char1 Char Char Char Char Char Char Char Char Char Char Char Char Char Char Char Char Char Char Char Char Char Char Char Char Char Char Char Char Char Char Char Char Char Char Char Char Char3"/>
    <w:basedOn w:val="1"/>
    <w:uiPriority w:val="0"/>
    <w:pPr>
      <w:spacing w:line="360" w:lineRule="auto"/>
      <w:ind w:firstLine="200" w:firstLineChars="200"/>
    </w:pPr>
    <w:rPr>
      <w:rFonts w:ascii="宋体" w:hAnsi="宋体" w:cs="宋体"/>
      <w:sz w:val="24"/>
    </w:rPr>
  </w:style>
  <w:style w:type="paragraph" w:customStyle="1" w:styleId="3001">
    <w:name w:val="样式 正文（首行缩进两字） + 行距: 固定值 20 磅"/>
    <w:basedOn w:val="21"/>
    <w:uiPriority w:val="0"/>
    <w:pPr>
      <w:spacing w:afterLines="20" w:line="400" w:lineRule="exact"/>
      <w:ind w:firstLine="480" w:firstLineChars="200"/>
    </w:pPr>
    <w:rPr>
      <w:sz w:val="24"/>
    </w:rPr>
  </w:style>
  <w:style w:type="paragraph" w:customStyle="1" w:styleId="3002">
    <w:name w:val="xl123"/>
    <w:basedOn w:val="1"/>
    <w:uiPriority w:val="0"/>
    <w:pPr>
      <w:widowControl/>
      <w:pBdr>
        <w:top w:val="single" w:color="auto" w:sz="4"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3003">
    <w:name w:val="样式 宋体 小四 首行缩进:  1.01 厘米 行距: 多倍行距 1.1 字行"/>
    <w:basedOn w:val="1"/>
    <w:uiPriority w:val="0"/>
    <w:pPr>
      <w:widowControl/>
      <w:snapToGrid w:val="0"/>
      <w:spacing w:line="360" w:lineRule="auto"/>
      <w:ind w:firstLine="545" w:firstLineChars="219"/>
    </w:pPr>
    <w:rPr>
      <w:rFonts w:ascii="宋体" w:hAnsi="宋体" w:cs="宋体"/>
      <w:kern w:val="0"/>
      <w:sz w:val="24"/>
    </w:rPr>
  </w:style>
  <w:style w:type="paragraph" w:customStyle="1" w:styleId="3004">
    <w:name w:val="xl14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3005">
    <w:name w:val="xl108"/>
    <w:basedOn w:val="1"/>
    <w:uiPriority w:val="0"/>
    <w:pPr>
      <w:widowControl/>
      <w:pBdr>
        <w:top w:val="single" w:color="auto" w:sz="8" w:space="0"/>
        <w:left w:val="single" w:color="auto" w:sz="4" w:space="0"/>
        <w:bottom w:val="single" w:color="auto" w:sz="4" w:space="0"/>
        <w:right w:val="single" w:color="auto" w:sz="4" w:space="0"/>
      </w:pBdr>
      <w:shd w:val="clear" w:color="auto" w:fill="339966"/>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006">
    <w:name w:val="Char33"/>
    <w:basedOn w:val="1"/>
    <w:uiPriority w:val="0"/>
    <w:pPr>
      <w:spacing w:line="360" w:lineRule="auto"/>
      <w:ind w:firstLine="200" w:firstLineChars="200"/>
    </w:pPr>
    <w:rPr>
      <w:rFonts w:ascii="宋体" w:hAnsi="宋体" w:cs="宋体"/>
      <w:sz w:val="24"/>
    </w:rPr>
  </w:style>
  <w:style w:type="paragraph" w:customStyle="1" w:styleId="3007">
    <w:name w:val="xl138"/>
    <w:basedOn w:val="1"/>
    <w:uiPriority w:val="0"/>
    <w:pPr>
      <w:widowControl/>
      <w:pBdr>
        <w:left w:val="single" w:color="auto" w:sz="4" w:space="0"/>
        <w:bottom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3008">
    <w:name w:val="正式章"/>
    <w:basedOn w:val="150"/>
    <w:uiPriority w:val="0"/>
    <w:pPr>
      <w:numPr>
        <w:numId w:val="0"/>
      </w:numPr>
      <w:tabs>
        <w:tab w:val="clear" w:pos="942"/>
      </w:tabs>
      <w:autoSpaceDE w:val="0"/>
      <w:autoSpaceDN w:val="0"/>
      <w:spacing w:after="0" w:afterAutospacing="0" w:line="312" w:lineRule="auto"/>
      <w:jc w:val="center"/>
    </w:pPr>
    <w:rPr>
      <w:rFonts w:hAnsi="宋体"/>
      <w:bCs/>
      <w:spacing w:val="6"/>
      <w:sz w:val="36"/>
      <w:szCs w:val="20"/>
    </w:rPr>
  </w:style>
  <w:style w:type="paragraph" w:customStyle="1" w:styleId="3009">
    <w:name w:val="干"/>
    <w:basedOn w:val="1"/>
    <w:uiPriority w:val="0"/>
    <w:pPr>
      <w:tabs>
        <w:tab w:val="left" w:pos="360"/>
        <w:tab w:val="left" w:pos="510"/>
        <w:tab w:val="left" w:pos="1080"/>
      </w:tabs>
      <w:adjustRightInd w:val="0"/>
      <w:spacing w:line="460" w:lineRule="exact"/>
      <w:ind w:left="360" w:hanging="360"/>
      <w:jc w:val="left"/>
      <w:textAlignment w:val="baseline"/>
    </w:pPr>
    <w:rPr>
      <w:kern w:val="0"/>
      <w:sz w:val="24"/>
    </w:rPr>
  </w:style>
  <w:style w:type="paragraph" w:customStyle="1" w:styleId="3010">
    <w:name w:val="xl140"/>
    <w:basedOn w:val="1"/>
    <w:uiPriority w:val="0"/>
    <w:pPr>
      <w:widowControl/>
      <w:pBdr>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3011">
    <w:name w:val="奇页脚样式"/>
    <w:basedOn w:val="55"/>
    <w:uiPriority w:val="0"/>
    <w:rPr>
      <w:szCs w:val="18"/>
    </w:rPr>
  </w:style>
  <w:style w:type="paragraph" w:customStyle="1" w:styleId="3012">
    <w:name w:val="xl134"/>
    <w:basedOn w:val="1"/>
    <w:uiPriority w:val="0"/>
    <w:pPr>
      <w:widowControl/>
      <w:pBdr>
        <w:left w:val="single" w:color="auto" w:sz="8" w:space="0"/>
        <w:bottom w:val="single" w:color="auto" w:sz="4" w:space="0"/>
        <w:right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3013">
    <w:name w:val="Char3 Char Char Char Char Char Char Char Char Char Char Char Char11"/>
    <w:basedOn w:val="1"/>
    <w:uiPriority w:val="0"/>
    <w:pPr>
      <w:widowControl/>
      <w:spacing w:after="160" w:line="240" w:lineRule="exact"/>
      <w:jc w:val="left"/>
    </w:pPr>
  </w:style>
  <w:style w:type="paragraph" w:customStyle="1" w:styleId="3014">
    <w:name w:val="样式3 Char Char"/>
    <w:basedOn w:val="21"/>
    <w:uiPriority w:val="0"/>
    <w:pPr>
      <w:widowControl/>
      <w:overflowPunct w:val="0"/>
      <w:autoSpaceDE w:val="0"/>
      <w:autoSpaceDN w:val="0"/>
      <w:adjustRightInd w:val="0"/>
      <w:spacing w:line="360" w:lineRule="auto"/>
      <w:ind w:firstLine="491" w:firstLineChars="200"/>
      <w:textAlignment w:val="baseline"/>
    </w:pPr>
    <w:rPr>
      <w:kern w:val="0"/>
      <w:sz w:val="24"/>
      <w:szCs w:val="24"/>
    </w:rPr>
  </w:style>
  <w:style w:type="paragraph" w:customStyle="1" w:styleId="3015">
    <w:name w:val="正文(首行缩进2字) Char Char Char Char"/>
    <w:basedOn w:val="1"/>
    <w:uiPriority w:val="0"/>
    <w:pPr>
      <w:overflowPunct w:val="0"/>
      <w:autoSpaceDE w:val="0"/>
      <w:autoSpaceDN w:val="0"/>
      <w:adjustRightInd w:val="0"/>
      <w:spacing w:after="120" w:line="300" w:lineRule="auto"/>
      <w:ind w:firstLine="200" w:firstLineChars="200"/>
      <w:textAlignment w:val="baseline"/>
    </w:pPr>
    <w:rPr>
      <w:b/>
      <w:kern w:val="0"/>
      <w:sz w:val="24"/>
      <w:szCs w:val="20"/>
    </w:rPr>
  </w:style>
  <w:style w:type="paragraph" w:customStyle="1" w:styleId="3016">
    <w:name w:val="wwwwwww"/>
    <w:uiPriority w:val="0"/>
    <w:pPr>
      <w:spacing w:line="500" w:lineRule="exact"/>
      <w:ind w:firstLine="200" w:firstLineChars="200"/>
    </w:pPr>
    <w:rPr>
      <w:rFonts w:ascii="Times New Roman" w:hAnsi="Times New Roman" w:eastAsia="宋体" w:cs="Times New Roman"/>
      <w:kern w:val="2"/>
      <w:sz w:val="28"/>
      <w:szCs w:val="32"/>
      <w:lang w:val="en-US" w:eastAsia="zh-CN" w:bidi="ar-SA"/>
    </w:rPr>
  </w:style>
  <w:style w:type="paragraph" w:customStyle="1" w:styleId="3017">
    <w:name w:val="WW-题注"/>
    <w:basedOn w:val="1"/>
    <w:next w:val="1"/>
    <w:uiPriority w:val="0"/>
    <w:pPr>
      <w:widowControl/>
      <w:suppressAutoHyphens/>
      <w:spacing w:before="152" w:after="160" w:line="360" w:lineRule="auto"/>
      <w:ind w:firstLine="200"/>
      <w:jc w:val="left"/>
    </w:pPr>
    <w:rPr>
      <w:rFonts w:ascii="Arial" w:hAnsi="Arial" w:eastAsia="黑体" w:cs="宋体"/>
      <w:kern w:val="1"/>
      <w:sz w:val="24"/>
      <w:szCs w:val="20"/>
      <w:lang w:eastAsia="ar-SA"/>
    </w:rPr>
  </w:style>
  <w:style w:type="paragraph" w:customStyle="1" w:styleId="3018">
    <w:name w:val="样式 Char Char Char Char Char Char Char Char Char Char Char Char Char Char"/>
    <w:basedOn w:val="21"/>
    <w:uiPriority w:val="0"/>
    <w:pPr>
      <w:widowControl/>
      <w:overflowPunct w:val="0"/>
      <w:autoSpaceDE w:val="0"/>
      <w:autoSpaceDN w:val="0"/>
      <w:adjustRightInd w:val="0"/>
      <w:ind w:firstLine="491" w:firstLineChars="200"/>
      <w:textAlignment w:val="baseline"/>
    </w:pPr>
    <w:rPr>
      <w:kern w:val="0"/>
      <w:sz w:val="24"/>
      <w:szCs w:val="24"/>
    </w:rPr>
  </w:style>
  <w:style w:type="paragraph" w:customStyle="1" w:styleId="3019">
    <w:name w:val="样式 标题 3ReHead 3 WSAh3标题 3 Char Char Char标题 3 Char Char Char..."/>
    <w:basedOn w:val="5"/>
    <w:uiPriority w:val="0"/>
    <w:pPr>
      <w:keepLines/>
      <w:widowControl/>
      <w:adjustRightInd/>
      <w:snapToGrid/>
      <w:spacing w:before="100" w:line="460" w:lineRule="exact"/>
      <w:ind w:left="909" w:hanging="709" w:firstLineChars="0"/>
      <w:jc w:val="left"/>
    </w:pPr>
    <w:rPr>
      <w:rFonts w:ascii="Times New Roman" w:hAnsi="Times New Roman" w:eastAsia="宋体" w:cs="宋体"/>
      <w:b/>
      <w:bCs w:val="0"/>
      <w:snapToGrid w:val="0"/>
      <w:kern w:val="44"/>
      <w:szCs w:val="20"/>
    </w:rPr>
  </w:style>
  <w:style w:type="paragraph" w:customStyle="1" w:styleId="3020">
    <w:name w:val="jj标题4"/>
    <w:basedOn w:val="6"/>
    <w:uiPriority w:val="0"/>
    <w:pPr>
      <w:tabs>
        <w:tab w:val="clear" w:pos="360"/>
      </w:tabs>
      <w:spacing w:before="280" w:after="290" w:line="312" w:lineRule="auto"/>
      <w:ind w:left="0" w:firstLine="0" w:firstLineChars="0"/>
      <w:jc w:val="both"/>
    </w:pPr>
    <w:rPr>
      <w:rFonts w:ascii="楷体_GB2312" w:hAnsi="宋体" w:eastAsia="楷体_GB2312"/>
      <w:b w:val="0"/>
      <w:bCs w:val="0"/>
      <w:spacing w:val="12"/>
      <w:sz w:val="24"/>
      <w:szCs w:val="20"/>
    </w:rPr>
  </w:style>
  <w:style w:type="paragraph" w:customStyle="1" w:styleId="3021">
    <w:name w:val="表格001"/>
    <w:basedOn w:val="1"/>
    <w:uiPriority w:val="0"/>
    <w:pPr>
      <w:jc w:val="center"/>
    </w:pPr>
    <w:rPr>
      <w:szCs w:val="20"/>
    </w:rPr>
  </w:style>
  <w:style w:type="paragraph" w:customStyle="1" w:styleId="3022">
    <w:name w:val="xl111"/>
    <w:basedOn w:val="1"/>
    <w:uiPriority w:val="0"/>
    <w:pPr>
      <w:widowControl/>
      <w:pBdr>
        <w:top w:val="single" w:color="auto" w:sz="4" w:space="0"/>
        <w:left w:val="single" w:color="auto" w:sz="8" w:space="0"/>
        <w:bottom w:val="single" w:color="auto" w:sz="4" w:space="0"/>
      </w:pBdr>
      <w:shd w:val="clear" w:color="auto" w:fill="00FF00"/>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023">
    <w:name w:val="样式 标题 2Chapter HeadingSeHead wsa2 CharHead wsa2 Char Char Ch...2"/>
    <w:basedOn w:val="4"/>
    <w:uiPriority w:val="0"/>
    <w:pPr>
      <w:tabs>
        <w:tab w:val="clear" w:pos="360"/>
      </w:tabs>
      <w:adjustRightInd w:val="0"/>
      <w:snapToGrid w:val="0"/>
      <w:spacing w:beforeLines="20" w:after="0" w:line="360" w:lineRule="auto"/>
      <w:ind w:left="0" w:firstLine="0" w:firstLineChars="0"/>
      <w:jc w:val="left"/>
    </w:pPr>
    <w:rPr>
      <w:rFonts w:ascii="Times New Roman" w:hAnsi="Times New Roman" w:eastAsia="仿宋_GB2312" w:cs="宋体"/>
      <w:bCs w:val="0"/>
      <w:color w:val="000000"/>
      <w:szCs w:val="20"/>
    </w:rPr>
  </w:style>
  <w:style w:type="paragraph" w:customStyle="1" w:styleId="3024">
    <w:name w:val="xl171"/>
    <w:basedOn w:val="1"/>
    <w:uiPriority w:val="0"/>
    <w:pPr>
      <w:widowControl/>
      <w:pBdr>
        <w:top w:val="single" w:color="auto" w:sz="4" w:space="0"/>
        <w:left w:val="single" w:color="auto" w:sz="8" w:space="0"/>
        <w:bottom w:val="single" w:color="auto" w:sz="8" w:space="0"/>
        <w:right w:val="single" w:color="auto" w:sz="4"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3025">
    <w:name w:val="图目"/>
    <w:basedOn w:val="1"/>
    <w:uiPriority w:val="0"/>
    <w:pPr>
      <w:adjustRightInd w:val="0"/>
      <w:snapToGrid w:val="0"/>
      <w:spacing w:line="320" w:lineRule="exact"/>
      <w:jc w:val="center"/>
    </w:pPr>
    <w:rPr>
      <w:sz w:val="24"/>
    </w:rPr>
  </w:style>
  <w:style w:type="paragraph" w:customStyle="1" w:styleId="3026">
    <w:name w:val="Char Char Char Char Char Char Char Char Char Char Char Char Char Char Char Char Char Char Char2"/>
    <w:basedOn w:val="1"/>
    <w:uiPriority w:val="0"/>
    <w:pPr>
      <w:spacing w:line="360" w:lineRule="auto"/>
      <w:ind w:firstLine="200" w:firstLineChars="200"/>
    </w:pPr>
    <w:rPr>
      <w:rFonts w:ascii="宋体" w:hAnsi="宋体" w:cs="宋体"/>
      <w:sz w:val="24"/>
    </w:rPr>
  </w:style>
  <w:style w:type="paragraph" w:customStyle="1" w:styleId="3027">
    <w:name w:val="样式 正文文本 + 四号 段后: 0 磅"/>
    <w:basedOn w:val="34"/>
    <w:uiPriority w:val="0"/>
    <w:pPr>
      <w:spacing w:line="500" w:lineRule="exact"/>
      <w:ind w:firstLine="200" w:firstLineChars="200"/>
    </w:pPr>
    <w:rPr>
      <w:rFonts w:eastAsia="宋体" w:cs="宋体"/>
      <w:sz w:val="28"/>
    </w:rPr>
  </w:style>
  <w:style w:type="paragraph" w:customStyle="1" w:styleId="3028">
    <w:name w:val="Char Char1 Char Char Char Char3"/>
    <w:basedOn w:val="1"/>
    <w:uiPriority w:val="0"/>
    <w:pPr>
      <w:spacing w:line="360" w:lineRule="auto"/>
      <w:ind w:firstLine="200" w:firstLineChars="200"/>
    </w:pPr>
    <w:rPr>
      <w:rFonts w:ascii="宋体" w:hAnsi="宋体" w:cs="宋体"/>
      <w:sz w:val="24"/>
    </w:rPr>
  </w:style>
  <w:style w:type="paragraph" w:customStyle="1" w:styleId="3029">
    <w:name w:val="xl113"/>
    <w:basedOn w:val="1"/>
    <w:uiPriority w:val="0"/>
    <w:pPr>
      <w:widowControl/>
      <w:pBdr>
        <w:top w:val="single" w:color="auto" w:sz="4" w:space="0"/>
        <w:left w:val="single" w:color="auto" w:sz="8" w:space="0"/>
        <w:bottom w:val="single" w:color="auto" w:sz="4" w:space="0"/>
        <w:right w:val="single" w:color="auto" w:sz="4" w:space="0"/>
      </w:pBdr>
      <w:shd w:val="clear" w:color="auto" w:fill="00FF00"/>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030">
    <w:name w:val="xl116"/>
    <w:basedOn w:val="1"/>
    <w:uiPriority w:val="0"/>
    <w:pPr>
      <w:widowControl/>
      <w:pBdr>
        <w:top w:val="single" w:color="auto" w:sz="4" w:space="0"/>
        <w:left w:val="single" w:color="auto" w:sz="4" w:space="0"/>
        <w:bottom w:val="single" w:color="auto" w:sz="4" w:space="0"/>
        <w:right w:val="single" w:color="auto" w:sz="4" w:space="0"/>
      </w:pBdr>
      <w:shd w:val="clear" w:color="auto" w:fill="00FF00"/>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031">
    <w:name w:val="xl126"/>
    <w:basedOn w:val="1"/>
    <w:uiPriority w:val="0"/>
    <w:pPr>
      <w:widowControl/>
      <w:pBdr>
        <w:top w:val="single" w:color="auto" w:sz="4" w:space="0"/>
        <w:left w:val="single" w:color="auto" w:sz="4" w:space="0"/>
        <w:bottom w:val="single" w:color="auto" w:sz="8" w:space="0"/>
        <w:right w:val="single" w:color="auto" w:sz="8"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3032">
    <w:name w:val="xl165"/>
    <w:basedOn w:val="1"/>
    <w:uiPriority w:val="0"/>
    <w:pPr>
      <w:widowControl/>
      <w:pBdr>
        <w:top w:val="single" w:color="auto" w:sz="8" w:space="0"/>
        <w:bottom w:val="single" w:color="auto" w:sz="4" w:space="0"/>
        <w:right w:val="single" w:color="auto" w:sz="8"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3033">
    <w:name w:val="zf段落"/>
    <w:uiPriority w:val="0"/>
    <w:rPr>
      <w:rFonts w:ascii="宋体" w:hAnsi="宋体" w:eastAsia="宋体" w:cs="Times New Roman"/>
      <w:kern w:val="2"/>
      <w:sz w:val="28"/>
      <w:szCs w:val="28"/>
      <w:lang w:val="en-US" w:eastAsia="zh-CN" w:bidi="ar-SA"/>
    </w:rPr>
  </w:style>
  <w:style w:type="paragraph" w:customStyle="1" w:styleId="3034">
    <w:name w:val="wy1"/>
    <w:basedOn w:val="1"/>
    <w:uiPriority w:val="0"/>
    <w:pPr>
      <w:snapToGrid w:val="0"/>
      <w:spacing w:line="312" w:lineRule="auto"/>
      <w:jc w:val="center"/>
    </w:pPr>
    <w:rPr>
      <w:rFonts w:ascii="黑体" w:eastAsia="黑体"/>
      <w:b/>
      <w:spacing w:val="6"/>
      <w:sz w:val="36"/>
      <w:szCs w:val="20"/>
    </w:rPr>
  </w:style>
  <w:style w:type="paragraph" w:customStyle="1" w:styleId="3035">
    <w:name w:val="样式 标题 3 + 宋体 四号 非加粗 段前: 0 磅 段后: 0 磅 行距: 单倍行距"/>
    <w:basedOn w:val="5"/>
    <w:uiPriority w:val="0"/>
    <w:pPr>
      <w:keepNext w:val="0"/>
      <w:tabs>
        <w:tab w:val="clear" w:pos="360"/>
      </w:tabs>
      <w:adjustRightInd/>
      <w:snapToGrid/>
      <w:spacing w:line="240" w:lineRule="auto"/>
      <w:ind w:left="0" w:firstLine="560"/>
    </w:pPr>
    <w:rPr>
      <w:rFonts w:ascii="Times New Roman" w:hAnsi="Times New Roman" w:eastAsia="宋体"/>
      <w:bCs w:val="0"/>
      <w:sz w:val="28"/>
      <w:szCs w:val="28"/>
    </w:rPr>
  </w:style>
  <w:style w:type="paragraph" w:customStyle="1" w:styleId="3036">
    <w:name w:val="xl148"/>
    <w:basedOn w:val="1"/>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3037">
    <w:name w:val="xl192"/>
    <w:basedOn w:val="1"/>
    <w:uiPriority w:val="0"/>
    <w:pPr>
      <w:widowControl/>
      <w:pBdr>
        <w:top w:val="single" w:color="auto" w:sz="4"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3038">
    <w:name w:val="xl130"/>
    <w:basedOn w:val="1"/>
    <w:uiPriority w:val="0"/>
    <w:pPr>
      <w:widowControl/>
      <w:pBdr>
        <w:top w:val="single" w:color="auto" w:sz="4" w:space="0"/>
        <w:left w:val="single" w:color="auto" w:sz="4" w:space="0"/>
        <w:bottom w:val="single" w:color="auto" w:sz="8"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3039">
    <w:name w:val="报告正文 Char Char Char"/>
    <w:basedOn w:val="1"/>
    <w:uiPriority w:val="0"/>
    <w:pPr>
      <w:adjustRightInd w:val="0"/>
      <w:spacing w:beforeLines="25" w:line="360" w:lineRule="auto"/>
      <w:ind w:firstLine="482"/>
      <w:textAlignment w:val="baseline"/>
    </w:pPr>
    <w:rPr>
      <w:rFonts w:cs="宋体"/>
      <w:snapToGrid w:val="0"/>
      <w:kern w:val="24"/>
      <w:sz w:val="24"/>
      <w:szCs w:val="20"/>
    </w:rPr>
  </w:style>
  <w:style w:type="paragraph" w:customStyle="1" w:styleId="3040">
    <w:name w:val="奇数页页眉（横页）"/>
    <w:basedOn w:val="2859"/>
    <w:uiPriority w:val="0"/>
  </w:style>
  <w:style w:type="paragraph" w:customStyle="1" w:styleId="3041">
    <w:name w:val="xl147"/>
    <w:basedOn w:val="1"/>
    <w:uiPriority w:val="0"/>
    <w:pPr>
      <w:widowControl/>
      <w:pBdr>
        <w:top w:val="single" w:color="auto" w:sz="4" w:space="0"/>
        <w:left w:val="single" w:color="auto" w:sz="4" w:space="0"/>
        <w:bottom w:val="single" w:color="auto" w:sz="4" w:space="0"/>
      </w:pBdr>
      <w:spacing w:before="100" w:beforeAutospacing="1" w:after="100" w:afterAutospacing="1"/>
      <w:jc w:val="right"/>
    </w:pPr>
    <w:rPr>
      <w:rFonts w:hint="eastAsia" w:ascii="宋体" w:hAnsi="宋体" w:cs="Arial Unicode MS"/>
      <w:kern w:val="0"/>
      <w:sz w:val="20"/>
      <w:szCs w:val="20"/>
    </w:rPr>
  </w:style>
  <w:style w:type="paragraph" w:customStyle="1" w:styleId="3042">
    <w:name w:val="样式 样式 宋体 小四 行距: 1.5 倍行距 + 首行缩进:  2 字符"/>
    <w:basedOn w:val="2786"/>
    <w:uiPriority w:val="0"/>
    <w:pPr>
      <w:ind w:left="0" w:firstLine="480" w:firstLineChars="0"/>
    </w:pPr>
  </w:style>
  <w:style w:type="paragraph" w:customStyle="1" w:styleId="3043">
    <w:name w:val="编号标题"/>
    <w:basedOn w:val="5"/>
    <w:uiPriority w:val="0"/>
    <w:pPr>
      <w:keepLines/>
      <w:widowControl/>
      <w:tabs>
        <w:tab w:val="clear" w:pos="360"/>
      </w:tabs>
      <w:adjustRightInd/>
      <w:snapToGrid/>
      <w:spacing w:before="160" w:line="460" w:lineRule="exact"/>
      <w:ind w:left="0" w:firstLine="420"/>
      <w:jc w:val="left"/>
      <w:outlineLvl w:val="9"/>
    </w:pPr>
    <w:rPr>
      <w:rFonts w:ascii="宋体" w:hAnsi="Times New Roman" w:eastAsia="宋体" w:cs="宋体"/>
      <w:bCs w:val="0"/>
      <w:snapToGrid w:val="0"/>
      <w:color w:val="000000"/>
      <w:kern w:val="44"/>
      <w:sz w:val="21"/>
      <w:szCs w:val="20"/>
    </w:rPr>
  </w:style>
  <w:style w:type="paragraph" w:customStyle="1" w:styleId="3044">
    <w:name w:val="块引用"/>
    <w:basedOn w:val="34"/>
    <w:uiPriority w:val="0"/>
    <w:pPr>
      <w:keepLines/>
      <w:widowControl/>
      <w:pBdr>
        <w:top w:val="single" w:color="808080" w:sz="6" w:space="14"/>
        <w:left w:val="single" w:color="808080" w:sz="6" w:space="14"/>
        <w:bottom w:val="single" w:color="808080" w:sz="6" w:space="14"/>
        <w:right w:val="single" w:color="808080" w:sz="6" w:space="14"/>
      </w:pBdr>
      <w:spacing w:after="240" w:line="240" w:lineRule="atLeast"/>
      <w:ind w:left="720" w:right="720"/>
    </w:pPr>
    <w:rPr>
      <w:rFonts w:ascii="Garamond" w:hAnsi="Garamond"/>
      <w:i/>
      <w:kern w:val="0"/>
      <w:sz w:val="21"/>
    </w:rPr>
  </w:style>
  <w:style w:type="paragraph" w:customStyle="1" w:styleId="3045">
    <w:name w:val="WW-正文文字 2"/>
    <w:basedOn w:val="1"/>
    <w:uiPriority w:val="0"/>
    <w:pPr>
      <w:widowControl/>
      <w:tabs>
        <w:tab w:val="right" w:leader="dot" w:pos="8505"/>
      </w:tabs>
      <w:suppressAutoHyphens/>
      <w:spacing w:line="440" w:lineRule="exact"/>
      <w:jc w:val="left"/>
    </w:pPr>
    <w:rPr>
      <w:rFonts w:ascii="宋体" w:hAnsi="宋体" w:cs="宋体"/>
      <w:b/>
      <w:kern w:val="1"/>
      <w:sz w:val="24"/>
      <w:szCs w:val="20"/>
      <w:lang w:eastAsia="ar-SA"/>
    </w:rPr>
  </w:style>
  <w:style w:type="paragraph" w:customStyle="1" w:styleId="3046">
    <w:name w:val="xl119"/>
    <w:basedOn w:val="1"/>
    <w:uiPriority w:val="0"/>
    <w:pPr>
      <w:widowControl/>
      <w:pBdr>
        <w:top w:val="single" w:color="auto" w:sz="4" w:space="0"/>
        <w:left w:val="single" w:color="auto" w:sz="4" w:space="0"/>
        <w:bottom w:val="single" w:color="auto" w:sz="8" w:space="0"/>
      </w:pBdr>
      <w:shd w:val="clear" w:color="auto" w:fill="FFCC99"/>
      <w:spacing w:before="100" w:beforeAutospacing="1" w:after="100" w:afterAutospacing="1"/>
      <w:jc w:val="center"/>
    </w:pPr>
    <w:rPr>
      <w:rFonts w:hint="eastAsia" w:ascii="宋体" w:hAnsi="宋体" w:cs="Arial Unicode MS"/>
      <w:color w:val="000000"/>
      <w:kern w:val="0"/>
      <w:sz w:val="20"/>
      <w:szCs w:val="20"/>
    </w:rPr>
  </w:style>
  <w:style w:type="paragraph" w:customStyle="1" w:styleId="3047">
    <w:name w:val="图表头"/>
    <w:basedOn w:val="1"/>
    <w:uiPriority w:val="0"/>
    <w:pPr>
      <w:widowControl/>
      <w:spacing w:after="120" w:line="500" w:lineRule="exact"/>
      <w:jc w:val="center"/>
    </w:pPr>
    <w:rPr>
      <w:rFonts w:ascii="宋体" w:hAnsi="宋体" w:cs="宋体"/>
      <w:b/>
      <w:kern w:val="0"/>
      <w:sz w:val="32"/>
      <w:szCs w:val="20"/>
    </w:rPr>
  </w:style>
  <w:style w:type="paragraph" w:customStyle="1" w:styleId="3048">
    <w:name w:val="xl104"/>
    <w:basedOn w:val="1"/>
    <w:uiPriority w:val="0"/>
    <w:pPr>
      <w:widowControl/>
      <w:pBdr>
        <w:top w:val="single" w:color="auto" w:sz="8" w:space="0"/>
        <w:left w:val="single" w:color="auto" w:sz="8" w:space="0"/>
        <w:bottom w:val="single" w:color="auto" w:sz="4" w:space="0"/>
      </w:pBdr>
      <w:shd w:val="clear" w:color="auto" w:fill="339966"/>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049">
    <w:name w:val="四号正文"/>
    <w:basedOn w:val="1"/>
    <w:uiPriority w:val="0"/>
    <w:pPr>
      <w:spacing w:line="480" w:lineRule="exact"/>
      <w:ind w:firstLine="200" w:firstLineChars="200"/>
    </w:pPr>
    <w:rPr>
      <w:rFonts w:cs="宋体"/>
      <w:b/>
      <w:spacing w:val="6"/>
      <w:sz w:val="28"/>
      <w:szCs w:val="20"/>
    </w:rPr>
  </w:style>
  <w:style w:type="paragraph" w:customStyle="1" w:styleId="3050">
    <w:name w:val="表表"/>
    <w:basedOn w:val="1"/>
    <w:uiPriority w:val="0"/>
    <w:pPr>
      <w:adjustRightInd w:val="0"/>
      <w:snapToGrid w:val="0"/>
      <w:spacing w:before="60" w:after="60"/>
      <w:jc w:val="center"/>
    </w:pPr>
    <w:rPr>
      <w:rFonts w:ascii="宋体"/>
      <w:sz w:val="24"/>
      <w:szCs w:val="20"/>
    </w:rPr>
  </w:style>
  <w:style w:type="paragraph" w:customStyle="1" w:styleId="3051">
    <w:name w:val="标记文字"/>
    <w:basedOn w:val="22"/>
    <w:uiPriority w:val="0"/>
    <w:pPr>
      <w:spacing w:line="240" w:lineRule="auto"/>
      <w:ind w:left="200" w:hanging="200" w:hangingChars="200"/>
      <w:jc w:val="left"/>
    </w:pPr>
    <w:rPr>
      <w:rFonts w:ascii="Arial" w:hAnsi="Arial" w:cs="Times New Roman"/>
      <w:bCs w:val="0"/>
    </w:rPr>
  </w:style>
  <w:style w:type="paragraph" w:customStyle="1" w:styleId="3052">
    <w:name w:val="样式 表格 + 四号 两端对齐 行距: 1.5 倍行距1"/>
    <w:basedOn w:val="1"/>
    <w:uiPriority w:val="0"/>
    <w:pPr>
      <w:autoSpaceDE w:val="0"/>
      <w:autoSpaceDN w:val="0"/>
      <w:adjustRightInd w:val="0"/>
      <w:spacing w:line="480" w:lineRule="exact"/>
      <w:ind w:firstLine="200" w:firstLineChars="200"/>
      <w:jc w:val="center"/>
    </w:pPr>
    <w:rPr>
      <w:rFonts w:cs="宋体"/>
      <w:b/>
      <w:sz w:val="24"/>
    </w:rPr>
  </w:style>
  <w:style w:type="paragraph" w:customStyle="1" w:styleId="3053">
    <w:name w:val="xl142"/>
    <w:basedOn w:val="1"/>
    <w:uiPriority w:val="0"/>
    <w:pPr>
      <w:widowControl/>
      <w:pBdr>
        <w:bottom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3054">
    <w:name w:val="xl151"/>
    <w:basedOn w:val="1"/>
    <w:uiPriority w:val="0"/>
    <w:pPr>
      <w:widowControl/>
      <w:pBdr>
        <w:top w:val="single" w:color="auto" w:sz="4"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3055">
    <w:name w:val="temp"/>
    <w:basedOn w:val="2841"/>
    <w:uiPriority w:val="0"/>
    <w:pPr>
      <w:tabs>
        <w:tab w:val="clear" w:pos="360"/>
      </w:tabs>
      <w:ind w:left="0" w:firstLine="0"/>
    </w:pPr>
  </w:style>
  <w:style w:type="paragraph" w:customStyle="1" w:styleId="3056">
    <w:name w:val="样式 正文缩进 + 四号 Char Char Char"/>
    <w:basedOn w:val="21"/>
    <w:uiPriority w:val="0"/>
    <w:pPr>
      <w:spacing w:line="480" w:lineRule="exact"/>
    </w:pPr>
    <w:rPr>
      <w:sz w:val="28"/>
    </w:rPr>
  </w:style>
  <w:style w:type="paragraph" w:customStyle="1" w:styleId="3057">
    <w:name w:val="报告二级标题"/>
    <w:basedOn w:val="1"/>
    <w:uiPriority w:val="0"/>
    <w:pPr>
      <w:spacing w:beforeLines="50" w:afterLines="50" w:line="360" w:lineRule="auto"/>
      <w:outlineLvl w:val="1"/>
    </w:pPr>
    <w:rPr>
      <w:b/>
      <w:sz w:val="30"/>
    </w:rPr>
  </w:style>
  <w:style w:type="paragraph" w:customStyle="1" w:styleId="3058">
    <w:name w:val="样式 (符号) 宋体 四号 行距: 1.5 倍行距"/>
    <w:basedOn w:val="1"/>
    <w:uiPriority w:val="0"/>
    <w:pPr>
      <w:spacing w:line="360" w:lineRule="auto"/>
      <w:ind w:firstLine="504" w:firstLineChars="200"/>
      <w:jc w:val="left"/>
    </w:pPr>
    <w:rPr>
      <w:rFonts w:ascii="宋体" w:hAnsi="宋体" w:cs="宋体"/>
      <w:color w:val="000000"/>
      <w:spacing w:val="6"/>
      <w:kern w:val="28"/>
      <w:sz w:val="24"/>
    </w:rPr>
  </w:style>
  <w:style w:type="paragraph" w:customStyle="1" w:styleId="3059">
    <w:name w:val="表头居左"/>
    <w:basedOn w:val="3060"/>
    <w:uiPriority w:val="0"/>
    <w:pPr>
      <w:spacing w:line="260" w:lineRule="exact"/>
      <w:ind w:firstLine="254"/>
      <w:jc w:val="both"/>
    </w:pPr>
  </w:style>
  <w:style w:type="paragraph" w:customStyle="1" w:styleId="3060">
    <w:name w:val="表头居右"/>
    <w:basedOn w:val="476"/>
    <w:uiPriority w:val="0"/>
    <w:pPr>
      <w:widowControl/>
      <w:spacing w:beforeLines="100" w:line="240" w:lineRule="auto"/>
      <w:ind w:firstLine="240" w:firstLineChars="100"/>
      <w:jc w:val="center"/>
    </w:pPr>
    <w:rPr>
      <w:rFonts w:ascii="宋体" w:hAnsi="宋体" w:cs="宋体"/>
      <w:b/>
      <w:kern w:val="2"/>
      <w:szCs w:val="20"/>
    </w:rPr>
  </w:style>
  <w:style w:type="paragraph" w:customStyle="1" w:styleId="3061">
    <w:name w:val="Char Char Char Char Char Char Char Char Char1 Char Char Char11"/>
    <w:basedOn w:val="1"/>
    <w:uiPriority w:val="0"/>
    <w:pPr>
      <w:spacing w:line="360" w:lineRule="auto"/>
      <w:ind w:firstLine="200" w:firstLineChars="200"/>
    </w:pPr>
    <w:rPr>
      <w:rFonts w:ascii="宋体" w:hAnsi="宋体" w:cs="宋体"/>
      <w:sz w:val="24"/>
    </w:rPr>
  </w:style>
  <w:style w:type="paragraph" w:customStyle="1" w:styleId="3062">
    <w:name w:val="TL1"/>
    <w:basedOn w:val="1"/>
    <w:uiPriority w:val="0"/>
    <w:pPr>
      <w:adjustRightInd w:val="0"/>
      <w:spacing w:before="240" w:line="360" w:lineRule="auto"/>
      <w:jc w:val="center"/>
    </w:pPr>
    <w:rPr>
      <w:b/>
      <w:kern w:val="24"/>
      <w:sz w:val="32"/>
      <w:szCs w:val="20"/>
    </w:rPr>
  </w:style>
  <w:style w:type="paragraph" w:customStyle="1" w:styleId="3063">
    <w:name w:val="xl167"/>
    <w:basedOn w:val="1"/>
    <w:uiPriority w:val="0"/>
    <w:pPr>
      <w:widowControl/>
      <w:pBdr>
        <w:top w:val="single" w:color="auto" w:sz="4" w:space="0"/>
        <w:left w:val="single" w:color="auto" w:sz="8" w:space="0"/>
        <w:bottom w:val="single" w:color="auto" w:sz="8" w:space="0"/>
        <w:right w:val="single" w:color="auto" w:sz="4" w:space="0"/>
      </w:pBdr>
      <w:shd w:val="clear" w:color="auto" w:fill="FFCC99"/>
      <w:spacing w:before="100" w:beforeAutospacing="1" w:after="100" w:afterAutospacing="1"/>
      <w:jc w:val="right"/>
    </w:pPr>
    <w:rPr>
      <w:rFonts w:hint="eastAsia" w:ascii="宋体" w:hAnsi="宋体" w:cs="Arial Unicode MS"/>
      <w:kern w:val="0"/>
      <w:sz w:val="20"/>
      <w:szCs w:val="20"/>
    </w:rPr>
  </w:style>
  <w:style w:type="paragraph" w:customStyle="1" w:styleId="3064">
    <w:name w:val="item1.1.1"/>
    <w:basedOn w:val="1"/>
    <w:uiPriority w:val="0"/>
    <w:pPr>
      <w:spacing w:line="360" w:lineRule="auto"/>
    </w:pPr>
    <w:rPr>
      <w:sz w:val="24"/>
      <w:szCs w:val="20"/>
    </w:rPr>
  </w:style>
  <w:style w:type="paragraph" w:customStyle="1" w:styleId="3065">
    <w:name w:val="周表标题"/>
    <w:basedOn w:val="1"/>
    <w:uiPriority w:val="0"/>
    <w:pPr>
      <w:adjustRightInd w:val="0"/>
      <w:snapToGrid w:val="0"/>
      <w:spacing w:line="360" w:lineRule="auto"/>
      <w:jc w:val="center"/>
    </w:pPr>
    <w:rPr>
      <w:rFonts w:ascii="黑体" w:hAnsi="宋体" w:eastAsia="Times New Roman"/>
      <w:b/>
      <w:color w:val="000000"/>
      <w:szCs w:val="21"/>
    </w:rPr>
  </w:style>
  <w:style w:type="paragraph" w:customStyle="1" w:styleId="3066">
    <w:name w:val="参考文献-thesis"/>
    <w:basedOn w:val="1"/>
    <w:uiPriority w:val="0"/>
    <w:pPr>
      <w:overflowPunct w:val="0"/>
      <w:autoSpaceDE w:val="0"/>
      <w:autoSpaceDN w:val="0"/>
      <w:adjustRightInd w:val="0"/>
      <w:snapToGrid w:val="0"/>
      <w:spacing w:after="220"/>
      <w:ind w:left="431" w:hanging="431"/>
      <w:textAlignment w:val="baseline"/>
    </w:pPr>
    <w:rPr>
      <w:kern w:val="0"/>
      <w:sz w:val="22"/>
      <w:szCs w:val="22"/>
      <w:u w:color="000000"/>
    </w:rPr>
  </w:style>
  <w:style w:type="paragraph" w:customStyle="1" w:styleId="3067">
    <w:name w:val="xl109"/>
    <w:basedOn w:val="1"/>
    <w:uiPriority w:val="0"/>
    <w:pPr>
      <w:widowControl/>
      <w:pBdr>
        <w:top w:val="single" w:color="auto" w:sz="8" w:space="0"/>
        <w:left w:val="single" w:color="auto" w:sz="4" w:space="0"/>
        <w:bottom w:val="single" w:color="auto" w:sz="4" w:space="0"/>
      </w:pBdr>
      <w:shd w:val="clear" w:color="auto" w:fill="339966"/>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068">
    <w:name w:val="样式 AAA + 首行缩进:  2 字符"/>
    <w:basedOn w:val="2716"/>
    <w:uiPriority w:val="0"/>
    <w:pPr>
      <w:ind w:firstLine="480"/>
    </w:pPr>
    <w:rPr>
      <w:szCs w:val="20"/>
    </w:rPr>
  </w:style>
  <w:style w:type="paragraph" w:customStyle="1" w:styleId="3069">
    <w:name w:val="Char Char Char Char Char Char Char Char Char Char Char Char Char Char1 Char3"/>
    <w:basedOn w:val="1"/>
    <w:uiPriority w:val="0"/>
    <w:pPr>
      <w:spacing w:line="360" w:lineRule="auto"/>
      <w:ind w:firstLine="200" w:firstLineChars="200"/>
    </w:pPr>
    <w:rPr>
      <w:rFonts w:ascii="宋体" w:hAnsi="宋体" w:cs="宋体"/>
      <w:sz w:val="24"/>
    </w:rPr>
  </w:style>
  <w:style w:type="paragraph" w:customStyle="1" w:styleId="3070">
    <w:name w:val="样式 生物附录 + 小四 段前: 6 磅 段后: 6 磅 非加宽量 / 紧缩量  行距: 1.5 倍行距"/>
    <w:basedOn w:val="1"/>
    <w:uiPriority w:val="0"/>
    <w:pPr>
      <w:widowControl/>
      <w:spacing w:before="100" w:beforeAutospacing="1" w:after="100" w:afterAutospacing="1" w:line="360" w:lineRule="auto"/>
      <w:jc w:val="left"/>
    </w:pPr>
    <w:rPr>
      <w:rFonts w:ascii="宋体" w:hAnsi="宋体" w:cs="宋体"/>
      <w:b/>
      <w:kern w:val="0"/>
      <w:sz w:val="24"/>
      <w:szCs w:val="20"/>
    </w:rPr>
  </w:style>
  <w:style w:type="paragraph" w:customStyle="1" w:styleId="3071">
    <w:name w:val="Source"/>
    <w:basedOn w:val="1"/>
    <w:uiPriority w:val="0"/>
    <w:pPr>
      <w:tabs>
        <w:tab w:val="left" w:pos="1080"/>
        <w:tab w:val="left" w:pos="2160"/>
        <w:tab w:val="left" w:pos="3240"/>
        <w:tab w:val="left" w:pos="4320"/>
        <w:tab w:val="left" w:pos="5400"/>
        <w:tab w:val="left" w:pos="6480"/>
        <w:tab w:val="left" w:pos="7560"/>
      </w:tabs>
      <w:spacing w:line="260" w:lineRule="atLeast"/>
      <w:jc w:val="left"/>
    </w:pPr>
    <w:rPr>
      <w:sz w:val="18"/>
    </w:rPr>
  </w:style>
  <w:style w:type="paragraph" w:customStyle="1" w:styleId="3072">
    <w:name w:val="xl169"/>
    <w:basedOn w:val="1"/>
    <w:uiPriority w:val="0"/>
    <w:pPr>
      <w:widowControl/>
      <w:pBdr>
        <w:top w:val="single" w:color="auto" w:sz="4" w:space="0"/>
        <w:left w:val="single" w:color="auto" w:sz="4" w:space="0"/>
        <w:bottom w:val="single" w:color="auto" w:sz="8" w:space="0"/>
        <w:right w:val="single" w:color="auto" w:sz="4"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3073">
    <w:name w:val="样式 宋体 三号 居中 行距: 1.5 倍行距"/>
    <w:basedOn w:val="1"/>
    <w:uiPriority w:val="0"/>
    <w:pPr>
      <w:spacing w:line="360" w:lineRule="auto"/>
      <w:jc w:val="center"/>
    </w:pPr>
    <w:rPr>
      <w:rFonts w:ascii="宋体" w:hAnsi="宋体" w:cs="宋体"/>
      <w:spacing w:val="20"/>
      <w:sz w:val="32"/>
      <w:szCs w:val="20"/>
    </w:rPr>
  </w:style>
  <w:style w:type="paragraph" w:customStyle="1" w:styleId="3074">
    <w:name w:val="文本框5"/>
    <w:basedOn w:val="1"/>
    <w:uiPriority w:val="0"/>
    <w:pPr>
      <w:snapToGrid w:val="0"/>
      <w:spacing w:line="340" w:lineRule="exact"/>
    </w:pPr>
    <w:rPr>
      <w:rFonts w:eastAsia="仿宋_GB2312"/>
      <w:szCs w:val="20"/>
    </w:rPr>
  </w:style>
  <w:style w:type="paragraph" w:customStyle="1" w:styleId="3075">
    <w:name w:val="Char Char Char Char Char Char Char Char Char Char Char Char Char Char Char Char Char Char Char Char Char Char Char Char11"/>
    <w:basedOn w:val="1"/>
    <w:uiPriority w:val="0"/>
    <w:pPr>
      <w:spacing w:line="360" w:lineRule="auto"/>
      <w:ind w:firstLine="200" w:firstLineChars="200"/>
    </w:pPr>
    <w:rPr>
      <w:rFonts w:ascii="宋体" w:hAnsi="宋体" w:cs="宋体"/>
      <w:sz w:val="24"/>
    </w:rPr>
  </w:style>
  <w:style w:type="paragraph" w:customStyle="1" w:styleId="3076">
    <w:name w:val="封页标题"/>
    <w:basedOn w:val="2736"/>
    <w:next w:val="3077"/>
    <w:uiPriority w:val="0"/>
    <w:pPr>
      <w:spacing w:after="240" w:line="720" w:lineRule="atLeast"/>
      <w:jc w:val="center"/>
    </w:pPr>
    <w:rPr>
      <w:caps/>
      <w:spacing w:val="65"/>
      <w:sz w:val="64"/>
    </w:rPr>
  </w:style>
  <w:style w:type="paragraph" w:customStyle="1" w:styleId="3077">
    <w:name w:val="副题目 – 封页"/>
    <w:basedOn w:val="1"/>
    <w:uiPriority w:val="0"/>
  </w:style>
  <w:style w:type="paragraph" w:customStyle="1" w:styleId="3078">
    <w:name w:val="公司名"/>
    <w:basedOn w:val="34"/>
    <w:uiPriority w:val="0"/>
    <w:pPr>
      <w:spacing w:after="120"/>
    </w:pPr>
    <w:rPr>
      <w:rFonts w:eastAsia="宋体"/>
      <w:sz w:val="21"/>
      <w:szCs w:val="24"/>
    </w:rPr>
  </w:style>
  <w:style w:type="paragraph" w:customStyle="1" w:styleId="3079">
    <w:name w:val="WW-日期"/>
    <w:basedOn w:val="1"/>
    <w:next w:val="1"/>
    <w:uiPriority w:val="0"/>
    <w:pPr>
      <w:widowControl/>
      <w:suppressAutoHyphens/>
      <w:jc w:val="left"/>
    </w:pPr>
    <w:rPr>
      <w:rFonts w:ascii="宋体" w:hAnsi="宋体" w:cs="宋体"/>
      <w:kern w:val="1"/>
      <w:sz w:val="24"/>
      <w:szCs w:val="20"/>
      <w:lang w:eastAsia="ar-SA"/>
    </w:rPr>
  </w:style>
  <w:style w:type="paragraph" w:customStyle="1" w:styleId="3080">
    <w:name w:val="xl95"/>
    <w:basedOn w:val="1"/>
    <w:uiPriority w:val="0"/>
    <w:pPr>
      <w:widowControl/>
      <w:pBdr>
        <w:top w:val="single" w:color="auto" w:sz="4" w:space="0"/>
        <w:left w:val="single" w:color="auto" w:sz="8" w:space="0"/>
      </w:pBdr>
      <w:shd w:val="clear" w:color="auto" w:fill="33CCCC"/>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081">
    <w:name w:val="标题 81"/>
    <w:basedOn w:val="1"/>
    <w:next w:val="1"/>
    <w:uiPriority w:val="0"/>
    <w:pPr>
      <w:overflowPunct w:val="0"/>
      <w:autoSpaceDE w:val="0"/>
      <w:autoSpaceDN w:val="0"/>
      <w:adjustRightInd w:val="0"/>
      <w:snapToGrid w:val="0"/>
      <w:spacing w:before="200" w:after="200"/>
      <w:ind w:firstLine="505"/>
      <w:jc w:val="left"/>
      <w:textAlignment w:val="baseline"/>
    </w:pPr>
    <w:rPr>
      <w:rFonts w:ascii="宋体"/>
      <w:kern w:val="0"/>
      <w:sz w:val="28"/>
      <w:szCs w:val="20"/>
    </w:rPr>
  </w:style>
  <w:style w:type="paragraph" w:customStyle="1" w:styleId="3082">
    <w:name w:val="四级标"/>
    <w:basedOn w:val="510"/>
    <w:uiPriority w:val="0"/>
    <w:pPr>
      <w:ind w:firstLine="482"/>
    </w:pPr>
    <w:rPr>
      <w:rFonts w:ascii="Times New Roman" w:hAnsi="Times New Roman"/>
      <w:b/>
      <w:color w:val="auto"/>
      <w:kern w:val="2"/>
      <w:szCs w:val="24"/>
    </w:rPr>
  </w:style>
  <w:style w:type="paragraph" w:customStyle="1" w:styleId="3083">
    <w:name w:val="xl114"/>
    <w:basedOn w:val="1"/>
    <w:uiPriority w:val="0"/>
    <w:pPr>
      <w:widowControl/>
      <w:pBdr>
        <w:top w:val="single" w:color="auto" w:sz="4" w:space="0"/>
        <w:left w:val="single" w:color="auto" w:sz="4" w:space="0"/>
        <w:bottom w:val="single" w:color="auto" w:sz="4" w:space="0"/>
        <w:right w:val="single" w:color="auto" w:sz="8" w:space="0"/>
      </w:pBdr>
      <w:shd w:val="clear" w:color="auto" w:fill="00FF00"/>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084">
    <w:name w:val="Char Char Char Char Char Char Char Char Char1 Char Char Char Char Char Char Char11"/>
    <w:basedOn w:val="1"/>
    <w:uiPriority w:val="0"/>
    <w:pPr>
      <w:spacing w:line="360" w:lineRule="auto"/>
      <w:ind w:firstLine="200" w:firstLineChars="200"/>
    </w:pPr>
    <w:rPr>
      <w:rFonts w:ascii="宋体" w:hAnsi="宋体" w:cs="宋体"/>
      <w:sz w:val="24"/>
    </w:rPr>
  </w:style>
  <w:style w:type="paragraph" w:customStyle="1" w:styleId="3085">
    <w:name w:val="表样式1"/>
    <w:basedOn w:val="1"/>
    <w:uiPriority w:val="0"/>
    <w:pPr>
      <w:spacing w:line="320" w:lineRule="exact"/>
      <w:jc w:val="center"/>
    </w:pPr>
    <w:rPr>
      <w:rFonts w:ascii="宋体" w:hAnsi="宋体"/>
      <w:color w:val="000000"/>
      <w:sz w:val="18"/>
      <w:szCs w:val="18"/>
    </w:rPr>
  </w:style>
  <w:style w:type="paragraph" w:customStyle="1" w:styleId="3086">
    <w:name w:val="Char Char1 Char Char Char Char Char Char"/>
    <w:basedOn w:val="1"/>
    <w:uiPriority w:val="0"/>
    <w:pPr>
      <w:spacing w:line="360" w:lineRule="auto"/>
      <w:ind w:firstLine="200" w:firstLineChars="200"/>
    </w:pPr>
    <w:rPr>
      <w:rFonts w:ascii="宋体" w:hAnsi="宋体" w:cs="宋体"/>
      <w:sz w:val="24"/>
    </w:rPr>
  </w:style>
  <w:style w:type="paragraph" w:customStyle="1" w:styleId="3087">
    <w:name w:val="连续正文文字"/>
    <w:basedOn w:val="34"/>
    <w:uiPriority w:val="0"/>
    <w:pPr>
      <w:keepNext/>
      <w:widowControl/>
      <w:spacing w:after="240" w:line="240" w:lineRule="atLeast"/>
      <w:ind w:firstLine="360"/>
    </w:pPr>
    <w:rPr>
      <w:rFonts w:ascii="Garamond" w:hAnsi="Garamond" w:eastAsia="宋体"/>
      <w:kern w:val="0"/>
      <w:sz w:val="21"/>
    </w:rPr>
  </w:style>
  <w:style w:type="paragraph" w:customStyle="1" w:styleId="3088">
    <w:name w:val="报告标题1"/>
    <w:basedOn w:val="3"/>
    <w:next w:val="76"/>
    <w:uiPriority w:val="0"/>
    <w:pPr>
      <w:keepNext w:val="0"/>
      <w:tabs>
        <w:tab w:val="clear" w:pos="360"/>
      </w:tabs>
      <w:ind w:left="0" w:firstLine="0" w:firstLineChars="0"/>
    </w:pPr>
    <w:rPr>
      <w:rFonts w:eastAsia="宋体"/>
      <w:b/>
      <w:bCs/>
      <w:sz w:val="32"/>
      <w:szCs w:val="28"/>
    </w:rPr>
  </w:style>
  <w:style w:type="paragraph" w:customStyle="1" w:styleId="3089">
    <w:name w:val="tb1"/>
    <w:basedOn w:val="1"/>
    <w:uiPriority w:val="0"/>
    <w:pPr>
      <w:keepNext/>
      <w:keepLines/>
      <w:spacing w:line="360" w:lineRule="exact"/>
      <w:jc w:val="center"/>
    </w:pPr>
    <w:rPr>
      <w:rFonts w:cs="宋体"/>
      <w:szCs w:val="21"/>
    </w:rPr>
  </w:style>
  <w:style w:type="paragraph" w:customStyle="1" w:styleId="3090">
    <w:name w:val="xl120"/>
    <w:basedOn w:val="1"/>
    <w:uiPriority w:val="0"/>
    <w:pPr>
      <w:widowControl/>
      <w:pBdr>
        <w:left w:val="single" w:color="auto" w:sz="8" w:space="0"/>
        <w:bottom w:val="single" w:color="auto" w:sz="8" w:space="0"/>
        <w:right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3091">
    <w:name w:val="xl162"/>
    <w:basedOn w:val="1"/>
    <w:uiPriority w:val="0"/>
    <w:pPr>
      <w:widowControl/>
      <w:pBdr>
        <w:top w:val="single" w:color="auto" w:sz="8" w:space="0"/>
        <w:left w:val="single" w:color="auto" w:sz="4" w:space="0"/>
        <w:bottom w:val="single" w:color="auto" w:sz="4"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3092">
    <w:name w:val="样式 标题 3 + (西文) 楷体_GB2312 (中文) 楷体_GB2312 (符号) Arial 小四 非加粗 黑色"/>
    <w:uiPriority w:val="0"/>
    <w:rPr>
      <w:rFonts w:ascii="楷体_GB2312" w:hAnsi="楷体_GB2312" w:eastAsia="楷体_GB2312" w:cs="Times New Roman"/>
      <w:color w:val="000000"/>
      <w:kern w:val="2"/>
      <w:sz w:val="24"/>
      <w:szCs w:val="32"/>
      <w:lang w:val="en-US" w:eastAsia="zh-CN" w:bidi="ar-SA"/>
    </w:rPr>
  </w:style>
  <w:style w:type="paragraph" w:customStyle="1" w:styleId="3093">
    <w:name w:val="样式 题目 + 左侧:  1 字符 右侧:  1 字符"/>
    <w:basedOn w:val="3"/>
    <w:uiPriority w:val="0"/>
    <w:pPr>
      <w:keepLines/>
      <w:widowControl/>
      <w:tabs>
        <w:tab w:val="clear" w:pos="360"/>
      </w:tabs>
      <w:adjustRightInd w:val="0"/>
      <w:snapToGrid w:val="0"/>
      <w:spacing w:beforeLines="50" w:after="100" w:afterAutospacing="1" w:line="360" w:lineRule="auto"/>
      <w:ind w:left="0" w:right="238" w:firstLine="0" w:firstLineChars="0"/>
    </w:pPr>
    <w:rPr>
      <w:rFonts w:ascii="宋体" w:hAnsi="宋体" w:eastAsia="黑体" w:cs="宋体"/>
      <w:b/>
      <w:snapToGrid w:val="0"/>
      <w:sz w:val="24"/>
      <w:szCs w:val="20"/>
    </w:rPr>
  </w:style>
  <w:style w:type="paragraph" w:customStyle="1" w:styleId="3094">
    <w:name w:val="Plain Text1"/>
    <w:basedOn w:val="1"/>
    <w:uiPriority w:val="0"/>
    <w:pPr>
      <w:tabs>
        <w:tab w:val="left" w:pos="425"/>
      </w:tabs>
      <w:adjustRightInd w:val="0"/>
      <w:spacing w:line="460" w:lineRule="atLeast"/>
      <w:ind w:left="425" w:right="193" w:firstLine="561"/>
      <w:textAlignment w:val="baseline"/>
    </w:pPr>
    <w:rPr>
      <w:rFonts w:ascii="宋体" w:hAnsi="Courier New"/>
      <w:kern w:val="0"/>
      <w:sz w:val="28"/>
      <w:szCs w:val="20"/>
    </w:rPr>
  </w:style>
  <w:style w:type="paragraph" w:customStyle="1" w:styleId="3095">
    <w:name w:val="图文LA"/>
    <w:basedOn w:val="1"/>
    <w:uiPriority w:val="0"/>
    <w:pPr>
      <w:widowControl/>
      <w:tabs>
        <w:tab w:val="left" w:pos="0"/>
      </w:tabs>
      <w:adjustRightInd w:val="0"/>
      <w:spacing w:beforeLines="50" w:line="360" w:lineRule="auto"/>
      <w:jc w:val="center"/>
    </w:pPr>
    <w:rPr>
      <w:rFonts w:ascii="宋体" w:hAnsi="宋体"/>
      <w:snapToGrid w:val="0"/>
      <w:kern w:val="0"/>
      <w:sz w:val="24"/>
      <w:szCs w:val="20"/>
    </w:rPr>
  </w:style>
  <w:style w:type="paragraph" w:customStyle="1" w:styleId="3096">
    <w:name w:val="xl127"/>
    <w:basedOn w:val="1"/>
    <w:uiPriority w:val="0"/>
    <w:pPr>
      <w:widowControl/>
      <w:pBdr>
        <w:top w:val="single" w:color="auto" w:sz="8"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3097">
    <w:name w:val="xl103"/>
    <w:basedOn w:val="1"/>
    <w:uiPriority w:val="0"/>
    <w:pPr>
      <w:widowControl/>
      <w:pBdr>
        <w:top w:val="single" w:color="auto" w:sz="8" w:space="0"/>
        <w:left w:val="single" w:color="auto" w:sz="8" w:space="0"/>
        <w:bottom w:val="single" w:color="auto" w:sz="4" w:space="0"/>
      </w:pBdr>
      <w:shd w:val="clear" w:color="auto" w:fill="339966"/>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098">
    <w:name w:val="xl129"/>
    <w:basedOn w:val="1"/>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hint="eastAsia" w:ascii="宋体" w:hAnsi="宋体" w:cs="Arial Unicode MS"/>
      <w:kern w:val="0"/>
      <w:sz w:val="20"/>
      <w:szCs w:val="20"/>
    </w:rPr>
  </w:style>
  <w:style w:type="paragraph" w:customStyle="1" w:styleId="3099">
    <w:name w:val="方程式"/>
    <w:basedOn w:val="1"/>
    <w:uiPriority w:val="0"/>
    <w:pPr>
      <w:overflowPunct w:val="0"/>
      <w:autoSpaceDE w:val="0"/>
      <w:autoSpaceDN w:val="0"/>
      <w:adjustRightInd w:val="0"/>
      <w:spacing w:before="60" w:after="60"/>
      <w:jc w:val="left"/>
      <w:textAlignment w:val="bottom"/>
    </w:pPr>
    <w:rPr>
      <w:rFonts w:ascii="宋体"/>
      <w:color w:val="008000"/>
      <w:spacing w:val="24"/>
      <w:sz w:val="24"/>
    </w:rPr>
  </w:style>
  <w:style w:type="paragraph" w:customStyle="1" w:styleId="3100">
    <w:name w:val="xl152"/>
    <w:basedOn w:val="1"/>
    <w:uiPriority w:val="0"/>
    <w:pPr>
      <w:widowControl/>
      <w:pBdr>
        <w:top w:val="single" w:color="auto" w:sz="4" w:space="0"/>
        <w:bottom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3101">
    <w:name w:val="xl173"/>
    <w:basedOn w:val="1"/>
    <w:uiPriority w:val="0"/>
    <w:pPr>
      <w:widowControl/>
      <w:pBdr>
        <w:top w:val="single" w:color="auto" w:sz="4" w:space="0"/>
        <w:left w:val="single" w:color="auto" w:sz="4" w:space="0"/>
        <w:bottom w:val="single" w:color="auto" w:sz="8" w:space="0"/>
      </w:pBdr>
      <w:shd w:val="clear" w:color="auto" w:fill="FFCC99"/>
      <w:spacing w:before="100" w:beforeAutospacing="1" w:after="100" w:afterAutospacing="1"/>
      <w:jc w:val="center"/>
    </w:pPr>
    <w:rPr>
      <w:rFonts w:hint="eastAsia" w:ascii="宋体" w:hAnsi="宋体" w:cs="Arial Unicode MS"/>
      <w:kern w:val="0"/>
      <w:sz w:val="20"/>
      <w:szCs w:val="20"/>
    </w:rPr>
  </w:style>
  <w:style w:type="paragraph" w:customStyle="1" w:styleId="3102">
    <w:name w:val="图表目录1"/>
    <w:basedOn w:val="1"/>
    <w:next w:val="1"/>
    <w:uiPriority w:val="0"/>
    <w:pPr>
      <w:tabs>
        <w:tab w:val="left" w:pos="0"/>
        <w:tab w:val="left" w:pos="1440"/>
        <w:tab w:val="right" w:pos="8313"/>
      </w:tabs>
      <w:adjustRightInd w:val="0"/>
      <w:spacing w:line="400" w:lineRule="atLeast"/>
      <w:ind w:left="520" w:hanging="520" w:firstLineChars="200"/>
      <w:jc w:val="left"/>
      <w:textAlignment w:val="baseline"/>
    </w:pPr>
    <w:rPr>
      <w:rFonts w:ascii="宋体"/>
      <w:b/>
      <w:caps/>
      <w:kern w:val="0"/>
      <w:sz w:val="20"/>
      <w:szCs w:val="20"/>
    </w:rPr>
  </w:style>
  <w:style w:type="paragraph" w:customStyle="1" w:styleId="3103">
    <w:name w:val="标题之一"/>
    <w:basedOn w:val="1"/>
    <w:uiPriority w:val="0"/>
    <w:pPr>
      <w:widowControl/>
      <w:snapToGrid w:val="0"/>
      <w:spacing w:before="240" w:after="120" w:line="312" w:lineRule="auto"/>
      <w:ind w:firstLine="567"/>
      <w:jc w:val="left"/>
    </w:pPr>
    <w:rPr>
      <w:rFonts w:ascii="宋体" w:hAnsi="宋体" w:eastAsia="黑体" w:cs="宋体"/>
      <w:spacing w:val="10"/>
      <w:kern w:val="0"/>
      <w:sz w:val="28"/>
      <w:szCs w:val="20"/>
    </w:rPr>
  </w:style>
  <w:style w:type="paragraph" w:customStyle="1" w:styleId="3104">
    <w:name w:val="xl97"/>
    <w:basedOn w:val="1"/>
    <w:uiPriority w:val="0"/>
    <w:pPr>
      <w:widowControl/>
      <w:pBdr>
        <w:top w:val="single" w:color="auto" w:sz="4" w:space="0"/>
        <w:left w:val="single" w:color="auto" w:sz="8" w:space="0"/>
        <w:right w:val="single" w:color="auto" w:sz="4" w:space="0"/>
      </w:pBdr>
      <w:shd w:val="clear" w:color="auto" w:fill="33CCCC"/>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105">
    <w:name w:val="条文标题"/>
    <w:basedOn w:val="1"/>
    <w:uiPriority w:val="0"/>
    <w:pPr>
      <w:widowControl/>
      <w:spacing w:before="400" w:after="312" w:line="360" w:lineRule="auto"/>
      <w:jc w:val="left"/>
    </w:pPr>
    <w:rPr>
      <w:rFonts w:ascii="宋体" w:hAnsi="Plotter" w:eastAsia="黑体" w:cs="宋体"/>
      <w:kern w:val="0"/>
      <w:sz w:val="30"/>
      <w:szCs w:val="20"/>
    </w:rPr>
  </w:style>
  <w:style w:type="paragraph" w:customStyle="1" w:styleId="3106">
    <w:name w:val="正文文本首行缩进1"/>
    <w:basedOn w:val="34"/>
    <w:uiPriority w:val="0"/>
    <w:pPr>
      <w:tabs>
        <w:tab w:val="left" w:pos="7840"/>
      </w:tabs>
      <w:adjustRightInd w:val="0"/>
      <w:spacing w:after="120" w:line="360" w:lineRule="auto"/>
      <w:ind w:firstLine="567"/>
      <w:textAlignment w:val="baseline"/>
    </w:pPr>
    <w:rPr>
      <w:rFonts w:eastAsia="宋体"/>
      <w:kern w:val="28"/>
      <w:sz w:val="28"/>
    </w:rPr>
  </w:style>
  <w:style w:type="paragraph" w:customStyle="1" w:styleId="3107">
    <w:name w:val="改正提示"/>
    <w:basedOn w:val="1"/>
    <w:uiPriority w:val="0"/>
    <w:pPr>
      <w:overflowPunct w:val="0"/>
      <w:autoSpaceDE w:val="0"/>
      <w:autoSpaceDN w:val="0"/>
      <w:adjustRightInd w:val="0"/>
      <w:snapToGrid w:val="0"/>
      <w:spacing w:line="560" w:lineRule="atLeast"/>
      <w:ind w:firstLine="200" w:firstLineChars="200"/>
    </w:pPr>
    <w:rPr>
      <w:rFonts w:ascii="楷体_GB2312" w:eastAsia="楷体_GB2312"/>
      <w:i/>
      <w:color w:val="FF0000"/>
      <w:sz w:val="32"/>
    </w:rPr>
  </w:style>
  <w:style w:type="paragraph" w:customStyle="1" w:styleId="3108">
    <w:name w:val="新正文"/>
    <w:basedOn w:val="1"/>
    <w:uiPriority w:val="0"/>
    <w:pPr>
      <w:widowControl/>
      <w:snapToGrid w:val="0"/>
      <w:jc w:val="center"/>
    </w:pPr>
    <w:rPr>
      <w:rFonts w:ascii="宋体" w:hAnsi="宋体" w:cs="宋体"/>
      <w:kern w:val="0"/>
      <w:sz w:val="24"/>
      <w:szCs w:val="20"/>
    </w:rPr>
  </w:style>
  <w:style w:type="paragraph" w:customStyle="1" w:styleId="3109">
    <w:name w:val="xl115"/>
    <w:basedOn w:val="1"/>
    <w:uiPriority w:val="0"/>
    <w:pPr>
      <w:widowControl/>
      <w:pBdr>
        <w:top w:val="single" w:color="auto" w:sz="4" w:space="0"/>
        <w:bottom w:val="single" w:color="auto" w:sz="4" w:space="0"/>
        <w:right w:val="single" w:color="auto" w:sz="4" w:space="0"/>
      </w:pBdr>
      <w:shd w:val="clear" w:color="auto" w:fill="00FF00"/>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110">
    <w:name w:val="xl132"/>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hint="eastAsia" w:ascii="宋体" w:hAnsi="宋体" w:cs="Arial Unicode MS"/>
      <w:kern w:val="0"/>
      <w:sz w:val="20"/>
      <w:szCs w:val="20"/>
    </w:rPr>
  </w:style>
  <w:style w:type="paragraph" w:customStyle="1" w:styleId="3111">
    <w:name w:val="xl106"/>
    <w:basedOn w:val="1"/>
    <w:uiPriority w:val="0"/>
    <w:pPr>
      <w:widowControl/>
      <w:pBdr>
        <w:top w:val="single" w:color="auto" w:sz="8" w:space="0"/>
        <w:left w:val="single" w:color="auto" w:sz="4" w:space="0"/>
        <w:bottom w:val="single" w:color="auto" w:sz="4" w:space="0"/>
        <w:right w:val="single" w:color="auto" w:sz="8" w:space="0"/>
      </w:pBdr>
      <w:shd w:val="clear" w:color="auto" w:fill="339966"/>
      <w:spacing w:before="100" w:beforeAutospacing="1" w:after="100" w:afterAutospacing="1"/>
      <w:jc w:val="left"/>
      <w:textAlignment w:val="center"/>
    </w:pPr>
    <w:rPr>
      <w:rFonts w:ascii="Arial Unicode MS" w:hAnsi="Arial Unicode MS" w:eastAsia="Arial Unicode MS" w:cs="Arial Unicode MS"/>
      <w:kern w:val="0"/>
      <w:sz w:val="24"/>
    </w:rPr>
  </w:style>
  <w:style w:type="paragraph" w:customStyle="1" w:styleId="3112">
    <w:name w:val="Char Char Char Char Char Char Char Char Char1 Char Char Char1 Char Char Char Char Char Char3"/>
    <w:basedOn w:val="1"/>
    <w:uiPriority w:val="0"/>
    <w:pPr>
      <w:spacing w:line="360" w:lineRule="auto"/>
      <w:ind w:firstLine="200" w:firstLineChars="200"/>
    </w:pPr>
    <w:rPr>
      <w:rFonts w:ascii="宋体" w:hAnsi="宋体" w:cs="宋体"/>
      <w:sz w:val="24"/>
    </w:rPr>
  </w:style>
  <w:style w:type="paragraph" w:customStyle="1" w:styleId="3113">
    <w:name w:val="表目录"/>
    <w:basedOn w:val="1"/>
    <w:uiPriority w:val="0"/>
    <w:pPr>
      <w:spacing w:beforeLines="50" w:line="300" w:lineRule="auto"/>
      <w:jc w:val="center"/>
    </w:pPr>
    <w:rPr>
      <w:rFonts w:eastAsia="Times New Roman"/>
      <w:b/>
      <w:snapToGrid w:val="0"/>
      <w:color w:val="000000"/>
      <w:kern w:val="0"/>
      <w:szCs w:val="20"/>
    </w:rPr>
  </w:style>
  <w:style w:type="character" w:customStyle="1" w:styleId="3114">
    <w:name w:val="正文111111111111 Char Char"/>
    <w:uiPriority w:val="0"/>
    <w:rPr>
      <w:sz w:val="24"/>
      <w:szCs w:val="24"/>
    </w:rPr>
  </w:style>
  <w:style w:type="paragraph" w:customStyle="1" w:styleId="3115">
    <w:name w:val="标题3东晓"/>
    <w:basedOn w:val="84"/>
    <w:uiPriority w:val="0"/>
    <w:pPr>
      <w:adjustRightInd w:val="0"/>
      <w:snapToGrid w:val="0"/>
      <w:spacing w:before="120" w:after="120" w:line="360" w:lineRule="auto"/>
      <w:jc w:val="left"/>
      <w:outlineLvl w:val="2"/>
    </w:pPr>
    <w:rPr>
      <w:rFonts w:ascii="Times New Roman" w:hAnsi="Times New Roman" w:cs="Arial"/>
      <w:bCs/>
      <w:kern w:val="2"/>
      <w:sz w:val="28"/>
      <w:szCs w:val="28"/>
      <w:lang w:eastAsia="zh-CN"/>
    </w:rPr>
  </w:style>
  <w:style w:type="character" w:customStyle="1" w:styleId="3116">
    <w:name w:val="二级标题尹东晓 Char"/>
    <w:link w:val="708"/>
    <w:uiPriority w:val="0"/>
    <w:rPr>
      <w:bCs/>
      <w:snapToGrid w:val="0"/>
      <w:sz w:val="30"/>
      <w:szCs w:val="32"/>
    </w:rPr>
  </w:style>
  <w:style w:type="paragraph" w:customStyle="1" w:styleId="3117">
    <w:name w:val="重点"/>
    <w:basedOn w:val="1"/>
    <w:semiHidden/>
    <w:uiPriority w:val="0"/>
    <w:pPr>
      <w:adjustRightInd w:val="0"/>
      <w:snapToGrid w:val="0"/>
      <w:spacing w:line="520" w:lineRule="exact"/>
      <w:ind w:firstLine="480" w:firstLineChars="200"/>
      <w:jc w:val="left"/>
    </w:pPr>
    <w:rPr>
      <w:rFonts w:hAnsi="宋体"/>
      <w:color w:val="0000FF"/>
      <w:sz w:val="24"/>
    </w:rPr>
  </w:style>
  <w:style w:type="paragraph" w:customStyle="1" w:styleId="3118">
    <w:name w:val="蓝色不懂"/>
    <w:basedOn w:val="1"/>
    <w:semiHidden/>
    <w:uiPriority w:val="0"/>
    <w:pPr>
      <w:adjustRightInd w:val="0"/>
      <w:snapToGrid w:val="0"/>
      <w:spacing w:line="360" w:lineRule="auto"/>
      <w:ind w:firstLine="480" w:firstLineChars="200"/>
      <w:jc w:val="left"/>
    </w:pPr>
    <w:rPr>
      <w:color w:val="0000FF"/>
      <w:sz w:val="24"/>
    </w:rPr>
  </w:style>
  <w:style w:type="paragraph" w:customStyle="1" w:styleId="3119">
    <w:name w:val="红色重点"/>
    <w:basedOn w:val="1"/>
    <w:semiHidden/>
    <w:uiPriority w:val="0"/>
    <w:pPr>
      <w:adjustRightInd w:val="0"/>
      <w:snapToGrid w:val="0"/>
      <w:spacing w:line="360" w:lineRule="auto"/>
      <w:ind w:left="480"/>
    </w:pPr>
    <w:rPr>
      <w:color w:val="FF0000"/>
      <w:kern w:val="0"/>
      <w:sz w:val="24"/>
    </w:rPr>
  </w:style>
  <w:style w:type="paragraph" w:customStyle="1" w:styleId="3120">
    <w:name w:val="绿色疑问"/>
    <w:basedOn w:val="1"/>
    <w:semiHidden/>
    <w:uiPriority w:val="0"/>
    <w:pPr>
      <w:adjustRightInd w:val="0"/>
      <w:snapToGrid w:val="0"/>
      <w:spacing w:line="360" w:lineRule="auto"/>
      <w:ind w:firstLine="480" w:firstLineChars="200"/>
      <w:jc w:val="left"/>
    </w:pPr>
    <w:rPr>
      <w:color w:val="008000"/>
      <w:sz w:val="24"/>
    </w:rPr>
  </w:style>
  <w:style w:type="paragraph" w:customStyle="1" w:styleId="3121">
    <w:name w:val="标题2东晓"/>
    <w:basedOn w:val="84"/>
    <w:uiPriority w:val="0"/>
    <w:pPr>
      <w:adjustRightInd w:val="0"/>
      <w:snapToGrid w:val="0"/>
      <w:spacing w:before="120" w:after="120" w:line="360" w:lineRule="auto"/>
      <w:jc w:val="left"/>
      <w:outlineLvl w:val="1"/>
    </w:pPr>
    <w:rPr>
      <w:rFonts w:ascii="Times New Roman" w:hAnsi="Times New Roman" w:cs="Arial"/>
      <w:bCs/>
      <w:kern w:val="2"/>
      <w:sz w:val="30"/>
      <w:szCs w:val="30"/>
      <w:lang w:eastAsia="zh-CN"/>
    </w:rPr>
  </w:style>
  <w:style w:type="paragraph" w:customStyle="1" w:styleId="3122">
    <w:name w:val="标题3尹东晓"/>
    <w:basedOn w:val="1"/>
    <w:semiHidden/>
    <w:uiPriority w:val="0"/>
    <w:pPr>
      <w:adjustRightInd w:val="0"/>
      <w:snapToGrid w:val="0"/>
      <w:spacing w:line="360" w:lineRule="auto"/>
      <w:jc w:val="left"/>
      <w:outlineLvl w:val="2"/>
    </w:pPr>
    <w:rPr>
      <w:b/>
      <w:color w:val="000000"/>
      <w:kern w:val="0"/>
      <w:sz w:val="28"/>
      <w:szCs w:val="28"/>
    </w:rPr>
  </w:style>
  <w:style w:type="character" w:customStyle="1" w:styleId="3123">
    <w:name w:val="正文尹东晓2 Char"/>
    <w:uiPriority w:val="0"/>
    <w:rPr>
      <w:rFonts w:eastAsia="宋体"/>
      <w:snapToGrid w:val="0"/>
      <w:kern w:val="2"/>
      <w:sz w:val="24"/>
      <w:szCs w:val="24"/>
      <w:lang w:val="en-US" w:eastAsia="zh-CN" w:bidi="ar-SA"/>
    </w:rPr>
  </w:style>
  <w:style w:type="paragraph" w:customStyle="1" w:styleId="3124">
    <w:name w:val="标题4东晓"/>
    <w:basedOn w:val="84"/>
    <w:qFormat/>
    <w:uiPriority w:val="0"/>
    <w:pPr>
      <w:adjustRightInd w:val="0"/>
      <w:snapToGrid w:val="0"/>
      <w:spacing w:before="120" w:after="120" w:line="360" w:lineRule="auto"/>
      <w:jc w:val="left"/>
      <w:outlineLvl w:val="3"/>
    </w:pPr>
    <w:rPr>
      <w:rFonts w:ascii="Times New Roman" w:hAnsi="Times New Roman" w:cs="Arial"/>
      <w:b w:val="0"/>
      <w:bCs/>
      <w:kern w:val="2"/>
      <w:sz w:val="24"/>
      <w:lang w:eastAsia="zh-CN"/>
    </w:rPr>
  </w:style>
  <w:style w:type="paragraph" w:customStyle="1" w:styleId="3125">
    <w:name w:val="Char Char 字元 字元 字元 Char Char Char Char"/>
    <w:basedOn w:val="1"/>
    <w:semiHidden/>
    <w:uiPriority w:val="0"/>
    <w:pPr>
      <w:adjustRightInd w:val="0"/>
      <w:spacing w:line="360" w:lineRule="auto"/>
    </w:pPr>
    <w:rPr>
      <w:kern w:val="0"/>
      <w:sz w:val="24"/>
      <w:szCs w:val="20"/>
    </w:rPr>
  </w:style>
  <w:style w:type="paragraph" w:customStyle="1" w:styleId="3126">
    <w:name w:val="大黄鱼级别1"/>
    <w:basedOn w:val="1"/>
    <w:qFormat/>
    <w:uiPriority w:val="0"/>
    <w:pPr>
      <w:widowControl/>
      <w:numPr>
        <w:ilvl w:val="0"/>
        <w:numId w:val="25"/>
      </w:numPr>
      <w:autoSpaceDE w:val="0"/>
      <w:autoSpaceDN w:val="0"/>
      <w:adjustRightInd w:val="0"/>
      <w:snapToGrid w:val="0"/>
      <w:spacing w:beforeLines="50" w:line="360" w:lineRule="auto"/>
      <w:ind w:right="817" w:rightChars="389"/>
      <w:jc w:val="center"/>
    </w:pPr>
    <w:rPr>
      <w:b/>
      <w:sz w:val="36"/>
      <w:szCs w:val="36"/>
    </w:rPr>
  </w:style>
  <w:style w:type="paragraph" w:customStyle="1" w:styleId="3127">
    <w:name w:val="大黄鱼级别2"/>
    <w:basedOn w:val="1"/>
    <w:link w:val="3128"/>
    <w:qFormat/>
    <w:uiPriority w:val="0"/>
    <w:pPr>
      <w:widowControl/>
      <w:numPr>
        <w:ilvl w:val="1"/>
        <w:numId w:val="25"/>
      </w:numPr>
      <w:autoSpaceDE w:val="0"/>
      <w:autoSpaceDN w:val="0"/>
      <w:adjustRightInd w:val="0"/>
      <w:snapToGrid w:val="0"/>
      <w:spacing w:beforeLines="50" w:line="360" w:lineRule="auto"/>
      <w:ind w:right="458" w:rightChars="218"/>
      <w:jc w:val="left"/>
    </w:pPr>
    <w:rPr>
      <w:b/>
      <w:szCs w:val="21"/>
    </w:rPr>
  </w:style>
  <w:style w:type="character" w:customStyle="1" w:styleId="3128">
    <w:name w:val="大黄鱼级别2 Char"/>
    <w:link w:val="3127"/>
    <w:uiPriority w:val="0"/>
    <w:rPr>
      <w:b/>
      <w:kern w:val="2"/>
      <w:sz w:val="21"/>
      <w:szCs w:val="21"/>
    </w:rPr>
  </w:style>
  <w:style w:type="paragraph" w:customStyle="1" w:styleId="3129">
    <w:name w:val="CM109"/>
    <w:basedOn w:val="1"/>
    <w:next w:val="1"/>
    <w:uiPriority w:val="0"/>
    <w:pPr>
      <w:autoSpaceDE w:val="0"/>
      <w:autoSpaceDN w:val="0"/>
      <w:adjustRightInd w:val="0"/>
      <w:spacing w:after="75"/>
      <w:jc w:val="left"/>
    </w:pPr>
    <w:rPr>
      <w:rFonts w:ascii="宋体"/>
      <w:kern w:val="0"/>
      <w:sz w:val="24"/>
    </w:rPr>
  </w:style>
  <w:style w:type="paragraph" w:customStyle="1" w:styleId="3130">
    <w:name w:val="表格秦滨"/>
    <w:basedOn w:val="84"/>
    <w:uiPriority w:val="0"/>
    <w:pPr>
      <w:keepNext/>
      <w:keepLines/>
      <w:adjustRightInd w:val="0"/>
      <w:snapToGrid w:val="0"/>
      <w:spacing w:before="0" w:after="0" w:line="240" w:lineRule="atLeast"/>
      <w:outlineLvl w:val="9"/>
    </w:pPr>
    <w:rPr>
      <w:rFonts w:ascii="Times New Roman" w:hAnsi="Times New Roman"/>
      <w:b w:val="0"/>
      <w:bCs/>
      <w:caps/>
      <w:spacing w:val="60"/>
      <w:kern w:val="0"/>
      <w:sz w:val="21"/>
      <w:szCs w:val="21"/>
      <w:lang w:eastAsia="zh-CN"/>
    </w:rPr>
  </w:style>
  <w:style w:type="character" w:customStyle="1" w:styleId="3131">
    <w:name w:val="表头秦滨 Char Char"/>
    <w:link w:val="3132"/>
    <w:locked/>
    <w:uiPriority w:val="0"/>
    <w:rPr>
      <w:rFonts w:ascii="Courier New" w:hAnsi="Courier New" w:cs="Courier New"/>
      <w:sz w:val="21"/>
      <w:szCs w:val="21"/>
    </w:rPr>
  </w:style>
  <w:style w:type="paragraph" w:customStyle="1" w:styleId="3132">
    <w:name w:val="表头秦滨"/>
    <w:link w:val="3131"/>
    <w:uiPriority w:val="0"/>
    <w:pPr>
      <w:adjustRightInd w:val="0"/>
      <w:snapToGrid w:val="0"/>
      <w:jc w:val="center"/>
    </w:pPr>
    <w:rPr>
      <w:rFonts w:ascii="Courier New" w:hAnsi="Courier New" w:eastAsia="宋体" w:cs="Courier New"/>
      <w:sz w:val="21"/>
      <w:szCs w:val="21"/>
      <w:lang w:val="en-US" w:eastAsia="zh-CN" w:bidi="ar-SA"/>
    </w:rPr>
  </w:style>
  <w:style w:type="character" w:customStyle="1" w:styleId="3133">
    <w:name w:val="3级标题 Char Char"/>
    <w:locked/>
    <w:uiPriority w:val="0"/>
    <w:rPr>
      <w:b/>
      <w:bCs/>
      <w:sz w:val="28"/>
      <w:szCs w:val="28"/>
    </w:rPr>
  </w:style>
  <w:style w:type="character" w:customStyle="1" w:styleId="3134">
    <w:name w:val="my图表名 Char Char"/>
    <w:link w:val="3135"/>
    <w:locked/>
    <w:uiPriority w:val="0"/>
    <w:rPr>
      <w:rFonts w:ascii="Courier New" w:hAnsi="Courier New" w:cs="Courier New"/>
      <w:sz w:val="21"/>
      <w:szCs w:val="21"/>
    </w:rPr>
  </w:style>
  <w:style w:type="paragraph" w:customStyle="1" w:styleId="3135">
    <w:name w:val="my图表名"/>
    <w:basedOn w:val="1"/>
    <w:link w:val="3134"/>
    <w:uiPriority w:val="0"/>
    <w:pPr>
      <w:adjustRightInd w:val="0"/>
      <w:snapToGrid w:val="0"/>
      <w:jc w:val="center"/>
    </w:pPr>
    <w:rPr>
      <w:rFonts w:ascii="Courier New" w:hAnsi="Courier New" w:cs="Courier New"/>
      <w:kern w:val="0"/>
      <w:szCs w:val="21"/>
    </w:rPr>
  </w:style>
  <w:style w:type="character" w:customStyle="1" w:styleId="3136">
    <w:name w:val="本文三级标题 Char Char"/>
    <w:locked/>
    <w:uiPriority w:val="0"/>
    <w:rPr>
      <w:rFonts w:ascii="仿宋_GB2312" w:eastAsia="仿宋_GB2312"/>
      <w:b/>
      <w:kern w:val="2"/>
      <w:sz w:val="24"/>
      <w:szCs w:val="24"/>
    </w:rPr>
  </w:style>
  <w:style w:type="character" w:customStyle="1" w:styleId="3137">
    <w:name w:val="表头样式 Char Char"/>
    <w:locked/>
    <w:uiPriority w:val="0"/>
    <w:rPr>
      <w:rFonts w:eastAsia="华文中宋"/>
      <w:sz w:val="21"/>
      <w:szCs w:val="21"/>
    </w:rPr>
  </w:style>
  <w:style w:type="character" w:customStyle="1" w:styleId="3138">
    <w:name w:val="正文10 Char Char"/>
    <w:locked/>
    <w:uiPriority w:val="0"/>
    <w:rPr>
      <w:rFonts w:ascii="宋体" w:hAnsi="宋体" w:eastAsia="仿宋"/>
      <w:kern w:val="2"/>
      <w:sz w:val="28"/>
      <w:szCs w:val="28"/>
    </w:rPr>
  </w:style>
  <w:style w:type="paragraph" w:customStyle="1" w:styleId="3139">
    <w:name w:val="报告格式—表格标题"/>
    <w:basedOn w:val="1"/>
    <w:uiPriority w:val="0"/>
    <w:pPr>
      <w:spacing w:beforeLines="50" w:line="360" w:lineRule="auto"/>
      <w:jc w:val="center"/>
      <w:outlineLvl w:val="7"/>
    </w:pPr>
    <w:rPr>
      <w:rFonts w:eastAsia="黑体"/>
      <w:spacing w:val="6"/>
      <w:sz w:val="24"/>
      <w:szCs w:val="21"/>
    </w:rPr>
  </w:style>
  <w:style w:type="character" w:customStyle="1" w:styleId="3140">
    <w:name w:val="表名xin Char Char"/>
    <w:locked/>
    <w:uiPriority w:val="0"/>
    <w:rPr>
      <w:sz w:val="21"/>
      <w:szCs w:val="21"/>
    </w:rPr>
  </w:style>
  <w:style w:type="character" w:customStyle="1" w:styleId="3141">
    <w:name w:val="段落 Char"/>
    <w:link w:val="814"/>
    <w:locked/>
    <w:uiPriority w:val="0"/>
    <w:rPr>
      <w:rFonts w:ascii="华文中宋" w:hAnsi="华文中宋" w:eastAsia="华文中宋"/>
      <w:spacing w:val="6"/>
      <w:kern w:val="2"/>
      <w:sz w:val="24"/>
      <w:szCs w:val="24"/>
    </w:rPr>
  </w:style>
  <w:style w:type="character" w:customStyle="1" w:styleId="3142">
    <w:name w:val="图标题样式 Char Char"/>
    <w:locked/>
    <w:uiPriority w:val="0"/>
    <w:rPr>
      <w:rFonts w:ascii="宋体" w:hAnsi="Courier New"/>
      <w:kern w:val="24"/>
      <w:sz w:val="21"/>
      <w:szCs w:val="24"/>
    </w:rPr>
  </w:style>
  <w:style w:type="character" w:customStyle="1" w:styleId="3143">
    <w:name w:val="正文段落 Char Char"/>
    <w:locked/>
    <w:uiPriority w:val="0"/>
    <w:rPr>
      <w:rFonts w:ascii="宋体" w:hAnsi="宋体" w:cs="宋体"/>
      <w:sz w:val="24"/>
      <w:szCs w:val="28"/>
    </w:rPr>
  </w:style>
  <w:style w:type="character" w:customStyle="1" w:styleId="3144">
    <w:name w:val="图内容 Char Char"/>
    <w:locked/>
    <w:uiPriority w:val="0"/>
    <w:rPr>
      <w:rFonts w:cs="Calibri"/>
      <w:kern w:val="2"/>
      <w:sz w:val="24"/>
      <w:szCs w:val="22"/>
    </w:rPr>
  </w:style>
  <w:style w:type="paragraph" w:customStyle="1" w:styleId="3145">
    <w:name w:val="标题1 job"/>
    <w:basedOn w:val="1"/>
    <w:qFormat/>
    <w:uiPriority w:val="0"/>
    <w:pPr>
      <w:widowControl/>
      <w:spacing w:beforeLines="50" w:afterLines="50" w:line="360" w:lineRule="auto"/>
      <w:outlineLvl w:val="0"/>
    </w:pPr>
    <w:rPr>
      <w:rFonts w:ascii="Calibri" w:hAnsi="Calibri"/>
      <w:b/>
      <w:kern w:val="44"/>
      <w:sz w:val="36"/>
      <w:szCs w:val="44"/>
    </w:rPr>
  </w:style>
  <w:style w:type="paragraph" w:customStyle="1" w:styleId="3146">
    <w:name w:val="表格文字 job"/>
    <w:qFormat/>
    <w:uiPriority w:val="0"/>
    <w:pPr>
      <w:jc w:val="center"/>
    </w:pPr>
    <w:rPr>
      <w:rFonts w:ascii="Times New Roman" w:hAnsi="Times New Roman" w:eastAsia="宋体" w:cs="Times New Roman"/>
      <w:kern w:val="2"/>
      <w:sz w:val="21"/>
      <w:szCs w:val="24"/>
      <w:lang w:val="en-US" w:eastAsia="zh-CN" w:bidi="ar-SA"/>
    </w:rPr>
  </w:style>
  <w:style w:type="character" w:customStyle="1" w:styleId="3147">
    <w:name w:val="正文 Char Char Char Char"/>
    <w:locked/>
    <w:uiPriority w:val="0"/>
    <w:rPr>
      <w:sz w:val="24"/>
      <w:szCs w:val="24"/>
    </w:rPr>
  </w:style>
  <w:style w:type="character" w:customStyle="1" w:styleId="3148">
    <w:name w:val="正文文字 Char Char"/>
    <w:locked/>
    <w:uiPriority w:val="0"/>
    <w:rPr>
      <w:rFonts w:ascii="宋体" w:hAnsi="宋体" w:cs="宋体"/>
      <w:color w:val="000000"/>
      <w:sz w:val="24"/>
    </w:rPr>
  </w:style>
  <w:style w:type="character" w:customStyle="1" w:styleId="3149">
    <w:name w:val="节 Char Char"/>
    <w:locked/>
    <w:uiPriority w:val="0"/>
    <w:rPr>
      <w:rFonts w:ascii="黑体" w:eastAsia="黑体"/>
      <w:b/>
      <w:sz w:val="28"/>
      <w:szCs w:val="32"/>
    </w:rPr>
  </w:style>
  <w:style w:type="character" w:customStyle="1" w:styleId="3150">
    <w:name w:val="01 三级标题 Char Char"/>
    <w:locked/>
    <w:uiPriority w:val="0"/>
    <w:rPr>
      <w:b/>
      <w:spacing w:val="-2"/>
      <w:sz w:val="24"/>
      <w:szCs w:val="28"/>
    </w:rPr>
  </w:style>
  <w:style w:type="character" w:customStyle="1" w:styleId="3151">
    <w:name w:val="本文图表标题 Char Char"/>
    <w:locked/>
    <w:uiPriority w:val="0"/>
    <w:rPr>
      <w:rFonts w:ascii="仿宋_GB2312" w:eastAsia="仿宋_GB2312"/>
      <w:b/>
      <w:color w:val="000000"/>
      <w:kern w:val="2"/>
      <w:sz w:val="24"/>
      <w:szCs w:val="24"/>
    </w:rPr>
  </w:style>
  <w:style w:type="character" w:customStyle="1" w:styleId="3152">
    <w:name w:val="谷表头 Char Char"/>
    <w:link w:val="3153"/>
    <w:semiHidden/>
    <w:locked/>
    <w:uiPriority w:val="0"/>
    <w:rPr>
      <w:rFonts w:ascii="黑体" w:eastAsia="黑体"/>
      <w:b/>
      <w:kern w:val="2"/>
      <w:sz w:val="21"/>
      <w:szCs w:val="21"/>
    </w:rPr>
  </w:style>
  <w:style w:type="paragraph" w:customStyle="1" w:styleId="3153">
    <w:name w:val="谷表头"/>
    <w:basedOn w:val="1"/>
    <w:link w:val="3152"/>
    <w:semiHidden/>
    <w:uiPriority w:val="0"/>
    <w:pPr>
      <w:widowControl/>
      <w:jc w:val="center"/>
    </w:pPr>
    <w:rPr>
      <w:rFonts w:ascii="黑体" w:eastAsia="黑体"/>
      <w:b/>
      <w:szCs w:val="21"/>
    </w:rPr>
  </w:style>
  <w:style w:type="character" w:customStyle="1" w:styleId="3154">
    <w:name w:val="正文+红色 Char Char"/>
    <w:locked/>
    <w:uiPriority w:val="0"/>
    <w:rPr>
      <w:rFonts w:ascii="宋体" w:hAnsi="宋体" w:cs="宋体"/>
      <w:color w:val="FF0000"/>
      <w:kern w:val="2"/>
      <w:sz w:val="24"/>
      <w:szCs w:val="24"/>
    </w:rPr>
  </w:style>
  <w:style w:type="paragraph" w:customStyle="1" w:styleId="3155">
    <w:name w:val="正文文本缩进 23"/>
    <w:basedOn w:val="1"/>
    <w:uiPriority w:val="0"/>
    <w:pPr>
      <w:tabs>
        <w:tab w:val="left" w:pos="0"/>
      </w:tabs>
      <w:snapToGrid w:val="0"/>
      <w:spacing w:line="360" w:lineRule="auto"/>
      <w:ind w:firstLine="538" w:firstLineChars="192"/>
    </w:pPr>
  </w:style>
  <w:style w:type="paragraph" w:customStyle="1" w:styleId="3156">
    <w:name w:val="正文 Char Char"/>
    <w:uiPriority w:val="0"/>
    <w:pPr>
      <w:snapToGrid w:val="0"/>
      <w:spacing w:line="360" w:lineRule="auto"/>
      <w:ind w:firstLine="480" w:firstLineChars="200"/>
    </w:pPr>
    <w:rPr>
      <w:rFonts w:ascii="Times New Roman" w:hAnsi="Times New Roman" w:eastAsia="宋体" w:cs="Times New Roman"/>
      <w:sz w:val="24"/>
      <w:szCs w:val="24"/>
      <w:lang w:val="en-US" w:eastAsia="zh-CN" w:bidi="ar-SA"/>
    </w:rPr>
  </w:style>
  <w:style w:type="character" w:customStyle="1" w:styleId="3157">
    <w:name w:val="样式 (符号) 宋体 小四 行距: 1.5 倍行距 Char Char"/>
    <w:locked/>
    <w:uiPriority w:val="0"/>
    <w:rPr>
      <w:rFonts w:ascii="Calibri" w:hAnsi="Calibri" w:cs="宋体"/>
      <w:sz w:val="24"/>
      <w:lang w:eastAsia="en-US" w:bidi="en-US"/>
    </w:rPr>
  </w:style>
  <w:style w:type="character" w:customStyle="1" w:styleId="3158">
    <w:name w:val="a正文 Char Char"/>
    <w:locked/>
    <w:uiPriority w:val="0"/>
    <w:rPr>
      <w:kern w:val="2"/>
      <w:sz w:val="24"/>
      <w:szCs w:val="24"/>
    </w:rPr>
  </w:style>
  <w:style w:type="paragraph" w:customStyle="1" w:styleId="3159">
    <w:name w:val="数字体（标题5）-1、"/>
    <w:basedOn w:val="1"/>
    <w:qFormat/>
    <w:uiPriority w:val="0"/>
    <w:pPr>
      <w:spacing w:line="360" w:lineRule="auto"/>
      <w:ind w:firstLine="200" w:firstLineChars="200"/>
      <w:outlineLvl w:val="5"/>
    </w:pPr>
    <w:rPr>
      <w:sz w:val="28"/>
      <w:szCs w:val="21"/>
    </w:rPr>
  </w:style>
  <w:style w:type="paragraph" w:customStyle="1" w:styleId="3160">
    <w:name w:val="表格文字 hrj"/>
    <w:basedOn w:val="1"/>
    <w:uiPriority w:val="0"/>
    <w:pPr>
      <w:adjustRightInd w:val="0"/>
      <w:snapToGrid w:val="0"/>
      <w:jc w:val="center"/>
    </w:pPr>
    <w:rPr>
      <w:kern w:val="0"/>
      <w:szCs w:val="21"/>
    </w:rPr>
  </w:style>
  <w:style w:type="paragraph" w:customStyle="1" w:styleId="3161">
    <w:name w:val="报告格式-图名"/>
    <w:basedOn w:val="1"/>
    <w:qFormat/>
    <w:uiPriority w:val="0"/>
    <w:pPr>
      <w:jc w:val="center"/>
      <w:outlineLvl w:val="8"/>
    </w:pPr>
    <w:rPr>
      <w:rFonts w:eastAsia="黑体"/>
      <w:sz w:val="24"/>
      <w:szCs w:val="21"/>
      <w:lang w:val="en-GB"/>
    </w:rPr>
  </w:style>
  <w:style w:type="paragraph" w:customStyle="1" w:styleId="3162">
    <w:name w:val="标题2 job"/>
    <w:next w:val="1"/>
    <w:qFormat/>
    <w:uiPriority w:val="0"/>
    <w:pPr>
      <w:spacing w:beforeLines="50" w:afterLines="50" w:line="360" w:lineRule="auto"/>
      <w:jc w:val="both"/>
      <w:outlineLvl w:val="1"/>
    </w:pPr>
    <w:rPr>
      <w:rFonts w:ascii="Times New Roman" w:hAnsi="Times New Roman" w:eastAsia="宋体" w:cs="Times New Roman"/>
      <w:b/>
      <w:bCs/>
      <w:kern w:val="2"/>
      <w:sz w:val="30"/>
      <w:szCs w:val="32"/>
      <w:lang w:val="en-US" w:eastAsia="zh-CN" w:bidi="ar-SA"/>
    </w:rPr>
  </w:style>
  <w:style w:type="character" w:customStyle="1" w:styleId="3163">
    <w:name w:val="表格正文 Char Char"/>
    <w:locked/>
    <w:uiPriority w:val="0"/>
    <w:rPr>
      <w:kern w:val="2"/>
      <w:sz w:val="21"/>
      <w:szCs w:val="21"/>
    </w:rPr>
  </w:style>
  <w:style w:type="paragraph" w:customStyle="1" w:styleId="3164">
    <w:name w:val="姜胜辉标题1"/>
    <w:basedOn w:val="1"/>
    <w:uiPriority w:val="0"/>
    <w:pPr>
      <w:spacing w:afterLines="50" w:line="360" w:lineRule="auto"/>
      <w:jc w:val="left"/>
      <w:outlineLvl w:val="0"/>
    </w:pPr>
    <w:rPr>
      <w:bCs/>
      <w:sz w:val="32"/>
      <w:szCs w:val="30"/>
    </w:rPr>
  </w:style>
  <w:style w:type="character" w:customStyle="1" w:styleId="3165">
    <w:name w:val="表中内容 Char Char"/>
    <w:locked/>
    <w:uiPriority w:val="0"/>
    <w:rPr>
      <w:rFonts w:ascii="宋体" w:hAnsi="宋体"/>
      <w:color w:val="000000"/>
      <w:spacing w:val="6"/>
      <w:kern w:val="2"/>
      <w:sz w:val="21"/>
      <w:szCs w:val="21"/>
    </w:rPr>
  </w:style>
  <w:style w:type="paragraph" w:customStyle="1" w:styleId="3166">
    <w:name w:val="表xin"/>
    <w:basedOn w:val="1"/>
    <w:uiPriority w:val="0"/>
    <w:pPr>
      <w:jc w:val="center"/>
    </w:pPr>
    <w:rPr>
      <w:szCs w:val="21"/>
    </w:rPr>
  </w:style>
  <w:style w:type="paragraph" w:customStyle="1" w:styleId="3167">
    <w:name w:val="标题4 job"/>
    <w:next w:val="1"/>
    <w:qFormat/>
    <w:uiPriority w:val="0"/>
    <w:pPr>
      <w:spacing w:beforeLines="50" w:afterLines="50" w:line="360" w:lineRule="auto"/>
      <w:jc w:val="both"/>
      <w:outlineLvl w:val="3"/>
    </w:pPr>
    <w:rPr>
      <w:rFonts w:ascii="Times New Roman" w:hAnsi="Times New Roman" w:eastAsia="宋体" w:cs="Times New Roman"/>
      <w:b/>
      <w:bCs/>
      <w:kern w:val="2"/>
      <w:sz w:val="24"/>
      <w:szCs w:val="28"/>
      <w:lang w:val="en-US" w:eastAsia="zh-CN" w:bidi="ar-SA"/>
    </w:rPr>
  </w:style>
  <w:style w:type="character" w:customStyle="1" w:styleId="3168">
    <w:name w:val="图表名job Char Char"/>
    <w:locked/>
    <w:uiPriority w:val="0"/>
    <w:rPr>
      <w:rFonts w:eastAsia="Times New Roman"/>
      <w:kern w:val="2"/>
      <w:sz w:val="21"/>
      <w:szCs w:val="24"/>
      <w:lang w:val="en-US" w:eastAsia="zh-CN" w:bidi="ar-SA"/>
    </w:rPr>
  </w:style>
  <w:style w:type="paragraph" w:customStyle="1" w:styleId="3169">
    <w:name w:val="三级标题-秦滨"/>
    <w:basedOn w:val="84"/>
    <w:uiPriority w:val="0"/>
    <w:pPr>
      <w:keepNext/>
      <w:keepLines/>
      <w:autoSpaceDE w:val="0"/>
      <w:autoSpaceDN w:val="0"/>
      <w:adjustRightInd w:val="0"/>
      <w:snapToGrid w:val="0"/>
      <w:spacing w:before="0" w:after="0" w:line="360" w:lineRule="auto"/>
      <w:jc w:val="left"/>
      <w:outlineLvl w:val="2"/>
    </w:pPr>
    <w:rPr>
      <w:rFonts w:ascii="Times New Roman" w:hAnsi="Times New Roman"/>
      <w:caps/>
      <w:spacing w:val="60"/>
      <w:kern w:val="0"/>
      <w:sz w:val="28"/>
      <w:szCs w:val="28"/>
      <w:lang w:eastAsia="zh-CN"/>
    </w:rPr>
  </w:style>
  <w:style w:type="character" w:customStyle="1" w:styleId="3170">
    <w:name w:val="正文秦滨 Char Char"/>
    <w:link w:val="3171"/>
    <w:locked/>
    <w:uiPriority w:val="0"/>
    <w:rPr>
      <w:kern w:val="2"/>
      <w:sz w:val="24"/>
      <w:szCs w:val="24"/>
    </w:rPr>
  </w:style>
  <w:style w:type="paragraph" w:customStyle="1" w:styleId="3171">
    <w:name w:val="正文秦滨"/>
    <w:basedOn w:val="34"/>
    <w:link w:val="3170"/>
    <w:uiPriority w:val="0"/>
    <w:pPr>
      <w:adjustRightInd w:val="0"/>
      <w:snapToGrid w:val="0"/>
      <w:spacing w:line="360" w:lineRule="auto"/>
      <w:ind w:firstLine="200" w:firstLineChars="200"/>
      <w:jc w:val="left"/>
    </w:pPr>
    <w:rPr>
      <w:rFonts w:eastAsia="宋体"/>
      <w:sz w:val="24"/>
      <w:szCs w:val="24"/>
    </w:rPr>
  </w:style>
  <w:style w:type="character" w:customStyle="1" w:styleId="3172">
    <w:name w:val="封里2 Char Char"/>
    <w:link w:val="894"/>
    <w:locked/>
    <w:uiPriority w:val="0"/>
    <w:rPr>
      <w:spacing w:val="10"/>
      <w:kern w:val="2"/>
      <w:sz w:val="28"/>
      <w:szCs w:val="32"/>
    </w:rPr>
  </w:style>
  <w:style w:type="character" w:customStyle="1" w:styleId="3173">
    <w:name w:val="样式 表格正文 + Char Char"/>
    <w:link w:val="3174"/>
    <w:locked/>
    <w:uiPriority w:val="0"/>
  </w:style>
  <w:style w:type="paragraph" w:customStyle="1" w:styleId="3174">
    <w:name w:val="样式 表格正文 +"/>
    <w:basedOn w:val="395"/>
    <w:link w:val="3173"/>
    <w:uiPriority w:val="0"/>
    <w:pPr>
      <w:adjustRightInd w:val="0"/>
      <w:snapToGrid w:val="0"/>
      <w:spacing w:beforeLines="50"/>
      <w:jc w:val="both"/>
    </w:pPr>
    <w:rPr>
      <w:sz w:val="20"/>
      <w:szCs w:val="20"/>
    </w:rPr>
  </w:style>
  <w:style w:type="paragraph" w:customStyle="1" w:styleId="3175">
    <w:name w:val="_Style 76"/>
    <w:basedOn w:val="1"/>
    <w:uiPriority w:val="0"/>
    <w:pPr>
      <w:spacing w:line="360" w:lineRule="auto"/>
      <w:ind w:firstLine="200" w:firstLineChars="200"/>
    </w:pPr>
    <w:rPr>
      <w:rFonts w:ascii="宋体" w:hAnsi="宋体" w:cs="宋体"/>
      <w:sz w:val="24"/>
    </w:rPr>
  </w:style>
  <w:style w:type="character" w:customStyle="1" w:styleId="3176">
    <w:name w:val="本项目正文 Char Char"/>
    <w:locked/>
    <w:uiPriority w:val="0"/>
    <w:rPr>
      <w:rFonts w:ascii="仿宋_GB2312" w:eastAsia="仿宋_GB2312"/>
      <w:kern w:val="2"/>
      <w:sz w:val="24"/>
      <w:szCs w:val="24"/>
    </w:rPr>
  </w:style>
  <w:style w:type="character" w:customStyle="1" w:styleId="3177">
    <w:name w:val="正文东晓 Char Char"/>
    <w:locked/>
    <w:uiPriority w:val="0"/>
    <w:rPr>
      <w:rFonts w:ascii="Arial" w:hAnsi="Arial" w:cs="Arial"/>
      <w:bCs/>
      <w:kern w:val="2"/>
      <w:sz w:val="24"/>
      <w:szCs w:val="24"/>
    </w:rPr>
  </w:style>
  <w:style w:type="paragraph" w:customStyle="1" w:styleId="3178">
    <w:name w:val="hrj 图表名 + 段前: 0.3 行"/>
    <w:uiPriority w:val="0"/>
    <w:pPr>
      <w:widowControl w:val="0"/>
      <w:adjustRightInd w:val="0"/>
      <w:snapToGrid w:val="0"/>
      <w:spacing w:beforeLines="30" w:line="360" w:lineRule="auto"/>
      <w:jc w:val="center"/>
    </w:pPr>
    <w:rPr>
      <w:rFonts w:ascii="宋体" w:hAnsi="Courier New" w:eastAsia="楷体_GB2312" w:cs="宋体"/>
      <w:b/>
      <w:sz w:val="24"/>
      <w:szCs w:val="21"/>
      <w:lang w:val="en-US" w:eastAsia="zh-CN" w:bidi="ar-SA"/>
    </w:rPr>
  </w:style>
  <w:style w:type="paragraph" w:customStyle="1" w:styleId="3179">
    <w:name w:val="二级标题-秦滨"/>
    <w:uiPriority w:val="0"/>
    <w:pPr>
      <w:adjustRightInd w:val="0"/>
      <w:snapToGrid w:val="0"/>
      <w:spacing w:beforeLines="50" w:afterLines="50" w:line="360" w:lineRule="auto"/>
      <w:outlineLvl w:val="1"/>
    </w:pPr>
    <w:rPr>
      <w:rFonts w:ascii="Calibri" w:hAnsi="Calibri" w:eastAsia="宋体" w:cs="Times New Roman"/>
      <w:b/>
      <w:kern w:val="2"/>
      <w:sz w:val="30"/>
      <w:szCs w:val="32"/>
      <w:lang w:val="en-US" w:eastAsia="zh-CN" w:bidi="ar-SA"/>
    </w:rPr>
  </w:style>
  <w:style w:type="character" w:customStyle="1" w:styleId="3180">
    <w:name w:val="图表名Sea Char Char"/>
    <w:link w:val="3181"/>
    <w:locked/>
    <w:uiPriority w:val="0"/>
    <w:rPr>
      <w:rFonts w:ascii="楷体_GB2312" w:cs="楷体_GB2312"/>
      <w:b/>
      <w:sz w:val="24"/>
      <w:szCs w:val="24"/>
    </w:rPr>
  </w:style>
  <w:style w:type="paragraph" w:customStyle="1" w:styleId="3181">
    <w:name w:val="图表名Sea"/>
    <w:basedOn w:val="1"/>
    <w:link w:val="3180"/>
    <w:uiPriority w:val="0"/>
    <w:pPr>
      <w:adjustRightInd w:val="0"/>
      <w:snapToGrid w:val="0"/>
      <w:spacing w:line="360" w:lineRule="auto"/>
      <w:jc w:val="center"/>
    </w:pPr>
    <w:rPr>
      <w:rFonts w:ascii="楷体_GB2312" w:cs="楷体_GB2312"/>
      <w:b/>
      <w:kern w:val="0"/>
      <w:sz w:val="24"/>
    </w:rPr>
  </w:style>
  <w:style w:type="character" w:customStyle="1" w:styleId="3182">
    <w:name w:val="图表中内容 Char Char"/>
    <w:locked/>
    <w:uiPriority w:val="0"/>
    <w:rPr>
      <w:rFonts w:ascii="宋体" w:hAnsi="宋体" w:cs="宋体"/>
      <w:bCs/>
      <w:spacing w:val="10"/>
      <w:kern w:val="2"/>
      <w:sz w:val="18"/>
      <w:szCs w:val="18"/>
    </w:rPr>
  </w:style>
  <w:style w:type="character" w:customStyle="1" w:styleId="3183">
    <w:name w:val="大黄鱼级别2 Char Char"/>
    <w:locked/>
    <w:uiPriority w:val="0"/>
    <w:rPr>
      <w:b/>
      <w:kern w:val="2"/>
      <w:sz w:val="21"/>
      <w:szCs w:val="21"/>
    </w:rPr>
  </w:style>
  <w:style w:type="character" w:customStyle="1" w:styleId="3184">
    <w:name w:val="2级标题 Char Char"/>
    <w:link w:val="998"/>
    <w:locked/>
    <w:uiPriority w:val="0"/>
    <w:rPr>
      <w:bCs/>
      <w:sz w:val="30"/>
      <w:szCs w:val="32"/>
    </w:rPr>
  </w:style>
  <w:style w:type="character" w:customStyle="1" w:styleId="3185">
    <w:name w:val="标题4尹东晓 Char"/>
    <w:uiPriority w:val="0"/>
    <w:rPr>
      <w:b/>
      <w:color w:val="000000"/>
      <w:sz w:val="24"/>
      <w:szCs w:val="24"/>
    </w:rPr>
  </w:style>
  <w:style w:type="character" w:customStyle="1" w:styleId="3186">
    <w:name w:val="样式 (符号) 宋体 加粗 黑色"/>
    <w:uiPriority w:val="0"/>
    <w:rPr>
      <w:rFonts w:hint="default" w:ascii="Arial" w:hAnsi="Arial" w:eastAsia="宋体" w:cs="Arial"/>
      <w:b/>
      <w:color w:val="000000"/>
      <w:kern w:val="0"/>
      <w:sz w:val="24"/>
      <w:szCs w:val="24"/>
      <w:lang w:val="en-US" w:eastAsia="zh-CN" w:bidi="ar-SA"/>
    </w:rPr>
  </w:style>
  <w:style w:type="character" w:customStyle="1" w:styleId="3187">
    <w:name w:val="z-窗体顶端 Char"/>
    <w:uiPriority w:val="0"/>
    <w:rPr>
      <w:rFonts w:hint="default" w:ascii="Arial" w:hAnsi="Arial" w:cs="Arial"/>
      <w:b/>
      <w:vanish/>
      <w:kern w:val="2"/>
      <w:sz w:val="16"/>
      <w:szCs w:val="16"/>
    </w:rPr>
  </w:style>
  <w:style w:type="character" w:customStyle="1" w:styleId="3188">
    <w:name w:val="123YJ Char3"/>
    <w:uiPriority w:val="0"/>
    <w:rPr>
      <w:rFonts w:hint="eastAsia" w:ascii="宋体" w:hAnsi="宋体" w:eastAsia="宋体" w:cs="宋体"/>
      <w:sz w:val="18"/>
      <w:szCs w:val="18"/>
      <w:lang w:bidi="ar-SA"/>
    </w:rPr>
  </w:style>
  <w:style w:type="character" w:customStyle="1" w:styleId="3189">
    <w:name w:val="样式 居中 行距: 1.5 倍行距 Char"/>
    <w:uiPriority w:val="0"/>
  </w:style>
  <w:style w:type="character" w:customStyle="1" w:styleId="3190">
    <w:name w:val="正文文字缩进 3 Char Char3"/>
    <w:uiPriority w:val="0"/>
    <w:rPr>
      <w:rFonts w:hint="default" w:ascii="Times New Roman" w:hAnsi="Times New Roman" w:eastAsia="宋体" w:cs="Times New Roman"/>
      <w:sz w:val="16"/>
      <w:szCs w:val="16"/>
    </w:rPr>
  </w:style>
  <w:style w:type="character" w:customStyle="1" w:styleId="3191">
    <w:name w:val="标题 Char2"/>
    <w:uiPriority w:val="0"/>
    <w:rPr>
      <w:rFonts w:hint="default" w:ascii="Cambria" w:hAnsi="Cambria" w:eastAsia="Cambria" w:cs="Times New Roman"/>
      <w:b/>
      <w:kern w:val="2"/>
      <w:sz w:val="32"/>
      <w:szCs w:val="32"/>
    </w:rPr>
  </w:style>
  <w:style w:type="character" w:customStyle="1" w:styleId="3192">
    <w:name w:val="题目 Char Char1"/>
    <w:uiPriority w:val="0"/>
    <w:rPr>
      <w:rFonts w:hint="default" w:ascii="Arial" w:hAnsi="Arial" w:eastAsia="宋体" w:cs="Arial"/>
      <w:b/>
      <w:kern w:val="28"/>
      <w:sz w:val="32"/>
      <w:szCs w:val="32"/>
    </w:rPr>
  </w:style>
  <w:style w:type="character" w:customStyle="1" w:styleId="3193">
    <w:name w:val="[1]正文 Char1"/>
    <w:uiPriority w:val="0"/>
    <w:rPr>
      <w:snapToGrid/>
      <w:sz w:val="28"/>
      <w:szCs w:val="28"/>
    </w:rPr>
  </w:style>
  <w:style w:type="character" w:customStyle="1" w:styleId="3194">
    <w:name w:val="潍坊海事处-正文 Char"/>
    <w:uiPriority w:val="0"/>
    <w:rPr>
      <w:rFonts w:hint="eastAsia" w:ascii="宋体" w:hAnsi="宋体" w:eastAsia="宋体" w:cs="宋体"/>
      <w:sz w:val="24"/>
      <w:szCs w:val="24"/>
    </w:rPr>
  </w:style>
  <w:style w:type="character" w:customStyle="1" w:styleId="3195">
    <w:name w:val="封里2 job Char Char"/>
    <w:uiPriority w:val="0"/>
    <w:rPr>
      <w:rFonts w:hint="eastAsia" w:ascii="楷体_GB2312" w:eastAsia="楷体_GB2312"/>
      <w:b/>
      <w:sz w:val="30"/>
      <w:szCs w:val="30"/>
    </w:rPr>
  </w:style>
  <w:style w:type="character" w:customStyle="1" w:styleId="3196">
    <w:name w:val="样式6 Char Char1"/>
    <w:uiPriority w:val="0"/>
    <w:rPr>
      <w:rFonts w:hint="eastAsia" w:ascii="宋体" w:hAnsi="宋体" w:eastAsia="宋体" w:cs="宋体"/>
      <w:bCs/>
      <w:color w:val="000000"/>
      <w:kern w:val="2"/>
      <w:sz w:val="21"/>
      <w:szCs w:val="21"/>
    </w:rPr>
  </w:style>
  <w:style w:type="character" w:customStyle="1" w:styleId="3197">
    <w:name w:val="正文文本缩进 2 Char3"/>
    <w:uiPriority w:val="0"/>
    <w:rPr>
      <w:kern w:val="2"/>
      <w:sz w:val="24"/>
      <w:szCs w:val="22"/>
    </w:rPr>
  </w:style>
  <w:style w:type="character" w:customStyle="1" w:styleId="3198">
    <w:name w:val="标准标题4 Char Char"/>
    <w:uiPriority w:val="0"/>
    <w:rPr>
      <w:rFonts w:hint="eastAsia" w:ascii="宋体" w:hAnsi="宋体" w:eastAsia="宋体" w:cs="宋体"/>
      <w:kern w:val="2"/>
      <w:sz w:val="24"/>
      <w:szCs w:val="24"/>
      <w:lang w:val="en-US" w:eastAsia="zh-CN" w:bidi="ar-SA"/>
    </w:rPr>
  </w:style>
  <w:style w:type="character" w:customStyle="1" w:styleId="3199">
    <w:name w:val="正文+ Char"/>
    <w:uiPriority w:val="0"/>
    <w:rPr>
      <w:rFonts w:hint="default" w:ascii="Arial" w:hAnsi="Arial" w:eastAsia="宋体" w:cs="Arial"/>
      <w:kern w:val="2"/>
      <w:sz w:val="21"/>
      <w:szCs w:val="24"/>
      <w:lang w:val="en-US" w:eastAsia="zh-CN" w:bidi="ar-SA"/>
    </w:rPr>
  </w:style>
  <w:style w:type="character" w:customStyle="1" w:styleId="3200">
    <w:name w:val="报告标题2 Char"/>
    <w:uiPriority w:val="0"/>
    <w:rPr>
      <w:rFonts w:hint="default" w:ascii="Arial" w:hAnsi="Arial" w:eastAsia="黑体" w:cs="Arial"/>
      <w:bCs/>
      <w:snapToGrid/>
      <w:sz w:val="30"/>
      <w:szCs w:val="32"/>
    </w:rPr>
  </w:style>
  <w:style w:type="character" w:customStyle="1" w:styleId="3201">
    <w:name w:val="批注主题 Char2"/>
    <w:locked/>
    <w:uiPriority w:val="0"/>
    <w:rPr>
      <w:b/>
      <w:kern w:val="2"/>
      <w:sz w:val="24"/>
      <w:szCs w:val="22"/>
    </w:rPr>
  </w:style>
  <w:style w:type="character" w:customStyle="1" w:styleId="3202">
    <w:name w:val="样式 宋体1 Char"/>
    <w:uiPriority w:val="0"/>
    <w:rPr>
      <w:rFonts w:hint="eastAsia" w:ascii="宋体" w:hAnsi="宋体" w:eastAsia="宋体" w:cs="宋体"/>
      <w:spacing w:val="8"/>
    </w:rPr>
  </w:style>
  <w:style w:type="character" w:customStyle="1" w:styleId="3203">
    <w:name w:val="链接"/>
    <w:uiPriority w:val="0"/>
    <w:rPr>
      <w:rFonts w:hint="default" w:ascii="Times New Roman" w:hAnsi="Arial" w:eastAsia="宋体" w:cs="Times New Roman"/>
      <w:color w:val="0000FF"/>
      <w:kern w:val="2"/>
      <w:sz w:val="21"/>
      <w:szCs w:val="24"/>
      <w:u w:val="single" w:color="0000FF"/>
      <w:vertAlign w:val="baseline"/>
      <w:lang w:val="en-US" w:eastAsia="zh-CN" w:bidi="ar-SA"/>
    </w:rPr>
  </w:style>
  <w:style w:type="character" w:customStyle="1" w:styleId="3204">
    <w:name w:val="样式 标题 3 + Char"/>
    <w:uiPriority w:val="0"/>
    <w:rPr>
      <w:rFonts w:hint="default" w:ascii="Arial" w:hAnsi="Arial" w:eastAsia="宋体" w:cs="Arial"/>
      <w:b/>
      <w:color w:val="000000"/>
      <w:kern w:val="2"/>
      <w:sz w:val="28"/>
      <w:szCs w:val="32"/>
      <w:lang w:val="en-US" w:eastAsia="zh-CN" w:bidi="ar-SA"/>
    </w:rPr>
  </w:style>
  <w:style w:type="character" w:customStyle="1" w:styleId="3205">
    <w:name w:val="Char Char Char Char Char Char1 Char Char Char Char Char"/>
    <w:uiPriority w:val="0"/>
    <w:rPr>
      <w:rFonts w:hint="eastAsia" w:ascii="宋体" w:hAnsi="宋体" w:eastAsia="宋体" w:cs="宋体"/>
      <w:kern w:val="2"/>
      <w:sz w:val="24"/>
      <w:szCs w:val="24"/>
    </w:rPr>
  </w:style>
  <w:style w:type="character" w:customStyle="1" w:styleId="3206">
    <w:name w:val="arr1"/>
    <w:uiPriority w:val="0"/>
    <w:rPr>
      <w:rFonts w:hint="eastAsia" w:ascii="宋体" w:hAnsi="宋体" w:eastAsia="宋体" w:cs="宋体"/>
      <w:kern w:val="2"/>
      <w:sz w:val="24"/>
      <w:szCs w:val="24"/>
      <w:lang w:val="en-US" w:eastAsia="zh-CN" w:bidi="ar-SA"/>
    </w:rPr>
  </w:style>
  <w:style w:type="character" w:customStyle="1" w:styleId="3207">
    <w:name w:val="HTML 预设格式 Char2"/>
    <w:uiPriority w:val="0"/>
    <w:rPr>
      <w:rFonts w:hint="default" w:ascii="Courier New" w:hAnsi="Courier New" w:cs="Courier New"/>
      <w:kern w:val="2"/>
    </w:rPr>
  </w:style>
  <w:style w:type="character" w:customStyle="1" w:styleId="3208">
    <w:name w:val="1正文段落 Char"/>
    <w:uiPriority w:val="0"/>
    <w:rPr>
      <w:rFonts w:hint="eastAsia" w:ascii="宋体" w:hAnsi="宋体" w:eastAsia="宋体" w:cs="宋体"/>
      <w:snapToGrid/>
      <w:sz w:val="24"/>
      <w:szCs w:val="24"/>
    </w:rPr>
  </w:style>
  <w:style w:type="character" w:customStyle="1" w:styleId="3209">
    <w:name w:val="段落1 Char Char Char Char"/>
    <w:uiPriority w:val="0"/>
    <w:rPr>
      <w:rFonts w:hint="default" w:ascii="Arial" w:hAnsi="Arial" w:eastAsia="宋体" w:cs="Arial"/>
      <w:spacing w:val="8"/>
      <w:kern w:val="2"/>
      <w:sz w:val="24"/>
      <w:szCs w:val="24"/>
      <w:lang w:val="en-US" w:eastAsia="zh-CN" w:bidi="ar-SA"/>
    </w:rPr>
  </w:style>
  <w:style w:type="character" w:customStyle="1" w:styleId="3210">
    <w:name w:val="样式 标题 3H3Heading 3 - old + 仿宋_GB2312 四号 Char"/>
    <w:uiPriority w:val="0"/>
    <w:rPr>
      <w:rFonts w:hint="eastAsia" w:ascii="仿宋_GB2312" w:hAnsi="仿宋_GB2312" w:eastAsia="仿宋_GB2312" w:cs="仿宋_GB2312"/>
      <w:bCs/>
      <w:sz w:val="28"/>
      <w:szCs w:val="32"/>
    </w:rPr>
  </w:style>
  <w:style w:type="character" w:customStyle="1" w:styleId="3211">
    <w:name w:val="标题 3 Char3"/>
    <w:uiPriority w:val="0"/>
    <w:rPr>
      <w:rFonts w:hint="eastAsia" w:ascii="宋体" w:hAnsi="宋体" w:eastAsia="宋体" w:cs="宋体"/>
      <w:b/>
      <w:kern w:val="2"/>
      <w:sz w:val="32"/>
      <w:szCs w:val="32"/>
    </w:rPr>
  </w:style>
  <w:style w:type="character" w:customStyle="1" w:styleId="3212">
    <w:name w:val="图表文字 Char Char"/>
    <w:uiPriority w:val="0"/>
    <w:rPr>
      <w:rFonts w:hint="eastAsia" w:ascii="宋体" w:hAnsi="宋体" w:eastAsia="宋体" w:cs="宋体"/>
      <w:sz w:val="21"/>
      <w:szCs w:val="21"/>
    </w:rPr>
  </w:style>
  <w:style w:type="character" w:customStyle="1" w:styleId="3213">
    <w:name w:val="样式 宋体 首行缩进:  2 字符1 Char"/>
    <w:uiPriority w:val="0"/>
    <w:rPr>
      <w:rFonts w:hint="eastAsia" w:ascii="宋体" w:hAnsi="宋体" w:eastAsia="宋体" w:cs="宋体"/>
      <w:kern w:val="2"/>
      <w:sz w:val="21"/>
      <w:szCs w:val="24"/>
    </w:rPr>
  </w:style>
  <w:style w:type="character" w:customStyle="1" w:styleId="3214">
    <w:name w:val="表名 Char Char"/>
    <w:uiPriority w:val="0"/>
    <w:rPr>
      <w:rFonts w:hint="eastAsia" w:ascii="宋体" w:hAnsi="宋体" w:eastAsia="宋体" w:cs="宋体"/>
      <w:b/>
      <w:kern w:val="2"/>
      <w:sz w:val="28"/>
      <w:szCs w:val="24"/>
      <w:lang w:val="en-US" w:eastAsia="zh-CN" w:bidi="ar-SA"/>
    </w:rPr>
  </w:style>
  <w:style w:type="character" w:customStyle="1" w:styleId="3215">
    <w:name w:val="无间隔 Char Char"/>
    <w:uiPriority w:val="0"/>
    <w:rPr>
      <w:rFonts w:hint="default" w:ascii="Calibri" w:hAnsi="Calibri" w:eastAsia="宋体" w:cs="宋体"/>
      <w:kern w:val="2"/>
      <w:sz w:val="22"/>
      <w:szCs w:val="22"/>
      <w:lang w:val="en-US" w:eastAsia="zh-CN" w:bidi="ar-SA"/>
    </w:rPr>
  </w:style>
  <w:style w:type="character" w:customStyle="1" w:styleId="3216">
    <w:name w:val="样式 bbbbbbbbbb + 段前: 0.5 行 段后: 0.5 行 Char"/>
    <w:uiPriority w:val="0"/>
    <w:rPr>
      <w:b/>
      <w:sz w:val="28"/>
      <w:szCs w:val="28"/>
    </w:rPr>
  </w:style>
  <w:style w:type="character" w:customStyle="1" w:styleId="3217">
    <w:name w:val="my 表 Char Char"/>
    <w:uiPriority w:val="0"/>
    <w:rPr>
      <w:snapToGrid/>
      <w:szCs w:val="21"/>
    </w:rPr>
  </w:style>
  <w:style w:type="character" w:customStyle="1" w:styleId="3218">
    <w:name w:val="封里1楷体 Char"/>
    <w:uiPriority w:val="0"/>
    <w:rPr>
      <w:rFonts w:hint="eastAsia" w:ascii="楷体_GB2312" w:eastAsia="楷体_GB2312" w:cs="楷体_GB2312"/>
      <w:b/>
      <w:sz w:val="30"/>
      <w:szCs w:val="30"/>
    </w:rPr>
  </w:style>
  <w:style w:type="character" w:customStyle="1" w:styleId="3219">
    <w:name w:val="样式1 Char1"/>
    <w:uiPriority w:val="0"/>
    <w:rPr>
      <w:sz w:val="28"/>
      <w:szCs w:val="24"/>
    </w:rPr>
  </w:style>
  <w:style w:type="character" w:customStyle="1" w:styleId="3220">
    <w:name w:val="font51"/>
    <w:uiPriority w:val="0"/>
    <w:rPr>
      <w:rFonts w:hint="default" w:ascii="Times New Roman" w:hAnsi="Times New Roman" w:cs="Times New Roman"/>
      <w:color w:val="auto"/>
      <w:sz w:val="15"/>
      <w:szCs w:val="15"/>
    </w:rPr>
  </w:style>
  <w:style w:type="character" w:customStyle="1" w:styleId="3221">
    <w:name w:val="样式 图表名 + (西文) Times New Roman Char"/>
    <w:uiPriority w:val="0"/>
    <w:rPr>
      <w:rFonts w:hint="eastAsia" w:ascii="宋体" w:hAnsi="Courier New" w:eastAsia="仿宋_GB2312" w:cs="宋体"/>
      <w:b/>
      <w:sz w:val="24"/>
      <w:szCs w:val="24"/>
    </w:rPr>
  </w:style>
  <w:style w:type="character" w:customStyle="1" w:styleId="3222">
    <w:name w:val="题目 Char Char2"/>
    <w:uiPriority w:val="0"/>
    <w:rPr>
      <w:rFonts w:hint="default" w:ascii="Arial" w:hAnsi="Arial" w:eastAsia="宋体" w:cs="Arial"/>
      <w:b/>
      <w:kern w:val="28"/>
      <w:sz w:val="32"/>
      <w:szCs w:val="32"/>
      <w:lang w:val="en-US" w:eastAsia="zh-CN" w:bidi="ar-SA"/>
    </w:rPr>
  </w:style>
  <w:style w:type="character" w:customStyle="1" w:styleId="3223">
    <w:name w:val="图居中 Char"/>
    <w:uiPriority w:val="0"/>
    <w:rPr>
      <w:rFonts w:hint="eastAsia" w:ascii="宋体" w:hAnsi="宋体" w:eastAsia="宋体" w:cs="宋体"/>
      <w:sz w:val="24"/>
    </w:rPr>
  </w:style>
  <w:style w:type="character" w:customStyle="1" w:styleId="3224">
    <w:name w:val="正文文字 3 Char Char"/>
    <w:uiPriority w:val="0"/>
    <w:rPr>
      <w:rFonts w:hint="eastAsia" w:ascii="宋体" w:hAnsi="宋体" w:eastAsia="宋体" w:cs="宋体"/>
      <w:sz w:val="16"/>
      <w:szCs w:val="16"/>
      <w:lang w:val="en-US" w:eastAsia="zh-CN" w:bidi="ar-SA"/>
    </w:rPr>
  </w:style>
  <w:style w:type="character" w:customStyle="1" w:styleId="3225">
    <w:name w:val="我的正文文字 Char Char"/>
    <w:uiPriority w:val="0"/>
    <w:rPr>
      <w:rFonts w:hint="default" w:ascii="Times New Roman" w:hAnsi="Times New Roman" w:eastAsia="宋体" w:cs="Times New Roman"/>
      <w:sz w:val="24"/>
      <w:szCs w:val="24"/>
    </w:rPr>
  </w:style>
  <w:style w:type="character" w:customStyle="1" w:styleId="3226">
    <w:name w:val="正文11 Char1"/>
    <w:uiPriority w:val="0"/>
    <w:rPr>
      <w:spacing w:val="6"/>
      <w:sz w:val="28"/>
    </w:rPr>
  </w:style>
  <w:style w:type="character" w:customStyle="1" w:styleId="3227">
    <w:name w:val="图标题1 Char"/>
    <w:uiPriority w:val="0"/>
    <w:rPr>
      <w:rFonts w:hint="eastAsia" w:ascii="宋体" w:hAnsi="宋体" w:eastAsia="宋体" w:cs="宋体"/>
      <w:b/>
      <w:snapToGrid/>
      <w:sz w:val="21"/>
      <w:szCs w:val="24"/>
    </w:rPr>
  </w:style>
  <w:style w:type="character" w:customStyle="1" w:styleId="3228">
    <w:name w:val="msobooktitle"/>
    <w:uiPriority w:val="0"/>
    <w:rPr>
      <w:b/>
      <w:smallCaps/>
      <w:spacing w:val="5"/>
    </w:rPr>
  </w:style>
  <w:style w:type="character" w:customStyle="1" w:styleId="3229">
    <w:name w:val="big"/>
    <w:uiPriority w:val="0"/>
    <w:rPr>
      <w:rFonts w:hint="eastAsia" w:ascii="宋体" w:hAnsi="宋体" w:eastAsia="宋体" w:cs="宋体"/>
      <w:kern w:val="2"/>
      <w:sz w:val="24"/>
      <w:szCs w:val="24"/>
      <w:lang w:val="en-US" w:eastAsia="zh-CN" w:bidi="ar-SA"/>
    </w:rPr>
  </w:style>
  <w:style w:type="character" w:customStyle="1" w:styleId="3230">
    <w:name w:val="标准图 Char"/>
    <w:uiPriority w:val="0"/>
    <w:rPr>
      <w:rFonts w:hint="eastAsia" w:ascii="宋体" w:hAnsi="宋体" w:eastAsia="宋体" w:cs="宋体"/>
      <w:kern w:val="2"/>
      <w:sz w:val="21"/>
    </w:rPr>
  </w:style>
  <w:style w:type="character" w:customStyle="1" w:styleId="3231">
    <w:name w:val="样式 标题 1标题 Char"/>
    <w:uiPriority w:val="0"/>
    <w:rPr>
      <w:b/>
      <w:kern w:val="44"/>
      <w:sz w:val="21"/>
      <w:szCs w:val="32"/>
    </w:rPr>
  </w:style>
  <w:style w:type="character" w:customStyle="1" w:styleId="3232">
    <w:name w:val="zw—图表名 Char"/>
    <w:uiPriority w:val="0"/>
    <w:rPr>
      <w:sz w:val="21"/>
      <w:szCs w:val="21"/>
    </w:rPr>
  </w:style>
  <w:style w:type="character" w:customStyle="1" w:styleId="3233">
    <w:name w:val="封里1 Char"/>
    <w:uiPriority w:val="0"/>
    <w:rPr>
      <w:b/>
      <w:sz w:val="30"/>
      <w:szCs w:val="30"/>
    </w:rPr>
  </w:style>
  <w:style w:type="character" w:customStyle="1" w:styleId="3234">
    <w:name w:val="z-窗体底端 Char"/>
    <w:uiPriority w:val="0"/>
    <w:rPr>
      <w:rFonts w:hint="default" w:ascii="Arial" w:hAnsi="Arial" w:cs="Arial"/>
      <w:b/>
      <w:vanish/>
      <w:kern w:val="2"/>
      <w:sz w:val="16"/>
      <w:szCs w:val="16"/>
    </w:rPr>
  </w:style>
  <w:style w:type="character" w:customStyle="1" w:styleId="3235">
    <w:name w:val="报告正文文本 Char Char"/>
    <w:uiPriority w:val="0"/>
    <w:rPr>
      <w:rFonts w:hint="eastAsia" w:ascii="宋体" w:hAnsi="宋体" w:eastAsia="宋体" w:cs="宋体"/>
      <w:kern w:val="2"/>
      <w:sz w:val="24"/>
      <w:szCs w:val="24"/>
      <w:lang w:val="en-US" w:eastAsia="zh-CN" w:bidi="ar-SA"/>
    </w:rPr>
  </w:style>
  <w:style w:type="character" w:customStyle="1" w:styleId="3236">
    <w:name w:val="报告书正文 Char2"/>
    <w:uiPriority w:val="0"/>
    <w:rPr>
      <w:rFonts w:hint="eastAsia" w:ascii="宋体" w:hAnsi="宋体" w:eastAsia="宋体" w:cs="宋体"/>
      <w:kern w:val="2"/>
      <w:sz w:val="24"/>
      <w:szCs w:val="24"/>
      <w:lang w:val="en-US" w:eastAsia="zh-CN" w:bidi="ar-SA"/>
    </w:rPr>
  </w:style>
  <w:style w:type="character" w:customStyle="1" w:styleId="3237">
    <w:name w:val="dic_red1"/>
    <w:uiPriority w:val="0"/>
    <w:rPr>
      <w:rFonts w:hint="default" w:ascii="Times New Roman" w:hAnsi="Times New Roman" w:cs="Times New Roman"/>
      <w:color w:val="FF0000"/>
    </w:rPr>
  </w:style>
  <w:style w:type="character" w:customStyle="1" w:styleId="3238">
    <w:name w:val="样式 图表名 + 五号 Char"/>
    <w:uiPriority w:val="0"/>
    <w:rPr>
      <w:rFonts w:hint="eastAsia" w:ascii="宋体" w:hAnsi="Courier New" w:eastAsia="宋体" w:cs="Courier New"/>
      <w:b/>
      <w:color w:val="000000"/>
      <w:kern w:val="2"/>
      <w:sz w:val="24"/>
      <w:szCs w:val="21"/>
      <w:lang w:val="en-US" w:eastAsia="zh-CN" w:bidi="ar-SA"/>
    </w:rPr>
  </w:style>
  <w:style w:type="character" w:customStyle="1" w:styleId="3239">
    <w:name w:val="文章正文 Char"/>
    <w:uiPriority w:val="0"/>
    <w:rPr>
      <w:b/>
      <w:kern w:val="2"/>
      <w:sz w:val="24"/>
      <w:szCs w:val="24"/>
    </w:rPr>
  </w:style>
  <w:style w:type="character" w:customStyle="1" w:styleId="3240">
    <w:name w:val="结束语 Char1"/>
    <w:uiPriority w:val="0"/>
    <w:rPr>
      <w:kern w:val="2"/>
      <w:sz w:val="24"/>
      <w:szCs w:val="22"/>
    </w:rPr>
  </w:style>
  <w:style w:type="character" w:customStyle="1" w:styleId="3241">
    <w:name w:val="MY 正文新 Char"/>
    <w:uiPriority w:val="0"/>
    <w:rPr>
      <w:snapToGrid/>
      <w:sz w:val="24"/>
    </w:rPr>
  </w:style>
  <w:style w:type="character" w:customStyle="1" w:styleId="3242">
    <w:name w:val="my表 Char"/>
    <w:uiPriority w:val="0"/>
    <w:rPr>
      <w:snapToGrid/>
      <w:color w:val="000000"/>
      <w:sz w:val="21"/>
      <w:szCs w:val="21"/>
    </w:rPr>
  </w:style>
  <w:style w:type="character" w:customStyle="1" w:styleId="3243">
    <w:name w:val="样式 首行缩进:  2 字符 Char Char"/>
    <w:uiPriority w:val="0"/>
    <w:rPr>
      <w:rFonts w:hint="eastAsia" w:ascii="宋体" w:hAnsi="宋体" w:eastAsia="宋体" w:cs="宋体"/>
      <w:kern w:val="2"/>
      <w:sz w:val="28"/>
      <w:szCs w:val="48"/>
      <w:lang w:val="en-US" w:eastAsia="zh-CN" w:bidi="ar-SA"/>
    </w:rPr>
  </w:style>
  <w:style w:type="character" w:customStyle="1" w:styleId="3244">
    <w:name w:val="瓯飞滩一级 Char"/>
    <w:uiPriority w:val="0"/>
    <w:rPr>
      <w:b/>
      <w:sz w:val="30"/>
      <w:szCs w:val="32"/>
    </w:rPr>
  </w:style>
  <w:style w:type="character" w:customStyle="1" w:styleId="3245">
    <w:name w:val="标题1 Char"/>
    <w:uiPriority w:val="0"/>
    <w:rPr>
      <w:rFonts w:hint="eastAsia" w:ascii="宋体" w:hAnsi="宋体" w:eastAsia="宋体" w:cs="宋体"/>
      <w:b/>
      <w:kern w:val="30"/>
      <w:sz w:val="30"/>
      <w:szCs w:val="32"/>
    </w:rPr>
  </w:style>
  <w:style w:type="character" w:customStyle="1" w:styleId="3246">
    <w:name w:val="样式8 Char"/>
    <w:uiPriority w:val="0"/>
    <w:rPr>
      <w:rFonts w:hint="eastAsia" w:ascii="宋体" w:hAnsi="宋体" w:eastAsia="宋体" w:cs="宋体"/>
      <w:spacing w:val="8"/>
      <w:kern w:val="2"/>
      <w:sz w:val="21"/>
      <w:szCs w:val="28"/>
    </w:rPr>
  </w:style>
  <w:style w:type="character" w:customStyle="1" w:styleId="3247">
    <w:name w:val="文档结构图 Char Char"/>
    <w:uiPriority w:val="0"/>
    <w:rPr>
      <w:rFonts w:hint="default" w:ascii="Times New Roman" w:hAnsi="Times New Roman" w:eastAsia="宋体" w:cs="Times New Roman"/>
      <w:kern w:val="0"/>
      <w:sz w:val="24"/>
      <w:szCs w:val="24"/>
      <w:shd w:val="clear" w:color="auto" w:fill="000080"/>
      <w:lang w:val="en-US" w:eastAsia="zh-CN" w:bidi="ar-SA"/>
    </w:rPr>
  </w:style>
  <w:style w:type="character" w:customStyle="1" w:styleId="3248">
    <w:name w:val="正文文本 Char4"/>
    <w:uiPriority w:val="0"/>
    <w:rPr>
      <w:kern w:val="2"/>
      <w:sz w:val="24"/>
      <w:szCs w:val="22"/>
    </w:rPr>
  </w:style>
  <w:style w:type="character" w:customStyle="1" w:styleId="3249">
    <w:name w:val="曲琳3 Char"/>
    <w:uiPriority w:val="0"/>
    <w:rPr>
      <w:rFonts w:hint="eastAsia" w:ascii="TimesNewRoman" w:hAnsi="TimesNewRoman" w:eastAsia="TimesNewRoman" w:cs="TimesNewRoman"/>
      <w:bCs/>
      <w:kern w:val="2"/>
      <w:sz w:val="24"/>
      <w:szCs w:val="28"/>
    </w:rPr>
  </w:style>
  <w:style w:type="character" w:customStyle="1" w:styleId="3250">
    <w:name w:val="尹东晓 Char Char"/>
    <w:uiPriority w:val="0"/>
    <w:rPr>
      <w:rFonts w:hint="default" w:ascii="Arial" w:hAnsi="Arial" w:eastAsia="宋体" w:cs="Arial"/>
      <w:b/>
      <w:kern w:val="2"/>
      <w:sz w:val="32"/>
      <w:szCs w:val="32"/>
      <w:lang w:val="en-US" w:eastAsia="zh-CN" w:bidi="ar-SA"/>
    </w:rPr>
  </w:style>
  <w:style w:type="character" w:customStyle="1" w:styleId="3251">
    <w:name w:val="my正文 Char Char"/>
    <w:uiPriority w:val="0"/>
    <w:rPr>
      <w:sz w:val="24"/>
      <w:szCs w:val="24"/>
    </w:rPr>
  </w:style>
  <w:style w:type="character" w:customStyle="1" w:styleId="3252">
    <w:name w:val="标准标题2 Char"/>
    <w:uiPriority w:val="0"/>
    <w:rPr>
      <w:b/>
      <w:kern w:val="2"/>
      <w:sz w:val="28"/>
      <w:szCs w:val="28"/>
    </w:rPr>
  </w:style>
  <w:style w:type="character" w:customStyle="1" w:styleId="3253">
    <w:name w:val="标准图表名 Char"/>
    <w:uiPriority w:val="0"/>
    <w:rPr>
      <w:color w:val="0000FF"/>
      <w:sz w:val="21"/>
      <w:szCs w:val="21"/>
    </w:rPr>
  </w:style>
  <w:style w:type="character" w:customStyle="1" w:styleId="3254">
    <w:name w:val="font61"/>
    <w:uiPriority w:val="0"/>
    <w:rPr>
      <w:rFonts w:hint="default" w:ascii="Times New Roman" w:hAnsi="Times New Roman" w:cs="Times New Roman"/>
      <w:b/>
      <w:color w:val="000000"/>
      <w:sz w:val="28"/>
      <w:szCs w:val="28"/>
      <w:u w:val="none"/>
    </w:rPr>
  </w:style>
  <w:style w:type="character" w:customStyle="1" w:styleId="3255">
    <w:name w:val="font71"/>
    <w:uiPriority w:val="0"/>
    <w:rPr>
      <w:rFonts w:hint="default" w:ascii="Times New Roman" w:hAnsi="Times New Roman" w:cs="Times New Roman"/>
      <w:color w:val="auto"/>
      <w:sz w:val="18"/>
      <w:szCs w:val="18"/>
    </w:rPr>
  </w:style>
  <w:style w:type="character" w:customStyle="1" w:styleId="3256">
    <w:name w:val="图 z Char"/>
    <w:uiPriority w:val="0"/>
    <w:rPr>
      <w:sz w:val="24"/>
    </w:rPr>
  </w:style>
  <w:style w:type="character" w:customStyle="1" w:styleId="3257">
    <w:name w:val="尹东晓 Char Char1"/>
    <w:uiPriority w:val="0"/>
    <w:rPr>
      <w:rFonts w:hint="default" w:ascii="Arial" w:hAnsi="Arial" w:eastAsia="宋体" w:cs="Arial"/>
      <w:b/>
      <w:sz w:val="32"/>
      <w:szCs w:val="32"/>
    </w:rPr>
  </w:style>
  <w:style w:type="character" w:customStyle="1" w:styleId="3258">
    <w:name w:val="页码2"/>
    <w:uiPriority w:val="0"/>
    <w:rPr>
      <w:rFonts w:hint="eastAsia" w:ascii="宋体" w:hAnsi="宋体" w:eastAsia="宋体" w:cs="宋体"/>
      <w:kern w:val="2"/>
      <w:sz w:val="24"/>
      <w:szCs w:val="24"/>
      <w:lang w:val="en-US" w:eastAsia="zh-CN" w:bidi="ar-SA"/>
    </w:rPr>
  </w:style>
  <w:style w:type="character" w:customStyle="1" w:styleId="3259">
    <w:name w:val="表格文字+左 Char"/>
    <w:uiPriority w:val="0"/>
    <w:rPr>
      <w:rFonts w:hint="eastAsia" w:ascii="宋体" w:hAnsi="宋体" w:eastAsia="宋体" w:cs="宋体"/>
      <w:szCs w:val="21"/>
    </w:rPr>
  </w:style>
  <w:style w:type="character" w:customStyle="1" w:styleId="3260">
    <w:name w:val="正文文本缩进 2 Char4"/>
    <w:semiHidden/>
    <w:locked/>
    <w:uiPriority w:val="0"/>
    <w:rPr>
      <w:kern w:val="2"/>
      <w:sz w:val="24"/>
      <w:szCs w:val="24"/>
    </w:rPr>
  </w:style>
  <w:style w:type="character" w:customStyle="1" w:styleId="3261">
    <w:name w:val="正文首行 Char"/>
    <w:uiPriority w:val="0"/>
    <w:rPr>
      <w:rFonts w:hint="default" w:ascii="Arial" w:hAnsi="Arial" w:eastAsia="宋体" w:cs="Arial"/>
      <w:kern w:val="2"/>
      <w:sz w:val="28"/>
      <w:szCs w:val="28"/>
      <w:lang w:val="en-US" w:eastAsia="zh-CN" w:bidi="ar-SA"/>
    </w:rPr>
  </w:style>
  <w:style w:type="character" w:customStyle="1" w:styleId="3262">
    <w:name w:val="中文报告书样式 Char"/>
    <w:uiPriority w:val="0"/>
    <w:rPr>
      <w:kern w:val="24"/>
      <w:sz w:val="28"/>
    </w:rPr>
  </w:style>
  <w:style w:type="character" w:customStyle="1" w:styleId="3263">
    <w:name w:val="标题 7 Char Char"/>
    <w:uiPriority w:val="0"/>
    <w:rPr>
      <w:rFonts w:hint="eastAsia" w:ascii="宋体" w:hAnsi="Univers" w:eastAsia="宋体" w:cs="Times New Roman"/>
      <w:kern w:val="28"/>
      <w:sz w:val="28"/>
      <w:szCs w:val="20"/>
      <w:lang w:val="en-US" w:eastAsia="zh-CN" w:bidi="ar-SA"/>
    </w:rPr>
  </w:style>
  <w:style w:type="character" w:customStyle="1" w:styleId="3264">
    <w:name w:val="注释标题 Char2"/>
    <w:uiPriority w:val="0"/>
    <w:rPr>
      <w:kern w:val="2"/>
      <w:sz w:val="24"/>
      <w:szCs w:val="22"/>
    </w:rPr>
  </w:style>
  <w:style w:type="character" w:customStyle="1" w:styleId="3265">
    <w:name w:val="中宋小四 Char"/>
    <w:uiPriority w:val="0"/>
    <w:rPr>
      <w:rFonts w:hint="default" w:ascii="Arial" w:hAnsi="Arial" w:eastAsia="华文中宋" w:cs="Arial"/>
      <w:sz w:val="24"/>
      <w:szCs w:val="24"/>
    </w:rPr>
  </w:style>
  <w:style w:type="character" w:customStyle="1" w:styleId="3266">
    <w:name w:val="正文01 Char1"/>
    <w:uiPriority w:val="0"/>
    <w:rPr>
      <w:szCs w:val="21"/>
    </w:rPr>
  </w:style>
  <w:style w:type="character" w:customStyle="1" w:styleId="3267">
    <w:name w:val="日期 Char2"/>
    <w:locked/>
    <w:uiPriority w:val="0"/>
    <w:rPr>
      <w:kern w:val="2"/>
      <w:sz w:val="24"/>
      <w:szCs w:val="24"/>
    </w:rPr>
  </w:style>
  <w:style w:type="character" w:customStyle="1" w:styleId="3268">
    <w:name w:val="正文首行缩进 Char3"/>
    <w:uiPriority w:val="0"/>
    <w:rPr>
      <w:kern w:val="2"/>
      <w:sz w:val="24"/>
      <w:szCs w:val="22"/>
    </w:rPr>
  </w:style>
  <w:style w:type="character" w:customStyle="1" w:styleId="3269">
    <w:name w:val="正文2 Char Char"/>
    <w:uiPriority w:val="0"/>
    <w:rPr>
      <w:kern w:val="2"/>
      <w:sz w:val="21"/>
    </w:rPr>
  </w:style>
  <w:style w:type="character" w:customStyle="1" w:styleId="3270">
    <w:name w:val="封里2 Char"/>
    <w:uiPriority w:val="0"/>
    <w:rPr>
      <w:b/>
      <w:spacing w:val="10"/>
      <w:kern w:val="2"/>
      <w:sz w:val="28"/>
      <w:szCs w:val="32"/>
    </w:rPr>
  </w:style>
  <w:style w:type="character" w:customStyle="1" w:styleId="3271">
    <w:name w:val="样式 正文文本 + 首行缩进:  0.85 厘米 Char"/>
    <w:uiPriority w:val="0"/>
    <w:rPr>
      <w:rFonts w:hint="eastAsia" w:ascii="宋体" w:hAnsi="宋体" w:eastAsia="宋体" w:cs="宋体"/>
      <w:sz w:val="24"/>
    </w:rPr>
  </w:style>
  <w:style w:type="character" w:customStyle="1" w:styleId="3272">
    <w:name w:val="表格尹东晓 Char Char"/>
    <w:locked/>
    <w:uiPriority w:val="0"/>
    <w:rPr>
      <w:kern w:val="2"/>
      <w:sz w:val="21"/>
      <w:szCs w:val="24"/>
    </w:rPr>
  </w:style>
  <w:style w:type="character" w:customStyle="1" w:styleId="3273">
    <w:name w:val="柏标题 4 Char"/>
    <w:uiPriority w:val="0"/>
    <w:rPr>
      <w:rFonts w:hint="eastAsia" w:ascii="宋体" w:hAnsi="宋体" w:eastAsia="宋体" w:cs="宋体"/>
      <w:kern w:val="2"/>
      <w:sz w:val="24"/>
      <w:szCs w:val="28"/>
      <w:lang w:val="en-US" w:eastAsia="zh-CN" w:bidi="ar-SA"/>
    </w:rPr>
  </w:style>
  <w:style w:type="character" w:customStyle="1" w:styleId="3274">
    <w:name w:val="标题 8 Char Char"/>
    <w:uiPriority w:val="0"/>
    <w:rPr>
      <w:rFonts w:hint="eastAsia" w:ascii="宋体" w:hAnsi="Arial" w:eastAsia="宋体" w:cs="Times New Roman"/>
      <w:kern w:val="28"/>
      <w:sz w:val="28"/>
      <w:szCs w:val="20"/>
      <w:lang w:val="en-US" w:eastAsia="zh-CN" w:bidi="ar-SA"/>
    </w:rPr>
  </w:style>
  <w:style w:type="character" w:customStyle="1" w:styleId="3275">
    <w:name w:val="样式 样式 四号 + 首行缩进:  2.25 字符 Char"/>
    <w:uiPriority w:val="0"/>
    <w:rPr>
      <w:rFonts w:hint="eastAsia" w:ascii="宋体" w:hAnsi="宋体" w:eastAsia="宋体" w:cs="宋体"/>
      <w:kern w:val="2"/>
      <w:sz w:val="21"/>
      <w:szCs w:val="24"/>
    </w:rPr>
  </w:style>
  <w:style w:type="character" w:customStyle="1" w:styleId="3276">
    <w:name w:val="（首行缩进两字） Char"/>
    <w:uiPriority w:val="0"/>
    <w:rPr>
      <w:rFonts w:hint="default" w:ascii="Arial" w:hAnsi="Arial" w:eastAsia="宋体" w:cs="Arial"/>
      <w:spacing w:val="8"/>
      <w:kern w:val="2"/>
      <w:sz w:val="24"/>
      <w:szCs w:val="24"/>
      <w:lang w:val="en-US" w:eastAsia="zh-CN" w:bidi="ar-SA"/>
    </w:rPr>
  </w:style>
  <w:style w:type="character" w:customStyle="1" w:styleId="3277">
    <w:name w:val="样式 加粗 字距调整四号 加宽量  0.5 磅"/>
    <w:uiPriority w:val="0"/>
    <w:rPr>
      <w:b/>
      <w:spacing w:val="10"/>
      <w:kern w:val="28"/>
    </w:rPr>
  </w:style>
  <w:style w:type="character" w:customStyle="1" w:styleId="3278">
    <w:name w:val="标题 7 Char2"/>
    <w:semiHidden/>
    <w:locked/>
    <w:uiPriority w:val="0"/>
    <w:rPr>
      <w:b/>
      <w:kern w:val="2"/>
      <w:sz w:val="24"/>
      <w:szCs w:val="24"/>
    </w:rPr>
  </w:style>
  <w:style w:type="character" w:customStyle="1" w:styleId="3279">
    <w:name w:val="正文01 Char"/>
    <w:uiPriority w:val="0"/>
    <w:rPr>
      <w:rFonts w:hint="eastAsia" w:ascii="宋体" w:hAnsi="宋体" w:eastAsia="宋体" w:cs="宋体"/>
      <w:kern w:val="2"/>
      <w:sz w:val="24"/>
      <w:lang w:val="en-US" w:eastAsia="zh-CN" w:bidi="ar-SA"/>
    </w:rPr>
  </w:style>
  <w:style w:type="character" w:customStyle="1" w:styleId="3280">
    <w:name w:val="表名-李虎 Char Char"/>
    <w:uiPriority w:val="0"/>
    <w:rPr>
      <w:snapToGrid/>
      <w:szCs w:val="21"/>
    </w:rPr>
  </w:style>
  <w:style w:type="character" w:customStyle="1" w:styleId="3281">
    <w:name w:val="样式 宋体 小四 行距: 1.5 倍行距 Char"/>
    <w:uiPriority w:val="0"/>
    <w:rPr>
      <w:rFonts w:hint="eastAsia" w:ascii="宋体" w:hAnsi="宋体" w:eastAsia="宋体" w:cs="宋体"/>
      <w:kern w:val="2"/>
      <w:sz w:val="28"/>
      <w:szCs w:val="24"/>
    </w:rPr>
  </w:style>
  <w:style w:type="character" w:customStyle="1" w:styleId="3282">
    <w:name w:val="样式 标题 3 + 首行缩进:  2 字符1 Char"/>
    <w:uiPriority w:val="0"/>
    <w:rPr>
      <w:rFonts w:hint="eastAsia" w:ascii="宋体" w:hAnsi="宋体" w:eastAsia="宋体" w:cs="宋体"/>
      <w:bCs/>
      <w:sz w:val="28"/>
      <w:szCs w:val="28"/>
    </w:rPr>
  </w:style>
  <w:style w:type="character" w:customStyle="1" w:styleId="3283">
    <w:name w:val="t31"/>
    <w:uiPriority w:val="0"/>
    <w:rPr>
      <w:color w:val="000000"/>
      <w:sz w:val="26"/>
      <w:szCs w:val="26"/>
    </w:rPr>
  </w:style>
  <w:style w:type="character" w:customStyle="1" w:styleId="3284">
    <w:name w:val="样式 图表名 + 黑色 Char"/>
    <w:uiPriority w:val="0"/>
    <w:rPr>
      <w:color w:val="000000"/>
      <w:kern w:val="2"/>
      <w:sz w:val="21"/>
      <w:szCs w:val="21"/>
    </w:rPr>
  </w:style>
  <w:style w:type="character" w:customStyle="1" w:styleId="3285">
    <w:name w:val="Major Char Char1"/>
    <w:uiPriority w:val="0"/>
    <w:rPr>
      <w:rFonts w:hint="default" w:ascii="Arial" w:hAnsi="Arial" w:eastAsia="宋体" w:cs="Arial"/>
      <w:kern w:val="2"/>
      <w:sz w:val="28"/>
      <w:szCs w:val="32"/>
      <w:lang w:val="en-US" w:eastAsia="zh-CN" w:bidi="ar-SA"/>
    </w:rPr>
  </w:style>
  <w:style w:type="character" w:customStyle="1" w:styleId="3286">
    <w:name w:val="项标题(1) Char Char1"/>
    <w:uiPriority w:val="0"/>
    <w:rPr>
      <w:b/>
      <w:kern w:val="2"/>
      <w:sz w:val="24"/>
    </w:rPr>
  </w:style>
  <w:style w:type="character" w:customStyle="1" w:styleId="3287">
    <w:name w:val="正文首缩 Char"/>
    <w:uiPriority w:val="0"/>
    <w:rPr>
      <w:kern w:val="2"/>
      <w:sz w:val="24"/>
    </w:rPr>
  </w:style>
  <w:style w:type="character" w:customStyle="1" w:styleId="3288">
    <w:name w:val="封里2 job Char"/>
    <w:uiPriority w:val="0"/>
    <w:rPr>
      <w:rFonts w:hint="eastAsia" w:ascii="楷体_GB2312" w:eastAsia="楷体_GB2312" w:cs="楷体_GB2312"/>
      <w:b/>
      <w:sz w:val="30"/>
      <w:szCs w:val="30"/>
    </w:rPr>
  </w:style>
  <w:style w:type="character" w:customStyle="1" w:styleId="3289">
    <w:name w:val="二级标题尹东晓 Char Char"/>
    <w:locked/>
    <w:uiPriority w:val="0"/>
    <w:rPr>
      <w:kern w:val="2"/>
      <w:sz w:val="21"/>
      <w:szCs w:val="24"/>
    </w:rPr>
  </w:style>
  <w:style w:type="character" w:customStyle="1" w:styleId="3290">
    <w:name w:val="正文（小四缩进） Char"/>
    <w:uiPriority w:val="0"/>
    <w:rPr>
      <w:rFonts w:hint="eastAsia" w:ascii="宋体" w:hAnsi="宋体" w:eastAsia="宋体" w:cs="宋体"/>
      <w:sz w:val="24"/>
    </w:rPr>
  </w:style>
  <w:style w:type="character" w:customStyle="1" w:styleId="3291">
    <w:name w:val="textindent"/>
    <w:uiPriority w:val="0"/>
    <w:rPr>
      <w:rFonts w:hint="default" w:ascii="Arial" w:hAnsi="Arial" w:eastAsia="宋体" w:cs="Arial"/>
      <w:kern w:val="2"/>
      <w:sz w:val="24"/>
      <w:szCs w:val="24"/>
      <w:lang w:val="en-US" w:eastAsia="zh-CN" w:bidi="ar-SA"/>
    </w:rPr>
  </w:style>
  <w:style w:type="character" w:customStyle="1" w:styleId="3292">
    <w:name w:val="样式 标题 3H3H31H32H33u3标题 3 Char Char Char标题 3 Char Char Cha... Char"/>
    <w:uiPriority w:val="0"/>
    <w:rPr>
      <w:b/>
      <w:color w:val="000000"/>
      <w:kern w:val="44"/>
      <w:sz w:val="28"/>
      <w:szCs w:val="28"/>
    </w:rPr>
  </w:style>
  <w:style w:type="character" w:customStyle="1" w:styleId="3293">
    <w:name w:val="正文文字 2 Char Char2"/>
    <w:uiPriority w:val="0"/>
    <w:rPr>
      <w:rFonts w:hint="eastAsia" w:ascii="宋体" w:hAnsi="宋体" w:eastAsia="宋体" w:cs="宋体"/>
      <w:kern w:val="2"/>
      <w:sz w:val="21"/>
      <w:szCs w:val="21"/>
      <w:lang w:val="en-US" w:eastAsia="zh-CN" w:bidi="ar-SA"/>
    </w:rPr>
  </w:style>
  <w:style w:type="character" w:customStyle="1" w:styleId="3294">
    <w:name w:val="页脚 Char Char"/>
    <w:uiPriority w:val="0"/>
    <w:rPr>
      <w:rFonts w:hint="default" w:ascii="Times New Roman" w:hAnsi="Times New Roman" w:eastAsia="宋体" w:cs="Times New Roman"/>
      <w:kern w:val="0"/>
      <w:sz w:val="18"/>
      <w:szCs w:val="18"/>
      <w:lang w:val="en-US" w:eastAsia="zh-CN" w:bidi="ar-SA"/>
    </w:rPr>
  </w:style>
  <w:style w:type="character" w:customStyle="1" w:styleId="3295">
    <w:name w:val="花1 Char"/>
    <w:uiPriority w:val="0"/>
    <w:rPr>
      <w:b/>
      <w:sz w:val="30"/>
    </w:rPr>
  </w:style>
  <w:style w:type="character" w:customStyle="1" w:styleId="3296">
    <w:name w:val="MTEquationSection"/>
    <w:uiPriority w:val="0"/>
    <w:rPr>
      <w:rFonts w:hint="default" w:ascii="Arial" w:hAnsi="宋体" w:eastAsia="宋体" w:cs="Arial"/>
      <w:vanish/>
      <w:color w:val="FF0000"/>
      <w:kern w:val="2"/>
      <w:sz w:val="28"/>
      <w:szCs w:val="28"/>
      <w:lang w:val="en-US" w:eastAsia="zh-CN" w:bidi="ar-SA"/>
    </w:rPr>
  </w:style>
  <w:style w:type="character" w:customStyle="1" w:styleId="3297">
    <w:name w:val="样式 曲琳正 + 红色 Char"/>
    <w:uiPriority w:val="0"/>
    <w:rPr>
      <w:color w:val="FF0000"/>
      <w:kern w:val="2"/>
      <w:sz w:val="24"/>
      <w:szCs w:val="24"/>
    </w:rPr>
  </w:style>
  <w:style w:type="character" w:customStyle="1" w:styleId="3298">
    <w:name w:val="上海LNG3 Char"/>
    <w:uiPriority w:val="0"/>
    <w:rPr>
      <w:b/>
      <w:kern w:val="28"/>
      <w:szCs w:val="21"/>
    </w:rPr>
  </w:style>
  <w:style w:type="character" w:customStyle="1" w:styleId="3299">
    <w:name w:val="我的正文文字 Char1"/>
    <w:uiPriority w:val="0"/>
    <w:rPr>
      <w:rFonts w:hint="default" w:ascii="Times New Roman" w:hAnsi="Times New Roman" w:eastAsia="宋体" w:cs="Times New Roman"/>
      <w:sz w:val="24"/>
      <w:szCs w:val="24"/>
    </w:rPr>
  </w:style>
  <w:style w:type="character" w:customStyle="1" w:styleId="3300">
    <w:name w:val="图表文字 Char"/>
    <w:uiPriority w:val="0"/>
    <w:rPr>
      <w:rFonts w:hint="eastAsia" w:ascii="宋体" w:hAnsi="宋体" w:eastAsia="宋体" w:cs="宋体"/>
      <w:szCs w:val="21"/>
    </w:rPr>
  </w:style>
  <w:style w:type="character" w:customStyle="1" w:styleId="3301">
    <w:name w:val="1级标题 Char"/>
    <w:uiPriority w:val="0"/>
    <w:rPr>
      <w:rFonts w:hint="eastAsia" w:ascii="宋体" w:hAnsi="宋体" w:eastAsia="宋体" w:cs="宋体"/>
      <w:b/>
      <w:kern w:val="30"/>
      <w:sz w:val="30"/>
      <w:szCs w:val="32"/>
    </w:rPr>
  </w:style>
  <w:style w:type="character" w:customStyle="1" w:styleId="3302">
    <w:name w:val="页眉1 Char3"/>
    <w:uiPriority w:val="0"/>
    <w:rPr>
      <w:rFonts w:hint="eastAsia" w:ascii="宋体" w:hAnsi="宋体" w:eastAsia="宋体" w:cs="宋体"/>
      <w:kern w:val="2"/>
      <w:sz w:val="18"/>
      <w:szCs w:val="18"/>
      <w:lang w:val="en-US" w:eastAsia="zh-CN" w:bidi="ar-SA"/>
    </w:rPr>
  </w:style>
  <w:style w:type="character" w:customStyle="1" w:styleId="3303">
    <w:name w:val="123YJ Char6"/>
    <w:uiPriority w:val="0"/>
    <w:rPr>
      <w:sz w:val="18"/>
      <w:szCs w:val="18"/>
    </w:rPr>
  </w:style>
  <w:style w:type="character" w:customStyle="1" w:styleId="3304">
    <w:name w:val="hrj图表名 Char Char"/>
    <w:uiPriority w:val="0"/>
    <w:rPr>
      <w:rFonts w:hint="eastAsia" w:ascii="楷体_GB2312" w:hAnsi="Courier New" w:eastAsia="楷体_GB2312" w:cs="Courier New"/>
      <w:b/>
      <w:sz w:val="24"/>
      <w:szCs w:val="24"/>
    </w:rPr>
  </w:style>
  <w:style w:type="character" w:customStyle="1" w:styleId="3305">
    <w:name w:val="标题 1 Char Char1"/>
    <w:uiPriority w:val="0"/>
    <w:rPr>
      <w:rFonts w:hint="eastAsia" w:ascii="宋体" w:hAnsi="宋体" w:eastAsia="宋体" w:cs="宋体"/>
      <w:b/>
      <w:kern w:val="44"/>
      <w:sz w:val="24"/>
      <w:szCs w:val="32"/>
      <w:lang w:val="en-US" w:eastAsia="zh-CN" w:bidi="ar-SA"/>
    </w:rPr>
  </w:style>
  <w:style w:type="character" w:customStyle="1" w:styleId="3306">
    <w:name w:val="样式 标题 1标题 1 Char"/>
    <w:uiPriority w:val="0"/>
    <w:rPr>
      <w:b/>
      <w:kern w:val="2"/>
      <w:sz w:val="32"/>
      <w:szCs w:val="32"/>
    </w:rPr>
  </w:style>
  <w:style w:type="character" w:customStyle="1" w:styleId="3307">
    <w:name w:val="正文东晓 Char Char Char"/>
    <w:uiPriority w:val="0"/>
    <w:rPr>
      <w:rFonts w:hint="default" w:ascii="Arial" w:hAnsi="Arial" w:cs="Arial"/>
      <w:bCs/>
      <w:sz w:val="24"/>
      <w:szCs w:val="24"/>
    </w:rPr>
  </w:style>
  <w:style w:type="character" w:customStyle="1" w:styleId="3308">
    <w:name w:val="font81"/>
    <w:uiPriority w:val="0"/>
    <w:rPr>
      <w:rFonts w:hint="default" w:ascii="Times New Roman" w:hAnsi="Times New Roman" w:cs="Times New Roman"/>
      <w:i/>
      <w:color w:val="auto"/>
      <w:sz w:val="24"/>
      <w:szCs w:val="24"/>
    </w:rPr>
  </w:style>
  <w:style w:type="character" w:customStyle="1" w:styleId="3309">
    <w:name w:val="样式 图表名 + (符号) 宋体 Char Char"/>
    <w:uiPriority w:val="0"/>
    <w:rPr>
      <w:rFonts w:hint="eastAsia" w:ascii="宋体" w:hAnsi="Courier New" w:eastAsia="宋体" w:cs="Courier New"/>
      <w:color w:val="FF0000"/>
      <w:kern w:val="2"/>
      <w:sz w:val="21"/>
      <w:szCs w:val="24"/>
      <w:lang w:val="en-US" w:eastAsia="zh-CN" w:bidi="ar-SA"/>
    </w:rPr>
  </w:style>
  <w:style w:type="character" w:customStyle="1" w:styleId="3310">
    <w:name w:val="标题5 Char"/>
    <w:uiPriority w:val="0"/>
    <w:rPr>
      <w:b/>
      <w:kern w:val="2"/>
      <w:sz w:val="24"/>
      <w:szCs w:val="24"/>
    </w:rPr>
  </w:style>
  <w:style w:type="character" w:customStyle="1" w:styleId="3311">
    <w:name w:val="宏文本 Char1"/>
    <w:semiHidden/>
    <w:uiPriority w:val="99"/>
    <w:rPr>
      <w:rFonts w:hint="default" w:ascii="Courier New" w:hAnsi="Courier New" w:cs="Courier New"/>
      <w:kern w:val="2"/>
      <w:sz w:val="24"/>
      <w:szCs w:val="24"/>
    </w:rPr>
  </w:style>
  <w:style w:type="character" w:customStyle="1" w:styleId="3312">
    <w:name w:val="表，广西 Char Char"/>
    <w:uiPriority w:val="0"/>
    <w:rPr>
      <w:color w:val="000000"/>
      <w:sz w:val="21"/>
      <w:szCs w:val="21"/>
    </w:rPr>
  </w:style>
  <w:style w:type="character" w:customStyle="1" w:styleId="3313">
    <w:name w:val="正文（张） Char Char"/>
    <w:uiPriority w:val="0"/>
    <w:rPr>
      <w:rFonts w:hint="eastAsia" w:ascii="宋体" w:hAnsi="宋体" w:eastAsia="宋体" w:cs="宋体"/>
      <w:kern w:val="2"/>
      <w:sz w:val="28"/>
      <w:szCs w:val="28"/>
      <w:lang w:val="en-US" w:eastAsia="zh-CN" w:bidi="ar-SA"/>
    </w:rPr>
  </w:style>
  <w:style w:type="character" w:customStyle="1" w:styleId="3314">
    <w:name w:val="标题 9 Char Char"/>
    <w:uiPriority w:val="0"/>
    <w:rPr>
      <w:rFonts w:hint="eastAsia" w:ascii="宋体" w:hAnsi="Arial" w:eastAsia="宋体" w:cs="Times New Roman"/>
      <w:kern w:val="28"/>
      <w:sz w:val="28"/>
      <w:szCs w:val="20"/>
      <w:lang w:val="en-US" w:eastAsia="zh-CN" w:bidi="ar-SA"/>
    </w:rPr>
  </w:style>
  <w:style w:type="character" w:customStyle="1" w:styleId="3315">
    <w:name w:val="正文加粗 Char"/>
    <w:uiPriority w:val="0"/>
    <w:rPr>
      <w:b/>
      <w:sz w:val="24"/>
      <w:szCs w:val="24"/>
    </w:rPr>
  </w:style>
  <w:style w:type="character" w:customStyle="1" w:styleId="3316">
    <w:name w:val="123YJ Char4"/>
    <w:uiPriority w:val="0"/>
    <w:rPr>
      <w:rFonts w:hint="eastAsia" w:ascii="宋体" w:hAnsi="宋体" w:eastAsia="宋体" w:cs="宋体"/>
      <w:kern w:val="2"/>
      <w:sz w:val="18"/>
      <w:szCs w:val="18"/>
      <w:lang w:val="en-US" w:eastAsia="zh-CN" w:bidi="ar-SA"/>
    </w:rPr>
  </w:style>
  <w:style w:type="character" w:customStyle="1" w:styleId="3317">
    <w:name w:val="正 Char"/>
    <w:uiPriority w:val="0"/>
    <w:rPr>
      <w:sz w:val="24"/>
      <w:szCs w:val="24"/>
    </w:rPr>
  </w:style>
  <w:style w:type="character" w:customStyle="1" w:styleId="3318">
    <w:name w:val="四号正文 Char"/>
    <w:uiPriority w:val="0"/>
    <w:rPr>
      <w:spacing w:val="6"/>
      <w:sz w:val="28"/>
    </w:rPr>
  </w:style>
  <w:style w:type="character" w:customStyle="1" w:styleId="3319">
    <w:name w:val="正文文本 2 Char2"/>
    <w:uiPriority w:val="0"/>
    <w:rPr>
      <w:kern w:val="2"/>
      <w:sz w:val="24"/>
      <w:szCs w:val="22"/>
    </w:rPr>
  </w:style>
  <w:style w:type="character" w:customStyle="1" w:styleId="3320">
    <w:name w:val="封皮标题 Char"/>
    <w:uiPriority w:val="0"/>
    <w:rPr>
      <w:rFonts w:hint="eastAsia" w:ascii="楷体_GB2312" w:eastAsia="楷体_GB2312" w:cs="楷体_GB2312"/>
      <w:b/>
      <w:kern w:val="2"/>
      <w:sz w:val="44"/>
      <w:szCs w:val="52"/>
    </w:rPr>
  </w:style>
  <w:style w:type="character" w:customStyle="1" w:styleId="3321">
    <w:name w:val="花3 Char"/>
    <w:uiPriority w:val="0"/>
    <w:rPr>
      <w:b/>
      <w:szCs w:val="21"/>
    </w:rPr>
  </w:style>
  <w:style w:type="character" w:customStyle="1" w:styleId="3322">
    <w:name w:val="尹东晓 Char Char2"/>
    <w:uiPriority w:val="0"/>
    <w:rPr>
      <w:rFonts w:hint="default" w:ascii="Arial" w:hAnsi="Arial" w:eastAsia="宋体" w:cs="Arial"/>
      <w:b/>
      <w:sz w:val="32"/>
      <w:szCs w:val="32"/>
      <w:lang w:val="en-US" w:eastAsia="zh-CN" w:bidi="ar-SA"/>
    </w:rPr>
  </w:style>
  <w:style w:type="character" w:customStyle="1" w:styleId="3323">
    <w:name w:val="+正文 Char"/>
    <w:uiPriority w:val="0"/>
    <w:rPr>
      <w:kern w:val="2"/>
      <w:sz w:val="24"/>
      <w:szCs w:val="28"/>
    </w:rPr>
  </w:style>
  <w:style w:type="character" w:customStyle="1" w:styleId="3324">
    <w:name w:val="报告宋体小四 Char"/>
    <w:uiPriority w:val="0"/>
    <w:rPr>
      <w:color w:val="000000"/>
      <w:sz w:val="24"/>
    </w:rPr>
  </w:style>
  <w:style w:type="character" w:customStyle="1" w:styleId="3325">
    <w:name w:val="normal Char"/>
    <w:uiPriority w:val="0"/>
    <w:rPr>
      <w:sz w:val="24"/>
      <w:szCs w:val="24"/>
    </w:rPr>
  </w:style>
  <w:style w:type="character" w:customStyle="1" w:styleId="3326">
    <w:name w:val="封里1文字黑体 Char"/>
    <w:uiPriority w:val="0"/>
    <w:rPr>
      <w:rFonts w:hint="eastAsia" w:ascii="黑体" w:eastAsia="黑体" w:cs="黑体"/>
      <w:b/>
      <w:sz w:val="30"/>
      <w:szCs w:val="30"/>
    </w:rPr>
  </w:style>
  <w:style w:type="character" w:customStyle="1" w:styleId="3327">
    <w:name w:val="瓯江总3 Char"/>
    <w:uiPriority w:val="0"/>
    <w:rPr>
      <w:rFonts w:hint="eastAsia" w:ascii="宋体" w:hAnsi="宋体" w:eastAsia="宋体" w:cs="宋体"/>
      <w:b/>
      <w:szCs w:val="21"/>
    </w:rPr>
  </w:style>
  <w:style w:type="character" w:customStyle="1" w:styleId="3328">
    <w:name w:val="目标题 1) Char Char1"/>
    <w:uiPriority w:val="0"/>
    <w:rPr>
      <w:rFonts w:hint="default" w:ascii="Arial" w:hAnsi="Arial" w:eastAsia="黑体" w:cs="Arial"/>
      <w:kern w:val="2"/>
      <w:sz w:val="24"/>
    </w:rPr>
  </w:style>
  <w:style w:type="character" w:customStyle="1" w:styleId="3329">
    <w:name w:val="样式 正文文本 + 首行缩进:  0.85 厘米 Char Char"/>
    <w:uiPriority w:val="0"/>
    <w:rPr>
      <w:rFonts w:hint="eastAsia" w:ascii="宋体" w:hAnsi="宋体" w:eastAsia="宋体" w:cs="宋体"/>
      <w:kern w:val="2"/>
      <w:sz w:val="24"/>
      <w:szCs w:val="24"/>
      <w:lang w:val="en-US" w:eastAsia="zh-CN" w:bidi="ar-SA"/>
    </w:rPr>
  </w:style>
  <w:style w:type="character" w:customStyle="1" w:styleId="3330">
    <w:name w:val="图表标题1 Char"/>
    <w:uiPriority w:val="0"/>
    <w:rPr>
      <w:rFonts w:hint="eastAsia" w:ascii="黑体" w:eastAsia="黑体" w:cs="黑体"/>
      <w:spacing w:val="6"/>
      <w:sz w:val="24"/>
      <w:szCs w:val="24"/>
    </w:rPr>
  </w:style>
  <w:style w:type="character" w:customStyle="1" w:styleId="3331">
    <w:name w:val="样式 我的正文 + 黑色 Char"/>
    <w:uiPriority w:val="0"/>
    <w:rPr>
      <w:color w:val="000000"/>
      <w:sz w:val="24"/>
      <w:szCs w:val="24"/>
    </w:rPr>
  </w:style>
  <w:style w:type="character" w:customStyle="1" w:styleId="3332">
    <w:name w:val="注释标题 Char1"/>
    <w:semiHidden/>
    <w:locked/>
    <w:uiPriority w:val="99"/>
    <w:rPr>
      <w:kern w:val="2"/>
      <w:sz w:val="24"/>
      <w:szCs w:val="24"/>
    </w:rPr>
  </w:style>
  <w:style w:type="character" w:customStyle="1" w:styleId="3333">
    <w:name w:val="标准标题11 Char"/>
    <w:uiPriority w:val="0"/>
    <w:rPr>
      <w:b/>
      <w:sz w:val="30"/>
      <w:szCs w:val="30"/>
    </w:rPr>
  </w:style>
  <w:style w:type="character" w:customStyle="1" w:styleId="3334">
    <w:name w:val="二级标题副本 Char"/>
    <w:uiPriority w:val="0"/>
    <w:rPr>
      <w:sz w:val="21"/>
      <w:szCs w:val="21"/>
    </w:rPr>
  </w:style>
  <w:style w:type="character" w:customStyle="1" w:styleId="3335">
    <w:name w:val="正文文字 3 Char Char1"/>
    <w:uiPriority w:val="0"/>
    <w:rPr>
      <w:rFonts w:hint="default" w:ascii="Times New Roman" w:hAnsi="Times New Roman" w:eastAsia="宋体" w:cs="Times New Roman"/>
      <w:sz w:val="16"/>
      <w:szCs w:val="16"/>
    </w:rPr>
  </w:style>
  <w:style w:type="character" w:customStyle="1" w:styleId="3336">
    <w:name w:val="正文 New New New New New New New New Char"/>
    <w:uiPriority w:val="0"/>
    <w:rPr>
      <w:kern w:val="2"/>
      <w:sz w:val="24"/>
      <w:szCs w:val="24"/>
    </w:rPr>
  </w:style>
  <w:style w:type="character" w:customStyle="1" w:styleId="3337">
    <w:name w:val="样式 要点 + 四号 加宽量  0.4 磅"/>
    <w:uiPriority w:val="0"/>
    <w:rPr>
      <w:rFonts w:hint="default" w:ascii="Times New Roman" w:hAnsi="Times New Roman" w:eastAsia="黑体" w:cs="Times New Roman"/>
      <w:snapToGrid w:val="0"/>
      <w:color w:val="auto"/>
      <w:spacing w:val="8"/>
      <w:w w:val="100"/>
      <w:kern w:val="28"/>
      <w:position w:val="0"/>
      <w:sz w:val="28"/>
      <w:szCs w:val="28"/>
      <w:u w:val="none"/>
      <w:lang w:val="en-US" w:eastAsia="zh-CN" w:bidi="ar-SA"/>
    </w:rPr>
  </w:style>
  <w:style w:type="character" w:customStyle="1" w:styleId="3338">
    <w:name w:val="三级标题-烟台 Char"/>
    <w:uiPriority w:val="0"/>
    <w:rPr>
      <w:rFonts w:hint="default" w:ascii="Arial" w:hAnsi="Arial" w:cs="Arial"/>
      <w:bCs/>
      <w:kern w:val="2"/>
      <w:sz w:val="28"/>
      <w:szCs w:val="28"/>
    </w:rPr>
  </w:style>
  <w:style w:type="character" w:customStyle="1" w:styleId="3339">
    <w:name w:val="2级标题 Char"/>
    <w:uiPriority w:val="0"/>
    <w:rPr>
      <w:b/>
      <w:sz w:val="28"/>
      <w:szCs w:val="32"/>
    </w:rPr>
  </w:style>
  <w:style w:type="character" w:customStyle="1" w:styleId="3340">
    <w:name w:val="MY 正文 Char"/>
    <w:uiPriority w:val="0"/>
    <w:rPr>
      <w:rFonts w:hint="default" w:ascii="Times New Roman" w:hAnsi="Times New Roman" w:cs="宋体"/>
      <w:color w:val="000000"/>
      <w:sz w:val="24"/>
    </w:rPr>
  </w:style>
  <w:style w:type="character" w:customStyle="1" w:styleId="3341">
    <w:name w:val="表格文字 hrj Char Char"/>
    <w:uiPriority w:val="0"/>
    <w:rPr>
      <w:sz w:val="21"/>
      <w:szCs w:val="21"/>
    </w:rPr>
  </w:style>
  <w:style w:type="character" w:customStyle="1" w:styleId="3342">
    <w:name w:val="签名页 Char"/>
    <w:uiPriority w:val="0"/>
    <w:rPr>
      <w:rFonts w:hint="eastAsia" w:ascii="楷体_GB2312" w:eastAsia="楷体_GB2312" w:cs="楷体_GB2312"/>
      <w:b/>
      <w:sz w:val="30"/>
    </w:rPr>
  </w:style>
  <w:style w:type="character" w:customStyle="1" w:styleId="3343">
    <w:name w:val="样式 柏瓯飞滩1 Char"/>
    <w:uiPriority w:val="0"/>
    <w:rPr>
      <w:b/>
      <w:sz w:val="32"/>
      <w:szCs w:val="32"/>
    </w:rPr>
  </w:style>
  <w:style w:type="character" w:customStyle="1" w:styleId="3344">
    <w:name w:val="my 正文 Char"/>
    <w:uiPriority w:val="0"/>
    <w:rPr>
      <w:snapToGrid/>
      <w:sz w:val="24"/>
      <w:szCs w:val="24"/>
    </w:rPr>
  </w:style>
  <w:style w:type="character" w:customStyle="1" w:styleId="3345">
    <w:name w:val="瓯江总1 Char"/>
    <w:uiPriority w:val="0"/>
    <w:rPr>
      <w:b/>
      <w:szCs w:val="28"/>
    </w:rPr>
  </w:style>
  <w:style w:type="character" w:customStyle="1" w:styleId="3346">
    <w:name w:val="标题 2霍 Char Char"/>
    <w:uiPriority w:val="0"/>
    <w:rPr>
      <w:rFonts w:hint="default" w:ascii="Arial" w:hAnsi="Arial" w:eastAsia="黑体" w:cs="Arial"/>
      <w:b/>
      <w:kern w:val="2"/>
      <w:sz w:val="32"/>
      <w:szCs w:val="32"/>
      <w:lang w:val="en-US" w:eastAsia="zh-CN" w:bidi="ar-SA"/>
    </w:rPr>
  </w:style>
  <w:style w:type="character" w:customStyle="1" w:styleId="3347">
    <w:name w:val="MY 图和表名 Char"/>
    <w:uiPriority w:val="0"/>
    <w:rPr>
      <w:snapToGrid/>
      <w:color w:val="000000"/>
      <w:sz w:val="21"/>
      <w:szCs w:val="24"/>
    </w:rPr>
  </w:style>
  <w:style w:type="character" w:customStyle="1" w:styleId="3348">
    <w:name w:val="样式 宋体 小四1"/>
    <w:uiPriority w:val="0"/>
    <w:rPr>
      <w:rFonts w:hint="eastAsia" w:ascii="宋体" w:hAnsi="宋体" w:eastAsia="宋体" w:cs="宋体"/>
      <w:kern w:val="2"/>
      <w:sz w:val="28"/>
      <w:szCs w:val="24"/>
      <w:lang w:val="en-US" w:eastAsia="zh-CN" w:bidi="ar-SA"/>
    </w:rPr>
  </w:style>
  <w:style w:type="character" w:customStyle="1" w:styleId="3349">
    <w:name w:val="表头1 Char Char Char"/>
    <w:uiPriority w:val="0"/>
    <w:rPr>
      <w:rFonts w:hint="default" w:ascii="Arial" w:hAnsi="Arial" w:eastAsia="宋体" w:cs="Arial"/>
      <w:kern w:val="2"/>
      <w:sz w:val="24"/>
      <w:szCs w:val="16"/>
      <w:lang w:val="en-US" w:eastAsia="zh-CN" w:bidi="ar-SA"/>
    </w:rPr>
  </w:style>
  <w:style w:type="character" w:customStyle="1" w:styleId="3350">
    <w:name w:val="标题 3 Char4"/>
    <w:semiHidden/>
    <w:locked/>
    <w:uiPriority w:val="0"/>
    <w:rPr>
      <w:b/>
      <w:bCs/>
      <w:kern w:val="2"/>
      <w:sz w:val="32"/>
      <w:szCs w:val="32"/>
    </w:rPr>
  </w:style>
  <w:style w:type="character" w:customStyle="1" w:styleId="3351">
    <w:name w:val="样式 标题 3标题 3 Char Char Char Char Char标题3标题 3 Char Char Char Ch... Char"/>
    <w:uiPriority w:val="0"/>
    <w:rPr>
      <w:rFonts w:hint="eastAsia" w:ascii="宋体" w:hAnsi="宋体" w:eastAsia="宋体" w:cs="宋体"/>
      <w:bCs/>
      <w:sz w:val="32"/>
      <w:szCs w:val="32"/>
    </w:rPr>
  </w:style>
  <w:style w:type="character" w:customStyle="1" w:styleId="3352">
    <w:name w:val="封里1 job Char"/>
    <w:uiPriority w:val="0"/>
    <w:rPr>
      <w:rFonts w:hint="eastAsia" w:ascii="黑体" w:eastAsia="黑体" w:cs="黑体"/>
      <w:sz w:val="30"/>
      <w:szCs w:val="30"/>
    </w:rPr>
  </w:style>
  <w:style w:type="character" w:customStyle="1" w:styleId="3353">
    <w:name w:val="瓯江附图 Char"/>
    <w:uiPriority w:val="0"/>
    <w:rPr>
      <w:b/>
      <w:szCs w:val="21"/>
    </w:rPr>
  </w:style>
  <w:style w:type="character" w:customStyle="1" w:styleId="3354">
    <w:name w:val="样式 宋体 黑色 加宽量  1 磅"/>
    <w:uiPriority w:val="0"/>
    <w:rPr>
      <w:rFonts w:hint="eastAsia" w:ascii="宋体" w:hAnsi="宋体" w:eastAsia="宋体" w:cs="宋体"/>
      <w:color w:val="000000"/>
      <w:spacing w:val="0"/>
    </w:rPr>
  </w:style>
  <w:style w:type="character" w:customStyle="1" w:styleId="3355">
    <w:name w:val="样式 图表名 + 蓝色 Char"/>
    <w:uiPriority w:val="0"/>
    <w:rPr>
      <w:color w:val="0000FF"/>
      <w:kern w:val="2"/>
      <w:sz w:val="21"/>
      <w:szCs w:val="21"/>
    </w:rPr>
  </w:style>
  <w:style w:type="character" w:customStyle="1" w:styleId="3356">
    <w:name w:val="图头 Char"/>
    <w:uiPriority w:val="0"/>
    <w:rPr>
      <w:szCs w:val="24"/>
    </w:rPr>
  </w:style>
  <w:style w:type="character" w:customStyle="1" w:styleId="3357">
    <w:name w:val="aspmaker1"/>
    <w:uiPriority w:val="0"/>
    <w:rPr>
      <w:sz w:val="20"/>
      <w:szCs w:val="20"/>
    </w:rPr>
  </w:style>
  <w:style w:type="character" w:customStyle="1" w:styleId="3358">
    <w:name w:val="样式 标题 3H3Heading 3 - old + (中文) 仿宋_GB2312 四号 Char"/>
    <w:uiPriority w:val="0"/>
    <w:rPr>
      <w:rFonts w:hint="eastAsia" w:ascii="仿宋_GB2312" w:eastAsia="仿宋_GB2312" w:cs="仿宋_GB2312"/>
      <w:bCs/>
      <w:sz w:val="28"/>
      <w:szCs w:val="32"/>
    </w:rPr>
  </w:style>
  <w:style w:type="character" w:customStyle="1" w:styleId="3359">
    <w:name w:val="样式 表格正文 + Char"/>
    <w:uiPriority w:val="0"/>
    <w:rPr>
      <w:sz w:val="21"/>
      <w:szCs w:val="21"/>
    </w:rPr>
  </w:style>
  <w:style w:type="character" w:customStyle="1" w:styleId="3360">
    <w:name w:val="样式 正文标准正文 +"/>
    <w:uiPriority w:val="0"/>
    <w:rPr>
      <w:rFonts w:hint="default" w:ascii="Times New Roman" w:hAnsi="Times New Roman" w:eastAsia="Times New Roman" w:cs="Times New Roman"/>
      <w:kern w:val="0"/>
      <w:sz w:val="24"/>
    </w:rPr>
  </w:style>
  <w:style w:type="character" w:customStyle="1" w:styleId="3361">
    <w:name w:val="样式1 Char Char"/>
    <w:uiPriority w:val="0"/>
    <w:rPr>
      <w:rFonts w:hint="default" w:ascii="Times New Roman" w:hAnsi="Times New Roman" w:eastAsia="宋体" w:cs="Times New Roman"/>
      <w:color w:val="FF00FF"/>
      <w:kern w:val="0"/>
      <w:sz w:val="28"/>
      <w:szCs w:val="24"/>
      <w:lang w:val="en-US" w:eastAsia="zh-CN" w:bidi="ar-SA"/>
    </w:rPr>
  </w:style>
  <w:style w:type="character" w:customStyle="1" w:styleId="3362">
    <w:name w:val="正文炜烨"/>
    <w:uiPriority w:val="0"/>
    <w:rPr>
      <w:color w:val="339966"/>
    </w:rPr>
  </w:style>
  <w:style w:type="character" w:customStyle="1" w:styleId="3363">
    <w:name w:val="样式 样式 样式 样式 首行缩进:  2 字符 + 首行缩进:  2 字符 + 首行缩进:  2 字符 + 两端对齐 Char Char Char"/>
    <w:uiPriority w:val="0"/>
    <w:rPr>
      <w:rFonts w:hint="default" w:ascii="Arial" w:hAnsi="Arial" w:eastAsia="宋体" w:cs="宋体"/>
      <w:color w:val="0000FF"/>
      <w:spacing w:val="8"/>
      <w:kern w:val="2"/>
      <w:sz w:val="24"/>
      <w:szCs w:val="24"/>
      <w:lang w:val="en-US" w:eastAsia="zh-CN" w:bidi="ar-SA"/>
    </w:rPr>
  </w:style>
  <w:style w:type="character" w:customStyle="1" w:styleId="3364">
    <w:name w:val="样式 题注 + 首行缩进:  2 字符 Char Char"/>
    <w:uiPriority w:val="0"/>
    <w:rPr>
      <w:rFonts w:hint="default" w:ascii="Arial" w:hAnsi="Arial" w:eastAsia="黑体" w:cs="Arial"/>
      <w:sz w:val="24"/>
      <w:szCs w:val="24"/>
    </w:rPr>
  </w:style>
  <w:style w:type="character" w:customStyle="1" w:styleId="3365">
    <w:name w:val="peng正文 Char"/>
    <w:uiPriority w:val="0"/>
    <w:rPr>
      <w:rFonts w:hint="default" w:ascii="Times New Roman" w:hAnsi="Times New Roman" w:cs="Times New Roman"/>
      <w:color w:val="4F81BD"/>
      <w:kern w:val="2"/>
      <w:sz w:val="24"/>
    </w:rPr>
  </w:style>
  <w:style w:type="character" w:customStyle="1" w:styleId="3366">
    <w:name w:val="Figure Char Char"/>
    <w:uiPriority w:val="0"/>
    <w:rPr>
      <w:rFonts w:hint="eastAsia" w:ascii="黑体" w:eastAsia="黑体" w:cs="黑体"/>
      <w:b/>
      <w:spacing w:val="4"/>
      <w:kern w:val="2"/>
      <w:sz w:val="24"/>
      <w:szCs w:val="24"/>
      <w:lang w:val="en-US" w:eastAsia="zh-CN" w:bidi="ar-SA"/>
    </w:rPr>
  </w:style>
  <w:style w:type="character" w:customStyle="1" w:styleId="3367">
    <w:name w:val="my-正文 Char"/>
    <w:uiPriority w:val="0"/>
    <w:rPr>
      <w:snapToGrid/>
      <w:sz w:val="24"/>
      <w:szCs w:val="36"/>
    </w:rPr>
  </w:style>
  <w:style w:type="character" w:customStyle="1" w:styleId="3368">
    <w:name w:val="ljsh Char"/>
    <w:uiPriority w:val="0"/>
    <w:rPr>
      <w:rFonts w:hint="eastAsia" w:ascii="宋体" w:hAnsi="宋体" w:eastAsia="宋体" w:cs="Arial"/>
      <w:snapToGrid/>
      <w:color w:val="000000"/>
      <w:kern w:val="2"/>
      <w:sz w:val="21"/>
      <w:szCs w:val="24"/>
    </w:rPr>
  </w:style>
  <w:style w:type="character" w:customStyle="1" w:styleId="3369">
    <w:name w:val="1-正文 Char"/>
    <w:uiPriority w:val="0"/>
    <w:rPr>
      <w:rFonts w:hint="eastAsia" w:ascii="宋体" w:hAnsi="宋体" w:eastAsia="宋体" w:cs="宋体"/>
      <w:kern w:val="2"/>
      <w:sz w:val="24"/>
      <w:szCs w:val="24"/>
      <w:lang w:val="en-US" w:eastAsia="zh-CN" w:bidi="ar-SA"/>
    </w:rPr>
  </w:style>
  <w:style w:type="character" w:customStyle="1" w:styleId="3370">
    <w:name w:val="样式 标题 4 + (中文) 宋体 Char"/>
    <w:uiPriority w:val="0"/>
    <w:rPr>
      <w:kern w:val="2"/>
      <w:sz w:val="28"/>
      <w:szCs w:val="28"/>
    </w:rPr>
  </w:style>
  <w:style w:type="character" w:customStyle="1" w:styleId="3371">
    <w:name w:val="图表标题1 Char Char"/>
    <w:uiPriority w:val="0"/>
    <w:rPr>
      <w:rFonts w:hint="eastAsia" w:ascii="黑体" w:hAnsi="宋体" w:eastAsia="黑体" w:cs="黑体"/>
      <w:spacing w:val="6"/>
      <w:kern w:val="2"/>
      <w:sz w:val="24"/>
      <w:szCs w:val="28"/>
    </w:rPr>
  </w:style>
  <w:style w:type="character" w:customStyle="1" w:styleId="3372">
    <w:name w:val="正文文字 3 Char Char2"/>
    <w:uiPriority w:val="0"/>
    <w:rPr>
      <w:rFonts w:hint="eastAsia" w:ascii="宋体" w:hAnsi="宋体" w:eastAsia="宋体" w:cs="宋体"/>
      <w:kern w:val="2"/>
      <w:sz w:val="16"/>
      <w:szCs w:val="16"/>
      <w:lang w:val="en-US" w:eastAsia="zh-CN" w:bidi="ar-SA"/>
    </w:rPr>
  </w:style>
  <w:style w:type="character" w:customStyle="1" w:styleId="3373">
    <w:name w:val="trans"/>
    <w:uiPriority w:val="0"/>
  </w:style>
  <w:style w:type="character" w:customStyle="1" w:styleId="3374">
    <w:name w:val="样式 样式 样式 四号 + 首行缩进:  2.25 字符 + 宋体 Char"/>
    <w:uiPriority w:val="0"/>
    <w:rPr>
      <w:rFonts w:hint="eastAsia" w:ascii="宋体" w:hAnsi="宋体" w:eastAsia="宋体" w:cs="宋体"/>
      <w:kern w:val="2"/>
      <w:sz w:val="21"/>
      <w:szCs w:val="21"/>
    </w:rPr>
  </w:style>
  <w:style w:type="character" w:customStyle="1" w:styleId="3375">
    <w:name w:val="图 名 Char"/>
    <w:uiPriority w:val="0"/>
    <w:rPr>
      <w:b/>
      <w:sz w:val="24"/>
      <w:szCs w:val="24"/>
    </w:rPr>
  </w:style>
  <w:style w:type="character" w:customStyle="1" w:styleId="3376">
    <w:name w:val="标题 8 Char2"/>
    <w:semiHidden/>
    <w:locked/>
    <w:uiPriority w:val="0"/>
    <w:rPr>
      <w:rFonts w:ascii="宋体"/>
      <w:kern w:val="2"/>
      <w:sz w:val="24"/>
      <w:szCs w:val="24"/>
    </w:rPr>
  </w:style>
  <w:style w:type="character" w:customStyle="1" w:styleId="3377">
    <w:name w:val="样式 表 + 蓝色 Char"/>
    <w:uiPriority w:val="0"/>
    <w:rPr>
      <w:rFonts w:hint="eastAsia" w:ascii="宋体" w:hAnsi="宋体" w:eastAsia="宋体" w:cs="宋体"/>
      <w:color w:val="0000FF"/>
      <w:szCs w:val="21"/>
    </w:rPr>
  </w:style>
  <w:style w:type="character" w:customStyle="1" w:styleId="3378">
    <w:name w:val="正文文本缩进 3 Char2"/>
    <w:uiPriority w:val="0"/>
    <w:rPr>
      <w:kern w:val="2"/>
      <w:sz w:val="16"/>
      <w:szCs w:val="16"/>
    </w:rPr>
  </w:style>
  <w:style w:type="character" w:customStyle="1" w:styleId="3379">
    <w:name w:val="备注 Char"/>
    <w:uiPriority w:val="0"/>
    <w:rPr>
      <w:sz w:val="18"/>
    </w:rPr>
  </w:style>
  <w:style w:type="character" w:customStyle="1" w:styleId="3380">
    <w:name w:val="Char Char29"/>
    <w:uiPriority w:val="0"/>
    <w:rPr>
      <w:rFonts w:hint="eastAsia" w:ascii="宋体" w:hAnsi="宋体" w:eastAsia="宋体" w:cs="宋体"/>
      <w:b/>
      <w:kern w:val="44"/>
      <w:sz w:val="44"/>
      <w:szCs w:val="44"/>
    </w:rPr>
  </w:style>
  <w:style w:type="character" w:customStyle="1" w:styleId="3381">
    <w:name w:val="亚美2 Char"/>
    <w:uiPriority w:val="0"/>
    <w:rPr>
      <w:b/>
      <w:szCs w:val="28"/>
    </w:rPr>
  </w:style>
  <w:style w:type="character" w:customStyle="1" w:styleId="3382">
    <w:name w:val="a正文格式 Char"/>
    <w:uiPriority w:val="0"/>
    <w:rPr>
      <w:kern w:val="2"/>
      <w:sz w:val="24"/>
    </w:rPr>
  </w:style>
  <w:style w:type="character" w:customStyle="1" w:styleId="3383">
    <w:name w:val="表格文字（居中） Char Char"/>
    <w:uiPriority w:val="0"/>
    <w:rPr>
      <w:rFonts w:hint="default" w:ascii="Arial" w:hAnsi="Arial" w:eastAsia="宋体" w:cs="Arial"/>
      <w:spacing w:val="8"/>
      <w:kern w:val="2"/>
      <w:sz w:val="18"/>
      <w:szCs w:val="18"/>
      <w:lang w:val="en-US" w:eastAsia="zh-CN" w:bidi="ar-SA"/>
    </w:rPr>
  </w:style>
  <w:style w:type="character" w:customStyle="1" w:styleId="3384">
    <w:name w:val="样式 四号 Char"/>
    <w:uiPriority w:val="0"/>
    <w:rPr>
      <w:rFonts w:hint="eastAsia" w:ascii="宋体" w:hAnsi="宋体" w:eastAsia="宋体" w:cs="宋体"/>
      <w:kern w:val="2"/>
      <w:sz w:val="21"/>
      <w:szCs w:val="24"/>
    </w:rPr>
  </w:style>
  <w:style w:type="character" w:customStyle="1" w:styleId="3385">
    <w:name w:val="[1]表格 Char Char"/>
    <w:uiPriority w:val="0"/>
    <w:rPr>
      <w:snapToGrid/>
      <w:szCs w:val="21"/>
    </w:rPr>
  </w:style>
  <w:style w:type="character" w:customStyle="1" w:styleId="3386">
    <w:name w:val="表文 Char"/>
    <w:uiPriority w:val="0"/>
    <w:rPr>
      <w:rFonts w:hint="eastAsia" w:ascii="宋体" w:hAnsi="宋体" w:eastAsia="宋体" w:cs="宋体"/>
      <w:snapToGrid/>
      <w:spacing w:val="-6"/>
      <w:kern w:val="2"/>
      <w:sz w:val="24"/>
      <w:szCs w:val="24"/>
    </w:rPr>
  </w:style>
  <w:style w:type="character" w:customStyle="1" w:styleId="3387">
    <w:name w:val="表zw图 Char"/>
    <w:uiPriority w:val="0"/>
    <w:rPr>
      <w:b/>
    </w:rPr>
  </w:style>
  <w:style w:type="character" w:customStyle="1" w:styleId="3388">
    <w:name w:val="日期 Char3"/>
    <w:uiPriority w:val="0"/>
    <w:rPr>
      <w:kern w:val="2"/>
      <w:sz w:val="24"/>
      <w:szCs w:val="22"/>
    </w:rPr>
  </w:style>
  <w:style w:type="character" w:customStyle="1" w:styleId="3389">
    <w:name w:val="样式 正文缩进正文（首行缩进两字）文本条款特点首行缩进两字正文缩进 Char正文缩进 Char1 Char正文缩进...1 Char"/>
    <w:uiPriority w:val="0"/>
    <w:rPr>
      <w:rFonts w:hint="eastAsia" w:ascii="宋体" w:hAnsi="宋体" w:eastAsia="宋体" w:cs="宋体"/>
      <w:color w:val="FF0000"/>
      <w:sz w:val="24"/>
      <w:szCs w:val="24"/>
    </w:rPr>
  </w:style>
  <w:style w:type="character" w:customStyle="1" w:styleId="3390">
    <w:name w:val="表格文字（左对齐） Char"/>
    <w:uiPriority w:val="0"/>
    <w:rPr>
      <w:rFonts w:hint="default" w:ascii="Arial" w:hAnsi="Arial" w:eastAsia="宋体" w:cs="Century"/>
      <w:spacing w:val="8"/>
      <w:kern w:val="2"/>
      <w:sz w:val="18"/>
      <w:szCs w:val="24"/>
      <w:lang w:val="en-US" w:eastAsia="zh-CN" w:bidi="ar-SA"/>
    </w:rPr>
  </w:style>
  <w:style w:type="character" w:customStyle="1" w:styleId="3391">
    <w:name w:val="海域论证正文 Char"/>
    <w:uiPriority w:val="0"/>
    <w:rPr>
      <w:szCs w:val="21"/>
    </w:rPr>
  </w:style>
  <w:style w:type="character" w:customStyle="1" w:styleId="3392">
    <w:name w:val="瓯江总2 Char"/>
    <w:uiPriority w:val="0"/>
    <w:rPr>
      <w:rFonts w:hint="eastAsia" w:ascii="宋体" w:hAnsi="宋体" w:eastAsia="宋体" w:cs="宋体"/>
      <w:b/>
      <w:szCs w:val="21"/>
    </w:rPr>
  </w:style>
  <w:style w:type="character" w:customStyle="1" w:styleId="3393">
    <w:name w:val="图表 Char"/>
    <w:uiPriority w:val="0"/>
    <w:rPr>
      <w:rFonts w:hint="eastAsia" w:ascii="黑体" w:hAnsi="宋体" w:eastAsia="黑体" w:cs="黑体"/>
      <w:kern w:val="2"/>
      <w:sz w:val="24"/>
      <w:szCs w:val="24"/>
    </w:rPr>
  </w:style>
  <w:style w:type="character" w:customStyle="1" w:styleId="3394">
    <w:name w:val="航道正文 Char Char"/>
    <w:uiPriority w:val="0"/>
    <w:rPr>
      <w:color w:val="000000"/>
      <w:kern w:val="2"/>
      <w:sz w:val="28"/>
      <w:szCs w:val="24"/>
    </w:rPr>
  </w:style>
  <w:style w:type="character" w:customStyle="1" w:styleId="3395">
    <w:name w:val="附图和附表等 Char"/>
    <w:uiPriority w:val="0"/>
    <w:rPr>
      <w:rFonts w:hint="eastAsia" w:ascii="宋体" w:hAnsi="宋体" w:eastAsia="宋体" w:cs="宋体"/>
      <w:szCs w:val="21"/>
    </w:rPr>
  </w:style>
  <w:style w:type="character" w:customStyle="1" w:styleId="3396">
    <w:name w:val="main"/>
    <w:uiPriority w:val="0"/>
  </w:style>
  <w:style w:type="character" w:customStyle="1" w:styleId="3397">
    <w:name w:val="正文文档 Char"/>
    <w:uiPriority w:val="0"/>
    <w:rPr>
      <w:sz w:val="24"/>
      <w:szCs w:val="24"/>
    </w:rPr>
  </w:style>
  <w:style w:type="character" w:customStyle="1" w:styleId="3398">
    <w:name w:val="封里表格 Char"/>
    <w:uiPriority w:val="0"/>
    <w:rPr>
      <w:rFonts w:hint="default" w:ascii="Times New Roman" w:hAnsi="Times New Roman" w:eastAsia="Times New Roman" w:cs="Times New Roman"/>
      <w:kern w:val="2"/>
      <w:sz w:val="24"/>
      <w:szCs w:val="24"/>
    </w:rPr>
  </w:style>
  <w:style w:type="character" w:customStyle="1" w:styleId="3399">
    <w:name w:val="msoplaceholdertext"/>
    <w:uiPriority w:val="0"/>
    <w:rPr>
      <w:color w:val="808080"/>
    </w:rPr>
  </w:style>
  <w:style w:type="character" w:customStyle="1" w:styleId="3400">
    <w:name w:val="样式 表格 + 宋体 Char"/>
    <w:uiPriority w:val="0"/>
    <w:rPr>
      <w:rFonts w:hint="eastAsia" w:ascii="宋体" w:hAnsi="宋体" w:eastAsia="宋体" w:cs="Courier New"/>
      <w:spacing w:val="-8"/>
      <w:kern w:val="2"/>
      <w:sz w:val="21"/>
      <w:szCs w:val="24"/>
      <w:lang w:val="en-US" w:eastAsia="zh-CN" w:bidi="ar-SA"/>
    </w:rPr>
  </w:style>
  <w:style w:type="character" w:customStyle="1" w:styleId="3401">
    <w:name w:val="样式 海域论证正文 + 宋体 Char"/>
    <w:uiPriority w:val="0"/>
    <w:rPr>
      <w:rFonts w:hint="eastAsia" w:ascii="宋体" w:hAnsi="宋体" w:eastAsia="宋体" w:cs="宋体"/>
      <w:szCs w:val="21"/>
    </w:rPr>
  </w:style>
  <w:style w:type="character" w:customStyle="1" w:styleId="3402">
    <w:name w:val="正文文字缩进 3 Char Char4"/>
    <w:uiPriority w:val="0"/>
    <w:rPr>
      <w:rFonts w:hint="eastAsia" w:ascii="宋体" w:hAnsi="宋体" w:eastAsia="宋体" w:cs="宋体"/>
      <w:kern w:val="2"/>
      <w:sz w:val="16"/>
      <w:szCs w:val="16"/>
      <w:lang w:val="en-US" w:eastAsia="zh-CN" w:bidi="ar-SA"/>
    </w:rPr>
  </w:style>
  <w:style w:type="character" w:customStyle="1" w:styleId="3403">
    <w:name w:val="样式 宋体 小四 红色"/>
    <w:uiPriority w:val="0"/>
    <w:rPr>
      <w:rFonts w:hint="eastAsia" w:ascii="宋体" w:hAnsi="宋体" w:eastAsia="宋体" w:cs="宋体"/>
      <w:color w:val="FF0000"/>
      <w:kern w:val="2"/>
      <w:sz w:val="28"/>
      <w:szCs w:val="24"/>
      <w:lang w:val="en-US" w:eastAsia="zh-CN" w:bidi="ar-SA"/>
    </w:rPr>
  </w:style>
  <w:style w:type="character" w:customStyle="1" w:styleId="3404">
    <w:name w:val="样式 正文首行缩进正文首行缩进 Char Char Char正文首行缩进 Char Char Char Char Char ... Char Char Char Char"/>
    <w:uiPriority w:val="0"/>
    <w:rPr>
      <w:rFonts w:hint="eastAsia" w:ascii="宋体" w:hAnsi="宋体" w:eastAsia="宋体" w:cs="宋体"/>
      <w:color w:val="000000"/>
      <w:spacing w:val="8"/>
      <w:kern w:val="2"/>
      <w:sz w:val="24"/>
      <w:szCs w:val="24"/>
      <w:lang w:val="en-US" w:eastAsia="zh-CN" w:bidi="ar-SA"/>
    </w:rPr>
  </w:style>
  <w:style w:type="character" w:customStyle="1" w:styleId="3405">
    <w:name w:val="一级标题（赤泥）"/>
    <w:uiPriority w:val="0"/>
    <w:rPr>
      <w:rFonts w:hint="default" w:ascii="Times New Roman" w:hAnsi="Times New Roman" w:eastAsia="宋体" w:cs="Times New Roman"/>
      <w:b/>
      <w:kern w:val="44"/>
      <w:sz w:val="32"/>
      <w:szCs w:val="32"/>
      <w:lang w:val="en-US" w:eastAsia="zh-CN" w:bidi="ar-SA"/>
    </w:rPr>
  </w:style>
  <w:style w:type="character" w:customStyle="1" w:styleId="3406">
    <w:name w:val="main1"/>
    <w:uiPriority w:val="0"/>
    <w:rPr>
      <w:color w:val="333333"/>
      <w:sz w:val="15"/>
      <w:szCs w:val="15"/>
    </w:rPr>
  </w:style>
  <w:style w:type="character" w:customStyle="1" w:styleId="3407">
    <w:name w:val="页眉1 Char Char1"/>
    <w:uiPriority w:val="0"/>
    <w:rPr>
      <w:rFonts w:hint="eastAsia" w:ascii="宋体" w:hAnsi="宋体" w:eastAsia="宋体" w:cs="宋体"/>
      <w:kern w:val="2"/>
      <w:sz w:val="18"/>
      <w:szCs w:val="18"/>
      <w:lang w:val="en-US" w:eastAsia="zh-CN" w:bidi="ar-SA"/>
    </w:rPr>
  </w:style>
  <w:style w:type="character" w:customStyle="1" w:styleId="3408">
    <w:name w:val="My表 Char"/>
    <w:uiPriority w:val="0"/>
    <w:rPr>
      <w:snapToGrid/>
      <w:color w:val="000000"/>
      <w:sz w:val="21"/>
      <w:szCs w:val="21"/>
    </w:rPr>
  </w:style>
  <w:style w:type="character" w:customStyle="1" w:styleId="3409">
    <w:name w:val="样式 标题 3标题 3 Char Char Char Char Char标题3标题 3 Char Char Char Ch...1 Char"/>
    <w:uiPriority w:val="0"/>
    <w:rPr>
      <w:rFonts w:hint="eastAsia" w:ascii="宋体" w:hAnsi="宋体" w:eastAsia="宋体" w:cs="宋体"/>
      <w:bCs/>
      <w:sz w:val="24"/>
      <w:szCs w:val="32"/>
    </w:rPr>
  </w:style>
  <w:style w:type="character" w:customStyle="1" w:styleId="3410">
    <w:name w:val="样式 标题 31.1.1Char标题3标题 3 Char Char Char Char Char标题 3 Char C...1 Char"/>
    <w:uiPriority w:val="0"/>
    <w:rPr>
      <w:rFonts w:hint="eastAsia" w:ascii="宋体" w:hAnsi="宋体" w:eastAsia="宋体" w:cs="宋体"/>
      <w:bCs/>
      <w:sz w:val="30"/>
      <w:szCs w:val="30"/>
    </w:rPr>
  </w:style>
  <w:style w:type="character" w:customStyle="1" w:styleId="3411">
    <w:name w:val="批注主题 Char3"/>
    <w:semiHidden/>
    <w:uiPriority w:val="0"/>
    <w:rPr>
      <w:b/>
      <w:bCs/>
      <w:kern w:val="2"/>
      <w:sz w:val="21"/>
      <w:szCs w:val="24"/>
    </w:rPr>
  </w:style>
  <w:style w:type="character" w:customStyle="1" w:styleId="3412">
    <w:name w:val="正文文本 2 Char3"/>
    <w:semiHidden/>
    <w:uiPriority w:val="0"/>
    <w:rPr>
      <w:kern w:val="2"/>
      <w:sz w:val="21"/>
      <w:szCs w:val="24"/>
    </w:rPr>
  </w:style>
  <w:style w:type="character" w:customStyle="1" w:styleId="3413">
    <w:name w:val="称呼 Char2"/>
    <w:semiHidden/>
    <w:uiPriority w:val="0"/>
    <w:rPr>
      <w:kern w:val="2"/>
      <w:sz w:val="21"/>
      <w:szCs w:val="24"/>
    </w:rPr>
  </w:style>
  <w:style w:type="character" w:customStyle="1" w:styleId="3414">
    <w:name w:val="正文文本 Char5"/>
    <w:semiHidden/>
    <w:locked/>
    <w:uiPriority w:val="0"/>
    <w:rPr>
      <w:kern w:val="2"/>
      <w:sz w:val="21"/>
      <w:szCs w:val="24"/>
    </w:rPr>
  </w:style>
  <w:style w:type="character" w:customStyle="1" w:styleId="3415">
    <w:name w:val="正文首行缩进 Char4"/>
    <w:semiHidden/>
    <w:uiPriority w:val="0"/>
  </w:style>
  <w:style w:type="character" w:customStyle="1" w:styleId="3416">
    <w:name w:val="正文文本缩进 Char4"/>
    <w:semiHidden/>
    <w:locked/>
    <w:uiPriority w:val="0"/>
    <w:rPr>
      <w:kern w:val="2"/>
      <w:sz w:val="21"/>
      <w:szCs w:val="24"/>
    </w:rPr>
  </w:style>
  <w:style w:type="character" w:customStyle="1" w:styleId="3417">
    <w:name w:val="宏文本 Char2"/>
    <w:semiHidden/>
    <w:uiPriority w:val="0"/>
    <w:rPr>
      <w:rFonts w:hint="default" w:ascii="Courier New" w:hAnsi="Courier New" w:cs="Courier New"/>
      <w:kern w:val="2"/>
      <w:sz w:val="24"/>
      <w:szCs w:val="24"/>
    </w:rPr>
  </w:style>
  <w:style w:type="character" w:customStyle="1" w:styleId="3418">
    <w:name w:val="正文文本缩进 2 Char5"/>
    <w:semiHidden/>
    <w:uiPriority w:val="0"/>
    <w:rPr>
      <w:kern w:val="2"/>
      <w:sz w:val="21"/>
      <w:szCs w:val="24"/>
    </w:rPr>
  </w:style>
  <w:style w:type="character" w:customStyle="1" w:styleId="3419">
    <w:name w:val="日期 Char4"/>
    <w:semiHidden/>
    <w:uiPriority w:val="0"/>
    <w:rPr>
      <w:kern w:val="2"/>
      <w:sz w:val="21"/>
      <w:szCs w:val="24"/>
    </w:rPr>
  </w:style>
  <w:style w:type="character" w:customStyle="1" w:styleId="3420">
    <w:name w:val="注释标题 Char3"/>
    <w:semiHidden/>
    <w:uiPriority w:val="0"/>
    <w:rPr>
      <w:kern w:val="2"/>
      <w:sz w:val="21"/>
      <w:szCs w:val="24"/>
    </w:rPr>
  </w:style>
  <w:style w:type="character" w:customStyle="1" w:styleId="3421">
    <w:name w:val="电子邮件签名 Char2"/>
    <w:semiHidden/>
    <w:uiPriority w:val="0"/>
    <w:rPr>
      <w:kern w:val="2"/>
      <w:sz w:val="21"/>
      <w:szCs w:val="24"/>
    </w:rPr>
  </w:style>
  <w:style w:type="character" w:customStyle="1" w:styleId="3422">
    <w:name w:val="尾注文本 Char2"/>
    <w:semiHidden/>
    <w:uiPriority w:val="0"/>
    <w:rPr>
      <w:kern w:val="2"/>
      <w:sz w:val="21"/>
      <w:szCs w:val="24"/>
    </w:rPr>
  </w:style>
  <w:style w:type="character" w:customStyle="1" w:styleId="3423">
    <w:name w:val="信息标题 Char2"/>
    <w:semiHidden/>
    <w:uiPriority w:val="0"/>
    <w:rPr>
      <w:rFonts w:hint="default" w:ascii="Cambria" w:hAnsi="Cambria" w:eastAsia="宋体" w:cs="Times New Roman"/>
      <w:kern w:val="2"/>
      <w:sz w:val="24"/>
      <w:szCs w:val="24"/>
      <w:shd w:val="pct20" w:color="auto" w:fill="auto"/>
    </w:rPr>
  </w:style>
  <w:style w:type="character" w:customStyle="1" w:styleId="3424">
    <w:name w:val="正文文本 3 Char2"/>
    <w:semiHidden/>
    <w:uiPriority w:val="0"/>
    <w:rPr>
      <w:kern w:val="2"/>
      <w:sz w:val="16"/>
      <w:szCs w:val="16"/>
    </w:rPr>
  </w:style>
  <w:style w:type="character" w:customStyle="1" w:styleId="3425">
    <w:name w:val="结束语 Char2"/>
    <w:semiHidden/>
    <w:uiPriority w:val="0"/>
    <w:rPr>
      <w:kern w:val="2"/>
      <w:sz w:val="21"/>
      <w:szCs w:val="24"/>
    </w:rPr>
  </w:style>
  <w:style w:type="character" w:customStyle="1" w:styleId="3426">
    <w:name w:val="HTML 地址 Char2"/>
    <w:semiHidden/>
    <w:uiPriority w:val="0"/>
    <w:rPr>
      <w:i/>
      <w:iCs/>
      <w:kern w:val="2"/>
      <w:sz w:val="21"/>
      <w:szCs w:val="24"/>
    </w:rPr>
  </w:style>
  <w:style w:type="character" w:customStyle="1" w:styleId="3427">
    <w:name w:val="批注框文本 Char3"/>
    <w:semiHidden/>
    <w:uiPriority w:val="0"/>
    <w:rPr>
      <w:kern w:val="2"/>
      <w:sz w:val="18"/>
      <w:szCs w:val="18"/>
    </w:rPr>
  </w:style>
  <w:style w:type="character" w:customStyle="1" w:styleId="3428">
    <w:name w:val="页眉 Char4"/>
    <w:semiHidden/>
    <w:uiPriority w:val="0"/>
    <w:rPr>
      <w:kern w:val="2"/>
      <w:sz w:val="18"/>
      <w:szCs w:val="18"/>
    </w:rPr>
  </w:style>
  <w:style w:type="character" w:customStyle="1" w:styleId="3429">
    <w:name w:val="签名 Char2"/>
    <w:semiHidden/>
    <w:uiPriority w:val="0"/>
    <w:rPr>
      <w:kern w:val="2"/>
      <w:sz w:val="21"/>
      <w:szCs w:val="24"/>
    </w:rPr>
  </w:style>
  <w:style w:type="character" w:customStyle="1" w:styleId="3430">
    <w:name w:val="副标题 Char2"/>
    <w:uiPriority w:val="0"/>
    <w:rPr>
      <w:rFonts w:hint="default" w:ascii="Cambria" w:hAnsi="Cambria" w:cs="Times New Roman"/>
      <w:b/>
      <w:bCs/>
      <w:kern w:val="28"/>
      <w:sz w:val="32"/>
      <w:szCs w:val="32"/>
    </w:rPr>
  </w:style>
  <w:style w:type="character" w:customStyle="1" w:styleId="3431">
    <w:name w:val="标题 Char3"/>
    <w:uiPriority w:val="0"/>
    <w:rPr>
      <w:rFonts w:hint="default" w:ascii="Cambria" w:hAnsi="Cambria" w:cs="Times New Roman"/>
      <w:b/>
      <w:bCs/>
      <w:kern w:val="2"/>
      <w:sz w:val="32"/>
      <w:szCs w:val="32"/>
    </w:rPr>
  </w:style>
  <w:style w:type="character" w:customStyle="1" w:styleId="3432">
    <w:name w:val="脚注文本 Char2"/>
    <w:semiHidden/>
    <w:uiPriority w:val="0"/>
    <w:rPr>
      <w:kern w:val="2"/>
      <w:sz w:val="18"/>
      <w:szCs w:val="18"/>
    </w:rPr>
  </w:style>
  <w:style w:type="character" w:customStyle="1" w:styleId="3433">
    <w:name w:val="正文文本缩进 3 Char3"/>
    <w:semiHidden/>
    <w:uiPriority w:val="0"/>
    <w:rPr>
      <w:kern w:val="2"/>
      <w:sz w:val="16"/>
      <w:szCs w:val="16"/>
    </w:rPr>
  </w:style>
  <w:style w:type="character" w:customStyle="1" w:styleId="3434">
    <w:name w:val="HTML 预设格式 Char3"/>
    <w:semiHidden/>
    <w:uiPriority w:val="0"/>
    <w:rPr>
      <w:rFonts w:hint="default" w:ascii="Courier New" w:hAnsi="Courier New" w:cs="Courier New"/>
      <w:kern w:val="2"/>
    </w:rPr>
  </w:style>
  <w:style w:type="paragraph" w:customStyle="1" w:styleId="3435">
    <w:name w:val="报告格式-注释"/>
    <w:basedOn w:val="2187"/>
    <w:qFormat/>
    <w:uiPriority w:val="0"/>
    <w:pPr>
      <w:widowControl/>
      <w:spacing w:line="240" w:lineRule="auto"/>
      <w:ind w:firstLine="0" w:firstLineChars="0"/>
      <w:jc w:val="left"/>
    </w:pPr>
    <w:rPr>
      <w:rFonts w:eastAsia="楷体"/>
      <w:sz w:val="21"/>
      <w:szCs w:val="21"/>
      <w:lang w:eastAsia="zh-CN" w:bidi="ar-SA"/>
    </w:rPr>
  </w:style>
  <w:style w:type="table" w:customStyle="1" w:styleId="3436">
    <w:name w:val="TableGrid"/>
    <w:uiPriority w:val="0"/>
    <w:rPr>
      <w:rFonts w:ascii="Calibri" w:hAnsi="Calibri"/>
      <w:kern w:val="2"/>
      <w:sz w:val="21"/>
      <w:szCs w:val="22"/>
    </w:rPr>
    <w:tblPr>
      <w:tblLayout w:type="fixed"/>
      <w:tblCellMar>
        <w:top w:w="0" w:type="dxa"/>
        <w:left w:w="0" w:type="dxa"/>
        <w:bottom w:w="0" w:type="dxa"/>
        <w:right w:w="0" w:type="dxa"/>
      </w:tblCellMar>
    </w:tblPr>
  </w:style>
  <w:style w:type="paragraph" w:customStyle="1" w:styleId="3437">
    <w:name w:val="标题2A"/>
    <w:basedOn w:val="4"/>
    <w:uiPriority w:val="0"/>
    <w:pPr>
      <w:tabs>
        <w:tab w:val="left" w:pos="5115"/>
        <w:tab w:val="clear" w:pos="360"/>
      </w:tabs>
      <w:spacing w:before="360" w:after="360" w:line="578" w:lineRule="auto"/>
      <w:ind w:left="5115" w:firstLine="0" w:firstLineChars="0"/>
      <w:jc w:val="center"/>
    </w:pPr>
    <w:rPr>
      <w:rFonts w:eastAsia="宋体"/>
      <w:kern w:val="0"/>
      <w:sz w:val="24"/>
    </w:rPr>
  </w:style>
  <w:style w:type="paragraph" w:customStyle="1" w:styleId="3438">
    <w:name w:val="cccccccccc"/>
    <w:basedOn w:val="1"/>
    <w:uiPriority w:val="0"/>
    <w:pPr>
      <w:tabs>
        <w:tab w:val="left" w:pos="239"/>
      </w:tabs>
      <w:spacing w:line="360" w:lineRule="auto"/>
      <w:ind w:right="240" w:rightChars="100" w:firstLine="200" w:firstLineChars="200"/>
      <w:outlineLvl w:val="2"/>
    </w:pPr>
    <w:rPr>
      <w:rFonts w:cs="宋体"/>
      <w:b/>
      <w:bCs/>
      <w:kern w:val="0"/>
      <w:sz w:val="24"/>
    </w:rPr>
  </w:style>
  <w:style w:type="paragraph" w:customStyle="1" w:styleId="3439">
    <w:name w:val="editabledtable"/>
    <w:basedOn w:val="1"/>
    <w:uiPriority w:val="0"/>
    <w:pPr>
      <w:widowControl/>
      <w:spacing w:line="360" w:lineRule="auto"/>
      <w:ind w:firstLine="200" w:firstLineChars="200"/>
      <w:jc w:val="left"/>
    </w:pPr>
    <w:rPr>
      <w:rFonts w:ascii="宋体" w:hAnsi="宋体" w:cs="宋体"/>
      <w:kern w:val="0"/>
      <w:sz w:val="24"/>
    </w:rPr>
  </w:style>
  <w:style w:type="table" w:customStyle="1" w:styleId="3440">
    <w:name w:val="TableGrid1"/>
    <w:uiPriority w:val="0"/>
    <w:rPr>
      <w:rFonts w:ascii="Calibri" w:hAnsi="Calibri"/>
      <w:kern w:val="2"/>
      <w:sz w:val="21"/>
      <w:szCs w:val="22"/>
    </w:rPr>
    <w:tblPr>
      <w:tblLayout w:type="fixed"/>
      <w:tblCellMar>
        <w:top w:w="0" w:type="dxa"/>
        <w:left w:w="0" w:type="dxa"/>
        <w:bottom w:w="0" w:type="dxa"/>
        <w:right w:w="0" w:type="dxa"/>
      </w:tblCellMar>
    </w:tblPr>
  </w:style>
  <w:style w:type="character" w:customStyle="1" w:styleId="3441">
    <w:name w:val="标题91"/>
    <w:uiPriority w:val="0"/>
  </w:style>
  <w:style w:type="paragraph" w:customStyle="1" w:styleId="3442">
    <w:name w:val="纯文本31"/>
    <w:basedOn w:val="1"/>
    <w:uiPriority w:val="0"/>
    <w:pPr>
      <w:adjustRightInd w:val="0"/>
      <w:spacing w:line="520" w:lineRule="exact"/>
      <w:jc w:val="left"/>
      <w:textAlignment w:val="baseline"/>
    </w:pPr>
    <w:rPr>
      <w:rFonts w:ascii="宋体" w:hAnsi="Courier New"/>
      <w:sz w:val="24"/>
      <w:szCs w:val="20"/>
    </w:rPr>
  </w:style>
  <w:style w:type="paragraph" w:customStyle="1" w:styleId="3443">
    <w:name w:val="正文文本 321"/>
    <w:basedOn w:val="1"/>
    <w:uiPriority w:val="0"/>
    <w:pPr>
      <w:adjustRightInd w:val="0"/>
      <w:spacing w:line="360" w:lineRule="atLeast"/>
      <w:jc w:val="center"/>
      <w:textAlignment w:val="baseline"/>
    </w:pPr>
    <w:rPr>
      <w:rFonts w:ascii="仿宋体" w:hAnsi="宋体" w:eastAsia="仿宋体"/>
      <w:kern w:val="0"/>
      <w:sz w:val="24"/>
      <w:szCs w:val="20"/>
    </w:rPr>
  </w:style>
  <w:style w:type="paragraph" w:customStyle="1" w:styleId="3444">
    <w:name w:val="普通(网站)41"/>
    <w:basedOn w:val="1"/>
    <w:uiPriority w:val="0"/>
    <w:pPr>
      <w:widowControl/>
      <w:adjustRightInd w:val="0"/>
      <w:spacing w:before="100" w:after="100"/>
      <w:jc w:val="left"/>
      <w:textAlignment w:val="baseline"/>
    </w:pPr>
    <w:rPr>
      <w:rFonts w:ascii="宋体" w:hAnsi="宋体"/>
      <w:kern w:val="0"/>
      <w:sz w:val="24"/>
      <w:szCs w:val="28"/>
    </w:rPr>
  </w:style>
  <w:style w:type="paragraph" w:customStyle="1" w:styleId="3445">
    <w:name w:val="日期51"/>
    <w:basedOn w:val="1"/>
    <w:next w:val="1"/>
    <w:uiPriority w:val="0"/>
    <w:pPr>
      <w:adjustRightInd w:val="0"/>
      <w:spacing w:line="312" w:lineRule="atLeast"/>
      <w:textAlignment w:val="baseline"/>
    </w:pPr>
    <w:rPr>
      <w:rFonts w:ascii="宋体"/>
      <w:kern w:val="0"/>
      <w:sz w:val="28"/>
      <w:szCs w:val="20"/>
    </w:rPr>
  </w:style>
  <w:style w:type="paragraph" w:customStyle="1" w:styleId="3446">
    <w:name w:val="页眉41"/>
    <w:basedOn w:val="1"/>
    <w:uiPriority w:val="0"/>
    <w:pPr>
      <w:pBdr>
        <w:bottom w:val="single" w:color="auto" w:sz="6" w:space="1"/>
      </w:pBdr>
      <w:tabs>
        <w:tab w:val="center" w:pos="4153"/>
        <w:tab w:val="right" w:pos="8306"/>
      </w:tabs>
      <w:snapToGrid w:val="0"/>
      <w:jc w:val="center"/>
    </w:pPr>
    <w:rPr>
      <w:rFonts w:hint="eastAsia"/>
      <w:sz w:val="18"/>
      <w:szCs w:val="20"/>
    </w:rPr>
  </w:style>
  <w:style w:type="character" w:customStyle="1" w:styleId="3447">
    <w:name w:val="正文缩进 Char1 Char Char Char1"/>
    <w:uiPriority w:val="0"/>
    <w:rPr>
      <w:rFonts w:eastAsia="宋体"/>
      <w:kern w:val="2"/>
      <w:sz w:val="24"/>
      <w:szCs w:val="24"/>
      <w:lang w:val="en-US" w:eastAsia="zh-CN" w:bidi="ar-SA"/>
    </w:rPr>
  </w:style>
  <w:style w:type="paragraph" w:customStyle="1" w:styleId="3448">
    <w:name w:val="目录 91"/>
    <w:basedOn w:val="1"/>
    <w:next w:val="1"/>
    <w:uiPriority w:val="0"/>
    <w:pPr>
      <w:tabs>
        <w:tab w:val="left" w:pos="0"/>
        <w:tab w:val="left" w:pos="1440"/>
        <w:tab w:val="right" w:leader="hyphen" w:pos="9071"/>
      </w:tabs>
      <w:adjustRightInd w:val="0"/>
      <w:spacing w:line="400" w:lineRule="atLeast"/>
      <w:ind w:left="1820" w:firstLine="454" w:firstLineChars="200"/>
      <w:jc w:val="left"/>
      <w:textAlignment w:val="baseline"/>
    </w:pPr>
    <w:rPr>
      <w:rFonts w:ascii="宋体"/>
      <w:b/>
      <w:kern w:val="0"/>
      <w:sz w:val="18"/>
      <w:szCs w:val="20"/>
    </w:rPr>
  </w:style>
  <w:style w:type="paragraph" w:customStyle="1" w:styleId="3449">
    <w:name w:val="标题 811"/>
    <w:basedOn w:val="1"/>
    <w:next w:val="1"/>
    <w:uiPriority w:val="0"/>
    <w:pPr>
      <w:overflowPunct w:val="0"/>
      <w:autoSpaceDE w:val="0"/>
      <w:autoSpaceDN w:val="0"/>
      <w:adjustRightInd w:val="0"/>
      <w:snapToGrid w:val="0"/>
      <w:spacing w:before="200" w:after="200"/>
      <w:ind w:firstLine="505"/>
      <w:jc w:val="left"/>
      <w:textAlignment w:val="baseline"/>
    </w:pPr>
    <w:rPr>
      <w:rFonts w:ascii="宋体"/>
      <w:kern w:val="0"/>
      <w:sz w:val="28"/>
      <w:szCs w:val="20"/>
    </w:rPr>
  </w:style>
  <w:style w:type="paragraph" w:customStyle="1" w:styleId="3450">
    <w:name w:val="Char Char1 Char Char Char Char Char Char1"/>
    <w:basedOn w:val="1"/>
    <w:uiPriority w:val="0"/>
    <w:pPr>
      <w:spacing w:line="360" w:lineRule="auto"/>
      <w:ind w:firstLine="200" w:firstLineChars="200"/>
    </w:pPr>
    <w:rPr>
      <w:rFonts w:ascii="宋体" w:hAnsi="宋体" w:cs="宋体"/>
      <w:sz w:val="24"/>
    </w:rPr>
  </w:style>
  <w:style w:type="paragraph" w:customStyle="1" w:styleId="3451">
    <w:name w:val="图表目录11"/>
    <w:basedOn w:val="1"/>
    <w:next w:val="1"/>
    <w:uiPriority w:val="0"/>
    <w:pPr>
      <w:tabs>
        <w:tab w:val="left" w:pos="0"/>
        <w:tab w:val="left" w:pos="1440"/>
        <w:tab w:val="right" w:pos="8313"/>
      </w:tabs>
      <w:adjustRightInd w:val="0"/>
      <w:spacing w:line="400" w:lineRule="atLeast"/>
      <w:ind w:left="520" w:hanging="520" w:firstLineChars="200"/>
      <w:jc w:val="left"/>
      <w:textAlignment w:val="baseline"/>
    </w:pPr>
    <w:rPr>
      <w:rFonts w:ascii="宋体"/>
      <w:b/>
      <w:caps/>
      <w:kern w:val="0"/>
      <w:sz w:val="20"/>
      <w:szCs w:val="20"/>
    </w:rPr>
  </w:style>
  <w:style w:type="paragraph" w:customStyle="1" w:styleId="3452">
    <w:name w:val="正文首行缩进1"/>
    <w:basedOn w:val="34"/>
    <w:uiPriority w:val="0"/>
    <w:pPr>
      <w:tabs>
        <w:tab w:val="left" w:pos="7840"/>
      </w:tabs>
      <w:adjustRightInd w:val="0"/>
      <w:spacing w:after="120" w:line="360" w:lineRule="auto"/>
      <w:ind w:firstLine="567"/>
      <w:textAlignment w:val="baseline"/>
    </w:pPr>
    <w:rPr>
      <w:rFonts w:eastAsia="宋体"/>
      <w:kern w:val="28"/>
      <w:sz w:val="28"/>
    </w:rPr>
  </w:style>
  <w:style w:type="paragraph" w:customStyle="1" w:styleId="3453">
    <w:name w:val="Char Char 字元 字元 字元 Char Char Char Char1"/>
    <w:basedOn w:val="1"/>
    <w:semiHidden/>
    <w:uiPriority w:val="0"/>
    <w:pPr>
      <w:adjustRightInd w:val="0"/>
      <w:spacing w:line="360" w:lineRule="auto"/>
    </w:pPr>
    <w:rPr>
      <w:kern w:val="0"/>
      <w:sz w:val="24"/>
      <w:szCs w:val="20"/>
    </w:rPr>
  </w:style>
  <w:style w:type="paragraph" w:customStyle="1" w:styleId="3454">
    <w:name w:val="正文文本缩进 231"/>
    <w:basedOn w:val="1"/>
    <w:uiPriority w:val="0"/>
    <w:pPr>
      <w:tabs>
        <w:tab w:val="left" w:pos="0"/>
      </w:tabs>
      <w:snapToGrid w:val="0"/>
      <w:spacing w:line="360" w:lineRule="auto"/>
      <w:ind w:firstLine="538" w:firstLineChars="192"/>
    </w:pPr>
  </w:style>
  <w:style w:type="table" w:customStyle="1" w:styleId="3455">
    <w:name w:val="三线2"/>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456">
    <w:name w:val="表格主题4"/>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457">
    <w:name w:val="简明型 13"/>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458">
    <w:name w:val="毛的表格1"/>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459">
    <w:name w:val="网格型刘21"/>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460">
    <w:name w:val="典雅型3"/>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461">
    <w:name w:val="简明型 11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462">
    <w:name w:val="简明型 12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463">
    <w:name w:val="网格型 121"/>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464">
    <w:name w:val="网格型 15"/>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465">
    <w:name w:val="灰度表格15"/>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466">
    <w:name w:val="网格型 51"/>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467">
    <w:name w:val="网格型 71"/>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468">
    <w:name w:val="表格主题2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469">
    <w:name w:val="典雅型1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470">
    <w:name w:val="表格虚线11"/>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471">
    <w:name w:val="灰度表格23"/>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472">
    <w:name w:val="表格主题3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473">
    <w:name w:val="典雅型2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474">
    <w:name w:val="网格型 14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475">
    <w:name w:val="网格型1111"/>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476">
    <w:name w:val="TableGrid2"/>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477">
    <w:name w:val="TableGrid11"/>
    <w:uiPriority w:val="0"/>
    <w:rPr>
      <w:rFonts w:ascii="Calibri" w:hAnsi="Calibri"/>
      <w:kern w:val="2"/>
      <w:sz w:val="21"/>
      <w:szCs w:val="22"/>
    </w:rPr>
    <w:tblPr>
      <w:tblLayout w:type="fixed"/>
      <w:tblCellMar>
        <w:top w:w="0" w:type="dxa"/>
        <w:left w:w="0" w:type="dxa"/>
        <w:bottom w:w="0" w:type="dxa"/>
        <w:right w:w="0" w:type="dxa"/>
      </w:tblCellMar>
    </w:tblPr>
  </w:style>
  <w:style w:type="character" w:customStyle="1" w:styleId="3478">
    <w:name w:val="Char Char181"/>
    <w:uiPriority w:val="0"/>
    <w:rPr>
      <w:rFonts w:eastAsia="楷体_GB2312"/>
      <w:b/>
      <w:bCs/>
      <w:kern w:val="44"/>
      <w:sz w:val="44"/>
      <w:szCs w:val="44"/>
      <w:lang w:val="en-US" w:eastAsia="zh-CN" w:bidi="ar-SA"/>
    </w:rPr>
  </w:style>
  <w:style w:type="paragraph" w:customStyle="1" w:styleId="3479">
    <w:name w:val="正文31"/>
    <w:basedOn w:val="1"/>
    <w:uiPriority w:val="0"/>
    <w:pPr>
      <w:spacing w:line="440" w:lineRule="exact"/>
      <w:ind w:firstLine="200" w:firstLineChars="200"/>
    </w:pPr>
    <w:rPr>
      <w:rFonts w:ascii="Calibri" w:hAnsi="Calibri"/>
      <w:sz w:val="24"/>
    </w:rPr>
  </w:style>
  <w:style w:type="character" w:customStyle="1" w:styleId="3480">
    <w:name w:val="Char Char Char32"/>
    <w:uiPriority w:val="0"/>
    <w:rPr>
      <w:rFonts w:ascii="宋体" w:hAnsi="Courier New" w:eastAsia="宋体"/>
      <w:kern w:val="2"/>
      <w:sz w:val="21"/>
      <w:lang w:val="en-US" w:eastAsia="zh-CN"/>
    </w:rPr>
  </w:style>
  <w:style w:type="paragraph" w:customStyle="1" w:styleId="3481">
    <w:name w:val="标题61"/>
    <w:basedOn w:val="1"/>
    <w:next w:val="1"/>
    <w:uiPriority w:val="0"/>
    <w:pPr>
      <w:ind w:firstLine="425"/>
    </w:pPr>
    <w:rPr>
      <w:szCs w:val="20"/>
    </w:rPr>
  </w:style>
  <w:style w:type="paragraph" w:customStyle="1" w:styleId="3482">
    <w:name w:val="Char Char Char Char Char Char Char Char Char11"/>
    <w:basedOn w:val="1"/>
    <w:uiPriority w:val="0"/>
    <w:pPr>
      <w:spacing w:line="360" w:lineRule="auto"/>
      <w:ind w:firstLine="200" w:firstLineChars="200"/>
    </w:pPr>
    <w:rPr>
      <w:rFonts w:ascii="宋体" w:hAnsi="宋体" w:cs="宋体"/>
      <w:sz w:val="24"/>
    </w:rPr>
  </w:style>
  <w:style w:type="paragraph" w:customStyle="1" w:styleId="3483">
    <w:name w:val="Char1 Char Char Char Char Char Char21"/>
    <w:basedOn w:val="1"/>
    <w:next w:val="51"/>
    <w:uiPriority w:val="0"/>
    <w:pPr>
      <w:spacing w:line="360" w:lineRule="auto"/>
      <w:ind w:firstLine="480" w:firstLineChars="200"/>
    </w:pPr>
    <w:rPr>
      <w:kern w:val="0"/>
      <w:sz w:val="24"/>
    </w:rPr>
  </w:style>
  <w:style w:type="paragraph" w:customStyle="1" w:styleId="3484">
    <w:name w:val="Char Char Char Char Char Char Char Char Char Char Char Char Char Char Char Char Char Char Char Char Char1"/>
    <w:basedOn w:val="1"/>
    <w:uiPriority w:val="0"/>
    <w:pPr>
      <w:spacing w:line="360" w:lineRule="auto"/>
      <w:ind w:firstLine="200" w:firstLineChars="200"/>
    </w:pPr>
    <w:rPr>
      <w:rFonts w:ascii="宋体" w:hAnsi="宋体" w:cs="宋体"/>
      <w:sz w:val="24"/>
    </w:rPr>
  </w:style>
  <w:style w:type="paragraph" w:customStyle="1" w:styleId="3485">
    <w:name w:val="Char Char Char Char Char Char Char Char Char Char Char Char Char Char Char Char Char Char Char Char Char Char Char Char Char Char1"/>
    <w:basedOn w:val="1"/>
    <w:uiPriority w:val="0"/>
    <w:pPr>
      <w:spacing w:line="360" w:lineRule="auto"/>
      <w:ind w:firstLine="200" w:firstLineChars="200"/>
    </w:pPr>
    <w:rPr>
      <w:rFonts w:ascii="宋体" w:hAnsi="宋体" w:cs="宋体"/>
      <w:sz w:val="24"/>
    </w:rPr>
  </w:style>
  <w:style w:type="paragraph" w:customStyle="1" w:styleId="3486">
    <w:name w:val="Char3 Char Char Char Char Char Char Char Char Char Char Char Char1"/>
    <w:basedOn w:val="1"/>
    <w:uiPriority w:val="0"/>
    <w:pPr>
      <w:widowControl/>
      <w:spacing w:after="160" w:line="240" w:lineRule="exact"/>
      <w:jc w:val="left"/>
    </w:pPr>
  </w:style>
  <w:style w:type="paragraph" w:customStyle="1" w:styleId="3487">
    <w:name w:val="日期11"/>
    <w:basedOn w:val="1"/>
    <w:next w:val="1"/>
    <w:uiPriority w:val="0"/>
    <w:pPr>
      <w:adjustRightInd w:val="0"/>
      <w:spacing w:line="360" w:lineRule="atLeast"/>
      <w:textAlignment w:val="baseline"/>
    </w:pPr>
    <w:rPr>
      <w:kern w:val="0"/>
      <w:sz w:val="24"/>
      <w:szCs w:val="20"/>
    </w:rPr>
  </w:style>
  <w:style w:type="paragraph" w:customStyle="1" w:styleId="3488">
    <w:name w:val="Char Char Char Char Char Char Char Char Char1 Char Char Char1"/>
    <w:basedOn w:val="1"/>
    <w:uiPriority w:val="0"/>
    <w:pPr>
      <w:spacing w:line="360" w:lineRule="auto"/>
      <w:ind w:firstLine="200" w:firstLineChars="200"/>
    </w:pPr>
    <w:rPr>
      <w:rFonts w:ascii="宋体" w:hAnsi="宋体" w:cs="宋体"/>
      <w:sz w:val="24"/>
    </w:rPr>
  </w:style>
  <w:style w:type="paragraph" w:customStyle="1" w:styleId="3489">
    <w:name w:val="Char Char Char Char Char Char Char Char Char1 Char2"/>
    <w:basedOn w:val="1"/>
    <w:uiPriority w:val="0"/>
    <w:pPr>
      <w:spacing w:line="360" w:lineRule="auto"/>
      <w:ind w:firstLine="200" w:firstLineChars="200"/>
    </w:pPr>
    <w:rPr>
      <w:rFonts w:ascii="宋体" w:hAnsi="宋体" w:cs="宋体"/>
      <w:sz w:val="24"/>
    </w:rPr>
  </w:style>
  <w:style w:type="paragraph" w:customStyle="1" w:styleId="3490">
    <w:name w:val="Char Char Char Char Char Char Char Char Char Char Char Char Char Char Char Char Char Char Char Char Char Char Char Char1"/>
    <w:basedOn w:val="1"/>
    <w:uiPriority w:val="0"/>
    <w:pPr>
      <w:spacing w:line="360" w:lineRule="auto"/>
      <w:ind w:firstLine="200" w:firstLineChars="200"/>
    </w:pPr>
    <w:rPr>
      <w:rFonts w:ascii="宋体" w:hAnsi="宋体" w:cs="宋体"/>
      <w:sz w:val="24"/>
    </w:rPr>
  </w:style>
  <w:style w:type="paragraph" w:customStyle="1" w:styleId="3491">
    <w:name w:val="Char Char Char Char Char Char Char Char Char1 Char Char Char Char Char Char Char1"/>
    <w:basedOn w:val="1"/>
    <w:uiPriority w:val="0"/>
    <w:pPr>
      <w:spacing w:line="360" w:lineRule="auto"/>
      <w:ind w:firstLine="200" w:firstLineChars="200"/>
    </w:pPr>
    <w:rPr>
      <w:rFonts w:ascii="宋体" w:hAnsi="宋体" w:cs="宋体"/>
      <w:sz w:val="24"/>
    </w:rPr>
  </w:style>
  <w:style w:type="table" w:customStyle="1" w:styleId="3492">
    <w:name w:val="三线3"/>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493">
    <w:name w:val="表格主题5"/>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494">
    <w:name w:val="简明型 14"/>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495">
    <w:name w:val="毛的表格2"/>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496">
    <w:name w:val="网格型刘22"/>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497">
    <w:name w:val="典雅型4"/>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498">
    <w:name w:val="简明型 11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499">
    <w:name w:val="简明型 12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00">
    <w:name w:val="网格型 122"/>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01">
    <w:name w:val="网格型 16"/>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02">
    <w:name w:val="灰度表格16"/>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03">
    <w:name w:val="网格型 11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04">
    <w:name w:val="表格主题1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05">
    <w:name w:val="网格型 52"/>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506">
    <w:name w:val="网格型 72"/>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507">
    <w:name w:val="表格主题2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08">
    <w:name w:val="典雅型1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09">
    <w:name w:val="表格虚线12"/>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10">
    <w:name w:val="网格型 13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11">
    <w:name w:val="灰度表格24"/>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12">
    <w:name w:val="表格主题3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13">
    <w:name w:val="典雅型2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14">
    <w:name w:val="三线12"/>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15">
    <w:name w:val="网格型 14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16">
    <w:name w:val="网格型1112"/>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517">
    <w:name w:val="TableGrid3"/>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518">
    <w:name w:val="TableGrid12"/>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519">
    <w:name w:val="网格型71"/>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20">
    <w:name w:val="三线4"/>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21">
    <w:name w:val="表格主题6"/>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22">
    <w:name w:val="简明型 15"/>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23">
    <w:name w:val="毛的表格3"/>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524">
    <w:name w:val="网格型刘23"/>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525">
    <w:name w:val="典雅型5"/>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26">
    <w:name w:val="简明型 113"/>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27">
    <w:name w:val="简明型 123"/>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28">
    <w:name w:val="网格型 123"/>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29">
    <w:name w:val="网格型 17"/>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30">
    <w:name w:val="灰度表格17"/>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31">
    <w:name w:val="网格型 113"/>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32">
    <w:name w:val="表格主题13"/>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33">
    <w:name w:val="网格型 53"/>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534">
    <w:name w:val="网格型 73"/>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535">
    <w:name w:val="表格主题23"/>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36">
    <w:name w:val="典雅型13"/>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37">
    <w:name w:val="表格虚线13"/>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38">
    <w:name w:val="网格型 133"/>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39">
    <w:name w:val="灰度表格25"/>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40">
    <w:name w:val="表格主题33"/>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41">
    <w:name w:val="典雅型23"/>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42">
    <w:name w:val="三线13"/>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43">
    <w:name w:val="网格型 143"/>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44">
    <w:name w:val="网格型1113"/>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545">
    <w:name w:val="TableGrid4"/>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546">
    <w:name w:val="TableGrid13"/>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547">
    <w:name w:val="网格型72"/>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48">
    <w:name w:val="三线5"/>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49">
    <w:name w:val="表格主题7"/>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50">
    <w:name w:val="简明型 16"/>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51">
    <w:name w:val="毛的表格4"/>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552">
    <w:name w:val="网格型刘24"/>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553">
    <w:name w:val="典雅型6"/>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54">
    <w:name w:val="简明型 114"/>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55">
    <w:name w:val="简明型 124"/>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56">
    <w:name w:val="网格型 124"/>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57">
    <w:name w:val="网格型 18"/>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58">
    <w:name w:val="灰度表格18"/>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59">
    <w:name w:val="网格型 114"/>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60">
    <w:name w:val="表格主题14"/>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61">
    <w:name w:val="网格型 54"/>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562">
    <w:name w:val="网格型 74"/>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563">
    <w:name w:val="表格主题24"/>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64">
    <w:name w:val="典雅型14"/>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65">
    <w:name w:val="表格虚线14"/>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66">
    <w:name w:val="网格型 134"/>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67">
    <w:name w:val="灰度表格26"/>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68">
    <w:name w:val="表格主题34"/>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69">
    <w:name w:val="典雅型24"/>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70">
    <w:name w:val="三线14"/>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71">
    <w:name w:val="网格型 144"/>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72">
    <w:name w:val="网格型1114"/>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573">
    <w:name w:val="TableGrid5"/>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574">
    <w:name w:val="TableGrid14"/>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575">
    <w:name w:val="三线21"/>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76">
    <w:name w:val="表格主题41"/>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77">
    <w:name w:val="简明型 13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78">
    <w:name w:val="毛的表格11"/>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579">
    <w:name w:val="网格型刘211"/>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580">
    <w:name w:val="典雅型3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81">
    <w:name w:val="网格型12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82">
    <w:name w:val="简明型 111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83">
    <w:name w:val="简明型 121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584">
    <w:name w:val="网格型 1211"/>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85">
    <w:name w:val="网格型 151"/>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86">
    <w:name w:val="灰度表格15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87">
    <w:name w:val="网格型 111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88">
    <w:name w:val="表格主题11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89">
    <w:name w:val="网格型 511"/>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590">
    <w:name w:val="网格型 711"/>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591">
    <w:name w:val="表格主题21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92">
    <w:name w:val="典雅型11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93">
    <w:name w:val="表格虚线111"/>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94">
    <w:name w:val="网格型 131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595">
    <w:name w:val="灰度表格231"/>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96">
    <w:name w:val="表格主题31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97">
    <w:name w:val="典雅型21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598">
    <w:name w:val="三线111"/>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599">
    <w:name w:val="网格型 141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00">
    <w:name w:val="网格型11111"/>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601">
    <w:name w:val="TableGrid21"/>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602">
    <w:name w:val="TableGrid111"/>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603">
    <w:name w:val="网格型73"/>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04">
    <w:name w:val="三线31"/>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05">
    <w:name w:val="表格主题51"/>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06">
    <w:name w:val="简明型 14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607">
    <w:name w:val="毛的表格21"/>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608">
    <w:name w:val="网格型刘221"/>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609">
    <w:name w:val="典雅型4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610">
    <w:name w:val="网格型13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11">
    <w:name w:val="网格型22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12">
    <w:name w:val="简明型 112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613">
    <w:name w:val="简明型 122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614">
    <w:name w:val="网格型 1221"/>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15">
    <w:name w:val="网格型 161"/>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16">
    <w:name w:val="灰度表格16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17">
    <w:name w:val="网格型 112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18">
    <w:name w:val="表格主题12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19">
    <w:name w:val="网格型 521"/>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620">
    <w:name w:val="网格型 721"/>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621">
    <w:name w:val="表格主题22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22">
    <w:name w:val="典雅型12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623">
    <w:name w:val="表格虚线121"/>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24">
    <w:name w:val="网格型 132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25">
    <w:name w:val="灰度表格241"/>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26">
    <w:name w:val="表格主题32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27">
    <w:name w:val="典雅型22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628">
    <w:name w:val="三线121"/>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29">
    <w:name w:val="网格型 142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30">
    <w:name w:val="网格型11121"/>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631">
    <w:name w:val="TableGrid31"/>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632">
    <w:name w:val="TableGrid121"/>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633">
    <w:name w:val="网格型411"/>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34">
    <w:name w:val="网格型511"/>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35">
    <w:name w:val="网格型611"/>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36">
    <w:name w:val="网格型711"/>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37">
    <w:name w:val="三线41"/>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38">
    <w:name w:val="表格主题61"/>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39">
    <w:name w:val="简明型 15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640">
    <w:name w:val="毛的表格31"/>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641">
    <w:name w:val="网格型刘231"/>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642">
    <w:name w:val="典雅型5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643">
    <w:name w:val="网格型14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44">
    <w:name w:val="网格型23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45">
    <w:name w:val="简明型 113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646">
    <w:name w:val="网格型33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47">
    <w:name w:val="简明型 1231"/>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648">
    <w:name w:val="网格型 1231"/>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49">
    <w:name w:val="网格型 171"/>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50">
    <w:name w:val="灰度表格17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51">
    <w:name w:val="网格型 113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52">
    <w:name w:val="表格主题13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53">
    <w:name w:val="网格型 531"/>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654">
    <w:name w:val="网格型 731"/>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655">
    <w:name w:val="表格主题23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56">
    <w:name w:val="典雅型13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657">
    <w:name w:val="表格虚线131"/>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58">
    <w:name w:val="网格型 133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59">
    <w:name w:val="灰度表格251"/>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60">
    <w:name w:val="表格主题331"/>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61">
    <w:name w:val="典雅型231"/>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662">
    <w:name w:val="三线131"/>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63">
    <w:name w:val="网格型 1431"/>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64">
    <w:name w:val="网格型11131"/>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665">
    <w:name w:val="TableGrid41"/>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666">
    <w:name w:val="TableGrid131"/>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667">
    <w:name w:val="网格型421"/>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68">
    <w:name w:val="网格型521"/>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69">
    <w:name w:val="网格型621"/>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70">
    <w:name w:val="网格型721"/>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71">
    <w:name w:val="网格型81"/>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72">
    <w:name w:val="三线6"/>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73">
    <w:name w:val="表格主题8"/>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74">
    <w:name w:val="简明型 17"/>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675">
    <w:name w:val="毛的表格5"/>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676">
    <w:name w:val="网格型刘25"/>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677">
    <w:name w:val="典雅型7"/>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678">
    <w:name w:val="网格型25"/>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79">
    <w:name w:val="简明型 115"/>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680">
    <w:name w:val="简明型 125"/>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681">
    <w:name w:val="网格型 125"/>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82">
    <w:name w:val="网格型 19"/>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83">
    <w:name w:val="灰度表格19"/>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84">
    <w:name w:val="网格型 115"/>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85">
    <w:name w:val="表格主题15"/>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86">
    <w:name w:val="网格型 55"/>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687">
    <w:name w:val="网格型 75"/>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688">
    <w:name w:val="表格主题25"/>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89">
    <w:name w:val="典雅型15"/>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690">
    <w:name w:val="表格虚线15"/>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91">
    <w:name w:val="网格型 135"/>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92">
    <w:name w:val="灰度表格27"/>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93">
    <w:name w:val="表格主题35"/>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94">
    <w:name w:val="典雅型25"/>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695">
    <w:name w:val="三线15"/>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696">
    <w:name w:val="网格型 145"/>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697">
    <w:name w:val="网格型1115"/>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698">
    <w:name w:val="TableGrid6"/>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699">
    <w:name w:val="TableGrid15"/>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700">
    <w:name w:val="三线22"/>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01">
    <w:name w:val="表格主题42"/>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02">
    <w:name w:val="简明型 13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703">
    <w:name w:val="毛的表格12"/>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704">
    <w:name w:val="网格型刘212"/>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705">
    <w:name w:val="典雅型3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706">
    <w:name w:val="网格型12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07">
    <w:name w:val="简明型 111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708">
    <w:name w:val="简明型 121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709">
    <w:name w:val="网格型 1212"/>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10">
    <w:name w:val="网格型 152"/>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11">
    <w:name w:val="灰度表格15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12">
    <w:name w:val="网格型 111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13">
    <w:name w:val="表格主题11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14">
    <w:name w:val="网格型 512"/>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715">
    <w:name w:val="网格型 712"/>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716">
    <w:name w:val="表格主题21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17">
    <w:name w:val="典雅型11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718">
    <w:name w:val="表格虚线112"/>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19">
    <w:name w:val="网格型 131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20">
    <w:name w:val="灰度表格232"/>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21">
    <w:name w:val="表格主题31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22">
    <w:name w:val="典雅型21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723">
    <w:name w:val="三线112"/>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24">
    <w:name w:val="网格型 141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25">
    <w:name w:val="网格型11112"/>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726">
    <w:name w:val="TableGrid22"/>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727">
    <w:name w:val="TableGrid112"/>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728">
    <w:name w:val="网格型54"/>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29">
    <w:name w:val="网格型74"/>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30">
    <w:name w:val="三线32"/>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31">
    <w:name w:val="表格主题52"/>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32">
    <w:name w:val="简明型 14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733">
    <w:name w:val="毛的表格22"/>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734">
    <w:name w:val="网格型刘222"/>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735">
    <w:name w:val="典雅型4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736">
    <w:name w:val="网格型13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37">
    <w:name w:val="网格型22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38">
    <w:name w:val="简明型 112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739">
    <w:name w:val="简明型 122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740">
    <w:name w:val="网格型 1222"/>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41">
    <w:name w:val="网格型 162"/>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42">
    <w:name w:val="灰度表格16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43">
    <w:name w:val="网格型 112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44">
    <w:name w:val="表格主题12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45">
    <w:name w:val="网格型 522"/>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746">
    <w:name w:val="网格型 722"/>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747">
    <w:name w:val="表格主题22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48">
    <w:name w:val="典雅型12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749">
    <w:name w:val="表格虚线122"/>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50">
    <w:name w:val="网格型 132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51">
    <w:name w:val="灰度表格242"/>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52">
    <w:name w:val="表格主题32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53">
    <w:name w:val="典雅型22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754">
    <w:name w:val="三线122"/>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55">
    <w:name w:val="网格型 142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56">
    <w:name w:val="网格型11122"/>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757">
    <w:name w:val="TableGrid32"/>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758">
    <w:name w:val="TableGrid122"/>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759">
    <w:name w:val="网格型412"/>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60">
    <w:name w:val="网格型512"/>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61">
    <w:name w:val="网格型612"/>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62">
    <w:name w:val="网格型712"/>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63">
    <w:name w:val="三线42"/>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64">
    <w:name w:val="表格主题62"/>
    <w:basedOn w:val="88"/>
    <w:uiPriority w:val="0"/>
    <w:pPr>
      <w:widowControl w:val="0"/>
      <w:adjustRightInd w:val="0"/>
      <w:snapToGrid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65">
    <w:name w:val="简明型 15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766">
    <w:name w:val="毛的表格32"/>
    <w:basedOn w:val="88"/>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767">
    <w:name w:val="网格型刘232"/>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 w:type="table" w:customStyle="1" w:styleId="3768">
    <w:name w:val="典雅型5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769">
    <w:name w:val="网格型14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70">
    <w:name w:val="网格型23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71">
    <w:name w:val="简明型 113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772">
    <w:name w:val="网格型33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73">
    <w:name w:val="简明型 1232"/>
    <w:basedOn w:val="88"/>
    <w:uiPriority w:val="0"/>
    <w:pPr>
      <w:widowControl w:val="0"/>
      <w:jc w:val="both"/>
    </w:pPr>
    <w:tblPr>
      <w:tblBorders>
        <w:top w:val="single" w:color="008000" w:sz="12" w:space="0"/>
        <w:bottom w:val="single" w:color="008000" w:sz="12" w:space="0"/>
      </w:tblBorders>
      <w:tblLayout w:type="fixed"/>
      <w:tblCellMar>
        <w:top w:w="0" w:type="dxa"/>
        <w:left w:w="108" w:type="dxa"/>
        <w:bottom w:w="0" w:type="dxa"/>
        <w:right w:w="108" w:type="dxa"/>
      </w:tblCellMar>
    </w:tblPr>
    <w:tcPr>
      <w:shd w:val="clear" w:color="auto" w:fill="auto"/>
    </w:tcPr>
    <w:tblStylePr w:type="firstRow">
      <w:tcPr>
        <w:tcBorders>
          <w:bottom w:val="single" w:color="008000" w:sz="6" w:space="0"/>
          <w:tl2br w:val="nil"/>
          <w:tr2bl w:val="nil"/>
        </w:tcBorders>
      </w:tcPr>
    </w:tblStylePr>
    <w:tblStylePr w:type="lastRow">
      <w:tcPr>
        <w:tcBorders>
          <w:top w:val="single" w:color="008000" w:sz="6" w:space="0"/>
          <w:tl2br w:val="nil"/>
          <w:tr2bl w:val="nil"/>
        </w:tcBorders>
      </w:tcPr>
    </w:tblStylePr>
  </w:style>
  <w:style w:type="table" w:customStyle="1" w:styleId="3774">
    <w:name w:val="网格型 1232"/>
    <w:basedOn w:val="88"/>
    <w:uiPriority w:val="0"/>
    <w:pPr>
      <w:spacing w:line="357" w:lineRule="atLeast"/>
      <w:ind w:firstLine="419"/>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75">
    <w:name w:val="网格型 172"/>
    <w:basedOn w:val="88"/>
    <w:unhideWhenUsed/>
    <w:uiPriority w:val="0"/>
    <w:pPr>
      <w:widowControl w:val="0"/>
      <w:jc w:val="both"/>
    </w:pPr>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76">
    <w:name w:val="灰度表格17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77">
    <w:name w:val="网格型 113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78">
    <w:name w:val="表格主题13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79">
    <w:name w:val="网格型 532"/>
    <w:basedOn w:val="88"/>
    <w:uiPriority w:val="0"/>
    <w:pPr>
      <w:widowControl w:val="0"/>
      <w:adjustRightInd w:val="0"/>
      <w:spacing w:line="360" w:lineRule="atLeast"/>
      <w:textAlignment w:val="baseline"/>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tcPr>
        <w:tcBorders>
          <w:bottom w:val="single" w:color="000000" w:sz="12" w:space="0"/>
          <w:tl2br w:val="nil"/>
          <w:tr2bl w:val="nil"/>
        </w:tcBorders>
      </w:tcPr>
    </w:tblStylePr>
    <w:tblStylePr w:type="lastRow">
      <w:rPr>
        <w:b/>
        <w:bCs/>
      </w:rPr>
      <w:tcPr>
        <w:tcBorders>
          <w:tl2br w:val="nil"/>
          <w:tr2bl w:val="nil"/>
        </w:tcBorders>
      </w:tcPr>
    </w:tblStylePr>
    <w:tblStylePr w:type="lastCol">
      <w:rPr>
        <w:b/>
        <w:bCs/>
      </w:rPr>
      <w:tcPr>
        <w:tcBorders>
          <w:tl2br w:val="nil"/>
          <w:tr2bl w:val="nil"/>
        </w:tcBorders>
      </w:tcPr>
    </w:tblStylePr>
    <w:tblStylePr w:type="nwCell">
      <w:tcPr>
        <w:tcBorders>
          <w:tl2br w:val="single" w:color="000000" w:sz="6" w:space="0"/>
          <w:tr2bl w:val="nil"/>
        </w:tcBorders>
      </w:tcPr>
    </w:tblStylePr>
  </w:style>
  <w:style w:type="table" w:customStyle="1" w:styleId="3780">
    <w:name w:val="网格型 732"/>
    <w:basedOn w:val="88"/>
    <w:uiPriority w:val="0"/>
    <w:pPr>
      <w:widowControl w:val="0"/>
      <w:adjustRightInd w:val="0"/>
      <w:spacing w:line="360" w:lineRule="atLeast"/>
      <w:textAlignment w:val="baseline"/>
    </w:pPr>
    <w:rPr>
      <w:bCs/>
      <w:sz w:val="24"/>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b w:val="0"/>
        <w:bCs w:val="0"/>
      </w:rPr>
      <w:tcPr>
        <w:tcBorders>
          <w:bottom w:val="single" w:color="000000" w:sz="12" w:space="0"/>
          <w:tl2br w:val="nil"/>
          <w:tr2bl w:val="nil"/>
        </w:tcBorders>
      </w:tcPr>
    </w:tblStylePr>
    <w:tblStylePr w:type="lastRow">
      <w:rPr>
        <w:b w:val="0"/>
        <w:bCs w:val="0"/>
      </w:rPr>
      <w:tcPr>
        <w:tcBorders>
          <w:top w:val="single" w:color="000000" w:sz="6" w:space="0"/>
          <w:tl2br w:val="nil"/>
          <w:tr2bl w:val="nil"/>
        </w:tcBorders>
      </w:tcPr>
    </w:tblStylePr>
    <w:tblStylePr w:type="firstCol">
      <w:rPr>
        <w:b w:val="0"/>
        <w:bCs w:val="0"/>
      </w:rPr>
      <w:tcPr>
        <w:tcBorders>
          <w:tl2br w:val="nil"/>
          <w:tr2bl w:val="nil"/>
        </w:tcBorders>
      </w:tcPr>
    </w:tblStylePr>
    <w:tblStylePr w:type="lastCol">
      <w:rPr>
        <w:b w:val="0"/>
        <w:bCs w:val="0"/>
      </w:rPr>
      <w:tcPr>
        <w:tcBorders>
          <w:tl2br w:val="nil"/>
          <w:tr2bl w:val="nil"/>
        </w:tcBorders>
      </w:tcPr>
    </w:tblStylePr>
    <w:tblStylePr w:type="nwCell">
      <w:tcPr>
        <w:tcBorders>
          <w:tl2br w:val="single" w:color="000000" w:sz="6" w:space="0"/>
          <w:tr2bl w:val="nil"/>
        </w:tcBorders>
      </w:tcPr>
    </w:tblStylePr>
  </w:style>
  <w:style w:type="table" w:customStyle="1" w:styleId="3781">
    <w:name w:val="表格主题23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82">
    <w:name w:val="典雅型13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783">
    <w:name w:val="表格虚线132"/>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84">
    <w:name w:val="网格型 133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85">
    <w:name w:val="灰度表格252"/>
    <w:basedOn w:val="88"/>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86">
    <w:name w:val="表格主题332"/>
    <w:basedOn w:val="8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87">
    <w:name w:val="典雅型232"/>
    <w:basedOn w:val="88"/>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firstRow">
      <w:rPr>
        <w:caps/>
        <w:color w:val="auto"/>
      </w:rPr>
      <w:tcPr>
        <w:tcBorders>
          <w:tl2br w:val="nil"/>
          <w:tr2bl w:val="nil"/>
        </w:tcBorders>
      </w:tcPr>
    </w:tblStylePr>
  </w:style>
  <w:style w:type="table" w:customStyle="1" w:styleId="3788">
    <w:name w:val="三线132"/>
    <w:basedOn w:val="88"/>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89">
    <w:name w:val="网格型 1432"/>
    <w:basedOn w:val="88"/>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table" w:customStyle="1" w:styleId="3790">
    <w:name w:val="网格型11132"/>
    <w:basedOn w:val="88"/>
    <w:semiHidden/>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table" w:customStyle="1" w:styleId="3791">
    <w:name w:val="TableGrid42"/>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792">
    <w:name w:val="TableGrid132"/>
    <w:uiPriority w:val="0"/>
    <w:rPr>
      <w:rFonts w:ascii="Calibri" w:hAnsi="Calibri"/>
      <w:kern w:val="2"/>
      <w:sz w:val="21"/>
      <w:szCs w:val="22"/>
    </w:rPr>
    <w:tblPr>
      <w:tblLayout w:type="fixed"/>
      <w:tblCellMar>
        <w:top w:w="0" w:type="dxa"/>
        <w:left w:w="0" w:type="dxa"/>
        <w:bottom w:w="0" w:type="dxa"/>
        <w:right w:w="0" w:type="dxa"/>
      </w:tblCellMar>
    </w:tblPr>
  </w:style>
  <w:style w:type="table" w:customStyle="1" w:styleId="3793">
    <w:name w:val="网格型422"/>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94">
    <w:name w:val="网格型522"/>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95">
    <w:name w:val="网格型622"/>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96">
    <w:name w:val="网格型722"/>
    <w:basedOn w:val="88"/>
    <w:uiPriority w:val="0"/>
    <w:pPr>
      <w:overflowPunct w:val="0"/>
      <w:autoSpaceDE w:val="0"/>
      <w:autoSpaceDN w:val="0"/>
      <w:adjustRightInd w:val="0"/>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3797">
    <w:name w:val="网格型82"/>
    <w:basedOn w:val="88"/>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3798">
    <w:name w:val="表头00"/>
    <w:next w:val="34"/>
    <w:link w:val="3799"/>
    <w:qFormat/>
    <w:uiPriority w:val="0"/>
    <w:pPr>
      <w:adjustRightInd w:val="0"/>
      <w:snapToGrid w:val="0"/>
      <w:spacing w:beforeLines="10" w:afterLines="10" w:line="312" w:lineRule="auto"/>
      <w:ind w:firstLine="140" w:firstLineChars="50"/>
      <w:jc w:val="center"/>
    </w:pPr>
    <w:rPr>
      <w:rFonts w:ascii="宋体" w:hAnsi="宋体" w:eastAsia="宋体" w:cs="Times New Roman"/>
      <w:bCs/>
      <w:kern w:val="2"/>
      <w:sz w:val="24"/>
      <w:szCs w:val="24"/>
      <w:lang w:val="en-US" w:eastAsia="zh-CN" w:bidi="ar-SA"/>
    </w:rPr>
  </w:style>
  <w:style w:type="character" w:customStyle="1" w:styleId="3799">
    <w:name w:val="表头00 Char"/>
    <w:link w:val="3798"/>
    <w:uiPriority w:val="0"/>
    <w:rPr>
      <w:rFonts w:ascii="宋体" w:hAnsi="宋体"/>
      <w:bCs/>
      <w:kern w:val="2"/>
      <w:sz w:val="24"/>
      <w:szCs w:val="24"/>
    </w:rPr>
  </w:style>
  <w:style w:type="table" w:customStyle="1" w:styleId="3800">
    <w:name w:val="网格型刘26"/>
    <w:basedOn w:val="88"/>
    <w:uiPriority w:val="0"/>
    <w:pPr>
      <w:widowControl w:val="0"/>
      <w:numPr>
        <w:numId w:val="5"/>
      </w:numPr>
      <w:tabs>
        <w:tab w:val="left" w:pos="720"/>
        <w:tab w:val="left" w:pos="1020"/>
      </w:tabs>
      <w:ind w:left="720" w:hanging="720"/>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vAlign w:val="center"/>
    </w:tcPr>
  </w:style>
</w:styles>
</file>

<file path=word/_rels/document.xml.rels><?xml version="1.0" encoding="UTF-8" standalone="yes"?>
<Relationships xmlns="http://schemas.openxmlformats.org/package/2006/relationships"><Relationship Id="rId99" Type="http://schemas.openxmlformats.org/officeDocument/2006/relationships/image" Target="media/image63.wmf"/><Relationship Id="rId98" Type="http://schemas.openxmlformats.org/officeDocument/2006/relationships/image" Target="media/image62.wmf"/><Relationship Id="rId97" Type="http://schemas.openxmlformats.org/officeDocument/2006/relationships/image" Target="media/image61.wmf"/><Relationship Id="rId96" Type="http://schemas.openxmlformats.org/officeDocument/2006/relationships/image" Target="media/image60.wmf"/><Relationship Id="rId95" Type="http://schemas.openxmlformats.org/officeDocument/2006/relationships/image" Target="media/image59.wmf"/><Relationship Id="rId94" Type="http://schemas.openxmlformats.org/officeDocument/2006/relationships/image" Target="media/image58.wmf"/><Relationship Id="rId93" Type="http://schemas.openxmlformats.org/officeDocument/2006/relationships/image" Target="media/image57.wmf"/><Relationship Id="rId92" Type="http://schemas.openxmlformats.org/officeDocument/2006/relationships/image" Target="media/image56.wmf"/><Relationship Id="rId91" Type="http://schemas.openxmlformats.org/officeDocument/2006/relationships/image" Target="media/image55.wmf"/><Relationship Id="rId90" Type="http://schemas.openxmlformats.org/officeDocument/2006/relationships/image" Target="media/image54.wmf"/><Relationship Id="rId9" Type="http://schemas.openxmlformats.org/officeDocument/2006/relationships/footer" Target="footer4.xml"/><Relationship Id="rId89" Type="http://schemas.openxmlformats.org/officeDocument/2006/relationships/image" Target="media/image53.wmf"/><Relationship Id="rId88" Type="http://schemas.openxmlformats.org/officeDocument/2006/relationships/image" Target="media/image52.wmf"/><Relationship Id="rId87" Type="http://schemas.openxmlformats.org/officeDocument/2006/relationships/image" Target="media/image51.wmf"/><Relationship Id="rId86" Type="http://schemas.openxmlformats.org/officeDocument/2006/relationships/image" Target="media/image50.wmf"/><Relationship Id="rId85" Type="http://schemas.openxmlformats.org/officeDocument/2006/relationships/image" Target="media/image49.wmf"/><Relationship Id="rId84" Type="http://schemas.openxmlformats.org/officeDocument/2006/relationships/image" Target="media/image48.wmf"/><Relationship Id="rId83" Type="http://schemas.openxmlformats.org/officeDocument/2006/relationships/image" Target="media/image47.wmf"/><Relationship Id="rId82" Type="http://schemas.openxmlformats.org/officeDocument/2006/relationships/image" Target="media/image46.wmf"/><Relationship Id="rId81" Type="http://schemas.openxmlformats.org/officeDocument/2006/relationships/image" Target="media/image45.wmf"/><Relationship Id="rId80" Type="http://schemas.openxmlformats.org/officeDocument/2006/relationships/image" Target="media/image44.wmf"/><Relationship Id="rId8" Type="http://schemas.openxmlformats.org/officeDocument/2006/relationships/footer" Target="footer3.xml"/><Relationship Id="rId79" Type="http://schemas.openxmlformats.org/officeDocument/2006/relationships/image" Target="media/image43.wmf"/><Relationship Id="rId78" Type="http://schemas.openxmlformats.org/officeDocument/2006/relationships/image" Target="media/image42.wmf"/><Relationship Id="rId77" Type="http://schemas.openxmlformats.org/officeDocument/2006/relationships/image" Target="media/image41.wmf"/><Relationship Id="rId76" Type="http://schemas.openxmlformats.org/officeDocument/2006/relationships/image" Target="media/image40.wmf"/><Relationship Id="rId75" Type="http://schemas.openxmlformats.org/officeDocument/2006/relationships/image" Target="media/image39.wmf"/><Relationship Id="rId74" Type="http://schemas.openxmlformats.org/officeDocument/2006/relationships/image" Target="media/image38.wmf"/><Relationship Id="rId73" Type="http://schemas.openxmlformats.org/officeDocument/2006/relationships/image" Target="media/image37.wmf"/><Relationship Id="rId72" Type="http://schemas.openxmlformats.org/officeDocument/2006/relationships/image" Target="media/image36.wmf"/><Relationship Id="rId71" Type="http://schemas.openxmlformats.org/officeDocument/2006/relationships/image" Target="media/image35.wmf"/><Relationship Id="rId70" Type="http://schemas.openxmlformats.org/officeDocument/2006/relationships/image" Target="media/image34.wmf"/><Relationship Id="rId7" Type="http://schemas.openxmlformats.org/officeDocument/2006/relationships/footer" Target="footer2.xml"/><Relationship Id="rId69" Type="http://schemas.openxmlformats.org/officeDocument/2006/relationships/image" Target="media/image33.wmf"/><Relationship Id="rId68" Type="http://schemas.openxmlformats.org/officeDocument/2006/relationships/image" Target="media/image32.wmf"/><Relationship Id="rId67" Type="http://schemas.openxmlformats.org/officeDocument/2006/relationships/image" Target="media/image31.wmf"/><Relationship Id="rId66" Type="http://schemas.openxmlformats.org/officeDocument/2006/relationships/image" Target="media/image30.wmf"/><Relationship Id="rId65" Type="http://schemas.openxmlformats.org/officeDocument/2006/relationships/image" Target="media/image29.wmf"/><Relationship Id="rId64" Type="http://schemas.openxmlformats.org/officeDocument/2006/relationships/image" Target="media/image28.wmf"/><Relationship Id="rId63" Type="http://schemas.openxmlformats.org/officeDocument/2006/relationships/image" Target="media/image27.wmf"/><Relationship Id="rId62" Type="http://schemas.openxmlformats.org/officeDocument/2006/relationships/image" Target="media/image26.wmf"/><Relationship Id="rId61" Type="http://schemas.openxmlformats.org/officeDocument/2006/relationships/image" Target="media/image25.png"/><Relationship Id="rId60" Type="http://schemas.openxmlformats.org/officeDocument/2006/relationships/image" Target="media/image24.png"/><Relationship Id="rId6" Type="http://schemas.openxmlformats.org/officeDocument/2006/relationships/footer" Target="footer1.xml"/><Relationship Id="rId59" Type="http://schemas.openxmlformats.org/officeDocument/2006/relationships/oleObject" Target="embeddings/oleObject19.bin"/><Relationship Id="rId58" Type="http://schemas.openxmlformats.org/officeDocument/2006/relationships/image" Target="media/image23.emf"/><Relationship Id="rId57" Type="http://schemas.openxmlformats.org/officeDocument/2006/relationships/image" Target="media/image22.png"/><Relationship Id="rId56" Type="http://schemas.openxmlformats.org/officeDocument/2006/relationships/oleObject" Target="embeddings/oleObject18.bin"/><Relationship Id="rId55" Type="http://schemas.openxmlformats.org/officeDocument/2006/relationships/chart" Target="charts/chart1.xml"/><Relationship Id="rId54" Type="http://schemas.openxmlformats.org/officeDocument/2006/relationships/image" Target="media/image21.wmf"/><Relationship Id="rId53" Type="http://schemas.openxmlformats.org/officeDocument/2006/relationships/oleObject" Target="embeddings/oleObject17.bin"/><Relationship Id="rId52" Type="http://schemas.openxmlformats.org/officeDocument/2006/relationships/image" Target="media/image20.wmf"/><Relationship Id="rId51" Type="http://schemas.openxmlformats.org/officeDocument/2006/relationships/oleObject" Target="embeddings/oleObject16.bin"/><Relationship Id="rId50" Type="http://schemas.openxmlformats.org/officeDocument/2006/relationships/image" Target="media/image19.wmf"/><Relationship Id="rId5" Type="http://schemas.openxmlformats.org/officeDocument/2006/relationships/header" Target="header3.xml"/><Relationship Id="rId49" Type="http://schemas.openxmlformats.org/officeDocument/2006/relationships/oleObject" Target="embeddings/oleObject15.bin"/><Relationship Id="rId48" Type="http://schemas.openxmlformats.org/officeDocument/2006/relationships/image" Target="media/image18.wmf"/><Relationship Id="rId47" Type="http://schemas.openxmlformats.org/officeDocument/2006/relationships/oleObject" Target="embeddings/oleObject14.bin"/><Relationship Id="rId46" Type="http://schemas.openxmlformats.org/officeDocument/2006/relationships/image" Target="media/image17.emf"/><Relationship Id="rId45" Type="http://schemas.openxmlformats.org/officeDocument/2006/relationships/image" Target="media/image16.wmf"/><Relationship Id="rId44" Type="http://schemas.openxmlformats.org/officeDocument/2006/relationships/oleObject" Target="embeddings/oleObject13.bin"/><Relationship Id="rId43" Type="http://schemas.openxmlformats.org/officeDocument/2006/relationships/image" Target="media/image15.wmf"/><Relationship Id="rId42" Type="http://schemas.openxmlformats.org/officeDocument/2006/relationships/oleObject" Target="embeddings/oleObject12.bin"/><Relationship Id="rId41" Type="http://schemas.openxmlformats.org/officeDocument/2006/relationships/image" Target="media/image14.wmf"/><Relationship Id="rId40" Type="http://schemas.openxmlformats.org/officeDocument/2006/relationships/oleObject" Target="embeddings/oleObject11.bin"/><Relationship Id="rId4" Type="http://schemas.openxmlformats.org/officeDocument/2006/relationships/header" Target="header2.xml"/><Relationship Id="rId39" Type="http://schemas.openxmlformats.org/officeDocument/2006/relationships/image" Target="media/image13.wmf"/><Relationship Id="rId38" Type="http://schemas.openxmlformats.org/officeDocument/2006/relationships/oleObject" Target="embeddings/oleObject10.bin"/><Relationship Id="rId37" Type="http://schemas.openxmlformats.org/officeDocument/2006/relationships/image" Target="media/image12.wmf"/><Relationship Id="rId36" Type="http://schemas.openxmlformats.org/officeDocument/2006/relationships/oleObject" Target="embeddings/oleObject9.bin"/><Relationship Id="rId35" Type="http://schemas.openxmlformats.org/officeDocument/2006/relationships/image" Target="media/image11.wmf"/><Relationship Id="rId34" Type="http://schemas.openxmlformats.org/officeDocument/2006/relationships/oleObject" Target="embeddings/oleObject8.bin"/><Relationship Id="rId33" Type="http://schemas.openxmlformats.org/officeDocument/2006/relationships/oleObject" Target="embeddings/oleObject7.bin"/><Relationship Id="rId32" Type="http://schemas.openxmlformats.org/officeDocument/2006/relationships/image" Target="media/image10.wmf"/><Relationship Id="rId31" Type="http://schemas.openxmlformats.org/officeDocument/2006/relationships/oleObject" Target="embeddings/oleObject6.bin"/><Relationship Id="rId30" Type="http://schemas.openxmlformats.org/officeDocument/2006/relationships/image" Target="media/image9.wmf"/><Relationship Id="rId3" Type="http://schemas.openxmlformats.org/officeDocument/2006/relationships/header" Target="header1.xml"/><Relationship Id="rId29" Type="http://schemas.openxmlformats.org/officeDocument/2006/relationships/oleObject" Target="embeddings/oleObject5.bin"/><Relationship Id="rId28" Type="http://schemas.openxmlformats.org/officeDocument/2006/relationships/image" Target="media/image8.wmf"/><Relationship Id="rId27" Type="http://schemas.openxmlformats.org/officeDocument/2006/relationships/oleObject" Target="embeddings/oleObject4.bin"/><Relationship Id="rId26" Type="http://schemas.openxmlformats.org/officeDocument/2006/relationships/image" Target="media/image7.wmf"/><Relationship Id="rId25" Type="http://schemas.openxmlformats.org/officeDocument/2006/relationships/oleObject" Target="embeddings/oleObject3.bin"/><Relationship Id="rId24" Type="http://schemas.openxmlformats.org/officeDocument/2006/relationships/image" Target="media/image6.wmf"/><Relationship Id="rId23" Type="http://schemas.openxmlformats.org/officeDocument/2006/relationships/oleObject" Target="embeddings/oleObject2.bin"/><Relationship Id="rId22" Type="http://schemas.openxmlformats.org/officeDocument/2006/relationships/image" Target="media/image5.jpeg"/><Relationship Id="rId21" Type="http://schemas.openxmlformats.org/officeDocument/2006/relationships/image" Target="media/image4.emf"/><Relationship Id="rId20" Type="http://schemas.openxmlformats.org/officeDocument/2006/relationships/image" Target="media/image3.jpeg"/><Relationship Id="rId2" Type="http://schemas.openxmlformats.org/officeDocument/2006/relationships/settings" Target="settings.xml"/><Relationship Id="rId19" Type="http://schemas.openxmlformats.org/officeDocument/2006/relationships/image" Target="media/image2.jpeg"/><Relationship Id="rId18" Type="http://schemas.openxmlformats.org/officeDocument/2006/relationships/image" Target="media/image1.wmf"/><Relationship Id="rId17" Type="http://schemas.openxmlformats.org/officeDocument/2006/relationships/oleObject" Target="embeddings/oleObject1.bin"/><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footer" Target="footer7.xml"/><Relationship Id="rId132" Type="http://schemas.openxmlformats.org/officeDocument/2006/relationships/fontTable" Target="fontTable.xml"/><Relationship Id="rId131" Type="http://schemas.openxmlformats.org/officeDocument/2006/relationships/customXml" Target="../customXml/item2.xml"/><Relationship Id="rId130" Type="http://schemas.openxmlformats.org/officeDocument/2006/relationships/numbering" Target="numbering.xml"/><Relationship Id="rId13" Type="http://schemas.openxmlformats.org/officeDocument/2006/relationships/header" Target="header5.xml"/><Relationship Id="rId129" Type="http://schemas.openxmlformats.org/officeDocument/2006/relationships/customXml" Target="../customXml/item1.xml"/><Relationship Id="rId128" Type="http://schemas.openxmlformats.org/officeDocument/2006/relationships/image" Target="media/image89.png"/><Relationship Id="rId127" Type="http://schemas.openxmlformats.org/officeDocument/2006/relationships/image" Target="media/image88.wmf"/><Relationship Id="rId126" Type="http://schemas.openxmlformats.org/officeDocument/2006/relationships/image" Target="media/image87.wmf"/><Relationship Id="rId125" Type="http://schemas.openxmlformats.org/officeDocument/2006/relationships/image" Target="media/image86.wmf"/><Relationship Id="rId124" Type="http://schemas.openxmlformats.org/officeDocument/2006/relationships/image" Target="media/image85.wmf"/><Relationship Id="rId123" Type="http://schemas.openxmlformats.org/officeDocument/2006/relationships/image" Target="media/image84.wmf"/><Relationship Id="rId122" Type="http://schemas.openxmlformats.org/officeDocument/2006/relationships/oleObject" Target="embeddings/oleObject22.bin"/><Relationship Id="rId121" Type="http://schemas.openxmlformats.org/officeDocument/2006/relationships/image" Target="media/image83.wmf"/><Relationship Id="rId120" Type="http://schemas.openxmlformats.org/officeDocument/2006/relationships/oleObject" Target="embeddings/oleObject21.bin"/><Relationship Id="rId12" Type="http://schemas.openxmlformats.org/officeDocument/2006/relationships/header" Target="header4.xml"/><Relationship Id="rId119" Type="http://schemas.openxmlformats.org/officeDocument/2006/relationships/image" Target="media/image82.wmf"/><Relationship Id="rId118" Type="http://schemas.openxmlformats.org/officeDocument/2006/relationships/oleObject" Target="embeddings/oleObject20.bin"/><Relationship Id="rId117" Type="http://schemas.openxmlformats.org/officeDocument/2006/relationships/image" Target="media/image81.wmf"/><Relationship Id="rId116" Type="http://schemas.openxmlformats.org/officeDocument/2006/relationships/image" Target="media/image80.png"/><Relationship Id="rId115" Type="http://schemas.openxmlformats.org/officeDocument/2006/relationships/image" Target="media/image79.png"/><Relationship Id="rId114" Type="http://schemas.openxmlformats.org/officeDocument/2006/relationships/image" Target="media/image78.png"/><Relationship Id="rId113" Type="http://schemas.openxmlformats.org/officeDocument/2006/relationships/image" Target="media/image77.png"/><Relationship Id="rId112" Type="http://schemas.openxmlformats.org/officeDocument/2006/relationships/image" Target="media/image76.png"/><Relationship Id="rId111" Type="http://schemas.openxmlformats.org/officeDocument/2006/relationships/image" Target="media/image75.png"/><Relationship Id="rId110" Type="http://schemas.openxmlformats.org/officeDocument/2006/relationships/image" Target="media/image74.png"/><Relationship Id="rId11" Type="http://schemas.openxmlformats.org/officeDocument/2006/relationships/footer" Target="footer6.xml"/><Relationship Id="rId109" Type="http://schemas.openxmlformats.org/officeDocument/2006/relationships/image" Target="media/image73.png"/><Relationship Id="rId108" Type="http://schemas.openxmlformats.org/officeDocument/2006/relationships/image" Target="media/image72.wmf"/><Relationship Id="rId107" Type="http://schemas.openxmlformats.org/officeDocument/2006/relationships/image" Target="media/image71.wmf"/><Relationship Id="rId106" Type="http://schemas.openxmlformats.org/officeDocument/2006/relationships/image" Target="media/image70.wmf"/><Relationship Id="rId105" Type="http://schemas.openxmlformats.org/officeDocument/2006/relationships/image" Target="media/image69.wmf"/><Relationship Id="rId104" Type="http://schemas.openxmlformats.org/officeDocument/2006/relationships/image" Target="media/image68.wmf"/><Relationship Id="rId103" Type="http://schemas.openxmlformats.org/officeDocument/2006/relationships/image" Target="media/image67.wmf"/><Relationship Id="rId102" Type="http://schemas.openxmlformats.org/officeDocument/2006/relationships/image" Target="media/image66.wmf"/><Relationship Id="rId101" Type="http://schemas.openxmlformats.org/officeDocument/2006/relationships/image" Target="media/image65.wmf"/><Relationship Id="rId100" Type="http://schemas.openxmlformats.org/officeDocument/2006/relationships/image" Target="media/image64.wmf"/><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oleObject" Target="file:///D:\&#22806;&#36865;&#26679;&#21697;\&#27946;&#28023;2020%20&#40644;&#23707;&#12289;&#19996;&#33829;&#12289;&#23041;&#28023;\&#26032;&#24314;&#25991;&#20214;&#22841;\&#23041;&#28023;&#28014;&#28216;&#26893;&#29289;&#25968;&#25454;20200822&#65288;12&#20010;&#26679;&#21697;&#65289;(1)(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manualLayout>
                  <c:x val="0.0766036012612948"/>
                  <c:y val="-0.140922021844044"/>
                </c:manualLayout>
              </c:layout>
              <c:numFmt formatCode="0.0%" sourceLinked="0"/>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144621677155605"/>
                  <c:y val="0.116496062992126"/>
                </c:manualLayout>
              </c:layout>
              <c:numFmt formatCode="0.0%" sourceLinked="0"/>
              <c:spPr>
                <a:noFill/>
                <a:ln>
                  <a:noFill/>
                </a:ln>
                <a:effectLst/>
              </c:spPr>
              <c:txPr>
                <a:bodyPr rot="0" spcFirstLastPara="1" vertOverflow="ellipsis" vert="horz" wrap="square" lIns="38100" tIns="19050" rIns="38100" bIns="19050" anchor="ctr" anchorCtr="1">
                  <a:no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140890155499567"/>
                      <c:h val="0.142240284480569"/>
                    </c:manualLayout>
                  </c15:layout>
                </c:ext>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'丰度(cellsm3)'!$E$70:$E$71</c:f>
              <c:strCache>
                <c:ptCount val="2"/>
                <c:pt idx="0">
                  <c:v>硅藻</c:v>
                </c:pt>
                <c:pt idx="1">
                  <c:v>甲藻</c:v>
                </c:pt>
              </c:strCache>
            </c:strRef>
          </c:cat>
          <c:val>
            <c:numRef>
              <c:f>'丰度(cellsm3)'!$F$70:$F$71</c:f>
              <c:numCache>
                <c:formatCode>0_ </c:formatCode>
                <c:ptCount val="2"/>
                <c:pt idx="0">
                  <c:v>39</c:v>
                </c:pt>
                <c:pt idx="1">
                  <c:v>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46"/>
    <customShpInfo spid="_x0000_s1045"/>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225160E-1870-4358-81B0-6CA240291E6B}">
  <ds:schemaRefs/>
</ds:datastoreItem>
</file>

<file path=docProps/app.xml><?xml version="1.0" encoding="utf-8"?>
<Properties xmlns="http://schemas.openxmlformats.org/officeDocument/2006/extended-properties" xmlns:vt="http://schemas.openxmlformats.org/officeDocument/2006/docPropsVTypes">
  <Template>Normal</Template>
  <Company>legend</Company>
  <Pages>1</Pages>
  <Words>13407</Words>
  <Characters>76425</Characters>
  <Lines>636</Lines>
  <Paragraphs>179</Paragraphs>
  <TotalTime>282</TotalTime>
  <ScaleCrop>false</ScaleCrop>
  <LinksUpToDate>false</LinksUpToDate>
  <CharactersWithSpaces>89653</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2020-09-24T03:23:00Z</dcterms:created>
  <dc:creator>韩硕</dc:creator>
  <cp:lastModifiedBy>chère琳</cp:lastModifiedBy>
  <cp:lastPrinted>2020-09-23T03:15:00Z</cp:lastPrinted>
  <dcterms:modified xsi:type="dcterms:W3CDTF">2022-08-09T08:49:59Z</dcterms:modified>
  <dc:title>审批编号:</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