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rFonts w:eastAsia="黑体"/>
          <w:sz w:val="24"/>
        </w:rPr>
      </w:pPr>
      <w:bookmarkStart w:id="4" w:name="_GoBack"/>
      <w:bookmarkEnd w:id="4"/>
      <w:r>
        <w:rPr>
          <w:rFonts w:eastAsia="黑体"/>
          <w:sz w:val="24"/>
        </w:rPr>
        <w:t xml:space="preserve">                                    </w:t>
      </w:r>
    </w:p>
    <w:p>
      <w:pPr>
        <w:adjustRightInd w:val="0"/>
        <w:snapToGrid w:val="0"/>
        <w:rPr>
          <w:rFonts w:eastAsia="黑体"/>
          <w:sz w:val="24"/>
        </w:rPr>
      </w:pPr>
    </w:p>
    <w:p>
      <w:pPr>
        <w:adjustRightInd w:val="0"/>
        <w:snapToGrid w:val="0"/>
        <w:spacing w:before="1928"/>
        <w:jc w:val="center"/>
        <w:rPr>
          <w:rFonts w:eastAsia="华文中宋"/>
          <w:b/>
          <w:color w:val="000000" w:themeColor="text1"/>
          <w:sz w:val="72"/>
        </w:rPr>
      </w:pPr>
      <w:r>
        <w:rPr>
          <w:rFonts w:hAnsi="华文中宋" w:eastAsia="华文中宋"/>
          <w:b/>
          <w:color w:val="000000" w:themeColor="text1"/>
          <w:sz w:val="72"/>
        </w:rPr>
        <w:t>建设项目环境影响报告表</w:t>
      </w:r>
    </w:p>
    <w:p>
      <w:pPr>
        <w:rPr>
          <w:rFonts w:hAnsi="华文中宋" w:eastAsia="华文中宋"/>
          <w:color w:val="000000" w:themeColor="text1"/>
          <w:sz w:val="36"/>
          <w:szCs w:val="36"/>
        </w:rPr>
      </w:pPr>
    </w:p>
    <w:p>
      <w:pPr>
        <w:rPr>
          <w:b/>
          <w:color w:val="000000" w:themeColor="text1"/>
          <w:sz w:val="32"/>
        </w:rPr>
      </w:pPr>
    </w:p>
    <w:p>
      <w:pPr>
        <w:rPr>
          <w:rFonts w:eastAsia="黑体"/>
          <w:b/>
          <w:color w:val="000000" w:themeColor="text1"/>
          <w:sz w:val="32"/>
        </w:rPr>
      </w:pPr>
    </w:p>
    <w:p>
      <w:pPr>
        <w:ind w:left="2582" w:leftChars="185" w:right="681" w:rightChars="227" w:hanging="2027" w:hangingChars="561"/>
        <w:rPr>
          <w:rFonts w:eastAsia="黑体"/>
          <w:color w:val="000000" w:themeColor="text1"/>
          <w:spacing w:val="-6"/>
          <w:sz w:val="36"/>
          <w:szCs w:val="36"/>
          <w:u w:val="single"/>
        </w:rPr>
      </w:pPr>
      <w:r>
        <w:rPr>
          <w:rFonts w:hAnsi="华文中宋" w:eastAsia="华文中宋"/>
          <w:b/>
          <w:color w:val="000000" w:themeColor="text1"/>
          <w:sz w:val="36"/>
          <w:szCs w:val="36"/>
        </w:rPr>
        <w:t>项目名称：</w:t>
      </w:r>
      <w:r>
        <w:rPr>
          <w:rFonts w:hint="eastAsia" w:ascii="黑体" w:hAnsi="华文中宋" w:eastAsia="黑体"/>
          <w:color w:val="000000" w:themeColor="text1"/>
          <w:sz w:val="36"/>
          <w:szCs w:val="36"/>
          <w:u w:val="single"/>
        </w:rPr>
        <w:t xml:space="preserve">      玻璃深加工项目     </w:t>
      </w:r>
    </w:p>
    <w:p>
      <w:pPr>
        <w:ind w:firstLine="2268"/>
        <w:rPr>
          <w:rFonts w:eastAsia="黑体"/>
          <w:b/>
          <w:color w:val="FF0000"/>
          <w:sz w:val="32"/>
        </w:rPr>
      </w:pPr>
    </w:p>
    <w:p>
      <w:pPr>
        <w:ind w:firstLine="2268"/>
        <w:rPr>
          <w:rFonts w:eastAsia="黑体"/>
          <w:b/>
          <w:color w:val="FF0000"/>
          <w:sz w:val="32"/>
        </w:rPr>
      </w:pPr>
    </w:p>
    <w:p>
      <w:pPr>
        <w:ind w:left="-6" w:leftChars="-2" w:firstLine="593" w:firstLineChars="164"/>
        <w:rPr>
          <w:rFonts w:ascii="黑体" w:eastAsia="黑体"/>
          <w:b/>
          <w:color w:val="000000" w:themeColor="text1"/>
          <w:sz w:val="36"/>
          <w:szCs w:val="36"/>
        </w:rPr>
      </w:pPr>
      <w:r>
        <w:rPr>
          <w:rFonts w:hAnsi="华文中宋" w:eastAsia="华文中宋"/>
          <w:b/>
          <w:color w:val="000000" w:themeColor="text1"/>
          <w:sz w:val="36"/>
          <w:szCs w:val="36"/>
        </w:rPr>
        <w:t>建设单位（盖章）：</w:t>
      </w:r>
      <w:r>
        <w:rPr>
          <w:rFonts w:hint="eastAsia" w:ascii="黑体" w:hAnsi="华文中宋" w:eastAsia="黑体"/>
          <w:color w:val="000000" w:themeColor="text1"/>
          <w:sz w:val="36"/>
          <w:szCs w:val="36"/>
          <w:u w:val="single"/>
        </w:rPr>
        <w:t xml:space="preserve"> 威海佰特玻璃有限公司  </w:t>
      </w: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ind w:left="1871"/>
        <w:rPr>
          <w:rFonts w:eastAsia="黑体"/>
          <w:b/>
          <w:color w:val="FF0000"/>
          <w:sz w:val="32"/>
        </w:rPr>
      </w:pPr>
    </w:p>
    <w:p>
      <w:pPr>
        <w:jc w:val="center"/>
        <w:rPr>
          <w:rFonts w:eastAsia="华文中宋"/>
          <w:b/>
          <w:color w:val="000000" w:themeColor="text1"/>
          <w:sz w:val="36"/>
          <w:szCs w:val="36"/>
        </w:rPr>
      </w:pPr>
      <w:r>
        <w:rPr>
          <w:rFonts w:hAnsi="华文中宋" w:eastAsia="华文中宋"/>
          <w:b/>
          <w:color w:val="000000" w:themeColor="text1"/>
          <w:sz w:val="36"/>
          <w:szCs w:val="36"/>
        </w:rPr>
        <w:t>编制日期：</w:t>
      </w:r>
      <w:r>
        <w:rPr>
          <w:rFonts w:hint="eastAsia" w:eastAsia="华文中宋"/>
          <w:b/>
          <w:color w:val="000000" w:themeColor="text1"/>
          <w:sz w:val="36"/>
          <w:szCs w:val="36"/>
        </w:rPr>
        <w:t>二〇二〇</w:t>
      </w:r>
      <w:r>
        <w:rPr>
          <w:rFonts w:hAnsi="华文中宋" w:eastAsia="华文中宋"/>
          <w:b/>
          <w:color w:val="000000" w:themeColor="text1"/>
          <w:sz w:val="36"/>
          <w:szCs w:val="36"/>
        </w:rPr>
        <w:t>年</w:t>
      </w:r>
      <w:r>
        <w:rPr>
          <w:rFonts w:hint="eastAsia" w:hAnsi="华文中宋" w:eastAsia="华文中宋"/>
          <w:b/>
          <w:color w:val="000000" w:themeColor="text1"/>
          <w:sz w:val="36"/>
          <w:szCs w:val="36"/>
        </w:rPr>
        <w:t>十</w:t>
      </w:r>
      <w:r>
        <w:rPr>
          <w:rFonts w:hAnsi="华文中宋" w:eastAsia="华文中宋"/>
          <w:b/>
          <w:color w:val="000000" w:themeColor="text1"/>
          <w:sz w:val="36"/>
          <w:szCs w:val="36"/>
        </w:rPr>
        <w:t>月</w:t>
      </w:r>
    </w:p>
    <w:p>
      <w:pPr>
        <w:spacing w:after="1531"/>
        <w:jc w:val="center"/>
        <w:rPr>
          <w:rFonts w:hAnsi="华文中宋" w:eastAsia="华文中宋"/>
          <w:b/>
          <w:color w:val="000000" w:themeColor="text1"/>
          <w:sz w:val="36"/>
          <w:szCs w:val="36"/>
        </w:rPr>
      </w:pPr>
      <w:r>
        <w:rPr>
          <w:rFonts w:hAnsi="华文中宋" w:eastAsia="华文中宋"/>
          <w:b/>
          <w:color w:val="000000" w:themeColor="text1"/>
          <w:sz w:val="36"/>
          <w:szCs w:val="36"/>
        </w:rPr>
        <w:t>国家环境保护部制</w:t>
      </w:r>
    </w:p>
    <w:p>
      <w:pPr>
        <w:spacing w:after="1531"/>
        <w:jc w:val="center"/>
        <w:rPr>
          <w:rFonts w:eastAsia="华文中宋"/>
          <w:b/>
          <w:color w:val="FF0000"/>
          <w:sz w:val="36"/>
          <w:szCs w:val="36"/>
        </w:rPr>
        <w:sectPr>
          <w:headerReference r:id="rId5" w:type="first"/>
          <w:footerReference r:id="rId8" w:type="first"/>
          <w:headerReference r:id="rId3" w:type="default"/>
          <w:footerReference r:id="rId6" w:type="default"/>
          <w:headerReference r:id="rId4" w:type="even"/>
          <w:footerReference r:id="rId7" w:type="even"/>
          <w:type w:val="continuous"/>
          <w:pgSz w:w="11906" w:h="16838"/>
          <w:pgMar w:top="1797" w:right="1440" w:bottom="1797" w:left="1440" w:header="851" w:footer="907" w:gutter="0"/>
          <w:pgNumType w:start="1"/>
          <w:cols w:space="425" w:num="1"/>
          <w:titlePg/>
          <w:docGrid w:type="lines" w:linePitch="407" w:charSpace="0"/>
        </w:sectPr>
      </w:pPr>
    </w:p>
    <w:p>
      <w:pPr>
        <w:snapToGrid w:val="0"/>
        <w:spacing w:before="240" w:after="600"/>
        <w:jc w:val="center"/>
        <w:outlineLvl w:val="0"/>
        <w:rPr>
          <w:rFonts w:eastAsia="华文中宋"/>
          <w:color w:val="000000" w:themeColor="text1"/>
          <w:sz w:val="32"/>
        </w:rPr>
      </w:pPr>
      <w:r>
        <w:rPr>
          <w:rFonts w:hAnsi="华文中宋" w:eastAsia="华文中宋"/>
          <w:color w:val="000000" w:themeColor="text1"/>
          <w:sz w:val="32"/>
        </w:rPr>
        <w:t>《建设项目环境影响报告表》编制说明</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rPr>
        <w:t xml:space="preserve">    </w:t>
      </w:r>
      <w:r>
        <w:rPr>
          <w:rFonts w:ascii="楷体" w:hAnsi="楷体" w:eastAsia="楷体"/>
          <w:color w:val="000000" w:themeColor="text1"/>
          <w:spacing w:val="-6"/>
          <w:sz w:val="28"/>
        </w:rPr>
        <w:t>《建设项目环境影响报告表》由具有从事环境影响评价工作资质的单位编制。</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1．项目名称——指项目立项批复时的名称，应不超过30个字（两个英文字段作一个汉字）。</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2．建设地点——指项目所在地详细地址，公路、铁路应填写起止地点。</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3．行业类别——按国标填写。</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4．总投资——指项目投资总额。</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5．主要环境保护目标——指项目区周围一定范围内集中居民住宅区、学校、医院、保护文物、风景名胜区、水源地和生态敏感点等，应尽可能给出保护目标、性质、规模和距厂界距离等。</w:t>
      </w:r>
    </w:p>
    <w:p>
      <w:pPr>
        <w:snapToGrid w:val="0"/>
        <w:spacing w:line="360" w:lineRule="auto"/>
        <w:rPr>
          <w:rFonts w:ascii="楷体" w:hAnsi="楷体" w:eastAsia="楷体"/>
          <w:color w:val="000000" w:themeColor="text1"/>
          <w:spacing w:val="-6"/>
          <w:sz w:val="28"/>
        </w:rPr>
      </w:pPr>
      <w:r>
        <w:rPr>
          <w:rFonts w:ascii="楷体" w:hAnsi="楷体" w:eastAsia="楷体"/>
          <w:color w:val="000000" w:themeColor="text1"/>
          <w:spacing w:val="-6"/>
          <w:sz w:val="28"/>
        </w:rPr>
        <w:t xml:space="preserve">    6．结论与建议——给出拟建项目清洁生产、达标排放和总量控制的分析结论，确定污染防治措施的有效性，说明拟建项目对环境造成的影响，给出建设项目环境可行性的明确结论。同时提出减少环境影响的其它建议。</w:t>
      </w:r>
    </w:p>
    <w:p>
      <w:pPr>
        <w:snapToGrid w:val="0"/>
        <w:spacing w:line="360" w:lineRule="auto"/>
        <w:ind w:firstLine="525"/>
        <w:rPr>
          <w:rFonts w:ascii="楷体" w:hAnsi="楷体" w:eastAsia="楷体"/>
          <w:color w:val="000000" w:themeColor="text1"/>
          <w:spacing w:val="-6"/>
          <w:sz w:val="28"/>
        </w:rPr>
      </w:pPr>
      <w:r>
        <w:rPr>
          <w:rFonts w:ascii="楷体" w:hAnsi="楷体" w:eastAsia="楷体"/>
          <w:color w:val="000000" w:themeColor="text1"/>
          <w:spacing w:val="-6"/>
          <w:sz w:val="28"/>
        </w:rPr>
        <w:t>7．预审意见——由行业主管部门填写答复意见，无主管部门项目，可不填。</w:t>
      </w:r>
    </w:p>
    <w:p>
      <w:pPr>
        <w:snapToGrid w:val="0"/>
        <w:spacing w:line="360" w:lineRule="auto"/>
        <w:ind w:firstLine="525"/>
        <w:rPr>
          <w:rFonts w:ascii="楷体" w:hAnsi="楷体" w:eastAsia="楷体"/>
          <w:color w:val="000000" w:themeColor="text1"/>
          <w:sz w:val="28"/>
        </w:rPr>
      </w:pPr>
      <w:r>
        <w:rPr>
          <w:rFonts w:ascii="楷体" w:hAnsi="楷体" w:eastAsia="楷体"/>
          <w:color w:val="000000" w:themeColor="text1"/>
          <w:sz w:val="28"/>
        </w:rPr>
        <w:t>8．审批意见——由负责审批该项目的环境保护行政主管部门批复。</w:t>
      </w:r>
    </w:p>
    <w:p>
      <w:pPr>
        <w:snapToGrid w:val="0"/>
        <w:rPr>
          <w:rFonts w:eastAsia="黑体"/>
          <w:color w:val="FF0000"/>
          <w:sz w:val="32"/>
          <w:szCs w:val="32"/>
        </w:rPr>
      </w:pPr>
    </w:p>
    <w:p>
      <w:pPr>
        <w:snapToGrid w:val="0"/>
        <w:rPr>
          <w:rFonts w:eastAsia="黑体"/>
          <w:color w:val="FF0000"/>
          <w:sz w:val="32"/>
          <w:szCs w:val="32"/>
        </w:rPr>
      </w:pPr>
    </w:p>
    <w:p>
      <w:pPr>
        <w:snapToGrid w:val="0"/>
        <w:rPr>
          <w:rFonts w:eastAsia="黑体"/>
          <w:color w:val="FF0000"/>
          <w:sz w:val="32"/>
          <w:szCs w:val="32"/>
        </w:rPr>
      </w:pPr>
    </w:p>
    <w:p>
      <w:pPr>
        <w:snapToGrid w:val="0"/>
        <w:rPr>
          <w:rFonts w:eastAsia="黑体"/>
          <w:color w:val="FF0000"/>
          <w:sz w:val="32"/>
          <w:szCs w:val="32"/>
        </w:rPr>
      </w:pPr>
    </w:p>
    <w:p>
      <w:pPr>
        <w:snapToGrid w:val="0"/>
        <w:rPr>
          <w:rFonts w:eastAsia="黑体"/>
          <w:color w:val="FF0000"/>
          <w:sz w:val="32"/>
          <w:szCs w:val="32"/>
        </w:rPr>
      </w:pPr>
    </w:p>
    <w:p>
      <w:pPr>
        <w:snapToGrid w:val="0"/>
        <w:rPr>
          <w:rFonts w:eastAsia="黑体"/>
          <w:color w:val="FF0000"/>
          <w:sz w:val="32"/>
          <w:szCs w:val="32"/>
        </w:rPr>
        <w:sectPr>
          <w:headerReference r:id="rId9" w:type="default"/>
          <w:footerReference r:id="rId10" w:type="default"/>
          <w:pgSz w:w="11906" w:h="16838"/>
          <w:pgMar w:top="1797" w:right="1440" w:bottom="1797" w:left="1440" w:header="851" w:footer="907" w:gutter="0"/>
          <w:pgNumType w:start="0"/>
          <w:cols w:space="425" w:num="1"/>
          <w:docGrid w:type="lines" w:linePitch="407" w:charSpace="0"/>
        </w:sectPr>
      </w:pPr>
    </w:p>
    <w:p>
      <w:pPr>
        <w:snapToGrid w:val="0"/>
        <w:rPr>
          <w:rFonts w:eastAsia="黑体"/>
          <w:color w:val="000000" w:themeColor="text1"/>
          <w:sz w:val="32"/>
          <w:szCs w:val="32"/>
        </w:rPr>
      </w:pPr>
      <w:r>
        <w:rPr>
          <w:rFonts w:eastAsia="黑体"/>
          <w:color w:val="000000" w:themeColor="text1"/>
          <w:sz w:val="32"/>
          <w:szCs w:val="32"/>
        </w:rPr>
        <w:t>建设项目基本情况</w:t>
      </w:r>
    </w:p>
    <w:tbl>
      <w:tblPr>
        <w:tblStyle w:val="26"/>
        <w:tblW w:w="9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2"/>
        <w:gridCol w:w="989"/>
        <w:gridCol w:w="1297"/>
        <w:gridCol w:w="889"/>
        <w:gridCol w:w="1172"/>
        <w:gridCol w:w="837"/>
        <w:gridCol w:w="1540"/>
        <w:gridCol w:w="47"/>
        <w:gridCol w:w="1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项目名称</w:t>
            </w:r>
          </w:p>
        </w:tc>
        <w:tc>
          <w:tcPr>
            <w:tcW w:w="8180" w:type="dxa"/>
            <w:gridSpan w:val="8"/>
            <w:vAlign w:val="center"/>
          </w:tcPr>
          <w:p>
            <w:pPr>
              <w:rPr>
                <w:color w:val="0070C0"/>
                <w:sz w:val="24"/>
              </w:rPr>
            </w:pPr>
            <w:r>
              <w:rPr>
                <w:rFonts w:hint="eastAsia"/>
                <w:spacing w:val="6"/>
                <w:sz w:val="24"/>
              </w:rPr>
              <w:t>玻璃深加工项目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建设单位</w:t>
            </w:r>
          </w:p>
        </w:tc>
        <w:tc>
          <w:tcPr>
            <w:tcW w:w="8180" w:type="dxa"/>
            <w:gridSpan w:val="8"/>
            <w:vAlign w:val="center"/>
          </w:tcPr>
          <w:p>
            <w:pPr>
              <w:rPr>
                <w:color w:val="000000" w:themeColor="text1"/>
                <w:sz w:val="24"/>
              </w:rPr>
            </w:pPr>
            <w:r>
              <w:rPr>
                <w:rFonts w:hint="eastAsia"/>
                <w:spacing w:val="6"/>
                <w:sz w:val="24"/>
              </w:rPr>
              <w:t>威海佰特玻璃有限公司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法人代表</w:t>
            </w:r>
          </w:p>
        </w:tc>
        <w:tc>
          <w:tcPr>
            <w:tcW w:w="2789" w:type="dxa"/>
            <w:gridSpan w:val="3"/>
            <w:vAlign w:val="center"/>
          </w:tcPr>
          <w:p>
            <w:pPr>
              <w:rPr>
                <w:color w:val="000000" w:themeColor="text1"/>
                <w:sz w:val="24"/>
              </w:rPr>
            </w:pPr>
            <w:r>
              <w:rPr>
                <w:spacing w:val="20"/>
                <w:sz w:val="24"/>
              </w:rPr>
              <w:t>吴淑静</w:t>
            </w:r>
          </w:p>
        </w:tc>
        <w:tc>
          <w:tcPr>
            <w:tcW w:w="2268"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联系人</w:t>
            </w:r>
          </w:p>
        </w:tc>
        <w:tc>
          <w:tcPr>
            <w:tcW w:w="3123" w:type="dxa"/>
            <w:gridSpan w:val="3"/>
            <w:vAlign w:val="center"/>
          </w:tcPr>
          <w:p>
            <w:pPr>
              <w:rPr>
                <w:color w:val="000000" w:themeColor="text1"/>
                <w:sz w:val="24"/>
              </w:rPr>
            </w:pPr>
            <w:r>
              <w:rPr>
                <w:rFonts w:hint="eastAsia"/>
                <w:spacing w:val="6"/>
                <w:sz w:val="24"/>
              </w:rPr>
              <w:t>董丽丽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通讯地址</w:t>
            </w:r>
          </w:p>
        </w:tc>
        <w:tc>
          <w:tcPr>
            <w:tcW w:w="8180" w:type="dxa"/>
            <w:gridSpan w:val="8"/>
            <w:vAlign w:val="center"/>
          </w:tcPr>
          <w:p>
            <w:pPr>
              <w:pStyle w:val="81"/>
              <w:jc w:val="both"/>
              <w:rPr>
                <w:color w:val="0070C0"/>
              </w:rPr>
            </w:pPr>
            <w:r>
              <w:rPr>
                <w:rFonts w:ascii="Times New Roman" w:eastAsia="宋体" w:cs="Times New Roman"/>
                <w:color w:val="000000" w:themeColor="text1"/>
                <w:kern w:val="2"/>
                <w:szCs w:val="20"/>
              </w:rPr>
              <w:t>威海临港经济技术开发区苘山镇苘兴路南、扬州路西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联系电话</w:t>
            </w:r>
          </w:p>
        </w:tc>
        <w:tc>
          <w:tcPr>
            <w:tcW w:w="1939" w:type="dxa"/>
            <w:gridSpan w:val="2"/>
            <w:vAlign w:val="center"/>
          </w:tcPr>
          <w:p>
            <w:pPr>
              <w:rPr>
                <w:color w:val="000000" w:themeColor="text1"/>
                <w:sz w:val="24"/>
              </w:rPr>
            </w:pPr>
            <w:r>
              <w:rPr>
                <w:rFonts w:hint="eastAsia"/>
                <w:color w:val="000000" w:themeColor="text1"/>
                <w:sz w:val="24"/>
              </w:rPr>
              <w:t>13371157178</w:t>
            </w:r>
          </w:p>
        </w:tc>
        <w:tc>
          <w:tcPr>
            <w:tcW w:w="850" w:type="dxa"/>
            <w:vAlign w:val="center"/>
          </w:tcPr>
          <w:p>
            <w:pPr>
              <w:rPr>
                <w:color w:val="000000" w:themeColor="text1"/>
                <w:sz w:val="28"/>
              </w:rPr>
            </w:pPr>
            <w:r>
              <w:rPr>
                <w:rFonts w:ascii="华文中宋" w:hAnsi="华文中宋" w:eastAsia="华文中宋"/>
                <w:b/>
                <w:color w:val="000000" w:themeColor="text1"/>
                <w:sz w:val="28"/>
              </w:rPr>
              <w:t>传真</w:t>
            </w:r>
          </w:p>
        </w:tc>
        <w:tc>
          <w:tcPr>
            <w:tcW w:w="2268" w:type="dxa"/>
            <w:gridSpan w:val="2"/>
            <w:vAlign w:val="center"/>
          </w:tcPr>
          <w:p>
            <w:pPr>
              <w:rPr>
                <w:color w:val="0070C0"/>
                <w:sz w:val="24"/>
              </w:rPr>
            </w:pPr>
            <w:r>
              <w:rPr>
                <w:rFonts w:hint="eastAsia"/>
                <w:color w:val="000000" w:themeColor="text1"/>
                <w:sz w:val="24"/>
              </w:rPr>
              <w:t>—</w:t>
            </w:r>
          </w:p>
        </w:tc>
        <w:tc>
          <w:tcPr>
            <w:tcW w:w="1837" w:type="dxa"/>
            <w:vAlign w:val="center"/>
          </w:tcPr>
          <w:p>
            <w:pPr>
              <w:rPr>
                <w:color w:val="000000" w:themeColor="text1"/>
                <w:sz w:val="28"/>
              </w:rPr>
            </w:pPr>
            <w:r>
              <w:rPr>
                <w:rFonts w:ascii="华文中宋" w:hAnsi="华文中宋" w:eastAsia="华文中宋"/>
                <w:b/>
                <w:color w:val="000000" w:themeColor="text1"/>
                <w:sz w:val="28"/>
              </w:rPr>
              <w:t>邮政编码</w:t>
            </w:r>
          </w:p>
        </w:tc>
        <w:tc>
          <w:tcPr>
            <w:tcW w:w="1286" w:type="dxa"/>
            <w:gridSpan w:val="2"/>
            <w:vAlign w:val="center"/>
          </w:tcPr>
          <w:p>
            <w:pPr>
              <w:rPr>
                <w:color w:val="000000" w:themeColor="text1"/>
                <w:sz w:val="24"/>
              </w:rPr>
            </w:pPr>
            <w:r>
              <w:rPr>
                <w:rFonts w:hint="eastAsia"/>
                <w:color w:val="000000" w:themeColor="text1"/>
                <w:sz w:val="24"/>
              </w:rPr>
              <w:t>264211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建设地点</w:t>
            </w:r>
          </w:p>
        </w:tc>
        <w:tc>
          <w:tcPr>
            <w:tcW w:w="8180" w:type="dxa"/>
            <w:gridSpan w:val="8"/>
            <w:vAlign w:val="center"/>
          </w:tcPr>
          <w:p>
            <w:pPr>
              <w:rPr>
                <w:color w:val="000000" w:themeColor="text1"/>
                <w:sz w:val="24"/>
              </w:rPr>
            </w:pPr>
            <w:r>
              <w:rPr>
                <w:color w:val="000000" w:themeColor="text1"/>
                <w:sz w:val="24"/>
              </w:rPr>
              <w:t>威海临港经济技术开发区苘山镇苘兴路南、</w:t>
            </w:r>
            <w:r>
              <w:rPr>
                <w:rFonts w:hint="eastAsia"/>
                <w:color w:val="000000" w:themeColor="text1"/>
                <w:sz w:val="24"/>
              </w:rPr>
              <w:t>安昌</w:t>
            </w:r>
            <w:r>
              <w:rPr>
                <w:color w:val="000000" w:themeColor="text1"/>
                <w:sz w:val="24"/>
              </w:rPr>
              <w:t>路西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64"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立项审批单位</w:t>
            </w:r>
          </w:p>
        </w:tc>
        <w:tc>
          <w:tcPr>
            <w:tcW w:w="2039" w:type="dxa"/>
            <w:gridSpan w:val="2"/>
            <w:vAlign w:val="center"/>
          </w:tcPr>
          <w:p>
            <w:pPr>
              <w:rPr>
                <w:color w:val="0070C0"/>
                <w:sz w:val="24"/>
              </w:rPr>
            </w:pPr>
          </w:p>
        </w:tc>
        <w:tc>
          <w:tcPr>
            <w:tcW w:w="2268"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批准文号</w:t>
            </w:r>
          </w:p>
        </w:tc>
        <w:tc>
          <w:tcPr>
            <w:tcW w:w="3123" w:type="dxa"/>
            <w:gridSpan w:val="3"/>
            <w:vAlign w:val="center"/>
          </w:tcPr>
          <w:p>
            <w:pPr>
              <w:rPr>
                <w:color w:val="0070C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建设性质</w:t>
            </w:r>
          </w:p>
        </w:tc>
        <w:tc>
          <w:tcPr>
            <w:tcW w:w="2789" w:type="dxa"/>
            <w:gridSpan w:val="3"/>
            <w:vAlign w:val="center"/>
          </w:tcPr>
          <w:p>
            <w:pPr>
              <w:rPr>
                <w:rFonts w:ascii="宋体" w:hAnsi="宋体"/>
                <w:color w:val="000000" w:themeColor="text1"/>
                <w:sz w:val="24"/>
                <w:szCs w:val="24"/>
              </w:rPr>
            </w:pPr>
            <w:r>
              <w:rPr>
                <w:color w:val="000000" w:themeColor="text1"/>
                <w:sz w:val="24"/>
              </w:rPr>
              <w:t>新建</w:t>
            </w:r>
            <w:r>
              <w:rPr>
                <w:color w:val="000000" w:themeColor="text1"/>
                <w:sz w:val="24"/>
              </w:rPr>
              <w:sym w:font="Wingdings 2" w:char="F052"/>
            </w:r>
            <w:r>
              <w:rPr>
                <w:color w:val="000000" w:themeColor="text1"/>
                <w:sz w:val="24"/>
              </w:rPr>
              <w:t>改扩建</w:t>
            </w:r>
            <w:r>
              <w:rPr>
                <w:rFonts w:hint="eastAsia"/>
                <w:color w:val="000000" w:themeColor="text1"/>
                <w:sz w:val="24"/>
              </w:rPr>
              <w:t>□</w:t>
            </w:r>
            <w:r>
              <w:rPr>
                <w:color w:val="000000" w:themeColor="text1"/>
                <w:sz w:val="24"/>
              </w:rPr>
              <w:t>技改</w:t>
            </w:r>
            <w:r>
              <w:rPr>
                <w:rFonts w:hint="eastAsia"/>
                <w:color w:val="000000" w:themeColor="text1"/>
                <w:sz w:val="24"/>
              </w:rPr>
              <w:t>□</w:t>
            </w:r>
          </w:p>
        </w:tc>
        <w:tc>
          <w:tcPr>
            <w:tcW w:w="2268"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行业类别及代码</w:t>
            </w:r>
          </w:p>
        </w:tc>
        <w:tc>
          <w:tcPr>
            <w:tcW w:w="3123" w:type="dxa"/>
            <w:gridSpan w:val="3"/>
            <w:vAlign w:val="center"/>
          </w:tcPr>
          <w:p>
            <w:pPr>
              <w:rPr>
                <w:color w:val="000000" w:themeColor="text1"/>
                <w:sz w:val="24"/>
                <w:szCs w:val="24"/>
              </w:rPr>
            </w:pPr>
            <w:r>
              <w:rPr>
                <w:rFonts w:hint="eastAsia"/>
                <w:color w:val="000000" w:themeColor="text1"/>
                <w:sz w:val="24"/>
              </w:rPr>
              <w:t>C3049其他玻璃制造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占地面积</w:t>
            </w:r>
          </w:p>
          <w:p>
            <w:pPr>
              <w:rPr>
                <w:rFonts w:ascii="华文中宋" w:hAnsi="华文中宋" w:eastAsia="华文中宋"/>
                <w:b/>
                <w:color w:val="000000" w:themeColor="text1"/>
                <w:sz w:val="28"/>
              </w:rPr>
            </w:pPr>
            <w:r>
              <w:rPr>
                <w:rFonts w:ascii="华文中宋" w:hAnsi="华文中宋" w:eastAsia="华文中宋"/>
                <w:b/>
                <w:color w:val="000000" w:themeColor="text1"/>
                <w:sz w:val="28"/>
              </w:rPr>
              <w:t>（平方米）</w:t>
            </w:r>
          </w:p>
        </w:tc>
        <w:tc>
          <w:tcPr>
            <w:tcW w:w="2789" w:type="dxa"/>
            <w:gridSpan w:val="3"/>
            <w:vAlign w:val="center"/>
          </w:tcPr>
          <w:p>
            <w:pPr>
              <w:rPr>
                <w:color w:val="000000" w:themeColor="text1"/>
                <w:sz w:val="24"/>
              </w:rPr>
            </w:pPr>
            <w:r>
              <w:rPr>
                <w:rFonts w:hint="eastAsia"/>
                <w:color w:val="000000" w:themeColor="text1"/>
                <w:sz w:val="24"/>
                <w:szCs w:val="24"/>
              </w:rPr>
              <w:t>2540</w:t>
            </w:r>
          </w:p>
        </w:tc>
        <w:tc>
          <w:tcPr>
            <w:tcW w:w="2268"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绿化面积</w:t>
            </w:r>
            <w:r>
              <w:rPr>
                <w:rFonts w:ascii="华文中宋" w:hAnsi="华文中宋" w:eastAsia="华文中宋"/>
                <w:b/>
                <w:color w:val="000000" w:themeColor="text1"/>
                <w:sz w:val="28"/>
              </w:rPr>
              <w:br w:type="textWrapping"/>
            </w:r>
            <w:r>
              <w:rPr>
                <w:rFonts w:ascii="华文中宋" w:hAnsi="华文中宋" w:eastAsia="华文中宋"/>
                <w:b/>
                <w:color w:val="000000" w:themeColor="text1"/>
                <w:sz w:val="28"/>
              </w:rPr>
              <w:t>（平方米）</w:t>
            </w:r>
          </w:p>
        </w:tc>
        <w:tc>
          <w:tcPr>
            <w:tcW w:w="3123" w:type="dxa"/>
            <w:gridSpan w:val="3"/>
            <w:vAlign w:val="center"/>
          </w:tcPr>
          <w:p>
            <w:pPr>
              <w:rPr>
                <w:sz w:val="24"/>
              </w:rPr>
            </w:pPr>
            <w:r>
              <w:rPr>
                <w:rFonts w:hint="eastAsia"/>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总投资</w:t>
            </w:r>
            <w:r>
              <w:rPr>
                <w:rFonts w:ascii="华文中宋" w:hAnsi="华文中宋" w:eastAsia="华文中宋"/>
                <w:b/>
                <w:color w:val="000000" w:themeColor="text1"/>
                <w:sz w:val="28"/>
              </w:rPr>
              <w:br w:type="textWrapping"/>
            </w:r>
            <w:r>
              <w:rPr>
                <w:rFonts w:ascii="华文中宋" w:hAnsi="华文中宋" w:eastAsia="华文中宋"/>
                <w:b/>
                <w:color w:val="000000" w:themeColor="text1"/>
                <w:sz w:val="28"/>
              </w:rPr>
              <w:t>（万元）</w:t>
            </w:r>
          </w:p>
        </w:tc>
        <w:tc>
          <w:tcPr>
            <w:tcW w:w="1939" w:type="dxa"/>
            <w:gridSpan w:val="2"/>
            <w:vAlign w:val="center"/>
          </w:tcPr>
          <w:p>
            <w:pPr>
              <w:rPr>
                <w:color w:val="000000" w:themeColor="text1"/>
                <w:sz w:val="24"/>
                <w:highlight w:val="yellow"/>
              </w:rPr>
            </w:pPr>
            <w:r>
              <w:rPr>
                <w:rFonts w:hint="eastAsia"/>
                <w:color w:val="000000" w:themeColor="text1"/>
                <w:sz w:val="24"/>
              </w:rPr>
              <w:t>50</w:t>
            </w:r>
          </w:p>
        </w:tc>
        <w:tc>
          <w:tcPr>
            <w:tcW w:w="2322" w:type="dxa"/>
            <w:gridSpan w:val="2"/>
            <w:vAlign w:val="center"/>
          </w:tcPr>
          <w:p>
            <w:pPr>
              <w:rPr>
                <w:rFonts w:ascii="华文中宋" w:hAnsi="华文中宋" w:eastAsia="华文中宋"/>
                <w:b/>
                <w:sz w:val="28"/>
              </w:rPr>
            </w:pPr>
            <w:r>
              <w:rPr>
                <w:rFonts w:ascii="华文中宋" w:hAnsi="华文中宋" w:eastAsia="华文中宋"/>
                <w:b/>
                <w:color w:val="000000" w:themeColor="text1"/>
                <w:sz w:val="28"/>
              </w:rPr>
              <w:t>其中：环保投资（万元）</w:t>
            </w:r>
          </w:p>
        </w:tc>
        <w:tc>
          <w:tcPr>
            <w:tcW w:w="796" w:type="dxa"/>
            <w:vAlign w:val="center"/>
          </w:tcPr>
          <w:p>
            <w:pPr>
              <w:rPr>
                <w:sz w:val="24"/>
                <w:szCs w:val="24"/>
              </w:rPr>
            </w:pPr>
            <w:r>
              <w:rPr>
                <w:rFonts w:hint="eastAsia"/>
                <w:sz w:val="24"/>
                <w:szCs w:val="24"/>
              </w:rPr>
              <w:t>5</w:t>
            </w:r>
          </w:p>
        </w:tc>
        <w:tc>
          <w:tcPr>
            <w:tcW w:w="1895"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环保投资占总投资比例</w:t>
            </w:r>
          </w:p>
        </w:tc>
        <w:tc>
          <w:tcPr>
            <w:tcW w:w="1228" w:type="dxa"/>
            <w:vAlign w:val="center"/>
          </w:tcPr>
          <w:p>
            <w:pPr>
              <w:rPr>
                <w:color w:val="000000" w:themeColor="text1"/>
                <w:sz w:val="24"/>
                <w:szCs w:val="24"/>
              </w:rPr>
            </w:pPr>
            <w:r>
              <w:rPr>
                <w:rFonts w:hint="eastAsia"/>
                <w:color w:val="000000" w:themeColor="text1"/>
                <w:sz w:val="24"/>
                <w:szCs w:val="24"/>
              </w:rPr>
              <w:t>10</w:t>
            </w:r>
            <w:r>
              <w:rPr>
                <w:color w:val="000000" w:themeColor="text1"/>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4" w:type="dxa"/>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评价经费</w:t>
            </w:r>
          </w:p>
          <w:p>
            <w:pPr>
              <w:rPr>
                <w:rFonts w:ascii="华文中宋" w:hAnsi="华文中宋" w:eastAsia="华文中宋"/>
                <w:b/>
                <w:color w:val="000000" w:themeColor="text1"/>
                <w:sz w:val="28"/>
              </w:rPr>
            </w:pPr>
            <w:r>
              <w:rPr>
                <w:rFonts w:ascii="华文中宋" w:hAnsi="华文中宋" w:eastAsia="华文中宋"/>
                <w:b/>
                <w:color w:val="000000" w:themeColor="text1"/>
                <w:sz w:val="28"/>
              </w:rPr>
              <w:t>（万元）</w:t>
            </w:r>
          </w:p>
        </w:tc>
        <w:tc>
          <w:tcPr>
            <w:tcW w:w="1939" w:type="dxa"/>
            <w:gridSpan w:val="2"/>
            <w:vAlign w:val="center"/>
          </w:tcPr>
          <w:p>
            <w:pPr>
              <w:rPr>
                <w:color w:val="0070C0"/>
                <w:sz w:val="24"/>
              </w:rPr>
            </w:pPr>
          </w:p>
        </w:tc>
        <w:tc>
          <w:tcPr>
            <w:tcW w:w="2322" w:type="dxa"/>
            <w:gridSpan w:val="2"/>
            <w:vAlign w:val="center"/>
          </w:tcPr>
          <w:p>
            <w:pPr>
              <w:rPr>
                <w:rFonts w:ascii="华文中宋" w:hAnsi="华文中宋" w:eastAsia="华文中宋"/>
                <w:b/>
                <w:color w:val="000000" w:themeColor="text1"/>
                <w:sz w:val="28"/>
              </w:rPr>
            </w:pPr>
            <w:r>
              <w:rPr>
                <w:rFonts w:ascii="华文中宋" w:hAnsi="华文中宋" w:eastAsia="华文中宋"/>
                <w:b/>
                <w:color w:val="000000" w:themeColor="text1"/>
                <w:sz w:val="28"/>
              </w:rPr>
              <w:t>预期投产日期</w:t>
            </w:r>
          </w:p>
        </w:tc>
        <w:tc>
          <w:tcPr>
            <w:tcW w:w="3919" w:type="dxa"/>
            <w:gridSpan w:val="4"/>
            <w:vAlign w:val="center"/>
          </w:tcPr>
          <w:p>
            <w:pPr>
              <w:rPr>
                <w:color w:val="000000" w:themeColor="text1"/>
                <w:sz w:val="24"/>
              </w:rPr>
            </w:pPr>
            <w:r>
              <w:rPr>
                <w:rFonts w:hint="eastAsia"/>
                <w:color w:val="000000" w:themeColor="text1"/>
                <w:sz w:val="24"/>
              </w:rPr>
              <w:t>2020</w:t>
            </w:r>
            <w:r>
              <w:rPr>
                <w:color w:val="000000" w:themeColor="text1"/>
                <w:sz w:val="24"/>
              </w:rPr>
              <w:t>年</w:t>
            </w:r>
            <w:r>
              <w:rPr>
                <w:rFonts w:hint="eastAsia"/>
                <w:color w:val="000000" w:themeColor="text1"/>
                <w:sz w:val="24"/>
              </w:rPr>
              <w:t>1</w:t>
            </w:r>
            <w:r>
              <w:rPr>
                <w:color w:val="000000" w:themeColor="text1"/>
                <w:sz w:val="24"/>
              </w:rPr>
              <w:t>2</w:t>
            </w:r>
            <w:r>
              <w:rPr>
                <w:rFonts w:ascii="宋体" w:hAnsi="宋体"/>
                <w:color w:val="000000" w:themeColor="text1"/>
                <w:sz w:val="24"/>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94" w:type="dxa"/>
            <w:gridSpan w:val="9"/>
            <w:vAlign w:val="center"/>
          </w:tcPr>
          <w:p>
            <w:pPr>
              <w:spacing w:line="360" w:lineRule="auto"/>
              <w:rPr>
                <w:rFonts w:eastAsia="黑体"/>
                <w:color w:val="000000" w:themeColor="text1"/>
                <w:sz w:val="28"/>
              </w:rPr>
            </w:pPr>
            <w:r>
              <w:rPr>
                <w:rFonts w:eastAsia="黑体"/>
                <w:color w:val="000000" w:themeColor="text1"/>
                <w:sz w:val="28"/>
              </w:rPr>
              <w:t>工程内容及规模：</w:t>
            </w:r>
          </w:p>
          <w:p>
            <w:pPr>
              <w:spacing w:line="360" w:lineRule="auto"/>
              <w:rPr>
                <w:rFonts w:eastAsia="黑体"/>
                <w:color w:val="000000" w:themeColor="text1"/>
                <w:sz w:val="24"/>
                <w:szCs w:val="24"/>
              </w:rPr>
            </w:pPr>
            <w:r>
              <w:rPr>
                <w:rFonts w:eastAsia="黑体"/>
                <w:color w:val="000000" w:themeColor="text1"/>
                <w:sz w:val="24"/>
                <w:szCs w:val="24"/>
              </w:rPr>
              <w:t>一、工程规模：</w:t>
            </w:r>
          </w:p>
          <w:p>
            <w:pPr>
              <w:spacing w:line="360" w:lineRule="auto"/>
              <w:ind w:firstLine="480" w:firstLineChars="200"/>
              <w:rPr>
                <w:rFonts w:eastAsia="黑体"/>
                <w:color w:val="000000" w:themeColor="text1"/>
                <w:sz w:val="24"/>
                <w:szCs w:val="24"/>
              </w:rPr>
            </w:pPr>
            <w:r>
              <w:rPr>
                <w:rFonts w:eastAsia="黑体"/>
                <w:color w:val="000000" w:themeColor="text1"/>
                <w:sz w:val="24"/>
                <w:szCs w:val="24"/>
              </w:rPr>
              <w:t>1、项目由来</w:t>
            </w:r>
          </w:p>
          <w:p>
            <w:pPr>
              <w:pStyle w:val="61"/>
              <w:shd w:val="clear" w:color="auto" w:fill="auto"/>
              <w:spacing w:before="0" w:line="360" w:lineRule="auto"/>
              <w:ind w:firstLine="480" w:firstLineChars="200"/>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随着科学的发展，玻璃在各个领域得到了广泛的应用，对玻璃制品的轻质、高强、安全性和节能性等方面的要求也越来越高，钢化、中空等环保玻璃技术不断创新，性能更好的玻璃产品不断涌现。目前市场对高性能玻璃产品的需求相当大，在此环境下，威海佰特玻璃有限公司租用威海市建华通讯器材厂已建成厂房投资建设玻璃深加工项目。</w:t>
            </w:r>
          </w:p>
          <w:p>
            <w:pPr>
              <w:pStyle w:val="61"/>
              <w:shd w:val="clear" w:color="auto" w:fill="auto"/>
              <w:spacing w:before="0" w:line="360" w:lineRule="auto"/>
              <w:ind w:firstLine="482"/>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按照</w:t>
            </w:r>
            <w:r>
              <w:rPr>
                <w:rFonts w:ascii="Times New Roman" w:hAnsi="Arial" w:eastAsia="宋体" w:cs="Times New Roman"/>
                <w:color w:val="000000" w:themeColor="text1"/>
                <w:spacing w:val="0"/>
                <w:kern w:val="2"/>
                <w:sz w:val="24"/>
                <w:szCs w:val="24"/>
              </w:rPr>
              <w:t>《中华人民共和国环境影响评价法》和《建设项目环境保护管理条例》等法律法规的要求，</w:t>
            </w:r>
            <w:r>
              <w:rPr>
                <w:rFonts w:hint="eastAsia" w:ascii="Times New Roman" w:hAnsi="Arial" w:eastAsia="宋体" w:cs="Times New Roman"/>
                <w:color w:val="000000" w:themeColor="text1"/>
                <w:spacing w:val="0"/>
                <w:kern w:val="2"/>
                <w:sz w:val="24"/>
                <w:szCs w:val="24"/>
              </w:rPr>
              <w:t>本</w:t>
            </w:r>
            <w:r>
              <w:rPr>
                <w:rFonts w:ascii="Times New Roman" w:hAnsi="Arial" w:eastAsia="宋体" w:cs="Times New Roman"/>
                <w:color w:val="000000" w:themeColor="text1"/>
                <w:spacing w:val="0"/>
                <w:kern w:val="2"/>
                <w:sz w:val="24"/>
                <w:szCs w:val="24"/>
              </w:rPr>
              <w:t>项目需要执行环境影响评价制度，</w:t>
            </w:r>
            <w:r>
              <w:rPr>
                <w:rFonts w:hint="eastAsia" w:ascii="Times New Roman" w:hAnsi="Arial" w:eastAsia="宋体" w:cs="Times New Roman"/>
                <w:color w:val="000000" w:themeColor="text1"/>
                <w:spacing w:val="0"/>
                <w:kern w:val="2"/>
                <w:sz w:val="24"/>
                <w:szCs w:val="24"/>
              </w:rPr>
              <w:t>为</w:t>
            </w:r>
            <w:r>
              <w:rPr>
                <w:rFonts w:ascii="Times New Roman" w:hAnsi="Arial" w:eastAsia="宋体" w:cs="Times New Roman"/>
                <w:color w:val="000000" w:themeColor="text1"/>
                <w:spacing w:val="0"/>
                <w:kern w:val="2"/>
                <w:sz w:val="24"/>
                <w:szCs w:val="24"/>
              </w:rPr>
              <w:t>此</w:t>
            </w:r>
            <w:r>
              <w:rPr>
                <w:rFonts w:hint="eastAsia" w:ascii="Times New Roman" w:hAnsi="Arial" w:eastAsia="宋体" w:cs="Times New Roman"/>
                <w:color w:val="000000" w:themeColor="text1"/>
                <w:spacing w:val="0"/>
                <w:kern w:val="2"/>
                <w:sz w:val="24"/>
                <w:szCs w:val="24"/>
              </w:rPr>
              <w:t>，</w:t>
            </w:r>
            <w:r>
              <w:rPr>
                <w:rFonts w:hint="eastAsia" w:ascii="Times New Roman" w:hAnsi="Arial" w:eastAsia="宋体" w:cs="Times New Roman"/>
                <w:spacing w:val="0"/>
                <w:kern w:val="2"/>
                <w:sz w:val="24"/>
                <w:szCs w:val="24"/>
              </w:rPr>
              <w:t>威海佰特玻璃有限公司</w:t>
            </w:r>
            <w:r>
              <w:rPr>
                <w:rFonts w:ascii="Times New Roman" w:hAnsi="Arial" w:eastAsia="宋体" w:cs="Times New Roman"/>
                <w:color w:val="000000" w:themeColor="text1"/>
                <w:spacing w:val="0"/>
                <w:kern w:val="2"/>
                <w:sz w:val="24"/>
                <w:szCs w:val="24"/>
              </w:rPr>
              <w:t>委托我单位对该项目进行环境影响评价。</w:t>
            </w:r>
            <w:r>
              <w:rPr>
                <w:rFonts w:hint="eastAsia" w:ascii="Times New Roman" w:hAnsi="Arial" w:eastAsia="宋体" w:cs="Times New Roman"/>
                <w:color w:val="000000" w:themeColor="text1"/>
                <w:spacing w:val="0"/>
                <w:kern w:val="2"/>
                <w:sz w:val="24"/>
                <w:szCs w:val="24"/>
              </w:rPr>
              <w:t>我单位在接受委托后，对厂址周围环境状况进行了实地调查，收集了当地有关环境资料，在工程分析的基础上编制完成了该项目的环境影响报告表，为主管部门审查决策和项目的环境管理提供依据。</w:t>
            </w:r>
          </w:p>
          <w:p>
            <w:pPr>
              <w:pStyle w:val="61"/>
              <w:shd w:val="clear" w:color="auto" w:fill="auto"/>
              <w:spacing w:before="0" w:line="360" w:lineRule="auto"/>
              <w:ind w:firstLine="482"/>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2</w:t>
            </w:r>
            <w:r>
              <w:rPr>
                <w:rFonts w:ascii="Times New Roman" w:hAnsi="Arial" w:eastAsia="宋体" w:cs="Times New Roman"/>
                <w:color w:val="000000" w:themeColor="text1"/>
                <w:spacing w:val="0"/>
                <w:kern w:val="2"/>
                <w:sz w:val="24"/>
                <w:szCs w:val="24"/>
              </w:rPr>
              <w:t>、项目概况</w:t>
            </w:r>
          </w:p>
          <w:p>
            <w:pPr>
              <w:pStyle w:val="61"/>
              <w:shd w:val="clear" w:color="auto" w:fill="auto"/>
              <w:spacing w:before="0" w:line="360" w:lineRule="auto"/>
              <w:ind w:firstLine="482"/>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（1）建设地点</w:t>
            </w:r>
          </w:p>
          <w:p>
            <w:pPr>
              <w:pStyle w:val="61"/>
              <w:shd w:val="clear" w:color="auto" w:fill="auto"/>
              <w:spacing w:before="0" w:line="360" w:lineRule="auto"/>
              <w:ind w:firstLine="482"/>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威海佰特玻璃有限公司玻璃深加工项目</w:t>
            </w:r>
            <w:r>
              <w:rPr>
                <w:rFonts w:ascii="Times New Roman" w:hAnsi="Arial" w:eastAsia="宋体" w:cs="Times New Roman"/>
                <w:color w:val="000000" w:themeColor="text1"/>
                <w:spacing w:val="0"/>
                <w:kern w:val="2"/>
                <w:sz w:val="24"/>
                <w:szCs w:val="24"/>
              </w:rPr>
              <w:t>位于</w:t>
            </w:r>
            <w:r>
              <w:rPr>
                <w:rFonts w:hint="eastAsia" w:ascii="Times New Roman" w:hAnsi="Arial" w:eastAsia="宋体" w:cs="Times New Roman"/>
                <w:color w:val="000000" w:themeColor="text1"/>
                <w:spacing w:val="0"/>
                <w:kern w:val="2"/>
                <w:sz w:val="24"/>
                <w:szCs w:val="24"/>
              </w:rPr>
              <w:t>威海</w:t>
            </w:r>
            <w:r>
              <w:rPr>
                <w:rFonts w:ascii="Times New Roman" w:hAnsi="Arial" w:eastAsia="宋体" w:cs="Times New Roman"/>
                <w:color w:val="000000" w:themeColor="text1"/>
                <w:spacing w:val="0"/>
                <w:kern w:val="2"/>
                <w:sz w:val="24"/>
                <w:szCs w:val="24"/>
              </w:rPr>
              <w:t>临港经济技术开发区</w:t>
            </w:r>
            <w:r>
              <w:rPr>
                <w:rFonts w:ascii="Times New Roman" w:hAnsi="Times New Roman" w:eastAsia="宋体" w:cs="Times New Roman"/>
                <w:color w:val="000000" w:themeColor="text1"/>
                <w:kern w:val="2"/>
                <w:sz w:val="24"/>
                <w:szCs w:val="20"/>
              </w:rPr>
              <w:t>苘山镇苘兴路南、</w:t>
            </w:r>
            <w:r>
              <w:rPr>
                <w:rFonts w:hint="eastAsia" w:ascii="Times New Roman" w:hAnsi="Times New Roman" w:eastAsia="宋体" w:cs="Times New Roman"/>
                <w:color w:val="000000" w:themeColor="text1"/>
                <w:kern w:val="2"/>
                <w:sz w:val="24"/>
                <w:szCs w:val="20"/>
              </w:rPr>
              <w:t>安昌</w:t>
            </w:r>
            <w:r>
              <w:rPr>
                <w:rFonts w:ascii="Times New Roman" w:hAnsi="Times New Roman" w:eastAsia="宋体" w:cs="Times New Roman"/>
                <w:color w:val="000000" w:themeColor="text1"/>
                <w:kern w:val="2"/>
                <w:sz w:val="24"/>
                <w:szCs w:val="20"/>
              </w:rPr>
              <w:t>路西</w:t>
            </w:r>
            <w:r>
              <w:rPr>
                <w:rFonts w:ascii="Times New Roman" w:hAnsi="Arial" w:eastAsia="宋体" w:cs="Times New Roman"/>
                <w:color w:val="000000" w:themeColor="text1"/>
                <w:spacing w:val="0"/>
                <w:kern w:val="2"/>
                <w:sz w:val="24"/>
                <w:szCs w:val="24"/>
              </w:rPr>
              <w:t>，</w:t>
            </w:r>
            <w:r>
              <w:rPr>
                <w:rFonts w:hint="eastAsia" w:ascii="Times New Roman" w:hAnsi="Arial" w:eastAsia="宋体" w:cs="Times New Roman"/>
                <w:color w:val="000000" w:themeColor="text1"/>
                <w:spacing w:val="0"/>
                <w:kern w:val="2"/>
                <w:sz w:val="24"/>
                <w:szCs w:val="24"/>
              </w:rPr>
              <w:t>公司北侧为威海市恒泰塑业有限公司，东侧为安昌路，路东为威海九龙体育用品厂，南侧为威海特尔顿复合材料有限公司，西侧为威海市东威物流有限公司。</w:t>
            </w:r>
            <w:r>
              <w:rPr>
                <w:rFonts w:ascii="Times New Roman" w:hAnsi="Arial" w:eastAsia="宋体" w:cs="Times New Roman"/>
                <w:color w:val="000000" w:themeColor="text1"/>
                <w:spacing w:val="0"/>
                <w:kern w:val="2"/>
                <w:sz w:val="24"/>
                <w:szCs w:val="24"/>
              </w:rPr>
              <w:t>项目具体地理位置</w:t>
            </w:r>
            <w:r>
              <w:rPr>
                <w:rFonts w:hint="eastAsia" w:ascii="Times New Roman" w:hAnsi="Arial" w:eastAsia="宋体" w:cs="Times New Roman"/>
                <w:color w:val="000000" w:themeColor="text1"/>
                <w:spacing w:val="0"/>
                <w:kern w:val="2"/>
                <w:sz w:val="24"/>
                <w:szCs w:val="24"/>
              </w:rPr>
              <w:t>及周边概况</w:t>
            </w:r>
            <w:r>
              <w:rPr>
                <w:rFonts w:ascii="Times New Roman" w:hAnsi="Arial" w:eastAsia="宋体" w:cs="Times New Roman"/>
                <w:color w:val="000000" w:themeColor="text1"/>
                <w:spacing w:val="0"/>
                <w:kern w:val="2"/>
                <w:sz w:val="24"/>
                <w:szCs w:val="24"/>
              </w:rPr>
              <w:t>见附图1。</w:t>
            </w:r>
          </w:p>
          <w:p>
            <w:pPr>
              <w:pStyle w:val="61"/>
              <w:shd w:val="clear" w:color="auto" w:fill="auto"/>
              <w:spacing w:before="0" w:line="360" w:lineRule="auto"/>
              <w:ind w:left="20" w:firstLine="480"/>
              <w:jc w:val="both"/>
              <w:rPr>
                <w:rFonts w:ascii="Times New Roman" w:hAnsi="Arial" w:eastAsia="宋体" w:cs="Times New Roman"/>
                <w:color w:val="000000" w:themeColor="text1"/>
                <w:spacing w:val="0"/>
                <w:kern w:val="2"/>
                <w:sz w:val="24"/>
                <w:szCs w:val="24"/>
              </w:rPr>
            </w:pPr>
            <w:r>
              <w:rPr>
                <w:rFonts w:ascii="Times New Roman" w:hAnsi="Arial" w:eastAsia="宋体" w:cs="Times New Roman"/>
                <w:color w:val="000000" w:themeColor="text1"/>
                <w:spacing w:val="0"/>
                <w:kern w:val="2"/>
                <w:sz w:val="24"/>
                <w:szCs w:val="24"/>
              </w:rPr>
              <w:t>（2）建设内容及规模</w:t>
            </w:r>
          </w:p>
          <w:p>
            <w:pPr>
              <w:pStyle w:val="61"/>
              <w:shd w:val="clear" w:color="auto" w:fill="auto"/>
              <w:spacing w:before="0" w:line="360" w:lineRule="auto"/>
              <w:ind w:left="20" w:firstLine="480"/>
              <w:jc w:val="both"/>
              <w:rPr>
                <w:rFonts w:ascii="Times New Roman" w:hAnsi="Times New Roman" w:eastAsia="宋体" w:cs="Times New Roman"/>
                <w:color w:val="000000" w:themeColor="text1"/>
                <w:spacing w:val="0"/>
                <w:kern w:val="2"/>
                <w:sz w:val="24"/>
                <w:szCs w:val="24"/>
              </w:rPr>
            </w:pPr>
            <w:r>
              <w:rPr>
                <w:rFonts w:ascii="Times New Roman" w:hAnsi="Arial" w:eastAsia="宋体" w:cs="Times New Roman"/>
                <w:color w:val="000000" w:themeColor="text1"/>
                <w:spacing w:val="0"/>
                <w:kern w:val="2"/>
                <w:sz w:val="24"/>
                <w:szCs w:val="24"/>
              </w:rPr>
              <w:t>项目总</w:t>
            </w:r>
            <w:r>
              <w:rPr>
                <w:rFonts w:ascii="Times New Roman" w:hAnsi="Arial" w:eastAsia="宋体" w:cs="Times New Roman"/>
                <w:spacing w:val="0"/>
                <w:kern w:val="2"/>
                <w:sz w:val="24"/>
                <w:szCs w:val="24"/>
              </w:rPr>
              <w:t>投资</w:t>
            </w:r>
            <w:r>
              <w:rPr>
                <w:rFonts w:hint="eastAsia" w:ascii="Times New Roman" w:hAnsi="Arial" w:eastAsia="宋体" w:cs="Times New Roman"/>
                <w:spacing w:val="0"/>
                <w:kern w:val="2"/>
                <w:sz w:val="24"/>
                <w:szCs w:val="24"/>
              </w:rPr>
              <w:t>50</w:t>
            </w:r>
            <w:r>
              <w:rPr>
                <w:rFonts w:ascii="Times New Roman" w:hAnsi="Arial" w:eastAsia="宋体" w:cs="Times New Roman"/>
                <w:spacing w:val="0"/>
                <w:kern w:val="2"/>
                <w:sz w:val="24"/>
                <w:szCs w:val="24"/>
              </w:rPr>
              <w:t>万元，</w:t>
            </w:r>
            <w:r>
              <w:rPr>
                <w:rFonts w:hint="eastAsia" w:ascii="Times New Roman" w:hAnsi="Times New Roman" w:eastAsia="宋体" w:cs="Times New Roman"/>
                <w:color w:val="000000" w:themeColor="text1"/>
                <w:spacing w:val="0"/>
                <w:kern w:val="2"/>
                <w:sz w:val="24"/>
                <w:szCs w:val="24"/>
              </w:rPr>
              <w:t>购置全自动玻璃生产线等生产设备，购买硅酮密封胶、丁基胶、分子筛干燥剂等原辅材料进行玻璃深加工。项目年产3万m</w:t>
            </w:r>
            <w:r>
              <w:rPr>
                <w:rFonts w:hint="eastAsia" w:ascii="Times New Roman" w:hAnsi="Times New Roman" w:eastAsia="宋体" w:cs="Times New Roman"/>
                <w:color w:val="000000" w:themeColor="text1"/>
                <w:spacing w:val="0"/>
                <w:kern w:val="2"/>
                <w:sz w:val="24"/>
                <w:szCs w:val="24"/>
                <w:vertAlign w:val="superscript"/>
              </w:rPr>
              <w:t>2</w:t>
            </w:r>
            <w:r>
              <w:rPr>
                <w:rFonts w:hint="eastAsia" w:ascii="Times New Roman" w:hAnsi="Times New Roman" w:eastAsia="宋体" w:cs="Times New Roman"/>
                <w:color w:val="000000" w:themeColor="text1"/>
                <w:spacing w:val="0"/>
                <w:kern w:val="2"/>
                <w:sz w:val="24"/>
                <w:szCs w:val="24"/>
              </w:rPr>
              <w:t>钢化玻璃和3万m</w:t>
            </w:r>
            <w:r>
              <w:rPr>
                <w:rFonts w:hint="eastAsia" w:ascii="Times New Roman" w:hAnsi="Times New Roman" w:eastAsia="宋体" w:cs="Times New Roman"/>
                <w:color w:val="000000" w:themeColor="text1"/>
                <w:spacing w:val="0"/>
                <w:kern w:val="2"/>
                <w:sz w:val="24"/>
                <w:szCs w:val="24"/>
                <w:vertAlign w:val="superscript"/>
              </w:rPr>
              <w:t>2</w:t>
            </w:r>
            <w:r>
              <w:rPr>
                <w:rFonts w:hint="eastAsia" w:ascii="Times New Roman" w:hAnsi="Times New Roman" w:eastAsia="宋体" w:cs="Times New Roman"/>
                <w:color w:val="000000" w:themeColor="text1"/>
                <w:spacing w:val="0"/>
                <w:kern w:val="2"/>
                <w:sz w:val="24"/>
                <w:szCs w:val="24"/>
              </w:rPr>
              <w:t>中空玻璃，预计2020年11月投产。</w:t>
            </w:r>
          </w:p>
          <w:p>
            <w:pPr>
              <w:pStyle w:val="61"/>
              <w:shd w:val="clear" w:color="auto" w:fill="auto"/>
              <w:spacing w:before="0" w:line="360" w:lineRule="auto"/>
              <w:ind w:left="20" w:firstLine="480"/>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（3）</w:t>
            </w:r>
            <w:r>
              <w:rPr>
                <w:rFonts w:ascii="Times New Roman" w:hAnsi="Arial" w:eastAsia="宋体" w:cs="Times New Roman"/>
                <w:color w:val="000000" w:themeColor="text1"/>
                <w:spacing w:val="0"/>
                <w:kern w:val="2"/>
                <w:sz w:val="24"/>
                <w:szCs w:val="24"/>
              </w:rPr>
              <w:t>劳动定员及工作制度</w:t>
            </w:r>
          </w:p>
          <w:p>
            <w:pPr>
              <w:pStyle w:val="61"/>
              <w:shd w:val="clear" w:color="auto" w:fill="auto"/>
              <w:spacing w:before="0" w:line="360" w:lineRule="auto"/>
              <w:ind w:left="20" w:firstLine="480"/>
              <w:jc w:val="both"/>
              <w:rPr>
                <w:rFonts w:ascii="Times New Roman" w:hAnsi="Arial" w:eastAsia="宋体" w:cs="Times New Roman"/>
                <w:color w:val="0070C0"/>
                <w:spacing w:val="0"/>
                <w:kern w:val="2"/>
                <w:sz w:val="24"/>
                <w:szCs w:val="24"/>
              </w:rPr>
            </w:pPr>
            <w:r>
              <w:rPr>
                <w:rFonts w:ascii="Times New Roman" w:hAnsi="Arial" w:eastAsia="宋体" w:cs="Times New Roman"/>
                <w:color w:val="000000" w:themeColor="text1"/>
                <w:spacing w:val="0"/>
                <w:kern w:val="2"/>
                <w:sz w:val="24"/>
                <w:szCs w:val="24"/>
              </w:rPr>
              <w:t>项目劳动定员为</w:t>
            </w:r>
            <w:r>
              <w:rPr>
                <w:rFonts w:hint="eastAsia" w:ascii="Times New Roman" w:hAnsi="Arial" w:eastAsia="宋体" w:cs="Times New Roman"/>
                <w:color w:val="000000" w:themeColor="text1"/>
                <w:spacing w:val="0"/>
                <w:kern w:val="2"/>
                <w:sz w:val="24"/>
                <w:szCs w:val="24"/>
              </w:rPr>
              <w:t>20</w:t>
            </w:r>
            <w:r>
              <w:rPr>
                <w:rFonts w:ascii="Times New Roman" w:hAnsi="Arial" w:eastAsia="宋体" w:cs="Times New Roman"/>
                <w:color w:val="000000" w:themeColor="text1"/>
                <w:spacing w:val="0"/>
                <w:kern w:val="2"/>
                <w:sz w:val="24"/>
                <w:szCs w:val="24"/>
              </w:rPr>
              <w:t>人，年工作日为</w:t>
            </w:r>
            <w:r>
              <w:rPr>
                <w:rFonts w:hint="eastAsia" w:ascii="Times New Roman" w:hAnsi="Arial" w:eastAsia="宋体" w:cs="Times New Roman"/>
                <w:color w:val="000000" w:themeColor="text1"/>
                <w:spacing w:val="0"/>
                <w:kern w:val="2"/>
                <w:sz w:val="24"/>
                <w:szCs w:val="24"/>
              </w:rPr>
              <w:t>300</w:t>
            </w:r>
            <w:r>
              <w:rPr>
                <w:rFonts w:ascii="Times New Roman" w:hAnsi="Arial" w:eastAsia="宋体" w:cs="Times New Roman"/>
                <w:color w:val="000000" w:themeColor="text1"/>
                <w:spacing w:val="0"/>
                <w:kern w:val="2"/>
                <w:sz w:val="24"/>
                <w:szCs w:val="24"/>
              </w:rPr>
              <w:t>天，</w:t>
            </w:r>
            <w:r>
              <w:rPr>
                <w:rFonts w:hint="eastAsia" w:ascii="Times New Roman" w:hAnsi="Arial" w:eastAsia="宋体" w:cs="Times New Roman"/>
                <w:color w:val="000000" w:themeColor="text1"/>
                <w:spacing w:val="0"/>
                <w:kern w:val="2"/>
                <w:sz w:val="24"/>
                <w:szCs w:val="24"/>
              </w:rPr>
              <w:t>工作制度</w:t>
            </w:r>
            <w:r>
              <w:rPr>
                <w:rFonts w:ascii="Times New Roman" w:hAnsi="Arial" w:eastAsia="宋体" w:cs="Times New Roman"/>
                <w:color w:val="000000" w:themeColor="text1"/>
                <w:spacing w:val="0"/>
                <w:kern w:val="2"/>
                <w:sz w:val="24"/>
                <w:szCs w:val="24"/>
              </w:rPr>
              <w:t>为</w:t>
            </w:r>
            <w:r>
              <w:rPr>
                <w:rFonts w:hint="eastAsia" w:ascii="Times New Roman" w:hAnsi="Arial" w:eastAsia="宋体" w:cs="Times New Roman"/>
                <w:color w:val="000000" w:themeColor="text1"/>
                <w:spacing w:val="0"/>
                <w:kern w:val="2"/>
                <w:sz w:val="24"/>
                <w:szCs w:val="24"/>
              </w:rPr>
              <w:t>1</w:t>
            </w:r>
            <w:r>
              <w:rPr>
                <w:rFonts w:ascii="Times New Roman" w:hAnsi="Arial" w:eastAsia="宋体" w:cs="Times New Roman"/>
                <w:color w:val="000000" w:themeColor="text1"/>
                <w:spacing w:val="0"/>
                <w:kern w:val="2"/>
                <w:sz w:val="24"/>
                <w:szCs w:val="24"/>
              </w:rPr>
              <w:t>班制，每班</w:t>
            </w:r>
            <w:r>
              <w:rPr>
                <w:rFonts w:hint="eastAsia" w:ascii="Times New Roman" w:hAnsi="Arial" w:eastAsia="宋体" w:cs="Times New Roman"/>
                <w:color w:val="000000" w:themeColor="text1"/>
                <w:spacing w:val="0"/>
                <w:kern w:val="2"/>
                <w:sz w:val="24"/>
                <w:szCs w:val="24"/>
              </w:rPr>
              <w:t>8</w:t>
            </w:r>
            <w:r>
              <w:rPr>
                <w:rFonts w:ascii="Times New Roman" w:hAnsi="Arial" w:eastAsia="宋体" w:cs="Times New Roman"/>
                <w:color w:val="000000" w:themeColor="text1"/>
                <w:spacing w:val="0"/>
                <w:kern w:val="2"/>
                <w:sz w:val="24"/>
                <w:szCs w:val="24"/>
              </w:rPr>
              <w:t>小时。</w:t>
            </w:r>
            <w:r>
              <w:rPr>
                <w:rFonts w:hint="eastAsia" w:ascii="Times New Roman" w:hAnsi="Arial" w:eastAsia="宋体" w:cs="Times New Roman"/>
                <w:color w:val="000000" w:themeColor="text1"/>
                <w:spacing w:val="0"/>
                <w:kern w:val="2"/>
                <w:sz w:val="24"/>
                <w:szCs w:val="24"/>
              </w:rPr>
              <w:t>项目经济技术指标见表1。</w:t>
            </w:r>
          </w:p>
          <w:p>
            <w:pPr>
              <w:adjustRightInd w:val="0"/>
              <w:snapToGrid w:val="0"/>
              <w:jc w:val="center"/>
              <w:rPr>
                <w:rFonts w:eastAsia="黑体"/>
                <w:sz w:val="24"/>
                <w:szCs w:val="24"/>
              </w:rPr>
            </w:pPr>
            <w:r>
              <w:rPr>
                <w:rFonts w:eastAsia="黑体"/>
                <w:sz w:val="24"/>
                <w:szCs w:val="24"/>
              </w:rPr>
              <w:t>表</w:t>
            </w:r>
            <w:r>
              <w:rPr>
                <w:rFonts w:hint="eastAsia" w:eastAsia="黑体"/>
                <w:sz w:val="24"/>
                <w:szCs w:val="24"/>
              </w:rPr>
              <w:t>1</w:t>
            </w:r>
            <w:r>
              <w:rPr>
                <w:rFonts w:eastAsia="黑体"/>
                <w:sz w:val="24"/>
                <w:szCs w:val="24"/>
              </w:rPr>
              <w:t xml:space="preserve">  项目经济技术指标一览表</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8"/>
              <w:gridCol w:w="2357"/>
              <w:gridCol w:w="1896"/>
              <w:gridCol w:w="1427"/>
              <w:gridCol w:w="1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序 号</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项 目 名 称</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单 位</w:t>
                  </w:r>
                </w:p>
              </w:tc>
              <w:tc>
                <w:tcPr>
                  <w:tcW w:w="1427" w:type="dxa"/>
                  <w:shd w:val="clear" w:color="auto" w:fill="auto"/>
                  <w:vAlign w:val="center"/>
                </w:tcPr>
                <w:p>
                  <w:pPr>
                    <w:adjustRightInd w:val="0"/>
                    <w:snapToGrid w:val="0"/>
                    <w:jc w:val="center"/>
                    <w:rPr>
                      <w:color w:val="000000" w:themeColor="text1"/>
                      <w:sz w:val="21"/>
                      <w:szCs w:val="21"/>
                    </w:rPr>
                  </w:pPr>
                  <w:r>
                    <w:rPr>
                      <w:color w:val="000000" w:themeColor="text1"/>
                      <w:sz w:val="21"/>
                      <w:szCs w:val="21"/>
                    </w:rPr>
                    <w:t>数 量</w:t>
                  </w:r>
                </w:p>
              </w:tc>
              <w:tc>
                <w:tcPr>
                  <w:tcW w:w="1816" w:type="dxa"/>
                  <w:shd w:val="clear" w:color="auto" w:fill="auto"/>
                  <w:vAlign w:val="center"/>
                </w:tcPr>
                <w:p>
                  <w:pPr>
                    <w:adjustRightInd w:val="0"/>
                    <w:snapToGrid w:val="0"/>
                    <w:jc w:val="center"/>
                    <w:rPr>
                      <w:color w:val="000000" w:themeColor="text1"/>
                      <w:sz w:val="21"/>
                      <w:szCs w:val="21"/>
                    </w:rPr>
                  </w:pPr>
                  <w:r>
                    <w:rPr>
                      <w:color w:val="000000" w:themeColor="text1"/>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一</w:t>
                  </w:r>
                </w:p>
              </w:tc>
              <w:tc>
                <w:tcPr>
                  <w:tcW w:w="2357" w:type="dxa"/>
                  <w:vAlign w:val="center"/>
                </w:tcPr>
                <w:p>
                  <w:pPr>
                    <w:adjustRightInd w:val="0"/>
                    <w:snapToGrid w:val="0"/>
                    <w:jc w:val="center"/>
                    <w:rPr>
                      <w:color w:val="000000" w:themeColor="text1"/>
                      <w:sz w:val="21"/>
                      <w:szCs w:val="21"/>
                    </w:rPr>
                  </w:pPr>
                  <w:r>
                    <w:rPr>
                      <w:rFonts w:hint="eastAsia"/>
                      <w:color w:val="000000" w:themeColor="text1"/>
                      <w:sz w:val="21"/>
                      <w:szCs w:val="21"/>
                    </w:rPr>
                    <w:t>项目</w:t>
                  </w:r>
                  <w:r>
                    <w:rPr>
                      <w:color w:val="000000" w:themeColor="text1"/>
                      <w:sz w:val="21"/>
                      <w:szCs w:val="21"/>
                    </w:rPr>
                    <w:t>规模</w:t>
                  </w:r>
                </w:p>
              </w:tc>
              <w:tc>
                <w:tcPr>
                  <w:tcW w:w="5139" w:type="dxa"/>
                  <w:gridSpan w:val="3"/>
                  <w:vAlign w:val="center"/>
                </w:tcPr>
                <w:p>
                  <w:pPr>
                    <w:pStyle w:val="61"/>
                    <w:shd w:val="clear" w:color="auto" w:fill="auto"/>
                    <w:spacing w:before="0" w:line="240" w:lineRule="auto"/>
                    <w:jc w:val="both"/>
                    <w:rPr>
                      <w:color w:val="000000" w:themeColor="text1"/>
                    </w:rPr>
                  </w:pPr>
                  <w:r>
                    <w:rPr>
                      <w:rFonts w:ascii="Times New Roman" w:hAnsi="Arial" w:eastAsia="宋体" w:cs="Times New Roman"/>
                      <w:color w:val="000000" w:themeColor="text1"/>
                      <w:spacing w:val="0"/>
                      <w:kern w:val="2"/>
                    </w:rPr>
                    <w:t>项目总</w:t>
                  </w:r>
                  <w:r>
                    <w:rPr>
                      <w:rFonts w:ascii="Times New Roman" w:hAnsi="Arial" w:eastAsia="宋体" w:cs="Times New Roman"/>
                      <w:spacing w:val="0"/>
                      <w:kern w:val="2"/>
                    </w:rPr>
                    <w:t>投资</w:t>
                  </w:r>
                  <w:r>
                    <w:rPr>
                      <w:rFonts w:hint="eastAsia" w:ascii="Times New Roman" w:hAnsi="Arial" w:eastAsia="宋体" w:cs="Times New Roman"/>
                      <w:spacing w:val="0"/>
                      <w:kern w:val="2"/>
                    </w:rPr>
                    <w:t>50</w:t>
                  </w:r>
                  <w:r>
                    <w:rPr>
                      <w:rFonts w:ascii="Times New Roman" w:hAnsi="Arial" w:eastAsia="宋体" w:cs="Times New Roman"/>
                      <w:spacing w:val="0"/>
                      <w:kern w:val="2"/>
                    </w:rPr>
                    <w:t>万元，</w:t>
                  </w:r>
                  <w:r>
                    <w:rPr>
                      <w:rFonts w:ascii="Times New Roman" w:hAnsi="Times New Roman" w:eastAsia="宋体" w:cs="Times New Roman"/>
                      <w:color w:val="000000" w:themeColor="text1"/>
                      <w:spacing w:val="0"/>
                      <w:kern w:val="2"/>
                    </w:rPr>
                    <w:t>占地面积约</w:t>
                  </w:r>
                  <w:r>
                    <w:rPr>
                      <w:rFonts w:hint="eastAsia" w:ascii="Times New Roman" w:hAnsi="Times New Roman" w:eastAsia="宋体" w:cs="Times New Roman"/>
                      <w:color w:val="000000" w:themeColor="text1"/>
                      <w:spacing w:val="0"/>
                      <w:kern w:val="2"/>
                    </w:rPr>
                    <w:t>2540</w:t>
                  </w:r>
                  <w:r>
                    <w:rPr>
                      <w:rFonts w:ascii="Times New Roman" w:hAnsi="Times New Roman" w:eastAsia="宋体" w:cs="Times New Roman"/>
                      <w:color w:val="000000" w:themeColor="text1"/>
                      <w:spacing w:val="0"/>
                      <w:kern w:val="2"/>
                    </w:rPr>
                    <w:t>m</w:t>
                  </w:r>
                  <w:r>
                    <w:rPr>
                      <w:rFonts w:ascii="Times New Roman" w:hAnsi="Times New Roman" w:eastAsia="宋体" w:cs="Times New Roman"/>
                      <w:color w:val="000000" w:themeColor="text1"/>
                      <w:spacing w:val="0"/>
                      <w:kern w:val="2"/>
                      <w:vertAlign w:val="superscript"/>
                    </w:rPr>
                    <w:t>2</w:t>
                  </w:r>
                  <w:r>
                    <w:rPr>
                      <w:rFonts w:ascii="Times New Roman" w:hAnsi="Times New Roman" w:eastAsia="宋体" w:cs="Times New Roman"/>
                      <w:color w:val="000000" w:themeColor="text1"/>
                      <w:spacing w:val="0"/>
                      <w:kern w:val="2"/>
                    </w:rPr>
                    <w:t>，</w:t>
                  </w:r>
                  <w:r>
                    <w:rPr>
                      <w:rFonts w:hint="eastAsia" w:ascii="Times New Roman" w:hAnsi="Times New Roman" w:eastAsia="宋体" w:cs="Times New Roman"/>
                      <w:color w:val="000000" w:themeColor="text1"/>
                      <w:spacing w:val="0"/>
                      <w:kern w:val="2"/>
                    </w:rPr>
                    <w:t>年产3万m</w:t>
                  </w:r>
                  <w:r>
                    <w:rPr>
                      <w:rFonts w:hint="eastAsia" w:ascii="Times New Roman" w:hAnsi="Times New Roman" w:eastAsia="宋体" w:cs="Times New Roman"/>
                      <w:color w:val="000000" w:themeColor="text1"/>
                      <w:spacing w:val="0"/>
                      <w:kern w:val="2"/>
                      <w:vertAlign w:val="superscript"/>
                    </w:rPr>
                    <w:t>2</w:t>
                  </w:r>
                  <w:r>
                    <w:rPr>
                      <w:rFonts w:hint="eastAsia" w:ascii="Times New Roman" w:hAnsi="Times New Roman" w:eastAsia="宋体" w:cs="Times New Roman"/>
                      <w:color w:val="000000" w:themeColor="text1"/>
                      <w:spacing w:val="0"/>
                      <w:kern w:val="2"/>
                    </w:rPr>
                    <w:t>钢化玻璃和3万m</w:t>
                  </w:r>
                  <w:r>
                    <w:rPr>
                      <w:rFonts w:hint="eastAsia" w:ascii="Times New Roman" w:hAnsi="Times New Roman" w:eastAsia="宋体" w:cs="Times New Roman"/>
                      <w:color w:val="000000" w:themeColor="text1"/>
                      <w:spacing w:val="0"/>
                      <w:kern w:val="2"/>
                      <w:vertAlign w:val="superscript"/>
                    </w:rPr>
                    <w:t>2</w:t>
                  </w:r>
                  <w:r>
                    <w:rPr>
                      <w:rFonts w:hint="eastAsia" w:ascii="Times New Roman" w:hAnsi="Times New Roman" w:eastAsia="宋体" w:cs="Times New Roman"/>
                      <w:color w:val="000000" w:themeColor="text1"/>
                      <w:spacing w:val="0"/>
                      <w:kern w:val="2"/>
                    </w:rPr>
                    <w:t>中空玻璃</w:t>
                  </w:r>
                  <w:r>
                    <w:rPr>
                      <w:rFonts w:hint="eastAsia" w:ascii="Times New Roman" w:cs="Times New Roman" w:hAnsiTheme="minorEastAsia" w:eastAsiaTheme="minorEastAsia"/>
                      <w:color w:val="000000" w:themeColor="text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二</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年</w:t>
                  </w:r>
                  <w:r>
                    <w:rPr>
                      <w:rFonts w:hint="eastAsia"/>
                      <w:color w:val="000000" w:themeColor="text1"/>
                      <w:sz w:val="21"/>
                      <w:szCs w:val="21"/>
                    </w:rPr>
                    <w:t>工作</w:t>
                  </w:r>
                  <w:r>
                    <w:rPr>
                      <w:color w:val="000000" w:themeColor="text1"/>
                      <w:sz w:val="21"/>
                      <w:szCs w:val="21"/>
                    </w:rPr>
                    <w:t>日</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d</w:t>
                  </w:r>
                </w:p>
              </w:tc>
              <w:tc>
                <w:tcPr>
                  <w:tcW w:w="1427"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300</w:t>
                  </w:r>
                </w:p>
              </w:tc>
              <w:tc>
                <w:tcPr>
                  <w:tcW w:w="1816"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2400</w:t>
                  </w:r>
                  <w:r>
                    <w:rPr>
                      <w:color w:val="000000" w:themeColor="text1"/>
                      <w:sz w:val="21"/>
                      <w:szCs w:val="21"/>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三</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主要</w:t>
                  </w:r>
                  <w:r>
                    <w:rPr>
                      <w:rFonts w:hint="eastAsia"/>
                      <w:color w:val="000000" w:themeColor="text1"/>
                      <w:sz w:val="21"/>
                      <w:szCs w:val="21"/>
                    </w:rPr>
                    <w:t>材料消耗</w:t>
                  </w:r>
                </w:p>
              </w:tc>
              <w:tc>
                <w:tcPr>
                  <w:tcW w:w="5139" w:type="dxa"/>
                  <w:gridSpan w:val="3"/>
                  <w:vAlign w:val="center"/>
                </w:tcPr>
                <w:p>
                  <w:pPr>
                    <w:adjustRightInd w:val="0"/>
                    <w:snapToGrid w:val="0"/>
                    <w:jc w:val="center"/>
                    <w:rPr>
                      <w:color w:val="000000" w:themeColor="text1"/>
                      <w:sz w:val="21"/>
                      <w:szCs w:val="21"/>
                    </w:rPr>
                  </w:pPr>
                  <w:r>
                    <w:rPr>
                      <w:rFonts w:hint="eastAsia"/>
                      <w:color w:val="000000" w:themeColor="text1"/>
                      <w:sz w:val="21"/>
                      <w:szCs w:val="21"/>
                    </w:rPr>
                    <w:t>玻璃原片等具体情况见表3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sz w:val="21"/>
                      <w:szCs w:val="21"/>
                    </w:rPr>
                  </w:pPr>
                  <w:r>
                    <w:rPr>
                      <w:rFonts w:hint="eastAsia"/>
                      <w:sz w:val="21"/>
                      <w:szCs w:val="21"/>
                    </w:rPr>
                    <w:t>四</w:t>
                  </w:r>
                </w:p>
              </w:tc>
              <w:tc>
                <w:tcPr>
                  <w:tcW w:w="7496" w:type="dxa"/>
                  <w:gridSpan w:val="4"/>
                  <w:vAlign w:val="center"/>
                </w:tcPr>
                <w:p>
                  <w:pPr>
                    <w:adjustRightInd w:val="0"/>
                    <w:snapToGrid w:val="0"/>
                    <w:rPr>
                      <w:sz w:val="21"/>
                      <w:szCs w:val="21"/>
                    </w:rPr>
                  </w:pPr>
                  <w:r>
                    <w:rPr>
                      <w:sz w:val="21"/>
                      <w:szCs w:val="21"/>
                    </w:rPr>
                    <w:t>公用工程消耗量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sz w:val="21"/>
                      <w:szCs w:val="21"/>
                    </w:rPr>
                  </w:pPr>
                  <w:r>
                    <w:rPr>
                      <w:sz w:val="21"/>
                      <w:szCs w:val="21"/>
                    </w:rPr>
                    <w:t>1</w:t>
                  </w:r>
                </w:p>
              </w:tc>
              <w:tc>
                <w:tcPr>
                  <w:tcW w:w="2357" w:type="dxa"/>
                  <w:vAlign w:val="center"/>
                </w:tcPr>
                <w:p>
                  <w:pPr>
                    <w:adjustRightInd w:val="0"/>
                    <w:snapToGrid w:val="0"/>
                    <w:jc w:val="center"/>
                    <w:rPr>
                      <w:sz w:val="21"/>
                      <w:szCs w:val="21"/>
                    </w:rPr>
                  </w:pPr>
                  <w:r>
                    <w:rPr>
                      <w:sz w:val="21"/>
                      <w:szCs w:val="21"/>
                    </w:rPr>
                    <w:t>水</w:t>
                  </w:r>
                </w:p>
              </w:tc>
              <w:tc>
                <w:tcPr>
                  <w:tcW w:w="1896" w:type="dxa"/>
                  <w:vAlign w:val="center"/>
                </w:tcPr>
                <w:p>
                  <w:pPr>
                    <w:adjustRightInd w:val="0"/>
                    <w:snapToGrid w:val="0"/>
                    <w:jc w:val="center"/>
                    <w:rPr>
                      <w:sz w:val="21"/>
                      <w:szCs w:val="21"/>
                    </w:rPr>
                  </w:pPr>
                  <w:r>
                    <w:rPr>
                      <w:sz w:val="21"/>
                      <w:szCs w:val="21"/>
                    </w:rPr>
                    <w:t>m</w:t>
                  </w:r>
                  <w:r>
                    <w:rPr>
                      <w:sz w:val="21"/>
                      <w:szCs w:val="21"/>
                      <w:vertAlign w:val="superscript"/>
                    </w:rPr>
                    <w:t>3</w:t>
                  </w:r>
                  <w:r>
                    <w:rPr>
                      <w:sz w:val="21"/>
                      <w:szCs w:val="21"/>
                    </w:rPr>
                    <w:t>/a</w:t>
                  </w:r>
                </w:p>
              </w:tc>
              <w:tc>
                <w:tcPr>
                  <w:tcW w:w="1427" w:type="dxa"/>
                  <w:shd w:val="clear" w:color="auto" w:fill="auto"/>
                  <w:vAlign w:val="center"/>
                </w:tcPr>
                <w:p>
                  <w:pPr>
                    <w:adjustRightInd w:val="0"/>
                    <w:snapToGrid w:val="0"/>
                    <w:jc w:val="center"/>
                    <w:rPr>
                      <w:sz w:val="21"/>
                      <w:szCs w:val="21"/>
                      <w:highlight w:val="yellow"/>
                    </w:rPr>
                  </w:pPr>
                  <w:r>
                    <w:rPr>
                      <w:rFonts w:hint="eastAsia"/>
                      <w:sz w:val="21"/>
                      <w:szCs w:val="21"/>
                    </w:rPr>
                    <w:t>700</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2</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电</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kW·h/a</w:t>
                  </w:r>
                </w:p>
              </w:tc>
              <w:tc>
                <w:tcPr>
                  <w:tcW w:w="1427" w:type="dxa"/>
                  <w:shd w:val="clear" w:color="auto" w:fill="auto"/>
                  <w:vAlign w:val="center"/>
                </w:tcPr>
                <w:p>
                  <w:pPr>
                    <w:adjustRightInd w:val="0"/>
                    <w:snapToGrid w:val="0"/>
                    <w:jc w:val="center"/>
                    <w:rPr>
                      <w:color w:val="000000" w:themeColor="text1"/>
                      <w:sz w:val="21"/>
                      <w:szCs w:val="21"/>
                      <w:highlight w:val="yellow"/>
                    </w:rPr>
                  </w:pPr>
                  <w:r>
                    <w:rPr>
                      <w:rFonts w:hint="eastAsia"/>
                      <w:color w:val="000000" w:themeColor="text1"/>
                      <w:sz w:val="21"/>
                      <w:szCs w:val="21"/>
                    </w:rPr>
                    <w:t>30万</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rFonts w:hint="eastAsia"/>
                      <w:color w:val="000000" w:themeColor="text1"/>
                      <w:sz w:val="21"/>
                      <w:szCs w:val="21"/>
                    </w:rPr>
                    <w:t>五</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定员</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人</w:t>
                  </w:r>
                </w:p>
              </w:tc>
              <w:tc>
                <w:tcPr>
                  <w:tcW w:w="1427"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20</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rFonts w:hint="eastAsia"/>
                      <w:color w:val="000000" w:themeColor="text1"/>
                      <w:sz w:val="21"/>
                      <w:szCs w:val="21"/>
                    </w:rPr>
                    <w:t>六</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占地面积</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m</w:t>
                  </w:r>
                  <w:r>
                    <w:rPr>
                      <w:rFonts w:hint="eastAsia"/>
                      <w:color w:val="000000" w:themeColor="text1"/>
                      <w:sz w:val="21"/>
                      <w:szCs w:val="21"/>
                      <w:vertAlign w:val="superscript"/>
                    </w:rPr>
                    <w:t>2</w:t>
                  </w:r>
                </w:p>
              </w:tc>
              <w:tc>
                <w:tcPr>
                  <w:tcW w:w="1427"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2540</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rFonts w:hint="eastAsia"/>
                      <w:color w:val="000000" w:themeColor="text1"/>
                      <w:sz w:val="21"/>
                      <w:szCs w:val="21"/>
                    </w:rPr>
                    <w:t>七</w:t>
                  </w:r>
                </w:p>
              </w:tc>
              <w:tc>
                <w:tcPr>
                  <w:tcW w:w="2357" w:type="dxa"/>
                  <w:vAlign w:val="center"/>
                </w:tcPr>
                <w:p>
                  <w:pPr>
                    <w:adjustRightInd w:val="0"/>
                    <w:snapToGrid w:val="0"/>
                    <w:jc w:val="center"/>
                    <w:rPr>
                      <w:color w:val="000000" w:themeColor="text1"/>
                      <w:sz w:val="21"/>
                      <w:szCs w:val="21"/>
                    </w:rPr>
                  </w:pPr>
                  <w:r>
                    <w:rPr>
                      <w:rFonts w:hint="eastAsia"/>
                      <w:color w:val="000000" w:themeColor="text1"/>
                      <w:sz w:val="21"/>
                      <w:szCs w:val="21"/>
                    </w:rPr>
                    <w:t>建筑</w:t>
                  </w:r>
                  <w:r>
                    <w:rPr>
                      <w:color w:val="000000" w:themeColor="text1"/>
                      <w:sz w:val="21"/>
                      <w:szCs w:val="21"/>
                    </w:rPr>
                    <w:t>面积</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m</w:t>
                  </w:r>
                  <w:r>
                    <w:rPr>
                      <w:rFonts w:hint="eastAsia"/>
                      <w:color w:val="000000" w:themeColor="text1"/>
                      <w:sz w:val="21"/>
                      <w:szCs w:val="21"/>
                      <w:vertAlign w:val="superscript"/>
                    </w:rPr>
                    <w:t>2</w:t>
                  </w:r>
                </w:p>
              </w:tc>
              <w:tc>
                <w:tcPr>
                  <w:tcW w:w="1427"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2540</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rFonts w:hint="eastAsia"/>
                      <w:color w:val="000000" w:themeColor="text1"/>
                      <w:sz w:val="21"/>
                      <w:szCs w:val="21"/>
                    </w:rPr>
                    <w:t>八</w:t>
                  </w:r>
                </w:p>
              </w:tc>
              <w:tc>
                <w:tcPr>
                  <w:tcW w:w="7496" w:type="dxa"/>
                  <w:gridSpan w:val="4"/>
                  <w:vAlign w:val="center"/>
                </w:tcPr>
                <w:p>
                  <w:pPr>
                    <w:adjustRightInd w:val="0"/>
                    <w:snapToGrid w:val="0"/>
                    <w:rPr>
                      <w:color w:val="000000" w:themeColor="text1"/>
                      <w:sz w:val="21"/>
                      <w:szCs w:val="21"/>
                    </w:rPr>
                  </w:pPr>
                  <w:r>
                    <w:rPr>
                      <w:rFonts w:hint="eastAsia"/>
                      <w:color w:val="000000" w:themeColor="text1"/>
                      <w:sz w:val="21"/>
                      <w:szCs w:val="21"/>
                    </w:rPr>
                    <w:t>投资情况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Align w:val="center"/>
                </w:tcPr>
                <w:p>
                  <w:pPr>
                    <w:adjustRightInd w:val="0"/>
                    <w:snapToGrid w:val="0"/>
                    <w:jc w:val="center"/>
                    <w:rPr>
                      <w:color w:val="000000" w:themeColor="text1"/>
                      <w:sz w:val="21"/>
                      <w:szCs w:val="21"/>
                    </w:rPr>
                  </w:pPr>
                  <w:r>
                    <w:rPr>
                      <w:color w:val="000000" w:themeColor="text1"/>
                      <w:sz w:val="21"/>
                      <w:szCs w:val="21"/>
                    </w:rPr>
                    <w:t>1</w:t>
                  </w:r>
                </w:p>
              </w:tc>
              <w:tc>
                <w:tcPr>
                  <w:tcW w:w="2357" w:type="dxa"/>
                  <w:vAlign w:val="center"/>
                </w:tcPr>
                <w:p>
                  <w:pPr>
                    <w:adjustRightInd w:val="0"/>
                    <w:snapToGrid w:val="0"/>
                    <w:jc w:val="center"/>
                    <w:rPr>
                      <w:color w:val="000000" w:themeColor="text1"/>
                      <w:sz w:val="21"/>
                      <w:szCs w:val="21"/>
                    </w:rPr>
                  </w:pPr>
                  <w:r>
                    <w:rPr>
                      <w:color w:val="000000" w:themeColor="text1"/>
                      <w:sz w:val="21"/>
                      <w:szCs w:val="21"/>
                    </w:rPr>
                    <w:t>工程项目总投资</w:t>
                  </w:r>
                </w:p>
              </w:tc>
              <w:tc>
                <w:tcPr>
                  <w:tcW w:w="1896" w:type="dxa"/>
                  <w:vAlign w:val="center"/>
                </w:tcPr>
                <w:p>
                  <w:pPr>
                    <w:adjustRightInd w:val="0"/>
                    <w:snapToGrid w:val="0"/>
                    <w:jc w:val="center"/>
                    <w:rPr>
                      <w:color w:val="000000" w:themeColor="text1"/>
                      <w:sz w:val="21"/>
                      <w:szCs w:val="21"/>
                    </w:rPr>
                  </w:pPr>
                  <w:r>
                    <w:rPr>
                      <w:color w:val="000000" w:themeColor="text1"/>
                      <w:sz w:val="21"/>
                      <w:szCs w:val="21"/>
                    </w:rPr>
                    <w:t>万元</w:t>
                  </w:r>
                </w:p>
              </w:tc>
              <w:tc>
                <w:tcPr>
                  <w:tcW w:w="1427" w:type="dxa"/>
                  <w:shd w:val="clear" w:color="auto" w:fill="auto"/>
                  <w:vAlign w:val="center"/>
                </w:tcPr>
                <w:p>
                  <w:pPr>
                    <w:adjustRightInd w:val="0"/>
                    <w:snapToGrid w:val="0"/>
                    <w:jc w:val="center"/>
                    <w:rPr>
                      <w:color w:val="000000" w:themeColor="text1"/>
                      <w:sz w:val="21"/>
                      <w:szCs w:val="21"/>
                    </w:rPr>
                  </w:pPr>
                  <w:r>
                    <w:rPr>
                      <w:rFonts w:hint="eastAsia"/>
                      <w:color w:val="000000" w:themeColor="text1"/>
                      <w:sz w:val="21"/>
                      <w:szCs w:val="21"/>
                    </w:rPr>
                    <w:t>50</w:t>
                  </w:r>
                </w:p>
              </w:tc>
              <w:tc>
                <w:tcPr>
                  <w:tcW w:w="1816" w:type="dxa"/>
                  <w:shd w:val="clear" w:color="auto" w:fill="auto"/>
                  <w:vAlign w:val="center"/>
                </w:tcPr>
                <w:p>
                  <w:pPr>
                    <w:adjustRightInd w:val="0"/>
                    <w:snapToGrid w:val="0"/>
                    <w:jc w:val="center"/>
                    <w:rPr>
                      <w:color w:val="0070C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0" w:hRule="atLeast"/>
                <w:jc w:val="center"/>
              </w:trPr>
              <w:tc>
                <w:tcPr>
                  <w:tcW w:w="1128" w:type="dxa"/>
                  <w:vAlign w:val="center"/>
                </w:tcPr>
                <w:p>
                  <w:pPr>
                    <w:adjustRightInd w:val="0"/>
                    <w:snapToGrid w:val="0"/>
                    <w:jc w:val="center"/>
                    <w:rPr>
                      <w:sz w:val="21"/>
                      <w:szCs w:val="21"/>
                    </w:rPr>
                  </w:pPr>
                  <w:r>
                    <w:rPr>
                      <w:sz w:val="21"/>
                      <w:szCs w:val="21"/>
                    </w:rPr>
                    <w:t>2</w:t>
                  </w:r>
                </w:p>
              </w:tc>
              <w:tc>
                <w:tcPr>
                  <w:tcW w:w="2357" w:type="dxa"/>
                  <w:vAlign w:val="center"/>
                </w:tcPr>
                <w:p>
                  <w:pPr>
                    <w:adjustRightInd w:val="0"/>
                    <w:snapToGrid w:val="0"/>
                    <w:jc w:val="center"/>
                    <w:rPr>
                      <w:sz w:val="21"/>
                      <w:szCs w:val="21"/>
                    </w:rPr>
                  </w:pPr>
                  <w:r>
                    <w:rPr>
                      <w:rFonts w:hint="eastAsia"/>
                      <w:sz w:val="21"/>
                      <w:szCs w:val="21"/>
                    </w:rPr>
                    <w:t>环保投资</w:t>
                  </w:r>
                </w:p>
              </w:tc>
              <w:tc>
                <w:tcPr>
                  <w:tcW w:w="1896" w:type="dxa"/>
                  <w:vAlign w:val="center"/>
                </w:tcPr>
                <w:p>
                  <w:pPr>
                    <w:adjustRightInd w:val="0"/>
                    <w:snapToGrid w:val="0"/>
                    <w:jc w:val="center"/>
                    <w:rPr>
                      <w:sz w:val="21"/>
                      <w:szCs w:val="21"/>
                    </w:rPr>
                  </w:pPr>
                  <w:r>
                    <w:rPr>
                      <w:sz w:val="21"/>
                      <w:szCs w:val="21"/>
                    </w:rPr>
                    <w:t>万元</w:t>
                  </w:r>
                </w:p>
              </w:tc>
              <w:tc>
                <w:tcPr>
                  <w:tcW w:w="1427" w:type="dxa"/>
                  <w:shd w:val="clear" w:color="auto" w:fill="auto"/>
                  <w:vAlign w:val="center"/>
                </w:tcPr>
                <w:p>
                  <w:pPr>
                    <w:adjustRightInd w:val="0"/>
                    <w:snapToGrid w:val="0"/>
                    <w:jc w:val="center"/>
                    <w:rPr>
                      <w:sz w:val="21"/>
                      <w:szCs w:val="21"/>
                    </w:rPr>
                  </w:pPr>
                  <w:r>
                    <w:rPr>
                      <w:rFonts w:hint="eastAsia"/>
                      <w:sz w:val="21"/>
                      <w:szCs w:val="21"/>
                    </w:rPr>
                    <w:t>5</w:t>
                  </w:r>
                </w:p>
              </w:tc>
              <w:tc>
                <w:tcPr>
                  <w:tcW w:w="1816" w:type="dxa"/>
                  <w:shd w:val="clear" w:color="auto" w:fill="auto"/>
                  <w:vAlign w:val="center"/>
                </w:tcPr>
                <w:p>
                  <w:pPr>
                    <w:adjustRightInd w:val="0"/>
                    <w:snapToGrid w:val="0"/>
                    <w:jc w:val="center"/>
                    <w:rPr>
                      <w:sz w:val="21"/>
                      <w:szCs w:val="21"/>
                    </w:rPr>
                  </w:pPr>
                </w:p>
              </w:tc>
            </w:tr>
          </w:tbl>
          <w:p>
            <w:pPr>
              <w:pStyle w:val="61"/>
              <w:shd w:val="clear" w:color="auto" w:fill="auto"/>
              <w:spacing w:before="0" w:line="442" w:lineRule="exact"/>
              <w:jc w:val="both"/>
              <w:rPr>
                <w:rFonts w:ascii="Times New Roman" w:hAnsi="Arial" w:eastAsia="宋体" w:cs="Times New Roman"/>
                <w:spacing w:val="0"/>
                <w:kern w:val="2"/>
                <w:sz w:val="24"/>
                <w:szCs w:val="24"/>
              </w:rPr>
            </w:pPr>
            <w:r>
              <w:rPr>
                <w:rFonts w:hint="eastAsia" w:eastAsia="黑体"/>
                <w:spacing w:val="0"/>
                <w:sz w:val="24"/>
                <w:szCs w:val="24"/>
              </w:rPr>
              <w:t>二</w:t>
            </w:r>
            <w:r>
              <w:rPr>
                <w:rFonts w:eastAsia="黑体"/>
                <w:spacing w:val="0"/>
                <w:sz w:val="24"/>
                <w:szCs w:val="24"/>
              </w:rPr>
              <w:t>、工程</w:t>
            </w:r>
            <w:r>
              <w:rPr>
                <w:rFonts w:hint="eastAsia" w:eastAsia="黑体"/>
                <w:spacing w:val="0"/>
                <w:sz w:val="24"/>
                <w:szCs w:val="24"/>
              </w:rPr>
              <w:t>内容</w:t>
            </w:r>
            <w:r>
              <w:rPr>
                <w:rFonts w:eastAsia="黑体"/>
                <w:spacing w:val="0"/>
                <w:sz w:val="24"/>
                <w:szCs w:val="24"/>
              </w:rPr>
              <w:t>：</w:t>
            </w:r>
          </w:p>
          <w:p>
            <w:pPr>
              <w:pStyle w:val="61"/>
              <w:shd w:val="clear" w:color="auto" w:fill="auto"/>
              <w:spacing w:before="0" w:line="442" w:lineRule="exact"/>
              <w:ind w:left="20" w:firstLine="480"/>
              <w:jc w:val="both"/>
              <w:rPr>
                <w:rFonts w:ascii="Times New Roman" w:hAnsi="Times New Roman" w:eastAsia="黑体" w:cs="Times New Roman"/>
                <w:color w:val="000000" w:themeColor="text1"/>
                <w:spacing w:val="0"/>
                <w:kern w:val="2"/>
                <w:sz w:val="24"/>
                <w:szCs w:val="24"/>
              </w:rPr>
            </w:pPr>
            <w:r>
              <w:rPr>
                <w:rFonts w:hint="eastAsia" w:ascii="Times New Roman" w:hAnsi="Arial" w:eastAsia="宋体" w:cs="Times New Roman"/>
                <w:color w:val="000000" w:themeColor="text1"/>
                <w:kern w:val="2"/>
                <w:sz w:val="24"/>
                <w:szCs w:val="24"/>
              </w:rPr>
              <w:t>1</w:t>
            </w:r>
            <w:r>
              <w:rPr>
                <w:rFonts w:ascii="Times New Roman" w:hAnsi="Arial" w:eastAsia="宋体" w:cs="Times New Roman"/>
                <w:color w:val="000000" w:themeColor="text1"/>
                <w:spacing w:val="0"/>
                <w:kern w:val="2"/>
                <w:sz w:val="24"/>
                <w:szCs w:val="24"/>
              </w:rPr>
              <w:t>、</w:t>
            </w:r>
            <w:r>
              <w:rPr>
                <w:rFonts w:hint="eastAsia" w:ascii="Times New Roman" w:hAnsi="Times New Roman" w:eastAsia="黑体" w:cs="Times New Roman"/>
                <w:color w:val="000000" w:themeColor="text1"/>
                <w:spacing w:val="0"/>
                <w:kern w:val="2"/>
                <w:sz w:val="24"/>
                <w:szCs w:val="24"/>
              </w:rPr>
              <w:t>项目组成</w:t>
            </w:r>
          </w:p>
          <w:p>
            <w:pPr>
              <w:pStyle w:val="61"/>
              <w:shd w:val="clear" w:color="auto" w:fill="auto"/>
              <w:spacing w:before="0" w:line="360" w:lineRule="auto"/>
              <w:ind w:left="20" w:firstLine="480"/>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项目主体工程为一栋生产车间，具体项目</w:t>
            </w:r>
            <w:r>
              <w:rPr>
                <w:rFonts w:ascii="Times New Roman" w:hAnsi="Arial" w:eastAsia="宋体" w:cs="Times New Roman"/>
                <w:spacing w:val="0"/>
                <w:kern w:val="2"/>
                <w:sz w:val="24"/>
                <w:szCs w:val="24"/>
              </w:rPr>
              <w:t>组成</w:t>
            </w:r>
            <w:r>
              <w:rPr>
                <w:rFonts w:hint="eastAsia" w:ascii="Times New Roman" w:hAnsi="Arial" w:eastAsia="宋体" w:cs="Times New Roman"/>
                <w:spacing w:val="0"/>
                <w:kern w:val="2"/>
                <w:sz w:val="24"/>
                <w:szCs w:val="24"/>
              </w:rPr>
              <w:t>情况</w:t>
            </w:r>
            <w:r>
              <w:rPr>
                <w:rFonts w:ascii="Times New Roman" w:hAnsi="Arial" w:eastAsia="宋体" w:cs="Times New Roman"/>
                <w:spacing w:val="0"/>
                <w:kern w:val="2"/>
                <w:sz w:val="24"/>
                <w:szCs w:val="24"/>
              </w:rPr>
              <w:t>见表</w:t>
            </w:r>
            <w:r>
              <w:rPr>
                <w:rFonts w:hint="eastAsia" w:ascii="Times New Roman" w:hAnsi="Arial" w:eastAsia="宋体" w:cs="Times New Roman"/>
                <w:spacing w:val="0"/>
                <w:kern w:val="2"/>
                <w:sz w:val="24"/>
                <w:szCs w:val="24"/>
              </w:rPr>
              <w:t>2</w:t>
            </w:r>
            <w:r>
              <w:rPr>
                <w:rFonts w:ascii="Times New Roman" w:hAnsi="Arial" w:eastAsia="宋体" w:cs="Times New Roman"/>
                <w:spacing w:val="0"/>
                <w:kern w:val="2"/>
                <w:sz w:val="24"/>
                <w:szCs w:val="24"/>
              </w:rPr>
              <w:t>。</w:t>
            </w:r>
          </w:p>
          <w:p>
            <w:pPr>
              <w:adjustRightInd w:val="0"/>
              <w:snapToGrid w:val="0"/>
              <w:jc w:val="center"/>
              <w:rPr>
                <w:rFonts w:eastAsia="黑体"/>
                <w:sz w:val="24"/>
                <w:szCs w:val="24"/>
              </w:rPr>
            </w:pPr>
            <w:r>
              <w:rPr>
                <w:rFonts w:eastAsia="黑体"/>
                <w:sz w:val="24"/>
                <w:szCs w:val="24"/>
              </w:rPr>
              <w:t>表</w:t>
            </w:r>
            <w:r>
              <w:rPr>
                <w:rFonts w:hint="eastAsia" w:eastAsia="黑体"/>
                <w:sz w:val="24"/>
                <w:szCs w:val="24"/>
              </w:rPr>
              <w:t>2</w:t>
            </w:r>
            <w:r>
              <w:rPr>
                <w:rFonts w:eastAsia="黑体"/>
                <w:sz w:val="24"/>
                <w:szCs w:val="24"/>
              </w:rPr>
              <w:t>项目组成</w:t>
            </w:r>
            <w:r>
              <w:rPr>
                <w:rFonts w:hint="eastAsia" w:eastAsia="黑体"/>
                <w:sz w:val="24"/>
                <w:szCs w:val="24"/>
              </w:rPr>
              <w:t>情况表</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43"/>
              <w:gridCol w:w="1247"/>
              <w:gridCol w:w="61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1243" w:type="dxa"/>
                  <w:tcBorders>
                    <w:top w:val="single" w:color="000000" w:sz="8" w:space="0"/>
                    <w:left w:val="single" w:color="000000" w:sz="8" w:space="0"/>
                    <w:bottom w:val="single" w:color="000000" w:sz="4" w:space="0"/>
                    <w:right w:val="single" w:color="000000" w:sz="4" w:space="0"/>
                  </w:tcBorders>
                  <w:vAlign w:val="center"/>
                </w:tcPr>
                <w:p>
                  <w:pPr>
                    <w:jc w:val="center"/>
                    <w:rPr>
                      <w:sz w:val="21"/>
                      <w:szCs w:val="21"/>
                    </w:rPr>
                  </w:pPr>
                  <w:r>
                    <w:rPr>
                      <w:sz w:val="21"/>
                      <w:szCs w:val="21"/>
                    </w:rPr>
                    <w:t>工程类别</w:t>
                  </w:r>
                </w:p>
              </w:tc>
              <w:tc>
                <w:tcPr>
                  <w:tcW w:w="1247" w:type="dxa"/>
                  <w:tcBorders>
                    <w:top w:val="single" w:color="000000" w:sz="8" w:space="0"/>
                    <w:left w:val="single" w:color="auto" w:sz="4" w:space="0"/>
                    <w:bottom w:val="single" w:color="000000" w:sz="4" w:space="0"/>
                    <w:right w:val="single" w:color="000000" w:sz="4" w:space="0"/>
                  </w:tcBorders>
                  <w:vAlign w:val="center"/>
                </w:tcPr>
                <w:p>
                  <w:pPr>
                    <w:jc w:val="center"/>
                    <w:rPr>
                      <w:sz w:val="21"/>
                      <w:szCs w:val="21"/>
                    </w:rPr>
                  </w:pPr>
                  <w:r>
                    <w:rPr>
                      <w:sz w:val="21"/>
                      <w:szCs w:val="21"/>
                    </w:rPr>
                    <w:t>工程名称</w:t>
                  </w:r>
                </w:p>
              </w:tc>
              <w:tc>
                <w:tcPr>
                  <w:tcW w:w="6128" w:type="dxa"/>
                  <w:tcBorders>
                    <w:top w:val="single" w:color="000000" w:sz="8" w:space="0"/>
                    <w:left w:val="single" w:color="auto" w:sz="4" w:space="0"/>
                    <w:bottom w:val="single" w:color="000000" w:sz="4" w:space="0"/>
                    <w:right w:val="single" w:color="000000" w:sz="8" w:space="0"/>
                  </w:tcBorders>
                  <w:vAlign w:val="center"/>
                </w:tcPr>
                <w:p>
                  <w:pPr>
                    <w:jc w:val="center"/>
                    <w:rPr>
                      <w:sz w:val="21"/>
                      <w:szCs w:val="21"/>
                    </w:rPr>
                  </w:pPr>
                  <w:r>
                    <w:rPr>
                      <w:rFonts w:hint="eastAsia"/>
                      <w:sz w:val="21"/>
                      <w:szCs w:val="21"/>
                    </w:rPr>
                    <w:t>工程内容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2" w:hRule="atLeast"/>
                <w:jc w:val="center"/>
              </w:trPr>
              <w:tc>
                <w:tcPr>
                  <w:tcW w:w="1243" w:type="dxa"/>
                  <w:tcBorders>
                    <w:left w:val="single" w:color="000000" w:sz="8" w:space="0"/>
                    <w:right w:val="single" w:color="000000" w:sz="4" w:space="0"/>
                  </w:tcBorders>
                  <w:vAlign w:val="center"/>
                </w:tcPr>
                <w:p>
                  <w:pPr>
                    <w:jc w:val="center"/>
                    <w:rPr>
                      <w:sz w:val="21"/>
                      <w:szCs w:val="21"/>
                    </w:rPr>
                  </w:pPr>
                  <w:r>
                    <w:rPr>
                      <w:sz w:val="21"/>
                      <w:szCs w:val="21"/>
                    </w:rPr>
                    <w:t>主体工程</w:t>
                  </w:r>
                </w:p>
              </w:tc>
              <w:tc>
                <w:tcPr>
                  <w:tcW w:w="1247" w:type="dxa"/>
                  <w:tcBorders>
                    <w:top w:val="single" w:color="000000" w:sz="8" w:space="0"/>
                    <w:left w:val="single" w:color="auto" w:sz="4" w:space="0"/>
                    <w:right w:val="single" w:color="000000" w:sz="4" w:space="0"/>
                  </w:tcBorders>
                  <w:vAlign w:val="center"/>
                </w:tcPr>
                <w:p>
                  <w:pPr>
                    <w:jc w:val="center"/>
                    <w:rPr>
                      <w:sz w:val="21"/>
                      <w:szCs w:val="21"/>
                    </w:rPr>
                  </w:pPr>
                  <w:r>
                    <w:rPr>
                      <w:rFonts w:hint="eastAsia"/>
                      <w:sz w:val="21"/>
                      <w:szCs w:val="21"/>
                    </w:rPr>
                    <w:t>生产车间</w:t>
                  </w:r>
                </w:p>
              </w:tc>
              <w:tc>
                <w:tcPr>
                  <w:tcW w:w="6128" w:type="dxa"/>
                  <w:tcBorders>
                    <w:top w:val="single" w:color="000000" w:sz="8" w:space="0"/>
                    <w:left w:val="single" w:color="auto" w:sz="4" w:space="0"/>
                    <w:right w:val="single" w:color="000000" w:sz="8" w:space="0"/>
                  </w:tcBorders>
                  <w:vAlign w:val="center"/>
                </w:tcPr>
                <w:p>
                  <w:pPr>
                    <w:rPr>
                      <w:sz w:val="21"/>
                      <w:szCs w:val="21"/>
                    </w:rPr>
                  </w:pPr>
                  <w:r>
                    <w:rPr>
                      <w:rFonts w:hint="eastAsia" w:hAnsi="Arial"/>
                      <w:sz w:val="21"/>
                      <w:szCs w:val="21"/>
                    </w:rPr>
                    <w:t>主要布置中空玻璃和钢化玻璃生产线。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2" w:hRule="atLeast"/>
                <w:jc w:val="center"/>
              </w:trPr>
              <w:tc>
                <w:tcPr>
                  <w:tcW w:w="1243" w:type="dxa"/>
                  <w:vMerge w:val="restart"/>
                  <w:tcBorders>
                    <w:left w:val="single" w:color="000000" w:sz="8" w:space="0"/>
                    <w:right w:val="single" w:color="000000" w:sz="4" w:space="0"/>
                  </w:tcBorders>
                  <w:vAlign w:val="center"/>
                </w:tcPr>
                <w:p>
                  <w:pPr>
                    <w:jc w:val="center"/>
                    <w:rPr>
                      <w:sz w:val="21"/>
                      <w:szCs w:val="21"/>
                    </w:rPr>
                  </w:pPr>
                  <w:r>
                    <w:rPr>
                      <w:sz w:val="21"/>
                      <w:szCs w:val="21"/>
                    </w:rPr>
                    <w:t>辅助工程</w:t>
                  </w:r>
                </w:p>
              </w:tc>
              <w:tc>
                <w:tcPr>
                  <w:tcW w:w="1247" w:type="dxa"/>
                  <w:tcBorders>
                    <w:top w:val="single" w:color="000000" w:sz="8" w:space="0"/>
                    <w:left w:val="single" w:color="auto" w:sz="4" w:space="0"/>
                    <w:right w:val="single" w:color="000000" w:sz="4" w:space="0"/>
                  </w:tcBorders>
                  <w:vAlign w:val="center"/>
                </w:tcPr>
                <w:p>
                  <w:pPr>
                    <w:jc w:val="center"/>
                    <w:rPr>
                      <w:sz w:val="21"/>
                      <w:szCs w:val="21"/>
                    </w:rPr>
                  </w:pPr>
                  <w:r>
                    <w:rPr>
                      <w:rFonts w:hint="eastAsia"/>
                      <w:sz w:val="21"/>
                      <w:szCs w:val="21"/>
                    </w:rPr>
                    <w:t>原料储存</w:t>
                  </w:r>
                </w:p>
              </w:tc>
              <w:tc>
                <w:tcPr>
                  <w:tcW w:w="6128" w:type="dxa"/>
                  <w:tcBorders>
                    <w:top w:val="single" w:color="000000" w:sz="8" w:space="0"/>
                    <w:left w:val="single" w:color="auto" w:sz="4" w:space="0"/>
                    <w:right w:val="single" w:color="000000" w:sz="8" w:space="0"/>
                  </w:tcBorders>
                  <w:vAlign w:val="center"/>
                </w:tcPr>
                <w:p>
                  <w:pPr>
                    <w:rPr>
                      <w:sz w:val="21"/>
                      <w:szCs w:val="21"/>
                    </w:rPr>
                  </w:pPr>
                  <w:r>
                    <w:rPr>
                      <w:rFonts w:hint="eastAsia" w:hAnsi="Arial"/>
                      <w:sz w:val="21"/>
                      <w:szCs w:val="21"/>
                    </w:rPr>
                    <w:t>布置在车间西南。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2" w:hRule="atLeast"/>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000000" w:sz="8" w:space="0"/>
                    <w:left w:val="single" w:color="auto" w:sz="4" w:space="0"/>
                    <w:right w:val="single" w:color="000000" w:sz="4" w:space="0"/>
                  </w:tcBorders>
                  <w:vAlign w:val="center"/>
                </w:tcPr>
                <w:p>
                  <w:pPr>
                    <w:jc w:val="center"/>
                    <w:rPr>
                      <w:sz w:val="21"/>
                      <w:szCs w:val="21"/>
                    </w:rPr>
                  </w:pPr>
                  <w:r>
                    <w:rPr>
                      <w:rFonts w:hint="eastAsia"/>
                      <w:sz w:val="21"/>
                      <w:szCs w:val="21"/>
                    </w:rPr>
                    <w:t>产品储存</w:t>
                  </w:r>
                </w:p>
              </w:tc>
              <w:tc>
                <w:tcPr>
                  <w:tcW w:w="6128" w:type="dxa"/>
                  <w:tcBorders>
                    <w:top w:val="single" w:color="000000" w:sz="8" w:space="0"/>
                    <w:left w:val="single" w:color="auto" w:sz="4" w:space="0"/>
                    <w:right w:val="single" w:color="000000" w:sz="8" w:space="0"/>
                  </w:tcBorders>
                  <w:vAlign w:val="center"/>
                </w:tcPr>
                <w:p>
                  <w:pPr>
                    <w:rPr>
                      <w:rFonts w:hAnsi="Arial"/>
                      <w:sz w:val="21"/>
                      <w:szCs w:val="21"/>
                    </w:rPr>
                  </w:pPr>
                  <w:r>
                    <w:rPr>
                      <w:rFonts w:hint="eastAsia" w:hAnsi="Arial"/>
                      <w:sz w:val="21"/>
                      <w:szCs w:val="21"/>
                    </w:rPr>
                    <w:t>布置在车间西北。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43" w:type="dxa"/>
                  <w:vMerge w:val="restart"/>
                  <w:tcBorders>
                    <w:left w:val="single" w:color="000000" w:sz="8" w:space="0"/>
                    <w:right w:val="single" w:color="000000" w:sz="4" w:space="0"/>
                  </w:tcBorders>
                  <w:vAlign w:val="center"/>
                </w:tcPr>
                <w:p>
                  <w:pPr>
                    <w:jc w:val="center"/>
                    <w:rPr>
                      <w:sz w:val="21"/>
                      <w:szCs w:val="21"/>
                    </w:rPr>
                  </w:pPr>
                  <w:r>
                    <w:rPr>
                      <w:sz w:val="21"/>
                      <w:szCs w:val="21"/>
                    </w:rPr>
                    <w:t>公用工程</w:t>
                  </w: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sz w:val="21"/>
                      <w:szCs w:val="21"/>
                    </w:rPr>
                    <w:t>供水</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color w:val="000000" w:themeColor="text1"/>
                      <w:sz w:val="21"/>
                      <w:szCs w:val="21"/>
                    </w:rPr>
                    <w:t>项目供水来自当地城市自来水管道，由市政给水管引入。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sz w:val="21"/>
                      <w:szCs w:val="21"/>
                    </w:rPr>
                    <w:t>排水</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sz w:val="21"/>
                      <w:szCs w:val="21"/>
                    </w:rPr>
                    <w:t>雨污分流，废水经污水管网进污水处理厂处理。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sz w:val="21"/>
                      <w:szCs w:val="21"/>
                    </w:rPr>
                    <w:t>供电</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sz w:val="21"/>
                      <w:szCs w:val="21"/>
                    </w:rPr>
                    <w:t>项目用电取自配套电网。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rFonts w:hint="eastAsia"/>
                      <w:sz w:val="21"/>
                      <w:szCs w:val="21"/>
                    </w:rPr>
                    <w:t>供热</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sz w:val="21"/>
                      <w:szCs w:val="21"/>
                    </w:rPr>
                    <w:t>项目不设锅炉，冬季采暖夏季纳凉采用电。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243" w:type="dxa"/>
                  <w:vMerge w:val="restart"/>
                  <w:tcBorders>
                    <w:left w:val="single" w:color="000000" w:sz="8" w:space="0"/>
                    <w:right w:val="single" w:color="000000" w:sz="4" w:space="0"/>
                  </w:tcBorders>
                  <w:vAlign w:val="center"/>
                </w:tcPr>
                <w:p>
                  <w:pPr>
                    <w:jc w:val="center"/>
                    <w:rPr>
                      <w:sz w:val="21"/>
                      <w:szCs w:val="21"/>
                    </w:rPr>
                  </w:pPr>
                  <w:r>
                    <w:rPr>
                      <w:rFonts w:hint="eastAsia"/>
                      <w:sz w:val="21"/>
                      <w:szCs w:val="21"/>
                    </w:rPr>
                    <w:t>环保工程</w:t>
                  </w:r>
                </w:p>
              </w:tc>
              <w:tc>
                <w:tcPr>
                  <w:tcW w:w="1247" w:type="dxa"/>
                  <w:tcBorders>
                    <w:top w:val="nil"/>
                    <w:left w:val="single" w:color="auto" w:sz="4" w:space="0"/>
                    <w:bottom w:val="single" w:color="auto" w:sz="4" w:space="0"/>
                    <w:right w:val="single" w:color="auto" w:sz="4" w:space="0"/>
                  </w:tcBorders>
                  <w:vAlign w:val="center"/>
                </w:tcPr>
                <w:p>
                  <w:pPr>
                    <w:jc w:val="center"/>
                    <w:rPr>
                      <w:sz w:val="21"/>
                      <w:szCs w:val="21"/>
                    </w:rPr>
                  </w:pPr>
                  <w:r>
                    <w:rPr>
                      <w:sz w:val="21"/>
                      <w:szCs w:val="21"/>
                    </w:rPr>
                    <w:t>废水</w:t>
                  </w:r>
                </w:p>
              </w:tc>
              <w:tc>
                <w:tcPr>
                  <w:tcW w:w="6128" w:type="dxa"/>
                  <w:tcBorders>
                    <w:top w:val="nil"/>
                    <w:left w:val="single" w:color="auto" w:sz="4" w:space="0"/>
                    <w:bottom w:val="single" w:color="auto" w:sz="4" w:space="0"/>
                    <w:right w:val="single" w:color="000000" w:sz="8" w:space="0"/>
                  </w:tcBorders>
                  <w:vAlign w:val="center"/>
                </w:tcPr>
                <w:p>
                  <w:pPr>
                    <w:rPr>
                      <w:sz w:val="21"/>
                      <w:szCs w:val="21"/>
                    </w:rPr>
                  </w:pPr>
                  <w:r>
                    <w:rPr>
                      <w:rFonts w:hint="eastAsia"/>
                      <w:sz w:val="21"/>
                      <w:szCs w:val="21"/>
                    </w:rPr>
                    <w:t>项目废水经污水管网进污水处理厂处理。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3" w:hRule="atLeast"/>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nil"/>
                    <w:left w:val="single" w:color="auto" w:sz="4" w:space="0"/>
                    <w:bottom w:val="single" w:color="auto" w:sz="4" w:space="0"/>
                    <w:right w:val="single" w:color="auto" w:sz="4" w:space="0"/>
                  </w:tcBorders>
                  <w:vAlign w:val="center"/>
                </w:tcPr>
                <w:p>
                  <w:pPr>
                    <w:jc w:val="center"/>
                    <w:rPr>
                      <w:sz w:val="21"/>
                      <w:szCs w:val="21"/>
                    </w:rPr>
                  </w:pPr>
                  <w:r>
                    <w:rPr>
                      <w:rFonts w:hint="eastAsia"/>
                      <w:sz w:val="21"/>
                      <w:szCs w:val="21"/>
                    </w:rPr>
                    <w:t>废气</w:t>
                  </w:r>
                </w:p>
              </w:tc>
              <w:tc>
                <w:tcPr>
                  <w:tcW w:w="6128" w:type="dxa"/>
                  <w:tcBorders>
                    <w:top w:val="nil"/>
                    <w:left w:val="single" w:color="auto" w:sz="4" w:space="0"/>
                    <w:bottom w:val="single" w:color="auto" w:sz="4" w:space="0"/>
                    <w:right w:val="single" w:color="000000" w:sz="8" w:space="0"/>
                  </w:tcBorders>
                  <w:vAlign w:val="center"/>
                </w:tcPr>
                <w:p>
                  <w:pPr>
                    <w:rPr>
                      <w:sz w:val="21"/>
                      <w:szCs w:val="21"/>
                    </w:rPr>
                  </w:pPr>
                  <w:r>
                    <w:rPr>
                      <w:rFonts w:hint="eastAsia"/>
                      <w:sz w:val="21"/>
                      <w:szCs w:val="21"/>
                    </w:rPr>
                    <w:t>有机废气通过“活性炭吸附”处理后通过配套15m高排气筒排放。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sz w:val="21"/>
                      <w:szCs w:val="21"/>
                    </w:rPr>
                    <w:t>噪声</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sz w:val="21"/>
                      <w:szCs w:val="21"/>
                    </w:rPr>
                    <w:t>噪声设备均布置于车间内，经车间阻隔，</w:t>
                  </w:r>
                  <w:r>
                    <w:rPr>
                      <w:sz w:val="21"/>
                      <w:szCs w:val="21"/>
                    </w:rPr>
                    <w:t>厂界</w:t>
                  </w:r>
                  <w:r>
                    <w:rPr>
                      <w:rFonts w:hint="eastAsia"/>
                      <w:sz w:val="21"/>
                      <w:szCs w:val="21"/>
                    </w:rPr>
                    <w:t>噪声达标。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1243" w:type="dxa"/>
                  <w:vMerge w:val="continue"/>
                  <w:tcBorders>
                    <w:left w:val="single" w:color="000000" w:sz="8" w:space="0"/>
                    <w:right w:val="single" w:color="000000" w:sz="4" w:space="0"/>
                  </w:tcBorders>
                  <w:vAlign w:val="center"/>
                </w:tcPr>
                <w:p>
                  <w:pPr>
                    <w:jc w:val="center"/>
                    <w:rPr>
                      <w:sz w:val="21"/>
                      <w:szCs w:val="21"/>
                    </w:rPr>
                  </w:pPr>
                </w:p>
              </w:tc>
              <w:tc>
                <w:tcPr>
                  <w:tcW w:w="1247" w:type="dxa"/>
                  <w:tcBorders>
                    <w:top w:val="single" w:color="auto" w:sz="4" w:space="0"/>
                    <w:left w:val="single" w:color="auto" w:sz="4" w:space="0"/>
                    <w:bottom w:val="single" w:color="auto" w:sz="4" w:space="0"/>
                    <w:right w:val="single" w:color="000000" w:sz="4" w:space="0"/>
                  </w:tcBorders>
                  <w:vAlign w:val="center"/>
                </w:tcPr>
                <w:p>
                  <w:pPr>
                    <w:jc w:val="center"/>
                    <w:rPr>
                      <w:sz w:val="21"/>
                      <w:szCs w:val="21"/>
                    </w:rPr>
                  </w:pPr>
                  <w:r>
                    <w:rPr>
                      <w:sz w:val="21"/>
                      <w:szCs w:val="21"/>
                    </w:rPr>
                    <w:t>固废</w:t>
                  </w:r>
                </w:p>
              </w:tc>
              <w:tc>
                <w:tcPr>
                  <w:tcW w:w="6128" w:type="dxa"/>
                  <w:tcBorders>
                    <w:top w:val="single" w:color="auto" w:sz="4" w:space="0"/>
                    <w:left w:val="single" w:color="auto" w:sz="4" w:space="0"/>
                    <w:bottom w:val="single" w:color="auto" w:sz="4" w:space="0"/>
                    <w:right w:val="single" w:color="000000" w:sz="8" w:space="0"/>
                  </w:tcBorders>
                  <w:vAlign w:val="center"/>
                </w:tcPr>
                <w:p>
                  <w:pPr>
                    <w:rPr>
                      <w:sz w:val="21"/>
                      <w:szCs w:val="21"/>
                    </w:rPr>
                  </w:pPr>
                  <w:r>
                    <w:rPr>
                      <w:rFonts w:hint="eastAsia"/>
                      <w:sz w:val="21"/>
                      <w:szCs w:val="21"/>
                    </w:rPr>
                    <w:t>生活垃圾</w:t>
                  </w:r>
                  <w:r>
                    <w:rPr>
                      <w:sz w:val="21"/>
                      <w:szCs w:val="21"/>
                    </w:rPr>
                    <w:t>由环卫部门</w:t>
                  </w:r>
                  <w:r>
                    <w:rPr>
                      <w:rFonts w:hint="eastAsia"/>
                      <w:sz w:val="21"/>
                      <w:szCs w:val="21"/>
                    </w:rPr>
                    <w:t>统一送至威海市垃圾处理厂进行无害化处理；下脚料回收综合利用；危险废物委托有资质单位合理有效处置。</w:t>
                  </w:r>
                </w:p>
              </w:tc>
            </w:tr>
          </w:tbl>
          <w:p>
            <w:pPr>
              <w:pStyle w:val="61"/>
              <w:shd w:val="clear" w:color="auto" w:fill="auto"/>
              <w:spacing w:before="0" w:line="360" w:lineRule="auto"/>
              <w:ind w:left="23" w:firstLine="482"/>
              <w:jc w:val="both"/>
              <w:rPr>
                <w:rFonts w:ascii="Times New Roman" w:hAnsi="Arial" w:eastAsia="宋体" w:cs="Times New Roman"/>
                <w:spacing w:val="0"/>
                <w:kern w:val="2"/>
                <w:sz w:val="24"/>
                <w:szCs w:val="24"/>
              </w:rPr>
            </w:pPr>
            <w:r>
              <w:rPr>
                <w:rFonts w:hint="eastAsia" w:ascii="Times New Roman" w:hAnsi="Arial" w:eastAsia="宋体" w:cs="Times New Roman"/>
                <w:kern w:val="2"/>
                <w:sz w:val="24"/>
                <w:szCs w:val="24"/>
              </w:rPr>
              <w:t>2</w:t>
            </w:r>
            <w:r>
              <w:rPr>
                <w:rFonts w:ascii="Times New Roman" w:hAnsi="Arial" w:eastAsia="宋体" w:cs="Times New Roman"/>
                <w:spacing w:val="0"/>
                <w:kern w:val="2"/>
                <w:sz w:val="24"/>
                <w:szCs w:val="24"/>
              </w:rPr>
              <w:t>、</w:t>
            </w:r>
            <w:r>
              <w:rPr>
                <w:rFonts w:hint="eastAsia" w:ascii="Times New Roman" w:hAnsi="Times New Roman" w:eastAsia="黑体" w:cs="Times New Roman"/>
                <w:spacing w:val="0"/>
                <w:kern w:val="2"/>
                <w:sz w:val="24"/>
                <w:szCs w:val="24"/>
              </w:rPr>
              <w:t>总图布置</w:t>
            </w:r>
          </w:p>
          <w:p>
            <w:pPr>
              <w:pStyle w:val="61"/>
              <w:shd w:val="clear" w:color="auto" w:fill="auto"/>
              <w:spacing w:before="0" w:line="360" w:lineRule="auto"/>
              <w:ind w:left="23"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（1）布置方案</w:t>
            </w:r>
          </w:p>
          <w:p>
            <w:pPr>
              <w:pStyle w:val="61"/>
              <w:shd w:val="clear" w:color="auto" w:fill="auto"/>
              <w:spacing w:before="0" w:line="360" w:lineRule="auto"/>
              <w:ind w:left="23" w:firstLine="482"/>
              <w:jc w:val="both"/>
              <w:rPr>
                <w:rFonts w:ascii="Times New Roman" w:hAnsi="Arial" w:eastAsia="宋体" w:cs="Times New Roman"/>
                <w:spacing w:val="0"/>
                <w:kern w:val="2"/>
                <w:sz w:val="24"/>
                <w:szCs w:val="24"/>
              </w:rPr>
            </w:pPr>
            <w:r>
              <w:rPr>
                <w:rFonts w:hint="eastAsia" w:ascii="Times New Roman" w:cs="Times New Roman" w:hAnsiTheme="minorEastAsia" w:eastAsiaTheme="minorEastAsia"/>
                <w:color w:val="000000" w:themeColor="text1"/>
                <w:spacing w:val="0"/>
                <w:kern w:val="2"/>
                <w:sz w:val="24"/>
                <w:szCs w:val="24"/>
              </w:rPr>
              <w:t>项目利用已建成厂房进行生</w:t>
            </w:r>
            <w:r>
              <w:rPr>
                <w:rFonts w:hint="eastAsia" w:ascii="Times New Roman" w:cs="Times New Roman" w:hAnsiTheme="minorEastAsia" w:eastAsiaTheme="minorEastAsia"/>
                <w:spacing w:val="0"/>
                <w:kern w:val="2"/>
                <w:sz w:val="24"/>
                <w:szCs w:val="24"/>
              </w:rPr>
              <w:t>产，主要布置钢化玻璃和中空玻璃深加工生产线</w:t>
            </w:r>
            <w:r>
              <w:rPr>
                <w:rFonts w:hint="eastAsia" w:ascii="Times New Roman" w:hAnsi="Arial" w:eastAsia="宋体" w:cs="Times New Roman"/>
                <w:spacing w:val="0"/>
                <w:kern w:val="2"/>
                <w:sz w:val="24"/>
                <w:szCs w:val="24"/>
              </w:rPr>
              <w:t>。项目具体平面布置示意图见附图2。</w:t>
            </w:r>
          </w:p>
          <w:p>
            <w:pPr>
              <w:pStyle w:val="61"/>
              <w:shd w:val="clear" w:color="auto" w:fill="auto"/>
              <w:spacing w:before="0" w:line="360" w:lineRule="auto"/>
              <w:ind w:left="20"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（2）合理性分析</w:t>
            </w:r>
          </w:p>
          <w:p>
            <w:pPr>
              <w:pStyle w:val="61"/>
              <w:shd w:val="clear" w:color="auto" w:fill="auto"/>
              <w:spacing w:before="0" w:line="360" w:lineRule="auto"/>
              <w:ind w:left="20"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项目车间分区管理，项目平面布置有利于保证工艺流程的顺畅，方便管理。</w:t>
            </w:r>
          </w:p>
          <w:p>
            <w:pPr>
              <w:spacing w:line="360" w:lineRule="auto"/>
              <w:ind w:firstLine="480" w:firstLineChars="200"/>
              <w:rPr>
                <w:rFonts w:eastAsia="黑体"/>
                <w:sz w:val="24"/>
              </w:rPr>
            </w:pPr>
            <w:r>
              <w:rPr>
                <w:rFonts w:eastAsia="黑体"/>
                <w:sz w:val="24"/>
              </w:rPr>
              <w:t>4、主要材料及动力消耗</w:t>
            </w:r>
          </w:p>
          <w:p>
            <w:pPr>
              <w:ind w:firstLine="480" w:firstLineChars="200"/>
              <w:rPr>
                <w:sz w:val="24"/>
              </w:rPr>
            </w:pPr>
            <w:r>
              <w:rPr>
                <w:sz w:val="24"/>
              </w:rPr>
              <w:t>项目</w:t>
            </w:r>
            <w:r>
              <w:rPr>
                <w:rFonts w:hint="eastAsia"/>
                <w:sz w:val="24"/>
              </w:rPr>
              <w:t>所用原材料主要为玻璃原片</w:t>
            </w:r>
            <w:r>
              <w:rPr>
                <w:rFonts w:hint="eastAsia"/>
                <w:sz w:val="24"/>
                <w:szCs w:val="24"/>
              </w:rPr>
              <w:t>等，</w:t>
            </w:r>
            <w:r>
              <w:rPr>
                <w:sz w:val="24"/>
              </w:rPr>
              <w:t>主要材料及动力消耗见表</w:t>
            </w:r>
            <w:r>
              <w:rPr>
                <w:rFonts w:hint="eastAsia"/>
                <w:sz w:val="24"/>
              </w:rPr>
              <w:t>3</w:t>
            </w:r>
            <w:r>
              <w:rPr>
                <w:sz w:val="24"/>
              </w:rPr>
              <w:t>。</w:t>
            </w:r>
          </w:p>
          <w:p>
            <w:pPr>
              <w:adjustRightInd w:val="0"/>
              <w:snapToGrid w:val="0"/>
              <w:spacing w:before="203" w:beforeLines="50"/>
              <w:ind w:firstLine="480" w:firstLineChars="200"/>
              <w:jc w:val="center"/>
              <w:rPr>
                <w:rFonts w:eastAsia="黑体"/>
                <w:color w:val="000000" w:themeColor="text1"/>
                <w:sz w:val="24"/>
              </w:rPr>
            </w:pPr>
            <w:r>
              <w:rPr>
                <w:rFonts w:eastAsia="黑体"/>
                <w:color w:val="000000" w:themeColor="text1"/>
                <w:sz w:val="24"/>
              </w:rPr>
              <w:t>表</w:t>
            </w:r>
            <w:r>
              <w:rPr>
                <w:rFonts w:hint="eastAsia" w:eastAsia="黑体"/>
                <w:color w:val="000000" w:themeColor="text1"/>
                <w:sz w:val="24"/>
              </w:rPr>
              <w:t>3</w:t>
            </w:r>
            <w:r>
              <w:rPr>
                <w:rFonts w:eastAsia="黑体"/>
                <w:color w:val="000000" w:themeColor="text1"/>
                <w:sz w:val="24"/>
              </w:rPr>
              <w:t xml:space="preserve">  项目主要材料及动力消耗一览表</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9"/>
              <w:gridCol w:w="2589"/>
              <w:gridCol w:w="1536"/>
              <w:gridCol w:w="1583"/>
              <w:gridCol w:w="1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79" w:type="dxa"/>
                  <w:vAlign w:val="center"/>
                </w:tcPr>
                <w:p>
                  <w:pPr>
                    <w:adjustRightInd w:val="0"/>
                    <w:snapToGrid w:val="0"/>
                    <w:jc w:val="center"/>
                    <w:rPr>
                      <w:color w:val="000000" w:themeColor="text1"/>
                      <w:sz w:val="21"/>
                      <w:szCs w:val="21"/>
                    </w:rPr>
                  </w:pPr>
                  <w:r>
                    <w:rPr>
                      <w:color w:val="000000" w:themeColor="text1"/>
                      <w:sz w:val="21"/>
                      <w:szCs w:val="21"/>
                    </w:rPr>
                    <w:t>序号</w:t>
                  </w:r>
                </w:p>
              </w:tc>
              <w:tc>
                <w:tcPr>
                  <w:tcW w:w="2589" w:type="dxa"/>
                  <w:vAlign w:val="center"/>
                </w:tcPr>
                <w:p>
                  <w:pPr>
                    <w:adjustRightInd w:val="0"/>
                    <w:snapToGrid w:val="0"/>
                    <w:jc w:val="center"/>
                    <w:rPr>
                      <w:color w:val="000000" w:themeColor="text1"/>
                      <w:sz w:val="21"/>
                      <w:szCs w:val="21"/>
                    </w:rPr>
                  </w:pPr>
                  <w:r>
                    <w:rPr>
                      <w:color w:val="000000" w:themeColor="text1"/>
                      <w:sz w:val="21"/>
                      <w:szCs w:val="21"/>
                    </w:rPr>
                    <w:t>名称</w:t>
                  </w:r>
                </w:p>
              </w:tc>
              <w:tc>
                <w:tcPr>
                  <w:tcW w:w="1536" w:type="dxa"/>
                  <w:vAlign w:val="center"/>
                </w:tcPr>
                <w:p>
                  <w:pPr>
                    <w:adjustRightInd w:val="0"/>
                    <w:snapToGrid w:val="0"/>
                    <w:jc w:val="center"/>
                    <w:rPr>
                      <w:color w:val="000000" w:themeColor="text1"/>
                      <w:sz w:val="21"/>
                      <w:szCs w:val="21"/>
                    </w:rPr>
                  </w:pPr>
                  <w:r>
                    <w:rPr>
                      <w:color w:val="000000" w:themeColor="text1"/>
                      <w:sz w:val="21"/>
                      <w:szCs w:val="21"/>
                    </w:rPr>
                    <w:t>单位</w:t>
                  </w:r>
                </w:p>
              </w:tc>
              <w:tc>
                <w:tcPr>
                  <w:tcW w:w="1583" w:type="dxa"/>
                  <w:vAlign w:val="center"/>
                </w:tcPr>
                <w:p>
                  <w:pPr>
                    <w:adjustRightInd w:val="0"/>
                    <w:snapToGrid w:val="0"/>
                    <w:jc w:val="center"/>
                    <w:rPr>
                      <w:color w:val="000000" w:themeColor="text1"/>
                      <w:sz w:val="21"/>
                      <w:szCs w:val="21"/>
                    </w:rPr>
                  </w:pPr>
                  <w:r>
                    <w:rPr>
                      <w:color w:val="000000" w:themeColor="text1"/>
                      <w:sz w:val="21"/>
                      <w:szCs w:val="21"/>
                    </w:rPr>
                    <w:t>年消耗量</w:t>
                  </w:r>
                </w:p>
              </w:tc>
              <w:tc>
                <w:tcPr>
                  <w:tcW w:w="1737" w:type="dxa"/>
                  <w:vAlign w:val="center"/>
                </w:tcPr>
                <w:p>
                  <w:pPr>
                    <w:adjustRightInd w:val="0"/>
                    <w:snapToGrid w:val="0"/>
                    <w:jc w:val="center"/>
                    <w:rPr>
                      <w:color w:val="000000" w:themeColor="text1"/>
                      <w:sz w:val="21"/>
                      <w:szCs w:val="21"/>
                    </w:rPr>
                  </w:pPr>
                  <w:r>
                    <w:rPr>
                      <w:color w:val="000000" w:themeColor="text1"/>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8624" w:type="dxa"/>
                  <w:gridSpan w:val="5"/>
                  <w:vAlign w:val="center"/>
                </w:tcPr>
                <w:p>
                  <w:pPr>
                    <w:adjustRightInd w:val="0"/>
                    <w:snapToGrid w:val="0"/>
                    <w:rPr>
                      <w:color w:val="000000" w:themeColor="text1"/>
                      <w:sz w:val="21"/>
                      <w:szCs w:val="21"/>
                      <w:highlight w:val="yellow"/>
                    </w:rPr>
                  </w:pPr>
                  <w:r>
                    <w:rPr>
                      <w:rFonts w:hint="eastAsia"/>
                      <w:color w:val="000000" w:themeColor="text1"/>
                      <w:sz w:val="21"/>
                      <w:szCs w:val="21"/>
                    </w:rPr>
                    <w:t>一、材料消耗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79" w:type="dxa"/>
                  <w:vAlign w:val="center"/>
                </w:tcPr>
                <w:p>
                  <w:pPr>
                    <w:adjustRightInd w:val="0"/>
                    <w:snapToGrid w:val="0"/>
                    <w:jc w:val="center"/>
                    <w:rPr>
                      <w:color w:val="000000" w:themeColor="text1"/>
                      <w:sz w:val="21"/>
                      <w:szCs w:val="21"/>
                    </w:rPr>
                  </w:pPr>
                  <w:r>
                    <w:rPr>
                      <w:color w:val="000000" w:themeColor="text1"/>
                      <w:sz w:val="21"/>
                      <w:szCs w:val="21"/>
                    </w:rPr>
                    <w:t>1</w:t>
                  </w:r>
                </w:p>
              </w:tc>
              <w:tc>
                <w:tcPr>
                  <w:tcW w:w="2589" w:type="dxa"/>
                  <w:vAlign w:val="center"/>
                </w:tcPr>
                <w:p>
                  <w:pPr>
                    <w:jc w:val="center"/>
                    <w:rPr>
                      <w:color w:val="000000" w:themeColor="text1"/>
                      <w:sz w:val="21"/>
                      <w:szCs w:val="21"/>
                    </w:rPr>
                  </w:pPr>
                  <w:r>
                    <w:rPr>
                      <w:rFonts w:hint="eastAsia"/>
                      <w:color w:val="000000" w:themeColor="text1"/>
                      <w:sz w:val="21"/>
                      <w:szCs w:val="21"/>
                    </w:rPr>
                    <w:t>玻璃原片</w:t>
                  </w:r>
                </w:p>
              </w:tc>
              <w:tc>
                <w:tcPr>
                  <w:tcW w:w="1536" w:type="dxa"/>
                  <w:vAlign w:val="center"/>
                </w:tcPr>
                <w:p>
                  <w:pPr>
                    <w:adjustRightInd w:val="0"/>
                    <w:snapToGrid w:val="0"/>
                    <w:jc w:val="center"/>
                    <w:rPr>
                      <w:color w:val="000000" w:themeColor="text1"/>
                      <w:sz w:val="21"/>
                      <w:szCs w:val="21"/>
                    </w:rPr>
                  </w:pPr>
                  <w:r>
                    <w:rPr>
                      <w:rFonts w:hint="eastAsia"/>
                      <w:color w:val="000000" w:themeColor="text1"/>
                      <w:sz w:val="21"/>
                      <w:szCs w:val="21"/>
                    </w:rPr>
                    <w:t>万m</w:t>
                  </w:r>
                  <w:r>
                    <w:rPr>
                      <w:rFonts w:hint="eastAsia"/>
                      <w:color w:val="000000" w:themeColor="text1"/>
                      <w:sz w:val="21"/>
                      <w:szCs w:val="21"/>
                      <w:vertAlign w:val="superscript"/>
                    </w:rPr>
                    <w:t>2</w:t>
                  </w:r>
                  <w:r>
                    <w:rPr>
                      <w:rFonts w:hint="eastAsia"/>
                      <w:color w:val="000000" w:themeColor="text1"/>
                      <w:sz w:val="21"/>
                      <w:szCs w:val="21"/>
                    </w:rPr>
                    <w:t>/a</w:t>
                  </w:r>
                </w:p>
              </w:tc>
              <w:tc>
                <w:tcPr>
                  <w:tcW w:w="1583" w:type="dxa"/>
                  <w:vAlign w:val="center"/>
                </w:tcPr>
                <w:p>
                  <w:pPr>
                    <w:adjustRightInd w:val="0"/>
                    <w:snapToGrid w:val="0"/>
                    <w:jc w:val="center"/>
                    <w:rPr>
                      <w:color w:val="000000" w:themeColor="text1"/>
                      <w:sz w:val="21"/>
                      <w:szCs w:val="21"/>
                    </w:rPr>
                  </w:pPr>
                  <w:r>
                    <w:rPr>
                      <w:rFonts w:hint="eastAsia"/>
                      <w:color w:val="000000" w:themeColor="text1"/>
                      <w:sz w:val="21"/>
                      <w:szCs w:val="21"/>
                    </w:rPr>
                    <w:t>7.0</w:t>
                  </w:r>
                </w:p>
              </w:tc>
              <w:tc>
                <w:tcPr>
                  <w:tcW w:w="1737" w:type="dxa"/>
                  <w:vAlign w:val="center"/>
                </w:tcPr>
                <w:p>
                  <w:pPr>
                    <w:jc w:val="center"/>
                    <w:rPr>
                      <w:rFonts w:hAnsi="宋体"/>
                      <w:color w:val="000000" w:themeColor="text1"/>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79" w:type="dxa"/>
                  <w:vAlign w:val="center"/>
                </w:tcPr>
                <w:p>
                  <w:pPr>
                    <w:adjustRightInd w:val="0"/>
                    <w:snapToGrid w:val="0"/>
                    <w:jc w:val="center"/>
                    <w:rPr>
                      <w:color w:val="000000" w:themeColor="text1"/>
                      <w:sz w:val="21"/>
                      <w:szCs w:val="21"/>
                    </w:rPr>
                  </w:pPr>
                  <w:r>
                    <w:rPr>
                      <w:rFonts w:hint="eastAsia"/>
                      <w:color w:val="000000" w:themeColor="text1"/>
                      <w:sz w:val="21"/>
                      <w:szCs w:val="21"/>
                    </w:rPr>
                    <w:t>2</w:t>
                  </w:r>
                </w:p>
              </w:tc>
              <w:tc>
                <w:tcPr>
                  <w:tcW w:w="2589" w:type="dxa"/>
                  <w:vAlign w:val="center"/>
                </w:tcPr>
                <w:p>
                  <w:pPr>
                    <w:jc w:val="center"/>
                    <w:rPr>
                      <w:color w:val="000000" w:themeColor="text1"/>
                      <w:sz w:val="21"/>
                      <w:szCs w:val="21"/>
                    </w:rPr>
                  </w:pPr>
                  <w:r>
                    <w:rPr>
                      <w:rFonts w:hint="eastAsia"/>
                      <w:color w:val="000000" w:themeColor="text1"/>
                      <w:sz w:val="21"/>
                      <w:szCs w:val="21"/>
                    </w:rPr>
                    <w:t>硅酮密封胶</w:t>
                  </w:r>
                </w:p>
              </w:tc>
              <w:tc>
                <w:tcPr>
                  <w:tcW w:w="1536" w:type="dxa"/>
                  <w:vAlign w:val="center"/>
                </w:tcPr>
                <w:p>
                  <w:pPr>
                    <w:adjustRightInd w:val="0"/>
                    <w:snapToGrid w:val="0"/>
                    <w:jc w:val="center"/>
                    <w:rPr>
                      <w:color w:val="000000" w:themeColor="text1"/>
                      <w:sz w:val="21"/>
                      <w:szCs w:val="21"/>
                    </w:rPr>
                  </w:pPr>
                  <w:r>
                    <w:rPr>
                      <w:rFonts w:hint="eastAsia"/>
                      <w:color w:val="000000" w:themeColor="text1"/>
                      <w:sz w:val="21"/>
                      <w:szCs w:val="21"/>
                    </w:rPr>
                    <w:t>t/a</w:t>
                  </w:r>
                </w:p>
              </w:tc>
              <w:tc>
                <w:tcPr>
                  <w:tcW w:w="1583" w:type="dxa"/>
                  <w:vAlign w:val="center"/>
                </w:tcPr>
                <w:p>
                  <w:pPr>
                    <w:adjustRightInd w:val="0"/>
                    <w:snapToGrid w:val="0"/>
                    <w:jc w:val="center"/>
                    <w:rPr>
                      <w:color w:val="000000" w:themeColor="text1"/>
                      <w:sz w:val="21"/>
                      <w:szCs w:val="21"/>
                    </w:rPr>
                  </w:pPr>
                  <w:r>
                    <w:rPr>
                      <w:rFonts w:hint="eastAsia"/>
                      <w:color w:val="000000" w:themeColor="text1"/>
                      <w:sz w:val="21"/>
                      <w:szCs w:val="21"/>
                    </w:rPr>
                    <w:t>2.4</w:t>
                  </w:r>
                </w:p>
              </w:tc>
              <w:tc>
                <w:tcPr>
                  <w:tcW w:w="1737" w:type="dxa"/>
                  <w:vAlign w:val="center"/>
                </w:tcPr>
                <w:p>
                  <w:pPr>
                    <w:jc w:val="center"/>
                    <w:rPr>
                      <w:rFonts w:hAnsi="宋体"/>
                      <w:color w:val="000000" w:themeColor="text1"/>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79" w:type="dxa"/>
                  <w:vAlign w:val="center"/>
                </w:tcPr>
                <w:p>
                  <w:pPr>
                    <w:adjustRightInd w:val="0"/>
                    <w:snapToGrid w:val="0"/>
                    <w:jc w:val="center"/>
                    <w:rPr>
                      <w:color w:val="000000" w:themeColor="text1"/>
                      <w:sz w:val="21"/>
                      <w:szCs w:val="21"/>
                    </w:rPr>
                  </w:pPr>
                  <w:r>
                    <w:rPr>
                      <w:rFonts w:hint="eastAsia"/>
                      <w:color w:val="000000" w:themeColor="text1"/>
                      <w:sz w:val="21"/>
                      <w:szCs w:val="21"/>
                    </w:rPr>
                    <w:t>3</w:t>
                  </w:r>
                </w:p>
              </w:tc>
              <w:tc>
                <w:tcPr>
                  <w:tcW w:w="2589" w:type="dxa"/>
                  <w:vAlign w:val="center"/>
                </w:tcPr>
                <w:p>
                  <w:pPr>
                    <w:jc w:val="center"/>
                    <w:rPr>
                      <w:color w:val="000000" w:themeColor="text1"/>
                      <w:sz w:val="21"/>
                      <w:szCs w:val="21"/>
                    </w:rPr>
                  </w:pPr>
                  <w:r>
                    <w:rPr>
                      <w:rFonts w:hint="eastAsia"/>
                      <w:color w:val="000000" w:themeColor="text1"/>
                      <w:sz w:val="21"/>
                      <w:szCs w:val="21"/>
                    </w:rPr>
                    <w:t>丁基胶</w:t>
                  </w:r>
                </w:p>
              </w:tc>
              <w:tc>
                <w:tcPr>
                  <w:tcW w:w="1536" w:type="dxa"/>
                  <w:vAlign w:val="center"/>
                </w:tcPr>
                <w:p>
                  <w:pPr>
                    <w:adjustRightInd w:val="0"/>
                    <w:snapToGrid w:val="0"/>
                    <w:jc w:val="center"/>
                    <w:rPr>
                      <w:color w:val="000000" w:themeColor="text1"/>
                      <w:sz w:val="21"/>
                      <w:szCs w:val="21"/>
                    </w:rPr>
                  </w:pPr>
                  <w:r>
                    <w:rPr>
                      <w:color w:val="000000" w:themeColor="text1"/>
                      <w:sz w:val="21"/>
                      <w:szCs w:val="21"/>
                    </w:rPr>
                    <w:t>t/a</w:t>
                  </w:r>
                </w:p>
              </w:tc>
              <w:tc>
                <w:tcPr>
                  <w:tcW w:w="1583" w:type="dxa"/>
                  <w:vAlign w:val="center"/>
                </w:tcPr>
                <w:p>
                  <w:pPr>
                    <w:adjustRightInd w:val="0"/>
                    <w:snapToGrid w:val="0"/>
                    <w:jc w:val="center"/>
                    <w:rPr>
                      <w:color w:val="000000" w:themeColor="text1"/>
                      <w:sz w:val="21"/>
                      <w:szCs w:val="21"/>
                    </w:rPr>
                  </w:pPr>
                  <w:r>
                    <w:rPr>
                      <w:rFonts w:hint="eastAsia"/>
                      <w:color w:val="000000" w:themeColor="text1"/>
                      <w:sz w:val="21"/>
                      <w:szCs w:val="21"/>
                    </w:rPr>
                    <w:t>0.6</w:t>
                  </w:r>
                </w:p>
              </w:tc>
              <w:tc>
                <w:tcPr>
                  <w:tcW w:w="1737" w:type="dxa"/>
                  <w:vAlign w:val="center"/>
                </w:tcPr>
                <w:p>
                  <w:pPr>
                    <w:jc w:val="center"/>
                    <w:rPr>
                      <w:rFonts w:hAnsi="宋体"/>
                      <w:color w:val="000000" w:themeColor="text1"/>
                      <w:kern w:val="0"/>
                      <w:sz w:val="21"/>
                      <w:szCs w:val="21"/>
                    </w:rPr>
                  </w:pPr>
                  <w:r>
                    <w:rPr>
                      <w:rFonts w:hint="eastAsia" w:hAnsi="宋体"/>
                      <w:color w:val="000000" w:themeColor="text1"/>
                      <w:kern w:val="0"/>
                      <w:sz w:val="21"/>
                      <w:szCs w:val="21"/>
                    </w:rPr>
                    <w:t>固态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79" w:type="dxa"/>
                  <w:vAlign w:val="center"/>
                </w:tcPr>
                <w:p>
                  <w:pPr>
                    <w:adjustRightInd w:val="0"/>
                    <w:snapToGrid w:val="0"/>
                    <w:jc w:val="center"/>
                    <w:rPr>
                      <w:color w:val="000000" w:themeColor="text1"/>
                      <w:sz w:val="21"/>
                      <w:szCs w:val="21"/>
                    </w:rPr>
                  </w:pPr>
                  <w:r>
                    <w:rPr>
                      <w:rFonts w:hint="eastAsia"/>
                      <w:color w:val="000000" w:themeColor="text1"/>
                      <w:sz w:val="21"/>
                      <w:szCs w:val="21"/>
                    </w:rPr>
                    <w:t>4</w:t>
                  </w:r>
                </w:p>
              </w:tc>
              <w:tc>
                <w:tcPr>
                  <w:tcW w:w="2589" w:type="dxa"/>
                  <w:vAlign w:val="center"/>
                </w:tcPr>
                <w:p>
                  <w:pPr>
                    <w:jc w:val="center"/>
                    <w:rPr>
                      <w:color w:val="000000" w:themeColor="text1"/>
                      <w:sz w:val="21"/>
                      <w:szCs w:val="21"/>
                    </w:rPr>
                  </w:pPr>
                  <w:r>
                    <w:rPr>
                      <w:rFonts w:hint="eastAsia"/>
                      <w:color w:val="000000" w:themeColor="text1"/>
                      <w:sz w:val="21"/>
                      <w:szCs w:val="21"/>
                    </w:rPr>
                    <w:t>铝条</w:t>
                  </w:r>
                </w:p>
              </w:tc>
              <w:tc>
                <w:tcPr>
                  <w:tcW w:w="1536" w:type="dxa"/>
                  <w:vAlign w:val="center"/>
                </w:tcPr>
                <w:p>
                  <w:pPr>
                    <w:adjustRightInd w:val="0"/>
                    <w:snapToGrid w:val="0"/>
                    <w:jc w:val="center"/>
                    <w:rPr>
                      <w:color w:val="000000" w:themeColor="text1"/>
                      <w:sz w:val="21"/>
                      <w:szCs w:val="21"/>
                    </w:rPr>
                  </w:pPr>
                  <w:r>
                    <w:rPr>
                      <w:rFonts w:hint="eastAsia"/>
                      <w:color w:val="000000" w:themeColor="text1"/>
                      <w:sz w:val="21"/>
                      <w:szCs w:val="21"/>
                    </w:rPr>
                    <w:t>万m/a</w:t>
                  </w:r>
                </w:p>
              </w:tc>
              <w:tc>
                <w:tcPr>
                  <w:tcW w:w="1583" w:type="dxa"/>
                  <w:vAlign w:val="center"/>
                </w:tcPr>
                <w:p>
                  <w:pPr>
                    <w:adjustRightInd w:val="0"/>
                    <w:snapToGrid w:val="0"/>
                    <w:jc w:val="center"/>
                    <w:rPr>
                      <w:color w:val="000000" w:themeColor="text1"/>
                      <w:sz w:val="21"/>
                      <w:szCs w:val="21"/>
                    </w:rPr>
                  </w:pPr>
                  <w:r>
                    <w:rPr>
                      <w:rFonts w:hint="eastAsia"/>
                      <w:color w:val="000000" w:themeColor="text1"/>
                      <w:sz w:val="21"/>
                      <w:szCs w:val="21"/>
                    </w:rPr>
                    <w:t>120</w:t>
                  </w:r>
                </w:p>
              </w:tc>
              <w:tc>
                <w:tcPr>
                  <w:tcW w:w="1737" w:type="dxa"/>
                  <w:vAlign w:val="center"/>
                </w:tcPr>
                <w:p>
                  <w:pPr>
                    <w:jc w:val="center"/>
                    <w:rPr>
                      <w:rFonts w:hAnsi="宋体"/>
                      <w:color w:val="000000" w:themeColor="text1"/>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79" w:type="dxa"/>
                  <w:vAlign w:val="center"/>
                </w:tcPr>
                <w:p>
                  <w:pPr>
                    <w:adjustRightInd w:val="0"/>
                    <w:snapToGrid w:val="0"/>
                    <w:jc w:val="center"/>
                    <w:rPr>
                      <w:color w:val="000000" w:themeColor="text1"/>
                      <w:sz w:val="21"/>
                      <w:szCs w:val="21"/>
                    </w:rPr>
                  </w:pPr>
                  <w:r>
                    <w:rPr>
                      <w:rFonts w:hint="eastAsia"/>
                      <w:color w:val="000000" w:themeColor="text1"/>
                      <w:sz w:val="21"/>
                      <w:szCs w:val="21"/>
                    </w:rPr>
                    <w:t>5</w:t>
                  </w:r>
                </w:p>
              </w:tc>
              <w:tc>
                <w:tcPr>
                  <w:tcW w:w="2589" w:type="dxa"/>
                  <w:vAlign w:val="center"/>
                </w:tcPr>
                <w:p>
                  <w:pPr>
                    <w:jc w:val="center"/>
                    <w:rPr>
                      <w:color w:val="000000" w:themeColor="text1"/>
                      <w:sz w:val="21"/>
                      <w:szCs w:val="21"/>
                    </w:rPr>
                  </w:pPr>
                  <w:r>
                    <w:rPr>
                      <w:rFonts w:hint="eastAsia"/>
                      <w:color w:val="000000" w:themeColor="text1"/>
                      <w:sz w:val="21"/>
                      <w:szCs w:val="21"/>
                    </w:rPr>
                    <w:t>分子筛干燥剂</w:t>
                  </w:r>
                </w:p>
              </w:tc>
              <w:tc>
                <w:tcPr>
                  <w:tcW w:w="1536" w:type="dxa"/>
                  <w:vAlign w:val="center"/>
                </w:tcPr>
                <w:p>
                  <w:pPr>
                    <w:jc w:val="center"/>
                    <w:rPr>
                      <w:color w:val="000000" w:themeColor="text1"/>
                      <w:sz w:val="21"/>
                      <w:szCs w:val="21"/>
                    </w:rPr>
                  </w:pPr>
                  <w:r>
                    <w:rPr>
                      <w:color w:val="000000" w:themeColor="text1"/>
                      <w:sz w:val="21"/>
                      <w:szCs w:val="21"/>
                    </w:rPr>
                    <w:t>t/a</w:t>
                  </w:r>
                </w:p>
              </w:tc>
              <w:tc>
                <w:tcPr>
                  <w:tcW w:w="1583" w:type="dxa"/>
                  <w:vAlign w:val="center"/>
                </w:tcPr>
                <w:p>
                  <w:pPr>
                    <w:adjustRightInd w:val="0"/>
                    <w:snapToGrid w:val="0"/>
                    <w:jc w:val="center"/>
                    <w:rPr>
                      <w:color w:val="000000" w:themeColor="text1"/>
                      <w:sz w:val="21"/>
                      <w:szCs w:val="21"/>
                    </w:rPr>
                  </w:pPr>
                  <w:r>
                    <w:rPr>
                      <w:rFonts w:hint="eastAsia"/>
                      <w:color w:val="000000" w:themeColor="text1"/>
                      <w:sz w:val="21"/>
                      <w:szCs w:val="21"/>
                    </w:rPr>
                    <w:t>0.5</w:t>
                  </w:r>
                </w:p>
              </w:tc>
              <w:tc>
                <w:tcPr>
                  <w:tcW w:w="1737" w:type="dxa"/>
                  <w:vAlign w:val="center"/>
                </w:tcPr>
                <w:p>
                  <w:pPr>
                    <w:jc w:val="center"/>
                    <w:rPr>
                      <w:rFonts w:hAnsi="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8624" w:type="dxa"/>
                  <w:gridSpan w:val="5"/>
                  <w:tcBorders>
                    <w:top w:val="single" w:color="auto" w:sz="2" w:space="0"/>
                  </w:tcBorders>
                  <w:vAlign w:val="center"/>
                </w:tcPr>
                <w:p>
                  <w:pPr>
                    <w:adjustRightInd w:val="0"/>
                    <w:snapToGrid w:val="0"/>
                    <w:rPr>
                      <w:color w:val="000000" w:themeColor="text1"/>
                      <w:sz w:val="21"/>
                      <w:szCs w:val="21"/>
                    </w:rPr>
                  </w:pPr>
                  <w:r>
                    <w:rPr>
                      <w:rFonts w:hint="eastAsia"/>
                      <w:color w:val="000000" w:themeColor="text1"/>
                      <w:sz w:val="21"/>
                      <w:szCs w:val="21"/>
                    </w:rPr>
                    <w:t>二</w:t>
                  </w:r>
                  <w:r>
                    <w:rPr>
                      <w:color w:val="000000" w:themeColor="text1"/>
                      <w:sz w:val="21"/>
                      <w:szCs w:val="21"/>
                    </w:rPr>
                    <w:t>、动力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79" w:type="dxa"/>
                  <w:vAlign w:val="center"/>
                </w:tcPr>
                <w:p>
                  <w:pPr>
                    <w:adjustRightInd w:val="0"/>
                    <w:snapToGrid w:val="0"/>
                    <w:jc w:val="center"/>
                    <w:rPr>
                      <w:color w:val="000000" w:themeColor="text1"/>
                      <w:sz w:val="21"/>
                      <w:szCs w:val="21"/>
                    </w:rPr>
                  </w:pPr>
                  <w:r>
                    <w:rPr>
                      <w:color w:val="000000" w:themeColor="text1"/>
                      <w:sz w:val="21"/>
                      <w:szCs w:val="21"/>
                    </w:rPr>
                    <w:t>1</w:t>
                  </w:r>
                </w:p>
              </w:tc>
              <w:tc>
                <w:tcPr>
                  <w:tcW w:w="2589" w:type="dxa"/>
                  <w:vAlign w:val="center"/>
                </w:tcPr>
                <w:p>
                  <w:pPr>
                    <w:adjustRightInd w:val="0"/>
                    <w:snapToGrid w:val="0"/>
                    <w:jc w:val="center"/>
                    <w:rPr>
                      <w:sz w:val="21"/>
                      <w:szCs w:val="21"/>
                    </w:rPr>
                  </w:pPr>
                  <w:r>
                    <w:rPr>
                      <w:sz w:val="21"/>
                      <w:szCs w:val="21"/>
                    </w:rPr>
                    <w:t>水</w:t>
                  </w:r>
                </w:p>
              </w:tc>
              <w:tc>
                <w:tcPr>
                  <w:tcW w:w="1536" w:type="dxa"/>
                  <w:vAlign w:val="center"/>
                </w:tcPr>
                <w:p>
                  <w:pPr>
                    <w:adjustRightInd w:val="0"/>
                    <w:snapToGrid w:val="0"/>
                    <w:jc w:val="center"/>
                    <w:rPr>
                      <w:sz w:val="21"/>
                      <w:szCs w:val="21"/>
                    </w:rPr>
                  </w:pPr>
                  <w:r>
                    <w:rPr>
                      <w:sz w:val="21"/>
                      <w:szCs w:val="21"/>
                    </w:rPr>
                    <w:t>m</w:t>
                  </w:r>
                  <w:r>
                    <w:rPr>
                      <w:sz w:val="21"/>
                      <w:szCs w:val="21"/>
                      <w:vertAlign w:val="superscript"/>
                    </w:rPr>
                    <w:t>3</w:t>
                  </w:r>
                  <w:r>
                    <w:rPr>
                      <w:sz w:val="21"/>
                      <w:szCs w:val="21"/>
                    </w:rPr>
                    <w:t>/a</w:t>
                  </w:r>
                </w:p>
              </w:tc>
              <w:tc>
                <w:tcPr>
                  <w:tcW w:w="1583" w:type="dxa"/>
                  <w:vAlign w:val="center"/>
                </w:tcPr>
                <w:p>
                  <w:pPr>
                    <w:adjustRightInd w:val="0"/>
                    <w:snapToGrid w:val="0"/>
                    <w:jc w:val="center"/>
                    <w:rPr>
                      <w:sz w:val="21"/>
                      <w:szCs w:val="21"/>
                    </w:rPr>
                  </w:pPr>
                  <w:r>
                    <w:rPr>
                      <w:rFonts w:hint="eastAsia"/>
                      <w:sz w:val="21"/>
                      <w:szCs w:val="21"/>
                    </w:rPr>
                    <w:t>700</w:t>
                  </w:r>
                </w:p>
              </w:tc>
              <w:tc>
                <w:tcPr>
                  <w:tcW w:w="1737" w:type="dxa"/>
                  <w:vAlign w:val="center"/>
                </w:tcPr>
                <w:p>
                  <w:pPr>
                    <w:adjustRightInd w:val="0"/>
                    <w:snapToGrid w:val="0"/>
                    <w:jc w:val="center"/>
                    <w:rPr>
                      <w:color w:val="0070C0"/>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1179" w:type="dxa"/>
                  <w:vAlign w:val="center"/>
                </w:tcPr>
                <w:p>
                  <w:pPr>
                    <w:adjustRightInd w:val="0"/>
                    <w:snapToGrid w:val="0"/>
                    <w:jc w:val="center"/>
                    <w:rPr>
                      <w:color w:val="000000" w:themeColor="text1"/>
                      <w:sz w:val="21"/>
                      <w:szCs w:val="21"/>
                    </w:rPr>
                  </w:pPr>
                  <w:r>
                    <w:rPr>
                      <w:color w:val="000000" w:themeColor="text1"/>
                      <w:sz w:val="21"/>
                      <w:szCs w:val="21"/>
                    </w:rPr>
                    <w:t>2</w:t>
                  </w:r>
                </w:p>
              </w:tc>
              <w:tc>
                <w:tcPr>
                  <w:tcW w:w="2589" w:type="dxa"/>
                  <w:vAlign w:val="center"/>
                </w:tcPr>
                <w:p>
                  <w:pPr>
                    <w:adjustRightInd w:val="0"/>
                    <w:snapToGrid w:val="0"/>
                    <w:jc w:val="center"/>
                    <w:rPr>
                      <w:sz w:val="21"/>
                      <w:szCs w:val="21"/>
                    </w:rPr>
                  </w:pPr>
                  <w:r>
                    <w:rPr>
                      <w:sz w:val="21"/>
                      <w:szCs w:val="21"/>
                    </w:rPr>
                    <w:t>电</w:t>
                  </w:r>
                </w:p>
              </w:tc>
              <w:tc>
                <w:tcPr>
                  <w:tcW w:w="1536" w:type="dxa"/>
                  <w:vAlign w:val="center"/>
                </w:tcPr>
                <w:p>
                  <w:pPr>
                    <w:adjustRightInd w:val="0"/>
                    <w:snapToGrid w:val="0"/>
                    <w:jc w:val="center"/>
                    <w:rPr>
                      <w:sz w:val="21"/>
                      <w:szCs w:val="21"/>
                    </w:rPr>
                  </w:pPr>
                  <w:r>
                    <w:rPr>
                      <w:rFonts w:hint="eastAsia"/>
                      <w:sz w:val="21"/>
                      <w:szCs w:val="21"/>
                    </w:rPr>
                    <w:t>万</w:t>
                  </w:r>
                  <w:r>
                    <w:rPr>
                      <w:sz w:val="21"/>
                      <w:szCs w:val="21"/>
                    </w:rPr>
                    <w:t>Kw·h/a</w:t>
                  </w:r>
                </w:p>
              </w:tc>
              <w:tc>
                <w:tcPr>
                  <w:tcW w:w="1583" w:type="dxa"/>
                  <w:vAlign w:val="center"/>
                </w:tcPr>
                <w:p>
                  <w:pPr>
                    <w:adjustRightInd w:val="0"/>
                    <w:snapToGrid w:val="0"/>
                    <w:jc w:val="center"/>
                    <w:rPr>
                      <w:sz w:val="21"/>
                      <w:szCs w:val="21"/>
                    </w:rPr>
                  </w:pPr>
                  <w:r>
                    <w:rPr>
                      <w:rFonts w:hint="eastAsia"/>
                      <w:sz w:val="21"/>
                      <w:szCs w:val="21"/>
                    </w:rPr>
                    <w:t>30</w:t>
                  </w:r>
                </w:p>
              </w:tc>
              <w:tc>
                <w:tcPr>
                  <w:tcW w:w="1737" w:type="dxa"/>
                  <w:vAlign w:val="center"/>
                </w:tcPr>
                <w:p>
                  <w:pPr>
                    <w:adjustRightInd w:val="0"/>
                    <w:snapToGrid w:val="0"/>
                    <w:jc w:val="center"/>
                    <w:rPr>
                      <w:color w:val="0070C0"/>
                      <w:sz w:val="21"/>
                      <w:szCs w:val="21"/>
                    </w:rPr>
                  </w:pPr>
                </w:p>
              </w:tc>
            </w:tr>
          </w:tbl>
          <w:p>
            <w:pPr>
              <w:pStyle w:val="61"/>
              <w:shd w:val="clear" w:color="auto" w:fill="auto"/>
              <w:spacing w:before="0" w:line="360" w:lineRule="auto"/>
              <w:ind w:left="20"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项目主要原辅材料理化性质见表4。</w:t>
            </w:r>
          </w:p>
          <w:p>
            <w:pPr>
              <w:jc w:val="center"/>
              <w:rPr>
                <w:rFonts w:eastAsia="黑体"/>
                <w:sz w:val="24"/>
                <w:szCs w:val="24"/>
              </w:rPr>
            </w:pPr>
            <w:r>
              <w:rPr>
                <w:rFonts w:eastAsia="黑体"/>
                <w:sz w:val="24"/>
                <w:szCs w:val="24"/>
              </w:rPr>
              <w:t>表</w:t>
            </w:r>
            <w:r>
              <w:rPr>
                <w:rFonts w:hint="eastAsia" w:eastAsia="黑体"/>
                <w:sz w:val="24"/>
                <w:szCs w:val="24"/>
              </w:rPr>
              <w:t>4</w:t>
            </w:r>
            <w:r>
              <w:rPr>
                <w:rFonts w:eastAsia="黑体"/>
                <w:sz w:val="24"/>
                <w:szCs w:val="24"/>
              </w:rPr>
              <w:t xml:space="preserve">  </w:t>
            </w:r>
            <w:r>
              <w:rPr>
                <w:rFonts w:hint="eastAsia" w:eastAsia="黑体"/>
                <w:sz w:val="24"/>
                <w:szCs w:val="24"/>
              </w:rPr>
              <w:t>主要原辅材料理化性质一览表</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2"/>
              <w:gridCol w:w="4796"/>
              <w:gridCol w:w="3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2" w:type="dxa"/>
                  <w:vAlign w:val="center"/>
                </w:tcPr>
                <w:p>
                  <w:pPr>
                    <w:widowControl/>
                    <w:jc w:val="center"/>
                    <w:rPr>
                      <w:sz w:val="18"/>
                      <w:szCs w:val="18"/>
                    </w:rPr>
                  </w:pPr>
                  <w:r>
                    <w:rPr>
                      <w:sz w:val="18"/>
                      <w:szCs w:val="18"/>
                    </w:rPr>
                    <w:t>名称</w:t>
                  </w:r>
                </w:p>
              </w:tc>
              <w:tc>
                <w:tcPr>
                  <w:tcW w:w="4796" w:type="dxa"/>
                  <w:shd w:val="clear" w:color="auto" w:fill="auto"/>
                  <w:vAlign w:val="center"/>
                </w:tcPr>
                <w:p>
                  <w:pPr>
                    <w:widowControl/>
                    <w:jc w:val="center"/>
                    <w:rPr>
                      <w:sz w:val="18"/>
                      <w:szCs w:val="18"/>
                    </w:rPr>
                  </w:pPr>
                  <w:r>
                    <w:rPr>
                      <w:rFonts w:hint="eastAsia"/>
                      <w:sz w:val="18"/>
                      <w:szCs w:val="18"/>
                    </w:rPr>
                    <w:t>理化性质</w:t>
                  </w:r>
                </w:p>
              </w:tc>
              <w:tc>
                <w:tcPr>
                  <w:tcW w:w="3010" w:type="dxa"/>
                  <w:shd w:val="clear" w:color="auto" w:fill="auto"/>
                  <w:vAlign w:val="center"/>
                </w:tcPr>
                <w:p>
                  <w:pPr>
                    <w:widowControl/>
                    <w:jc w:val="center"/>
                    <w:rPr>
                      <w:sz w:val="18"/>
                      <w:szCs w:val="18"/>
                    </w:rPr>
                  </w:pPr>
                  <w:r>
                    <w:rPr>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2" w:type="dxa"/>
                  <w:vAlign w:val="center"/>
                </w:tcPr>
                <w:p>
                  <w:pPr>
                    <w:widowControl/>
                    <w:jc w:val="center"/>
                    <w:rPr>
                      <w:sz w:val="18"/>
                      <w:szCs w:val="18"/>
                    </w:rPr>
                  </w:pPr>
                  <w:r>
                    <w:rPr>
                      <w:rFonts w:hint="eastAsia"/>
                      <w:sz w:val="18"/>
                      <w:szCs w:val="18"/>
                    </w:rPr>
                    <w:t>硅酮密封胶</w:t>
                  </w:r>
                </w:p>
              </w:tc>
              <w:tc>
                <w:tcPr>
                  <w:tcW w:w="4796" w:type="dxa"/>
                  <w:shd w:val="clear" w:color="auto" w:fill="auto"/>
                  <w:vAlign w:val="center"/>
                </w:tcPr>
                <w:p>
                  <w:pPr>
                    <w:widowControl/>
                    <w:jc w:val="left"/>
                    <w:rPr>
                      <w:sz w:val="18"/>
                      <w:szCs w:val="18"/>
                    </w:rPr>
                  </w:pPr>
                  <w:r>
                    <w:rPr>
                      <w:rFonts w:hint="eastAsia"/>
                      <w:sz w:val="18"/>
                      <w:szCs w:val="18"/>
                    </w:rPr>
                    <w:t>颜色：透明、瓷白、红色、灰色、黑色等等；性状：膏状；比重： 约1.2g/ml；干时间：约15min；固化时间：约2 至3d ；硬度：38； 抗拉强度：3Mpa；剥离强度：7Mpa 绝缘强度：20KV/mm。主要成分为有机羟基硅酮、有机甲基硅酮、甲基硅烷、二氧化硅、碳酸钙、二丁基二月硅酸锡、氨基硅烷。</w:t>
                  </w:r>
                </w:p>
              </w:tc>
              <w:tc>
                <w:tcPr>
                  <w:tcW w:w="3010" w:type="dxa"/>
                  <w:shd w:val="clear" w:color="auto" w:fill="auto"/>
                  <w:vAlign w:val="center"/>
                </w:tcPr>
                <w:p>
                  <w:pPr>
                    <w:widowControl/>
                    <w:jc w:val="center"/>
                    <w:rPr>
                      <w:sz w:val="18"/>
                      <w:szCs w:val="18"/>
                    </w:rPr>
                  </w:pPr>
                  <w:r>
                    <w:rPr>
                      <w:rFonts w:hint="eastAsia"/>
                      <w:sz w:val="18"/>
                      <w:szCs w:val="18"/>
                    </w:rPr>
                    <w:t>根据</w:t>
                  </w:r>
                  <w:r>
                    <w:rPr>
                      <w:sz w:val="18"/>
                      <w:szCs w:val="18"/>
                    </w:rPr>
                    <w:t>《中空玻璃用弹性密封胶》（JC/T486-2001）</w:t>
                  </w:r>
                  <w:r>
                    <w:rPr>
                      <w:rFonts w:hint="eastAsia"/>
                      <w:sz w:val="18"/>
                      <w:szCs w:val="18"/>
                    </w:rPr>
                    <w:t>和《中空玻璃用硅酮结构密封胶》（</w:t>
                  </w:r>
                  <w:r>
                    <w:rPr>
                      <w:sz w:val="18"/>
                      <w:szCs w:val="18"/>
                    </w:rPr>
                    <w:t>GB24266-2009）</w:t>
                  </w:r>
                  <w:r>
                    <w:rPr>
                      <w:rFonts w:hint="eastAsia"/>
                      <w:sz w:val="18"/>
                      <w:szCs w:val="18"/>
                    </w:rPr>
                    <w:t>，</w:t>
                  </w:r>
                  <w:r>
                    <w:rPr>
                      <w:sz w:val="18"/>
                      <w:szCs w:val="18"/>
                    </w:rPr>
                    <w:t>硅酮类密封胶固化损失量</w:t>
                  </w:r>
                  <w:r>
                    <w:rPr>
                      <w:rFonts w:hint="eastAsia"/>
                      <w:sz w:val="18"/>
                      <w:szCs w:val="18"/>
                    </w:rPr>
                    <w:t>≤</w:t>
                  </w:r>
                  <w:r>
                    <w:rPr>
                      <w:sz w:val="18"/>
                      <w:szCs w:val="18"/>
                    </w:rPr>
                    <w:t>6%</w:t>
                  </w:r>
                  <w:r>
                    <w:rPr>
                      <w:rFonts w:hint="eastAsia"/>
                      <w:sz w:val="18"/>
                      <w:szCs w:val="18"/>
                    </w:rPr>
                    <w:t>。本项目</w:t>
                  </w:r>
                  <w:r>
                    <w:rPr>
                      <w:sz w:val="18"/>
                      <w:szCs w:val="18"/>
                    </w:rPr>
                    <w:t>考虑最不利影响，</w:t>
                  </w:r>
                  <w:r>
                    <w:rPr>
                      <w:rFonts w:hint="eastAsia"/>
                      <w:sz w:val="18"/>
                      <w:szCs w:val="18"/>
                    </w:rPr>
                    <w:t>VOCs挥发按6%计。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2" w:type="dxa"/>
                  <w:vAlign w:val="center"/>
                </w:tcPr>
                <w:p>
                  <w:pPr>
                    <w:widowControl/>
                    <w:jc w:val="center"/>
                    <w:rPr>
                      <w:sz w:val="18"/>
                      <w:szCs w:val="18"/>
                    </w:rPr>
                  </w:pPr>
                  <w:r>
                    <w:rPr>
                      <w:rFonts w:hint="eastAsia"/>
                      <w:sz w:val="18"/>
                      <w:szCs w:val="18"/>
                    </w:rPr>
                    <w:t>分子筛干燥剂</w:t>
                  </w:r>
                </w:p>
              </w:tc>
              <w:tc>
                <w:tcPr>
                  <w:tcW w:w="4796" w:type="dxa"/>
                  <w:shd w:val="clear" w:color="auto" w:fill="auto"/>
                  <w:vAlign w:val="center"/>
                </w:tcPr>
                <w:p>
                  <w:pPr>
                    <w:widowControl/>
                    <w:jc w:val="left"/>
                    <w:rPr>
                      <w:sz w:val="18"/>
                      <w:szCs w:val="18"/>
                    </w:rPr>
                  </w:pPr>
                  <w:r>
                    <w:rPr>
                      <w:rFonts w:hint="eastAsia"/>
                      <w:sz w:val="18"/>
                      <w:szCs w:val="18"/>
                    </w:rPr>
                    <w:t>硅酸盐化合物，化学式2/3K</w:t>
                  </w:r>
                  <w:r>
                    <w:rPr>
                      <w:rFonts w:hint="eastAsia"/>
                      <w:sz w:val="18"/>
                      <w:szCs w:val="18"/>
                      <w:vertAlign w:val="subscript"/>
                    </w:rPr>
                    <w:t>2</w:t>
                  </w:r>
                  <w:r>
                    <w:rPr>
                      <w:rFonts w:hint="eastAsia"/>
                      <w:sz w:val="18"/>
                      <w:szCs w:val="18"/>
                    </w:rPr>
                    <w:t>O·1/3Na</w:t>
                  </w:r>
                  <w:r>
                    <w:rPr>
                      <w:rFonts w:hint="eastAsia"/>
                      <w:sz w:val="18"/>
                      <w:szCs w:val="18"/>
                      <w:vertAlign w:val="subscript"/>
                    </w:rPr>
                    <w:t>2</w:t>
                  </w:r>
                  <w:r>
                    <w:rPr>
                      <w:rFonts w:hint="eastAsia"/>
                      <w:sz w:val="18"/>
                      <w:szCs w:val="18"/>
                    </w:rPr>
                    <w:t>O·AI</w:t>
                  </w:r>
                  <w:r>
                    <w:rPr>
                      <w:rFonts w:hint="eastAsia"/>
                      <w:sz w:val="18"/>
                      <w:szCs w:val="18"/>
                      <w:vertAlign w:val="subscript"/>
                    </w:rPr>
                    <w:t>2</w:t>
                  </w:r>
                  <w:r>
                    <w:rPr>
                      <w:rFonts w:hint="eastAsia"/>
                      <w:sz w:val="18"/>
                      <w:szCs w:val="18"/>
                    </w:rPr>
                    <w:t>O</w:t>
                  </w:r>
                  <w:r>
                    <w:rPr>
                      <w:rFonts w:hint="eastAsia"/>
                      <w:sz w:val="18"/>
                      <w:szCs w:val="18"/>
                      <w:vertAlign w:val="subscript"/>
                    </w:rPr>
                    <w:t>3</w:t>
                  </w:r>
                  <w:r>
                    <w:rPr>
                      <w:rFonts w:hint="eastAsia"/>
                      <w:sz w:val="18"/>
                      <w:szCs w:val="18"/>
                    </w:rPr>
                    <w:t>·2SiO</w:t>
                  </w:r>
                  <w:r>
                    <w:rPr>
                      <w:rFonts w:hint="eastAsia"/>
                      <w:sz w:val="18"/>
                      <w:szCs w:val="18"/>
                      <w:vertAlign w:val="subscript"/>
                    </w:rPr>
                    <w:t>2</w:t>
                  </w:r>
                  <w:r>
                    <w:rPr>
                      <w:rFonts w:hint="eastAsia"/>
                      <w:sz w:val="18"/>
                      <w:szCs w:val="18"/>
                    </w:rPr>
                    <w:t>·9/2H</w:t>
                  </w:r>
                  <w:r>
                    <w:rPr>
                      <w:rFonts w:hint="eastAsia"/>
                      <w:sz w:val="18"/>
                      <w:szCs w:val="18"/>
                      <w:vertAlign w:val="subscript"/>
                    </w:rPr>
                    <w:t>2</w:t>
                  </w:r>
                  <w:r>
                    <w:rPr>
                      <w:rFonts w:hint="eastAsia"/>
                      <w:sz w:val="18"/>
                      <w:szCs w:val="18"/>
                    </w:rPr>
                    <w:t>O，一种人工合成且对水分子有较强吸附性的干燥剂产品。分子筛的孔径大小可以通过加工工艺的不同来控制，除了吸附水汽，它还可以吸附其他气体。在230℃以上的高温情况下，仍能很好的容纳水分子，可用于中空玻璃中的空气干燥。</w:t>
                  </w:r>
                </w:p>
              </w:tc>
              <w:tc>
                <w:tcPr>
                  <w:tcW w:w="3010" w:type="dxa"/>
                  <w:shd w:val="clear" w:color="auto" w:fill="auto"/>
                  <w:vAlign w:val="center"/>
                </w:tcPr>
                <w:p>
                  <w:pPr>
                    <w:widowControl/>
                    <w:jc w:val="center"/>
                    <w:rPr>
                      <w:sz w:val="18"/>
                      <w:szCs w:val="18"/>
                      <w:highlight w:val="yellow"/>
                    </w:rPr>
                  </w:pPr>
                  <w:r>
                    <w:rPr>
                      <w:rFonts w:hint="eastAsia"/>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2" w:type="dxa"/>
                  <w:vAlign w:val="center"/>
                </w:tcPr>
                <w:p>
                  <w:pPr>
                    <w:widowControl/>
                    <w:jc w:val="center"/>
                    <w:rPr>
                      <w:sz w:val="18"/>
                      <w:szCs w:val="18"/>
                    </w:rPr>
                  </w:pPr>
                  <w:r>
                    <w:rPr>
                      <w:rFonts w:hint="eastAsia"/>
                      <w:sz w:val="18"/>
                      <w:szCs w:val="18"/>
                    </w:rPr>
                    <w:t>丁基胶</w:t>
                  </w:r>
                </w:p>
              </w:tc>
              <w:tc>
                <w:tcPr>
                  <w:tcW w:w="4796" w:type="dxa"/>
                  <w:shd w:val="clear" w:color="auto" w:fill="auto"/>
                  <w:vAlign w:val="center"/>
                </w:tcPr>
                <w:p>
                  <w:pPr>
                    <w:widowControl/>
                    <w:jc w:val="left"/>
                    <w:rPr>
                      <w:sz w:val="18"/>
                      <w:szCs w:val="18"/>
                    </w:rPr>
                  </w:pPr>
                  <w:r>
                    <w:rPr>
                      <w:rFonts w:hint="eastAsia"/>
                      <w:sz w:val="18"/>
                      <w:szCs w:val="18"/>
                    </w:rPr>
                    <w:t>丁基橡胶是合成橡胶的一种，由异丁基橡胶是合成橡胶的一种，具有热塑性，由异丁烯和少量异戊二烯合成。外观白色至淡灰色，无臭无味，密度为0.91，不溶于乙醇和乙醚，具有良好的化学稳定性和热稳定性。最突出的是气密性和水密性好，它还能耐热、耐臭氧、耐老化、耐化学药品，并有吸震、电绝缘性能。</w:t>
                  </w:r>
                </w:p>
              </w:tc>
              <w:tc>
                <w:tcPr>
                  <w:tcW w:w="3010" w:type="dxa"/>
                  <w:shd w:val="clear" w:color="auto" w:fill="auto"/>
                  <w:vAlign w:val="center"/>
                </w:tcPr>
                <w:p>
                  <w:pPr>
                    <w:widowControl/>
                    <w:jc w:val="center"/>
                    <w:rPr>
                      <w:sz w:val="18"/>
                      <w:szCs w:val="18"/>
                    </w:rPr>
                  </w:pPr>
                  <w:r>
                    <w:rPr>
                      <w:rFonts w:hint="eastAsia"/>
                      <w:sz w:val="18"/>
                      <w:szCs w:val="18"/>
                    </w:rPr>
                    <w:t>根据</w:t>
                  </w:r>
                  <w:r>
                    <w:rPr>
                      <w:sz w:val="18"/>
                      <w:szCs w:val="18"/>
                    </w:rPr>
                    <w:t>《中空玻璃用</w:t>
                  </w:r>
                  <w:r>
                    <w:rPr>
                      <w:rFonts w:hint="eastAsia"/>
                      <w:sz w:val="18"/>
                      <w:szCs w:val="18"/>
                    </w:rPr>
                    <w:t>丁基热熔密封胶》（</w:t>
                  </w:r>
                  <w:r>
                    <w:rPr>
                      <w:sz w:val="18"/>
                      <w:szCs w:val="18"/>
                    </w:rPr>
                    <w:t>JC/T914-2003）</w:t>
                  </w:r>
                  <w:r>
                    <w:rPr>
                      <w:rFonts w:hint="eastAsia"/>
                      <w:sz w:val="18"/>
                      <w:szCs w:val="18"/>
                    </w:rPr>
                    <w:t>，</w:t>
                  </w:r>
                  <w:r>
                    <w:rPr>
                      <w:sz w:val="18"/>
                      <w:szCs w:val="18"/>
                    </w:rPr>
                    <w:t>丁基密封胶固化损</w:t>
                  </w:r>
                  <w:r>
                    <w:rPr>
                      <w:rFonts w:hint="eastAsia"/>
                      <w:sz w:val="18"/>
                      <w:szCs w:val="18"/>
                    </w:rPr>
                    <w:t>失量≤</w:t>
                  </w:r>
                  <w:r>
                    <w:rPr>
                      <w:sz w:val="18"/>
                      <w:szCs w:val="18"/>
                    </w:rPr>
                    <w:t>0.5%</w:t>
                  </w:r>
                  <w:r>
                    <w:rPr>
                      <w:rFonts w:hint="eastAsia"/>
                      <w:sz w:val="18"/>
                      <w:szCs w:val="18"/>
                    </w:rPr>
                    <w:t>。本项目</w:t>
                  </w:r>
                  <w:r>
                    <w:rPr>
                      <w:sz w:val="18"/>
                      <w:szCs w:val="18"/>
                    </w:rPr>
                    <w:t>考虑最不利影响，</w:t>
                  </w:r>
                  <w:r>
                    <w:rPr>
                      <w:rFonts w:hint="eastAsia"/>
                      <w:sz w:val="18"/>
                      <w:szCs w:val="18"/>
                    </w:rPr>
                    <w:t>VOCs挥发按0.5%计。</w:t>
                  </w:r>
                </w:p>
              </w:tc>
            </w:tr>
          </w:tbl>
          <w:p>
            <w:pPr>
              <w:adjustRightInd w:val="0"/>
              <w:snapToGrid w:val="0"/>
              <w:spacing w:line="360" w:lineRule="auto"/>
              <w:ind w:firstLine="480" w:firstLineChars="200"/>
              <w:jc w:val="left"/>
              <w:rPr>
                <w:rFonts w:eastAsia="黑体"/>
                <w:sz w:val="24"/>
              </w:rPr>
            </w:pPr>
            <w:r>
              <w:rPr>
                <w:rFonts w:eastAsia="黑体"/>
                <w:sz w:val="24"/>
              </w:rPr>
              <w:t>5、主要设备</w:t>
            </w:r>
          </w:p>
          <w:p>
            <w:pPr>
              <w:adjustRightInd w:val="0"/>
              <w:snapToGrid w:val="0"/>
              <w:spacing w:line="276" w:lineRule="auto"/>
              <w:ind w:firstLine="480" w:firstLineChars="200"/>
              <w:jc w:val="left"/>
              <w:rPr>
                <w:sz w:val="24"/>
              </w:rPr>
            </w:pPr>
            <w:r>
              <w:rPr>
                <w:sz w:val="24"/>
              </w:rPr>
              <w:t>项目</w:t>
            </w:r>
            <w:r>
              <w:rPr>
                <w:rFonts w:hint="eastAsia"/>
                <w:sz w:val="24"/>
              </w:rPr>
              <w:t>设备具体情况</w:t>
            </w:r>
            <w:r>
              <w:rPr>
                <w:sz w:val="24"/>
              </w:rPr>
              <w:t>见表</w:t>
            </w:r>
            <w:r>
              <w:rPr>
                <w:rFonts w:hint="eastAsia"/>
                <w:sz w:val="24"/>
              </w:rPr>
              <w:t>5</w:t>
            </w:r>
            <w:r>
              <w:rPr>
                <w:sz w:val="24"/>
              </w:rPr>
              <w:t>。</w:t>
            </w:r>
          </w:p>
          <w:p>
            <w:pPr>
              <w:adjustRightInd w:val="0"/>
              <w:snapToGrid w:val="0"/>
              <w:spacing w:line="276" w:lineRule="auto"/>
              <w:jc w:val="center"/>
              <w:rPr>
                <w:rFonts w:eastAsia="黑体"/>
                <w:sz w:val="24"/>
              </w:rPr>
            </w:pPr>
            <w:r>
              <w:rPr>
                <w:rFonts w:eastAsia="黑体"/>
                <w:sz w:val="24"/>
              </w:rPr>
              <w:t>表</w:t>
            </w:r>
            <w:r>
              <w:rPr>
                <w:rFonts w:hint="eastAsia" w:eastAsia="黑体"/>
                <w:sz w:val="24"/>
              </w:rPr>
              <w:t>5</w:t>
            </w:r>
            <w:r>
              <w:rPr>
                <w:rFonts w:eastAsia="黑体"/>
                <w:sz w:val="24"/>
              </w:rPr>
              <w:t>项目主要设备一览表</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54"/>
              <w:gridCol w:w="2155"/>
              <w:gridCol w:w="1724"/>
              <w:gridCol w:w="2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exact"/>
                <w:jc w:val="center"/>
              </w:trPr>
              <w:tc>
                <w:tcPr>
                  <w:tcW w:w="2154" w:type="dxa"/>
                  <w:shd w:val="clear" w:color="auto" w:fill="auto"/>
                  <w:vAlign w:val="center"/>
                </w:tcPr>
                <w:p>
                  <w:pPr>
                    <w:widowControl/>
                    <w:jc w:val="center"/>
                    <w:rPr>
                      <w:kern w:val="0"/>
                      <w:sz w:val="21"/>
                      <w:szCs w:val="21"/>
                    </w:rPr>
                  </w:pPr>
                  <w:r>
                    <w:rPr>
                      <w:rFonts w:hint="eastAsia"/>
                      <w:kern w:val="0"/>
                      <w:sz w:val="21"/>
                      <w:szCs w:val="21"/>
                    </w:rPr>
                    <w:t>序号</w:t>
                  </w:r>
                </w:p>
              </w:tc>
              <w:tc>
                <w:tcPr>
                  <w:tcW w:w="2155" w:type="dxa"/>
                  <w:shd w:val="clear" w:color="auto" w:fill="auto"/>
                  <w:vAlign w:val="center"/>
                </w:tcPr>
                <w:p>
                  <w:pPr>
                    <w:widowControl/>
                    <w:jc w:val="center"/>
                    <w:rPr>
                      <w:kern w:val="0"/>
                      <w:sz w:val="21"/>
                      <w:szCs w:val="21"/>
                    </w:rPr>
                  </w:pPr>
                  <w:r>
                    <w:rPr>
                      <w:rFonts w:hAnsiTheme="minorEastAsia"/>
                      <w:kern w:val="0"/>
                      <w:sz w:val="21"/>
                      <w:szCs w:val="21"/>
                    </w:rPr>
                    <w:t>设备名称</w:t>
                  </w:r>
                </w:p>
              </w:tc>
              <w:tc>
                <w:tcPr>
                  <w:tcW w:w="1724" w:type="dxa"/>
                  <w:shd w:val="clear" w:color="auto" w:fill="auto"/>
                  <w:vAlign w:val="center"/>
                </w:tcPr>
                <w:p>
                  <w:pPr>
                    <w:widowControl/>
                    <w:jc w:val="center"/>
                    <w:rPr>
                      <w:kern w:val="0"/>
                      <w:sz w:val="21"/>
                      <w:szCs w:val="21"/>
                    </w:rPr>
                  </w:pPr>
                  <w:r>
                    <w:rPr>
                      <w:rFonts w:hAnsiTheme="minorEastAsia"/>
                      <w:kern w:val="0"/>
                      <w:sz w:val="21"/>
                      <w:szCs w:val="21"/>
                    </w:rPr>
                    <w:t>数量</w:t>
                  </w:r>
                  <w:r>
                    <w:rPr>
                      <w:rFonts w:hint="eastAsia" w:hAnsiTheme="minorEastAsia"/>
                      <w:kern w:val="0"/>
                      <w:sz w:val="21"/>
                      <w:szCs w:val="21"/>
                    </w:rPr>
                    <w:t>（台/条）</w:t>
                  </w:r>
                </w:p>
              </w:tc>
              <w:tc>
                <w:tcPr>
                  <w:tcW w:w="2585" w:type="dxa"/>
                  <w:shd w:val="clear" w:color="auto" w:fill="auto"/>
                  <w:vAlign w:val="center"/>
                </w:tcPr>
                <w:p>
                  <w:pPr>
                    <w:widowControl/>
                    <w:jc w:val="center"/>
                    <w:rPr>
                      <w:kern w:val="0"/>
                      <w:sz w:val="21"/>
                      <w:szCs w:val="21"/>
                    </w:rPr>
                  </w:pPr>
                  <w:r>
                    <w:rPr>
                      <w:rFonts w:hint="eastAsia" w:hAnsiTheme="minorEastAsia"/>
                      <w:kern w:val="0"/>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kern w:val="0"/>
                      <w:sz w:val="21"/>
                      <w:szCs w:val="21"/>
                    </w:rPr>
                  </w:pPr>
                  <w:r>
                    <w:rPr>
                      <w:rFonts w:hint="eastAsia"/>
                      <w:kern w:val="0"/>
                      <w:sz w:val="21"/>
                      <w:szCs w:val="21"/>
                    </w:rPr>
                    <w:t>1</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钢化炉</w:t>
                  </w:r>
                </w:p>
              </w:tc>
              <w:tc>
                <w:tcPr>
                  <w:tcW w:w="1724" w:type="dxa"/>
                  <w:shd w:val="clear" w:color="auto" w:fill="auto"/>
                  <w:vAlign w:val="center"/>
                </w:tcPr>
                <w:p>
                  <w:pPr>
                    <w:jc w:val="center"/>
                    <w:rPr>
                      <w:sz w:val="21"/>
                      <w:szCs w:val="21"/>
                    </w:rPr>
                  </w:pPr>
                  <w:r>
                    <w:rPr>
                      <w:rFonts w:hint="eastAsia"/>
                      <w:sz w:val="21"/>
                      <w:szCs w:val="21"/>
                    </w:rPr>
                    <w:t>2</w:t>
                  </w:r>
                </w:p>
              </w:tc>
              <w:tc>
                <w:tcPr>
                  <w:tcW w:w="2585" w:type="dxa"/>
                  <w:shd w:val="clear" w:color="auto" w:fill="auto"/>
                  <w:vAlign w:val="center"/>
                </w:tcPr>
                <w:p>
                  <w:pPr>
                    <w:widowControl/>
                    <w:jc w:val="center"/>
                    <w:rPr>
                      <w:color w:val="000000" w:themeColor="text1"/>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2</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切割台</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widowControl/>
                    <w:jc w:val="center"/>
                    <w:rPr>
                      <w:color w:val="000000" w:themeColor="text1"/>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3</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自动上片机</w:t>
                  </w:r>
                </w:p>
              </w:tc>
              <w:tc>
                <w:tcPr>
                  <w:tcW w:w="1724" w:type="dxa"/>
                  <w:shd w:val="clear" w:color="auto" w:fill="auto"/>
                  <w:vAlign w:val="center"/>
                </w:tcPr>
                <w:p>
                  <w:pPr>
                    <w:jc w:val="center"/>
                    <w:rPr>
                      <w:sz w:val="21"/>
                      <w:szCs w:val="21"/>
                    </w:rPr>
                  </w:pPr>
                  <w:r>
                    <w:rPr>
                      <w:rFonts w:hint="eastAsia"/>
                      <w:sz w:val="21"/>
                      <w:szCs w:val="21"/>
                    </w:rPr>
                    <w:t>2</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4</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四边磨机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5</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清洗机</w:t>
                  </w:r>
                </w:p>
              </w:tc>
              <w:tc>
                <w:tcPr>
                  <w:tcW w:w="1724" w:type="dxa"/>
                  <w:shd w:val="clear" w:color="auto" w:fill="auto"/>
                  <w:vAlign w:val="center"/>
                </w:tcPr>
                <w:p>
                  <w:pPr>
                    <w:jc w:val="center"/>
                    <w:rPr>
                      <w:sz w:val="21"/>
                      <w:szCs w:val="21"/>
                    </w:rPr>
                  </w:pPr>
                  <w:r>
                    <w:rPr>
                      <w:rFonts w:hint="eastAsia"/>
                      <w:sz w:val="21"/>
                      <w:szCs w:val="21"/>
                    </w:rPr>
                    <w:t>2</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6</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自动下片机</w:t>
                  </w:r>
                </w:p>
              </w:tc>
              <w:tc>
                <w:tcPr>
                  <w:tcW w:w="1724" w:type="dxa"/>
                  <w:shd w:val="clear" w:color="auto" w:fill="auto"/>
                  <w:vAlign w:val="center"/>
                </w:tcPr>
                <w:p>
                  <w:pPr>
                    <w:jc w:val="center"/>
                    <w:rPr>
                      <w:sz w:val="21"/>
                      <w:szCs w:val="21"/>
                    </w:rPr>
                  </w:pPr>
                  <w:r>
                    <w:rPr>
                      <w:rFonts w:hint="eastAsia"/>
                      <w:sz w:val="21"/>
                      <w:szCs w:val="21"/>
                    </w:rPr>
                    <w:t>3</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7</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单边磨机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8</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双边磨机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9</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中空生产线</w:t>
                  </w:r>
                </w:p>
              </w:tc>
              <w:tc>
                <w:tcPr>
                  <w:tcW w:w="1724" w:type="dxa"/>
                  <w:shd w:val="clear" w:color="auto" w:fill="auto"/>
                  <w:vAlign w:val="center"/>
                </w:tcPr>
                <w:p>
                  <w:pPr>
                    <w:jc w:val="center"/>
                    <w:rPr>
                      <w:sz w:val="21"/>
                      <w:szCs w:val="21"/>
                    </w:rPr>
                  </w:pPr>
                  <w:r>
                    <w:rPr>
                      <w:rFonts w:hint="eastAsia"/>
                      <w:sz w:val="21"/>
                      <w:szCs w:val="21"/>
                    </w:rPr>
                    <w:t>2</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10</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折弯机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11</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丁基胶机</w:t>
                  </w:r>
                </w:p>
              </w:tc>
              <w:tc>
                <w:tcPr>
                  <w:tcW w:w="1724" w:type="dxa"/>
                  <w:shd w:val="clear" w:color="auto" w:fill="auto"/>
                  <w:vAlign w:val="center"/>
                </w:tcPr>
                <w:p>
                  <w:pPr>
                    <w:jc w:val="center"/>
                    <w:rPr>
                      <w:sz w:val="21"/>
                      <w:szCs w:val="21"/>
                    </w:rPr>
                  </w:pPr>
                  <w:r>
                    <w:rPr>
                      <w:rFonts w:hint="eastAsia"/>
                      <w:sz w:val="21"/>
                      <w:szCs w:val="21"/>
                    </w:rPr>
                    <w:t>2</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12</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分子筛自动灌装机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2154" w:type="dxa"/>
                  <w:shd w:val="clear" w:color="auto" w:fill="auto"/>
                  <w:vAlign w:val="center"/>
                </w:tcPr>
                <w:p>
                  <w:pPr>
                    <w:widowControl/>
                    <w:jc w:val="center"/>
                    <w:rPr>
                      <w:rFonts w:hAnsiTheme="minorEastAsia"/>
                      <w:kern w:val="0"/>
                      <w:sz w:val="21"/>
                      <w:szCs w:val="21"/>
                    </w:rPr>
                  </w:pPr>
                  <w:r>
                    <w:rPr>
                      <w:rFonts w:hint="eastAsia" w:hAnsiTheme="minorEastAsia"/>
                      <w:kern w:val="0"/>
                      <w:sz w:val="21"/>
                      <w:szCs w:val="21"/>
                    </w:rPr>
                    <w:t>13</w:t>
                  </w:r>
                </w:p>
              </w:tc>
              <w:tc>
                <w:tcPr>
                  <w:tcW w:w="2155" w:type="dxa"/>
                  <w:shd w:val="clear" w:color="auto" w:fill="auto"/>
                  <w:vAlign w:val="center"/>
                </w:tcPr>
                <w:p>
                  <w:pPr>
                    <w:widowControl/>
                    <w:jc w:val="center"/>
                    <w:rPr>
                      <w:color w:val="000000" w:themeColor="text1"/>
                      <w:kern w:val="0"/>
                      <w:sz w:val="21"/>
                      <w:szCs w:val="21"/>
                    </w:rPr>
                  </w:pPr>
                  <w:r>
                    <w:rPr>
                      <w:rFonts w:hint="eastAsia"/>
                      <w:color w:val="000000" w:themeColor="text1"/>
                      <w:kern w:val="0"/>
                      <w:sz w:val="21"/>
                      <w:szCs w:val="21"/>
                    </w:rPr>
                    <w:t>喷砂机</w:t>
                  </w:r>
                </w:p>
              </w:tc>
              <w:tc>
                <w:tcPr>
                  <w:tcW w:w="1724" w:type="dxa"/>
                  <w:shd w:val="clear" w:color="auto" w:fill="auto"/>
                  <w:vAlign w:val="center"/>
                </w:tcPr>
                <w:p>
                  <w:pPr>
                    <w:jc w:val="center"/>
                    <w:rPr>
                      <w:sz w:val="21"/>
                      <w:szCs w:val="21"/>
                    </w:rPr>
                  </w:pPr>
                  <w:r>
                    <w:rPr>
                      <w:rFonts w:hint="eastAsia"/>
                      <w:sz w:val="21"/>
                      <w:szCs w:val="21"/>
                    </w:rPr>
                    <w:t>1</w:t>
                  </w:r>
                </w:p>
              </w:tc>
              <w:tc>
                <w:tcPr>
                  <w:tcW w:w="2585" w:type="dxa"/>
                  <w:shd w:val="clear" w:color="auto" w:fill="auto"/>
                  <w:vAlign w:val="center"/>
                </w:tcPr>
                <w:p>
                  <w:pPr>
                    <w:jc w:val="center"/>
                  </w:pPr>
                </w:p>
              </w:tc>
            </w:tr>
          </w:tbl>
          <w:p>
            <w:pPr>
              <w:spacing w:line="360" w:lineRule="auto"/>
              <w:ind w:firstLine="480" w:firstLineChars="200"/>
              <w:jc w:val="left"/>
              <w:rPr>
                <w:rFonts w:eastAsia="黑体"/>
                <w:sz w:val="24"/>
                <w:szCs w:val="24"/>
              </w:rPr>
            </w:pPr>
            <w:r>
              <w:rPr>
                <w:rFonts w:eastAsia="黑体"/>
                <w:sz w:val="24"/>
                <w:szCs w:val="24"/>
              </w:rPr>
              <w:t>6、公用工程</w:t>
            </w:r>
          </w:p>
          <w:p>
            <w:pPr>
              <w:pStyle w:val="11"/>
              <w:adjustRightInd w:val="0"/>
              <w:snapToGrid w:val="0"/>
              <w:spacing w:line="360" w:lineRule="auto"/>
              <w:ind w:firstLine="480" w:firstLineChars="200"/>
              <w:rPr>
                <w:rFonts w:ascii="Times New Roman" w:hAnsi="Times New Roman"/>
                <w:sz w:val="24"/>
                <w:szCs w:val="20"/>
              </w:rPr>
            </w:pPr>
            <w:r>
              <w:rPr>
                <w:rFonts w:ascii="Times New Roman" w:hAnsi="Times New Roman"/>
                <w:sz w:val="24"/>
                <w:szCs w:val="20"/>
              </w:rPr>
              <w:t>（1）供电：</w:t>
            </w:r>
            <w:r>
              <w:rPr>
                <w:rFonts w:hint="eastAsia" w:ascii="Times New Roman" w:hAnsi="Times New Roman"/>
                <w:sz w:val="24"/>
                <w:szCs w:val="20"/>
              </w:rPr>
              <w:t>项目用电取自市政配套电网，项目用电量约为30万kwh/a。</w:t>
            </w:r>
          </w:p>
          <w:p>
            <w:pPr>
              <w:spacing w:line="360" w:lineRule="auto"/>
              <w:ind w:firstLine="480" w:firstLineChars="200"/>
              <w:rPr>
                <w:color w:val="000000" w:themeColor="text1"/>
                <w:sz w:val="24"/>
              </w:rPr>
            </w:pPr>
            <w:r>
              <w:rPr>
                <w:sz w:val="24"/>
              </w:rPr>
              <w:t>（2）供水：</w:t>
            </w:r>
            <w:r>
              <w:rPr>
                <w:rFonts w:hint="eastAsia"/>
                <w:color w:val="000000" w:themeColor="text1"/>
                <w:sz w:val="24"/>
              </w:rPr>
              <w:t>项目给水由临港区市政自来水管网供应，可满足项目用水需求，项目用水主要为</w:t>
            </w:r>
            <w:r>
              <w:rPr>
                <w:rFonts w:hint="eastAsia"/>
                <w:sz w:val="24"/>
              </w:rPr>
              <w:t>纯水设备用水、清洗用水、生活用水等。</w:t>
            </w:r>
          </w:p>
          <w:p>
            <w:pPr>
              <w:spacing w:line="360" w:lineRule="auto"/>
              <w:ind w:firstLine="480" w:firstLineChars="200"/>
              <w:rPr>
                <w:sz w:val="24"/>
                <w:szCs w:val="24"/>
              </w:rPr>
            </w:pPr>
            <w:r>
              <w:rPr>
                <w:rFonts w:hint="eastAsia"/>
                <w:sz w:val="24"/>
                <w:szCs w:val="24"/>
              </w:rPr>
              <w:t>本项目自来水用量约为700m</w:t>
            </w:r>
            <w:r>
              <w:rPr>
                <w:rFonts w:hint="eastAsia"/>
                <w:sz w:val="24"/>
                <w:szCs w:val="24"/>
                <w:vertAlign w:val="superscript"/>
              </w:rPr>
              <w:t>3</w:t>
            </w:r>
            <w:r>
              <w:rPr>
                <w:rFonts w:hint="eastAsia"/>
                <w:sz w:val="24"/>
                <w:szCs w:val="24"/>
              </w:rPr>
              <w:t>/a，用水环节主要包括以下几个方面：</w:t>
            </w:r>
          </w:p>
          <w:p>
            <w:pPr>
              <w:spacing w:line="360" w:lineRule="auto"/>
              <w:ind w:firstLine="480" w:firstLineChars="200"/>
              <w:rPr>
                <w:sz w:val="24"/>
                <w:szCs w:val="24"/>
              </w:rPr>
            </w:pPr>
            <w:r>
              <w:rPr>
                <w:rFonts w:hint="eastAsia"/>
                <w:sz w:val="24"/>
                <w:szCs w:val="24"/>
              </w:rPr>
              <w:t>①纯水机用水（自来水）</w:t>
            </w:r>
          </w:p>
          <w:p>
            <w:pPr>
              <w:spacing w:line="360" w:lineRule="auto"/>
              <w:ind w:firstLine="480" w:firstLineChars="200"/>
              <w:rPr>
                <w:sz w:val="24"/>
                <w:szCs w:val="24"/>
              </w:rPr>
            </w:pPr>
            <w:r>
              <w:rPr>
                <w:rFonts w:hint="eastAsia"/>
                <w:sz w:val="24"/>
                <w:szCs w:val="24"/>
              </w:rPr>
              <w:t>项目玻璃清洗使用纯水，纯水设备规格为0.5t/h，采用“过滤+反渗透”工艺，产生率为70%。项目生产纯水用量约为280m</w:t>
            </w:r>
            <w:r>
              <w:rPr>
                <w:rFonts w:hint="eastAsia"/>
                <w:sz w:val="24"/>
                <w:szCs w:val="24"/>
                <w:vertAlign w:val="superscript"/>
              </w:rPr>
              <w:t>3</w:t>
            </w:r>
            <w:r>
              <w:rPr>
                <w:rFonts w:hint="eastAsia"/>
                <w:sz w:val="24"/>
                <w:szCs w:val="24"/>
              </w:rPr>
              <w:t>/a，则自来水用水量为400m</w:t>
            </w:r>
            <w:r>
              <w:rPr>
                <w:rFonts w:hint="eastAsia"/>
                <w:sz w:val="24"/>
                <w:szCs w:val="24"/>
                <w:vertAlign w:val="superscript"/>
              </w:rPr>
              <w:t>3</w:t>
            </w:r>
            <w:r>
              <w:rPr>
                <w:rFonts w:hint="eastAsia"/>
                <w:sz w:val="24"/>
                <w:szCs w:val="24"/>
              </w:rPr>
              <w:t>/a。</w:t>
            </w:r>
            <w:r>
              <w:rPr>
                <w:rFonts w:hint="eastAsia" w:hAnsi="Arial"/>
                <w:color w:val="000000"/>
                <w:sz w:val="24"/>
                <w:szCs w:val="24"/>
              </w:rPr>
              <w:t>制纯水过程产生浓水120</w:t>
            </w:r>
            <w:r>
              <w:rPr>
                <w:rFonts w:hint="eastAsia"/>
                <w:sz w:val="24"/>
                <w:szCs w:val="24"/>
              </w:rPr>
              <w:t>m</w:t>
            </w:r>
            <w:r>
              <w:rPr>
                <w:rFonts w:hint="eastAsia"/>
                <w:sz w:val="24"/>
                <w:szCs w:val="24"/>
                <w:vertAlign w:val="superscript"/>
              </w:rPr>
              <w:t>3</w:t>
            </w:r>
            <w:r>
              <w:rPr>
                <w:rFonts w:hint="eastAsia"/>
                <w:sz w:val="24"/>
                <w:szCs w:val="24"/>
              </w:rPr>
              <w:t>/a，经市政管网排入污水处理厂</w:t>
            </w:r>
            <w:r>
              <w:rPr>
                <w:rFonts w:hint="eastAsia" w:hAnsi="Arial"/>
                <w:color w:val="000000"/>
                <w:sz w:val="24"/>
                <w:szCs w:val="24"/>
              </w:rPr>
              <w:t>。</w:t>
            </w:r>
          </w:p>
          <w:p>
            <w:pPr>
              <w:spacing w:line="360" w:lineRule="auto"/>
              <w:ind w:firstLine="480" w:firstLineChars="200"/>
              <w:rPr>
                <w:sz w:val="24"/>
                <w:szCs w:val="24"/>
              </w:rPr>
            </w:pPr>
            <w:r>
              <w:rPr>
                <w:rFonts w:hint="eastAsia"/>
                <w:sz w:val="24"/>
                <w:szCs w:val="24"/>
              </w:rPr>
              <w:t>纯水制备工艺见图1。</w:t>
            </w:r>
          </w:p>
          <w:p>
            <w:pPr>
              <w:spacing w:line="360" w:lineRule="auto"/>
              <w:rPr>
                <w:sz w:val="24"/>
                <w:szCs w:val="24"/>
              </w:rPr>
            </w:pPr>
            <w:r>
              <w:object>
                <v:shape id="_x0000_i1025" o:spt="75" type="#_x0000_t75" style="height:28.5pt;width:474pt;" o:ole="t" filled="f" coordsize="21600,21600">
                  <v:path/>
                  <v:fill on="f" focussize="0,0"/>
                  <v:stroke/>
                  <v:imagedata r:id="rId15" o:title=""/>
                  <o:lock v:ext="edit" aspectratio="t"/>
                  <w10:wrap type="none"/>
                  <w10:anchorlock/>
                </v:shape>
                <o:OLEObject Type="Embed" ProgID="Visio.Drawing.11" ShapeID="_x0000_i1025" DrawAspect="Content" ObjectID="_1468075725" r:id="rId14">
                  <o:LockedField>false</o:LockedField>
                </o:OLEObject>
              </w:object>
            </w:r>
          </w:p>
          <w:p>
            <w:pPr>
              <w:spacing w:line="360" w:lineRule="auto"/>
              <w:ind w:firstLine="480" w:firstLineChars="200"/>
              <w:jc w:val="center"/>
              <w:rPr>
                <w:rFonts w:eastAsia="黑体"/>
                <w:sz w:val="24"/>
                <w:szCs w:val="24"/>
              </w:rPr>
            </w:pPr>
            <w:r>
              <w:rPr>
                <w:rFonts w:hAnsi="黑体" w:eastAsia="黑体"/>
                <w:sz w:val="24"/>
                <w:szCs w:val="24"/>
              </w:rPr>
              <w:t>图</w:t>
            </w:r>
            <w:r>
              <w:rPr>
                <w:rFonts w:eastAsia="黑体"/>
                <w:sz w:val="24"/>
                <w:szCs w:val="24"/>
              </w:rPr>
              <w:t xml:space="preserve">1 </w:t>
            </w:r>
            <w:r>
              <w:rPr>
                <w:rFonts w:hAnsi="黑体" w:eastAsia="黑体"/>
                <w:sz w:val="24"/>
                <w:szCs w:val="24"/>
              </w:rPr>
              <w:t>纯水制备工艺</w:t>
            </w:r>
          </w:p>
          <w:p>
            <w:pPr>
              <w:spacing w:line="360" w:lineRule="auto"/>
              <w:ind w:firstLine="480" w:firstLineChars="200"/>
              <w:rPr>
                <w:sz w:val="24"/>
              </w:rPr>
            </w:pPr>
            <w:r>
              <w:rPr>
                <w:rFonts w:hint="eastAsia"/>
                <w:color w:val="000000" w:themeColor="text1"/>
                <w:sz w:val="24"/>
              </w:rPr>
              <w:t>②清洗用水</w:t>
            </w:r>
          </w:p>
          <w:p>
            <w:pPr>
              <w:autoSpaceDE w:val="0"/>
              <w:autoSpaceDN w:val="0"/>
              <w:adjustRightInd w:val="0"/>
              <w:spacing w:line="360" w:lineRule="auto"/>
              <w:ind w:firstLine="480" w:firstLineChars="200"/>
              <w:jc w:val="left"/>
              <w:rPr>
                <w:sz w:val="24"/>
                <w:szCs w:val="24"/>
              </w:rPr>
            </w:pPr>
            <w:r>
              <w:rPr>
                <w:rFonts w:hint="eastAsia"/>
                <w:color w:val="000000" w:themeColor="text1"/>
                <w:sz w:val="24"/>
              </w:rPr>
              <w:t>根据建设单位提供的资料，</w:t>
            </w:r>
            <w:r>
              <w:rPr>
                <w:rFonts w:hint="eastAsia"/>
                <w:sz w:val="24"/>
                <w:szCs w:val="24"/>
              </w:rPr>
              <w:t>玻璃清洗用水对水质要求较高，全部使用纯水，使用量约为280m</w:t>
            </w:r>
            <w:r>
              <w:rPr>
                <w:rFonts w:hint="eastAsia"/>
                <w:sz w:val="24"/>
                <w:szCs w:val="24"/>
                <w:vertAlign w:val="superscript"/>
              </w:rPr>
              <w:t>3</w:t>
            </w:r>
            <w:r>
              <w:rPr>
                <w:rFonts w:hint="eastAsia"/>
                <w:sz w:val="24"/>
                <w:szCs w:val="24"/>
              </w:rPr>
              <w:t>/a，</w:t>
            </w:r>
            <w:r>
              <w:rPr>
                <w:rFonts w:hint="eastAsia"/>
                <w:color w:val="000000" w:themeColor="text1"/>
                <w:sz w:val="24"/>
              </w:rPr>
              <w:t>废水排放系数按</w:t>
            </w:r>
            <w:r>
              <w:rPr>
                <w:color w:val="000000" w:themeColor="text1"/>
                <w:sz w:val="24"/>
              </w:rPr>
              <w:t>0.</w:t>
            </w:r>
            <w:r>
              <w:rPr>
                <w:rFonts w:hint="eastAsia"/>
                <w:color w:val="000000" w:themeColor="text1"/>
                <w:sz w:val="24"/>
              </w:rPr>
              <w:t>9计，约为252</w:t>
            </w:r>
            <w:r>
              <w:rPr>
                <w:rFonts w:hint="eastAsia"/>
                <w:sz w:val="24"/>
                <w:szCs w:val="24"/>
              </w:rPr>
              <w:t>m</w:t>
            </w:r>
            <w:r>
              <w:rPr>
                <w:rFonts w:hint="eastAsia"/>
                <w:sz w:val="24"/>
                <w:szCs w:val="24"/>
                <w:vertAlign w:val="superscript"/>
              </w:rPr>
              <w:t>3</w:t>
            </w:r>
            <w:r>
              <w:rPr>
                <w:rFonts w:hint="eastAsia"/>
                <w:sz w:val="24"/>
                <w:szCs w:val="24"/>
              </w:rPr>
              <w:t>/a。清洗工序在循环水箱内进行，清洗废水经静置后，下层玻璃底泥定期清理，上层清洗废水经市政管网排入污水处理厂。</w:t>
            </w:r>
          </w:p>
          <w:p>
            <w:pPr>
              <w:spacing w:line="360" w:lineRule="auto"/>
              <w:ind w:firstLine="480" w:firstLineChars="200"/>
              <w:rPr>
                <w:color w:val="000000" w:themeColor="text1"/>
                <w:sz w:val="24"/>
              </w:rPr>
            </w:pPr>
            <w:r>
              <w:rPr>
                <w:rFonts w:hint="eastAsia"/>
                <w:color w:val="000000" w:themeColor="text1"/>
                <w:sz w:val="24"/>
              </w:rPr>
              <w:t>③生活用水</w:t>
            </w:r>
          </w:p>
          <w:p>
            <w:pPr>
              <w:spacing w:line="360" w:lineRule="auto"/>
              <w:ind w:firstLine="480" w:firstLineChars="200"/>
              <w:rPr>
                <w:sz w:val="24"/>
              </w:rPr>
            </w:pPr>
            <w:r>
              <w:rPr>
                <w:color w:val="000000" w:themeColor="text1"/>
                <w:sz w:val="24"/>
              </w:rPr>
              <w:t>项目共有工人</w:t>
            </w:r>
            <w:r>
              <w:rPr>
                <w:rFonts w:hint="eastAsia"/>
                <w:color w:val="000000" w:themeColor="text1"/>
                <w:sz w:val="24"/>
              </w:rPr>
              <w:t>20</w:t>
            </w:r>
            <w:r>
              <w:rPr>
                <w:color w:val="000000" w:themeColor="text1"/>
                <w:sz w:val="24"/>
              </w:rPr>
              <w:t>人，</w:t>
            </w:r>
            <w:r>
              <w:rPr>
                <w:rFonts w:hint="eastAsia"/>
                <w:color w:val="000000" w:themeColor="text1"/>
                <w:sz w:val="24"/>
              </w:rPr>
              <w:t>厂区不提供食堂及宿舍，</w:t>
            </w:r>
            <w:r>
              <w:rPr>
                <w:color w:val="000000" w:themeColor="text1"/>
                <w:sz w:val="24"/>
              </w:rPr>
              <w:t>生活用水按0.</w:t>
            </w:r>
            <w:r>
              <w:rPr>
                <w:rFonts w:hint="eastAsia"/>
                <w:color w:val="000000" w:themeColor="text1"/>
                <w:sz w:val="24"/>
              </w:rPr>
              <w:t>05</w:t>
            </w:r>
            <w:r>
              <w:rPr>
                <w:color w:val="000000" w:themeColor="text1"/>
                <w:sz w:val="24"/>
              </w:rPr>
              <w:t>m</w:t>
            </w:r>
            <w:r>
              <w:rPr>
                <w:color w:val="000000" w:themeColor="text1"/>
                <w:sz w:val="24"/>
                <w:vertAlign w:val="superscript"/>
              </w:rPr>
              <w:t>3</w:t>
            </w:r>
            <w:r>
              <w:rPr>
                <w:color w:val="000000" w:themeColor="text1"/>
                <w:sz w:val="24"/>
              </w:rPr>
              <w:t>/</w:t>
            </w:r>
            <w:r>
              <w:rPr>
                <w:rFonts w:hint="eastAsia"/>
                <w:color w:val="000000" w:themeColor="text1"/>
                <w:sz w:val="24"/>
              </w:rPr>
              <w:t>人</w:t>
            </w:r>
            <w:r>
              <w:rPr>
                <w:color w:val="000000" w:themeColor="text1"/>
                <w:sz w:val="24"/>
              </w:rPr>
              <w:t>·d计，全年工作</w:t>
            </w:r>
            <w:r>
              <w:rPr>
                <w:rFonts w:hint="eastAsia"/>
                <w:color w:val="000000" w:themeColor="text1"/>
                <w:sz w:val="24"/>
              </w:rPr>
              <w:t>300</w:t>
            </w:r>
            <w:r>
              <w:rPr>
                <w:color w:val="000000" w:themeColor="text1"/>
                <w:sz w:val="24"/>
              </w:rPr>
              <w:t>天，则年生活用水量为</w:t>
            </w:r>
            <w:r>
              <w:rPr>
                <w:rFonts w:hint="eastAsia"/>
                <w:color w:val="000000" w:themeColor="text1"/>
                <w:sz w:val="24"/>
              </w:rPr>
              <w:t>300</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废水排放系数按</w:t>
            </w:r>
            <w:r>
              <w:rPr>
                <w:color w:val="000000" w:themeColor="text1"/>
                <w:sz w:val="24"/>
              </w:rPr>
              <w:t xml:space="preserve">0.8 </w:t>
            </w:r>
            <w:r>
              <w:rPr>
                <w:rFonts w:hint="eastAsia"/>
                <w:color w:val="000000" w:themeColor="text1"/>
                <w:sz w:val="24"/>
              </w:rPr>
              <w:t>计，则生活污水产生量约为240</w:t>
            </w:r>
            <w:r>
              <w:rPr>
                <w:color w:val="000000" w:themeColor="text1"/>
                <w:sz w:val="24"/>
              </w:rPr>
              <w:t>m</w:t>
            </w:r>
            <w:r>
              <w:rPr>
                <w:color w:val="000000" w:themeColor="text1"/>
                <w:sz w:val="24"/>
                <w:vertAlign w:val="superscript"/>
              </w:rPr>
              <w:t>3</w:t>
            </w:r>
            <w:r>
              <w:rPr>
                <w:color w:val="000000" w:themeColor="text1"/>
                <w:sz w:val="24"/>
              </w:rPr>
              <w:t>/a</w:t>
            </w:r>
            <w:r>
              <w:rPr>
                <w:rFonts w:hint="eastAsia"/>
                <w:color w:val="000000" w:themeColor="text1"/>
                <w:sz w:val="24"/>
              </w:rPr>
              <w:t>。</w:t>
            </w:r>
          </w:p>
          <w:p>
            <w:pPr>
              <w:pStyle w:val="11"/>
              <w:adjustRightInd w:val="0"/>
              <w:snapToGrid w:val="0"/>
              <w:spacing w:line="360" w:lineRule="auto"/>
              <w:ind w:firstLine="480" w:firstLineChars="200"/>
              <w:rPr>
                <w:rFonts w:ascii="Times New Roman" w:hAnsi="Arial"/>
                <w:sz w:val="24"/>
                <w:szCs w:val="24"/>
              </w:rPr>
            </w:pPr>
            <w:r>
              <w:rPr>
                <w:rFonts w:hint="eastAsia" w:ascii="Times New Roman" w:hAnsi="Arial"/>
                <w:sz w:val="24"/>
                <w:szCs w:val="24"/>
              </w:rPr>
              <w:t>（3）排水工程：</w:t>
            </w:r>
          </w:p>
          <w:p>
            <w:pPr>
              <w:autoSpaceDE w:val="0"/>
              <w:autoSpaceDN w:val="0"/>
              <w:adjustRightInd w:val="0"/>
              <w:spacing w:line="360" w:lineRule="auto"/>
              <w:ind w:firstLine="480" w:firstLineChars="200"/>
              <w:jc w:val="left"/>
              <w:rPr>
                <w:color w:val="000000" w:themeColor="text1"/>
                <w:sz w:val="24"/>
              </w:rPr>
            </w:pPr>
            <w:r>
              <w:rPr>
                <w:rFonts w:hint="eastAsia"/>
                <w:color w:val="000000" w:themeColor="text1"/>
                <w:sz w:val="24"/>
              </w:rPr>
              <w:t>本项目排水采用雨污分流的形式，雨水直接通过厂区雨水管网排入市政雨水管网。</w:t>
            </w:r>
          </w:p>
          <w:p>
            <w:pPr>
              <w:autoSpaceDE w:val="0"/>
              <w:autoSpaceDN w:val="0"/>
              <w:adjustRightInd w:val="0"/>
              <w:spacing w:line="360" w:lineRule="auto"/>
              <w:ind w:firstLine="480" w:firstLineChars="200"/>
              <w:jc w:val="left"/>
              <w:rPr>
                <w:rFonts w:hAnsi="Arial"/>
                <w:color w:val="000000"/>
                <w:sz w:val="24"/>
                <w:szCs w:val="24"/>
              </w:rPr>
            </w:pPr>
            <w:r>
              <w:rPr>
                <w:rFonts w:hint="eastAsia"/>
                <w:color w:val="000000" w:themeColor="text1"/>
                <w:sz w:val="24"/>
              </w:rPr>
              <w:t>项目外排废水主要为员工日常生活污水及清洗废水等，达到</w:t>
            </w:r>
            <w:r>
              <w:rPr>
                <w:rFonts w:hint="eastAsia"/>
                <w:sz w:val="24"/>
                <w:szCs w:val="24"/>
              </w:rPr>
              <w:t>《污水排入城镇下水道水质标准》（</w:t>
            </w:r>
            <w:r>
              <w:rPr>
                <w:sz w:val="24"/>
                <w:szCs w:val="24"/>
              </w:rPr>
              <w:t>GB/T31962-2015</w:t>
            </w:r>
            <w:r>
              <w:rPr>
                <w:rFonts w:hint="eastAsia"/>
                <w:sz w:val="24"/>
                <w:szCs w:val="24"/>
              </w:rPr>
              <w:t>）表</w:t>
            </w:r>
            <w:r>
              <w:rPr>
                <w:sz w:val="24"/>
                <w:szCs w:val="24"/>
              </w:rPr>
              <w:t>1</w:t>
            </w:r>
            <w:r>
              <w:rPr>
                <w:rFonts w:hint="eastAsia"/>
                <w:sz w:val="24"/>
                <w:szCs w:val="24"/>
              </w:rPr>
              <w:t>中</w:t>
            </w:r>
            <w:r>
              <w:rPr>
                <w:sz w:val="24"/>
                <w:szCs w:val="24"/>
              </w:rPr>
              <w:t>B</w:t>
            </w:r>
            <w:r>
              <w:rPr>
                <w:rFonts w:hint="eastAsia"/>
                <w:sz w:val="24"/>
                <w:szCs w:val="24"/>
              </w:rPr>
              <w:t>等级</w:t>
            </w:r>
            <w:r>
              <w:rPr>
                <w:rFonts w:hint="eastAsia"/>
                <w:color w:val="000000" w:themeColor="text1"/>
                <w:sz w:val="24"/>
              </w:rPr>
              <w:t>标准后，经市政污水管网</w:t>
            </w:r>
            <w:r>
              <w:rPr>
                <w:rFonts w:hAnsi="Arial"/>
                <w:color w:val="000000"/>
                <w:sz w:val="24"/>
                <w:szCs w:val="24"/>
              </w:rPr>
              <w:t>输送至</w:t>
            </w:r>
            <w:r>
              <w:rPr>
                <w:rFonts w:hint="eastAsia" w:hAnsi="Arial"/>
                <w:color w:val="000000"/>
                <w:sz w:val="24"/>
                <w:szCs w:val="24"/>
              </w:rPr>
              <w:t>临港区</w:t>
            </w:r>
            <w:r>
              <w:rPr>
                <w:rFonts w:hAnsi="Arial"/>
                <w:color w:val="000000"/>
                <w:sz w:val="24"/>
                <w:szCs w:val="24"/>
              </w:rPr>
              <w:t>污水处理厂集中处理。</w:t>
            </w:r>
          </w:p>
          <w:p>
            <w:pPr>
              <w:snapToGrid w:val="0"/>
              <w:spacing w:line="353" w:lineRule="auto"/>
              <w:ind w:firstLine="480" w:firstLineChars="200"/>
              <w:rPr>
                <w:sz w:val="24"/>
              </w:rPr>
            </w:pPr>
            <w:r>
              <w:rPr>
                <w:rFonts w:hint="eastAsia"/>
                <w:sz w:val="24"/>
              </w:rPr>
              <w:t>项目水平衡见图2：</w:t>
            </w:r>
          </w:p>
          <w:p>
            <w:pPr>
              <w:adjustRightInd w:val="0"/>
              <w:snapToGrid w:val="0"/>
              <w:spacing w:line="360" w:lineRule="auto"/>
              <w:ind w:firstLine="600" w:firstLineChars="200"/>
              <w:rPr>
                <w:rFonts w:eastAsia="黑体"/>
                <w:sz w:val="24"/>
              </w:rPr>
            </w:pPr>
            <w:r>
              <w:object>
                <v:shape id="_x0000_i1026" o:spt="75" type="#_x0000_t75" style="height:139.5pt;width:339.75pt;" o:ole="t" filled="f" coordsize="21600,21600">
                  <v:path/>
                  <v:fill on="f" focussize="0,0"/>
                  <v:stroke/>
                  <v:imagedata r:id="rId17" o:title=""/>
                  <o:lock v:ext="edit" aspectratio="t"/>
                  <w10:wrap type="none"/>
                  <w10:anchorlock/>
                </v:shape>
                <o:OLEObject Type="Embed" ProgID="Visio.Drawing.11" ShapeID="_x0000_i1026" DrawAspect="Content" ObjectID="_1468075726" r:id="rId16">
                  <o:LockedField>false</o:LockedField>
                </o:OLEObject>
              </w:object>
            </w:r>
          </w:p>
          <w:p>
            <w:pPr>
              <w:adjustRightInd w:val="0"/>
              <w:snapToGrid w:val="0"/>
              <w:spacing w:line="360" w:lineRule="auto"/>
              <w:ind w:firstLine="480" w:firstLineChars="200"/>
              <w:jc w:val="center"/>
              <w:rPr>
                <w:rFonts w:eastAsia="黑体"/>
                <w:sz w:val="24"/>
              </w:rPr>
            </w:pPr>
            <w:r>
              <w:rPr>
                <w:rFonts w:hint="eastAsia" w:eastAsia="黑体"/>
                <w:sz w:val="24"/>
              </w:rPr>
              <w:t>图2 项目水平衡图（单位：m</w:t>
            </w:r>
            <w:r>
              <w:rPr>
                <w:rFonts w:hint="eastAsia" w:eastAsia="黑体"/>
                <w:sz w:val="24"/>
                <w:vertAlign w:val="superscript"/>
              </w:rPr>
              <w:t>3</w:t>
            </w:r>
            <w:r>
              <w:rPr>
                <w:rFonts w:hint="eastAsia" w:eastAsia="黑体"/>
                <w:sz w:val="24"/>
              </w:rPr>
              <w:t>/a）</w:t>
            </w:r>
          </w:p>
          <w:p>
            <w:pPr>
              <w:pStyle w:val="61"/>
              <w:shd w:val="clear" w:color="auto" w:fill="auto"/>
              <w:spacing w:before="0" w:line="360" w:lineRule="auto"/>
              <w:ind w:left="23"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（4）暖通工程：</w:t>
            </w:r>
          </w:p>
          <w:p>
            <w:pPr>
              <w:pStyle w:val="61"/>
              <w:shd w:val="clear" w:color="auto" w:fill="auto"/>
              <w:spacing w:before="0" w:line="360" w:lineRule="auto"/>
              <w:ind w:left="23" w:firstLine="482"/>
              <w:jc w:val="both"/>
              <w:rPr>
                <w:rFonts w:ascii="Times New Roman" w:hAnsi="Arial" w:eastAsia="宋体" w:cs="Times New Roman"/>
                <w:spacing w:val="0"/>
                <w:kern w:val="2"/>
                <w:sz w:val="24"/>
                <w:szCs w:val="24"/>
              </w:rPr>
            </w:pPr>
            <w:r>
              <w:rPr>
                <w:rFonts w:hint="eastAsia" w:ascii="Times New Roman" w:hAnsi="Arial" w:eastAsia="宋体" w:cs="Times New Roman"/>
                <w:spacing w:val="0"/>
                <w:kern w:val="2"/>
                <w:sz w:val="24"/>
                <w:szCs w:val="24"/>
              </w:rPr>
              <w:t>项目不设锅炉，冬季采暖夏季纳凉采用电。</w:t>
            </w:r>
          </w:p>
          <w:p>
            <w:pPr>
              <w:pStyle w:val="61"/>
              <w:shd w:val="clear" w:color="auto" w:fill="auto"/>
              <w:spacing w:before="0" w:line="360" w:lineRule="auto"/>
              <w:ind w:left="23" w:firstLine="482"/>
              <w:jc w:val="both"/>
              <w:rPr>
                <w:rFonts w:ascii="Times New Roman" w:hAnsi="Times New Roman" w:eastAsia="黑体" w:cs="Times New Roman"/>
                <w:color w:val="000000" w:themeColor="text1"/>
                <w:spacing w:val="0"/>
                <w:kern w:val="2"/>
                <w:sz w:val="24"/>
                <w:szCs w:val="24"/>
              </w:rPr>
            </w:pPr>
            <w:r>
              <w:rPr>
                <w:rFonts w:hint="eastAsia" w:ascii="Times New Roman" w:hAnsi="Times New Roman" w:eastAsia="黑体" w:cs="Times New Roman"/>
                <w:color w:val="000000" w:themeColor="text1"/>
                <w:spacing w:val="0"/>
                <w:kern w:val="2"/>
                <w:sz w:val="24"/>
                <w:szCs w:val="24"/>
              </w:rPr>
              <w:t>三、产业政策符合性分析</w:t>
            </w:r>
          </w:p>
          <w:p>
            <w:pPr>
              <w:autoSpaceDE w:val="0"/>
              <w:autoSpaceDN w:val="0"/>
              <w:adjustRightInd w:val="0"/>
              <w:snapToGrid w:val="0"/>
              <w:spacing w:line="360" w:lineRule="auto"/>
              <w:ind w:firstLine="600" w:firstLineChars="250"/>
              <w:rPr>
                <w:snapToGrid w:val="0"/>
                <w:color w:val="000000"/>
                <w:sz w:val="24"/>
                <w:szCs w:val="24"/>
              </w:rPr>
            </w:pPr>
            <w:r>
              <w:rPr>
                <w:snapToGrid w:val="0"/>
                <w:color w:val="000000"/>
                <w:sz w:val="24"/>
                <w:szCs w:val="24"/>
              </w:rPr>
              <w:t>（1）产业政策符合性</w:t>
            </w:r>
          </w:p>
          <w:p>
            <w:pPr>
              <w:autoSpaceDE w:val="0"/>
              <w:autoSpaceDN w:val="0"/>
              <w:adjustRightInd w:val="0"/>
              <w:snapToGrid w:val="0"/>
              <w:spacing w:line="360" w:lineRule="auto"/>
              <w:ind w:firstLine="480" w:firstLineChars="200"/>
              <w:rPr>
                <w:snapToGrid w:val="0"/>
                <w:color w:val="000000"/>
                <w:sz w:val="24"/>
                <w:szCs w:val="24"/>
              </w:rPr>
            </w:pPr>
            <w:r>
              <w:rPr>
                <w:rFonts w:hint="eastAsia"/>
                <w:snapToGrid w:val="0"/>
                <w:color w:val="000000"/>
                <w:sz w:val="24"/>
                <w:szCs w:val="24"/>
              </w:rPr>
              <w:t>根据</w:t>
            </w:r>
            <w:r>
              <w:rPr>
                <w:snapToGrid w:val="0"/>
                <w:color w:val="000000"/>
                <w:sz w:val="24"/>
                <w:szCs w:val="24"/>
              </w:rPr>
              <w:t>《产业结构调整指导目录（201</w:t>
            </w:r>
            <w:r>
              <w:rPr>
                <w:rFonts w:hint="eastAsia"/>
                <w:snapToGrid w:val="0"/>
                <w:color w:val="000000"/>
                <w:sz w:val="24"/>
                <w:szCs w:val="24"/>
              </w:rPr>
              <w:t>9</w:t>
            </w:r>
            <w:r>
              <w:rPr>
                <w:snapToGrid w:val="0"/>
                <w:color w:val="000000"/>
                <w:sz w:val="24"/>
                <w:szCs w:val="24"/>
              </w:rPr>
              <w:t>年本）》，本项目不属于鼓励类、限制类、淘汰类，属于允许类，符合国家产业政策。</w:t>
            </w:r>
          </w:p>
          <w:p>
            <w:pPr>
              <w:autoSpaceDE w:val="0"/>
              <w:autoSpaceDN w:val="0"/>
              <w:adjustRightInd w:val="0"/>
              <w:snapToGrid w:val="0"/>
              <w:spacing w:line="360" w:lineRule="auto"/>
              <w:ind w:firstLine="600" w:firstLineChars="250"/>
              <w:rPr>
                <w:snapToGrid w:val="0"/>
                <w:color w:val="000000"/>
                <w:sz w:val="24"/>
                <w:szCs w:val="24"/>
              </w:rPr>
            </w:pPr>
            <w:r>
              <w:rPr>
                <w:rFonts w:hint="eastAsia"/>
                <w:snapToGrid w:val="0"/>
                <w:color w:val="000000"/>
                <w:sz w:val="24"/>
                <w:szCs w:val="24"/>
              </w:rPr>
              <w:t>（2）</w:t>
            </w:r>
            <w:r>
              <w:rPr>
                <w:snapToGrid w:val="0"/>
                <w:color w:val="000000"/>
                <w:sz w:val="24"/>
                <w:szCs w:val="24"/>
              </w:rPr>
              <w:t>建设项目与《山东省重点行业挥发性有机物专项治理方案》符合性分析</w:t>
            </w:r>
          </w:p>
          <w:p>
            <w:pPr>
              <w:autoSpaceDE w:val="0"/>
              <w:autoSpaceDN w:val="0"/>
              <w:adjustRightInd w:val="0"/>
              <w:snapToGrid w:val="0"/>
              <w:spacing w:line="360" w:lineRule="auto"/>
              <w:ind w:firstLine="480" w:firstLineChars="200"/>
              <w:rPr>
                <w:snapToGrid w:val="0"/>
                <w:color w:val="000000"/>
                <w:sz w:val="24"/>
                <w:szCs w:val="24"/>
              </w:rPr>
            </w:pPr>
            <w:r>
              <w:rPr>
                <w:snapToGrid w:val="0"/>
                <w:color w:val="000000"/>
                <w:sz w:val="24"/>
                <w:szCs w:val="24"/>
              </w:rPr>
              <w:t>根据《山东省重点行业挥发性有机物专项治理方案》的治理要求，项目属于C</w:t>
            </w:r>
            <w:r>
              <w:rPr>
                <w:rFonts w:hint="eastAsia"/>
                <w:snapToGrid w:val="0"/>
                <w:color w:val="000000"/>
                <w:sz w:val="24"/>
                <w:szCs w:val="24"/>
              </w:rPr>
              <w:t>3049其他玻璃制造</w:t>
            </w:r>
            <w:r>
              <w:rPr>
                <w:snapToGrid w:val="0"/>
                <w:color w:val="000000"/>
                <w:sz w:val="24"/>
                <w:szCs w:val="24"/>
              </w:rPr>
              <w:t>，</w:t>
            </w:r>
            <w:r>
              <w:rPr>
                <w:rFonts w:hint="eastAsia"/>
                <w:snapToGrid w:val="0"/>
                <w:color w:val="000000"/>
                <w:sz w:val="24"/>
                <w:szCs w:val="24"/>
              </w:rPr>
              <w:t>不属于重点行业，</w:t>
            </w:r>
            <w:r>
              <w:rPr>
                <w:snapToGrid w:val="0"/>
                <w:color w:val="000000"/>
                <w:sz w:val="24"/>
                <w:szCs w:val="24"/>
              </w:rPr>
              <w:t>本行业挥发性有机物治理参照本方案执行。</w:t>
            </w:r>
          </w:p>
          <w:p>
            <w:pPr>
              <w:autoSpaceDE w:val="0"/>
              <w:autoSpaceDN w:val="0"/>
              <w:adjustRightInd w:val="0"/>
              <w:snapToGrid w:val="0"/>
              <w:spacing w:line="360" w:lineRule="auto"/>
              <w:ind w:firstLine="480" w:firstLineChars="200"/>
              <w:rPr>
                <w:snapToGrid w:val="0"/>
                <w:color w:val="000000"/>
                <w:sz w:val="24"/>
                <w:szCs w:val="24"/>
              </w:rPr>
            </w:pPr>
            <w:r>
              <w:rPr>
                <w:snapToGrid w:val="0"/>
                <w:color w:val="000000"/>
                <w:sz w:val="24"/>
                <w:szCs w:val="24"/>
              </w:rPr>
              <w:t>项目</w:t>
            </w:r>
            <w:r>
              <w:rPr>
                <w:rFonts w:hint="eastAsia"/>
                <w:snapToGrid w:val="0"/>
                <w:color w:val="000000"/>
                <w:sz w:val="24"/>
                <w:szCs w:val="24"/>
              </w:rPr>
              <w:t>产生有机废气的工段</w:t>
            </w:r>
            <w:r>
              <w:rPr>
                <w:snapToGrid w:val="0"/>
                <w:color w:val="000000"/>
                <w:sz w:val="24"/>
                <w:szCs w:val="24"/>
              </w:rPr>
              <w:t>配备了废气收集装置</w:t>
            </w:r>
            <w:r>
              <w:rPr>
                <w:rFonts w:hint="eastAsia"/>
                <w:snapToGrid w:val="0"/>
                <w:color w:val="000000"/>
                <w:sz w:val="24"/>
                <w:szCs w:val="24"/>
              </w:rPr>
              <w:t>及“活性炭吸附“</w:t>
            </w:r>
            <w:r>
              <w:rPr>
                <w:snapToGrid w:val="0"/>
                <w:color w:val="000000"/>
                <w:sz w:val="24"/>
                <w:szCs w:val="24"/>
              </w:rPr>
              <w:t>处理系统，有机废气处理后达标排放。项目按照要求建立台账，记录生产原料、辅料的使用量、废弃量和去向。因此，项目符合《山东省重点行业挥发性有机物专项治理方案》的治理要求。</w:t>
            </w:r>
          </w:p>
          <w:p>
            <w:pPr>
              <w:spacing w:line="360" w:lineRule="auto"/>
              <w:ind w:firstLine="480" w:firstLineChars="200"/>
              <w:rPr>
                <w:rFonts w:eastAsia="黑体"/>
                <w:color w:val="000000"/>
                <w:sz w:val="24"/>
                <w:szCs w:val="24"/>
              </w:rPr>
            </w:pPr>
            <w:r>
              <w:rPr>
                <w:rFonts w:hint="eastAsia" w:eastAsia="黑体"/>
                <w:color w:val="000000"/>
                <w:sz w:val="24"/>
                <w:szCs w:val="24"/>
              </w:rPr>
              <w:t>四、规划符合性</w:t>
            </w:r>
          </w:p>
          <w:p>
            <w:pPr>
              <w:spacing w:line="360" w:lineRule="auto"/>
              <w:ind w:firstLine="480" w:firstLineChars="200"/>
              <w:rPr>
                <w:color w:val="000000"/>
                <w:sz w:val="24"/>
                <w:szCs w:val="24"/>
              </w:rPr>
            </w:pPr>
            <w:r>
              <w:rPr>
                <w:rFonts w:hint="eastAsia" w:hAnsi="Arial"/>
                <w:color w:val="000000"/>
                <w:sz w:val="24"/>
                <w:szCs w:val="24"/>
              </w:rPr>
              <w:t>1、</w:t>
            </w:r>
            <w:r>
              <w:rPr>
                <w:rFonts w:hint="eastAsia"/>
                <w:color w:val="000000"/>
                <w:sz w:val="24"/>
                <w:szCs w:val="24"/>
              </w:rPr>
              <w:t>规划符合性</w:t>
            </w:r>
          </w:p>
          <w:p>
            <w:pPr>
              <w:spacing w:line="360" w:lineRule="auto"/>
              <w:ind w:firstLine="480" w:firstLineChars="200"/>
              <w:rPr>
                <w:color w:val="000000" w:themeColor="text1"/>
                <w:sz w:val="24"/>
                <w:szCs w:val="24"/>
              </w:rPr>
            </w:pPr>
            <w:r>
              <w:rPr>
                <w:rFonts w:hint="eastAsia"/>
                <w:color w:val="000000" w:themeColor="text1"/>
                <w:sz w:val="24"/>
                <w:szCs w:val="24"/>
              </w:rPr>
              <w:t>项目用地为工业用地（详见报告附件-土地使用权证），选址符合当地</w:t>
            </w:r>
            <w:r>
              <w:rPr>
                <w:color w:val="000000" w:themeColor="text1"/>
                <w:sz w:val="24"/>
                <w:szCs w:val="24"/>
              </w:rPr>
              <w:t>城市规划，</w:t>
            </w:r>
            <w:r>
              <w:rPr>
                <w:rFonts w:hint="eastAsia"/>
                <w:color w:val="000000" w:themeColor="text1"/>
                <w:sz w:val="24"/>
                <w:szCs w:val="24"/>
              </w:rPr>
              <w:t>符合国家土地利用政策。</w:t>
            </w:r>
          </w:p>
          <w:p>
            <w:pPr>
              <w:spacing w:line="360" w:lineRule="auto"/>
              <w:ind w:firstLine="480" w:firstLineChars="200"/>
              <w:rPr>
                <w:color w:val="000000"/>
                <w:sz w:val="24"/>
                <w:szCs w:val="24"/>
              </w:rPr>
            </w:pPr>
            <w:r>
              <w:rPr>
                <w:rFonts w:hint="eastAsia"/>
                <w:color w:val="000000"/>
                <w:sz w:val="24"/>
                <w:szCs w:val="24"/>
              </w:rPr>
              <w:t>2、与</w:t>
            </w:r>
            <w:r>
              <w:rPr>
                <w:rFonts w:hint="eastAsia"/>
                <w:sz w:val="24"/>
                <w:szCs w:val="24"/>
              </w:rPr>
              <w:t>《山东省生态保护红线规划》（2016-2020）符合性分析</w:t>
            </w:r>
          </w:p>
          <w:p>
            <w:pPr>
              <w:spacing w:line="360" w:lineRule="auto"/>
              <w:ind w:firstLine="480" w:firstLineChars="200"/>
              <w:rPr>
                <w:sz w:val="24"/>
                <w:szCs w:val="24"/>
              </w:rPr>
            </w:pPr>
            <w:r>
              <w:rPr>
                <w:rFonts w:hint="eastAsia"/>
                <w:sz w:val="24"/>
                <w:szCs w:val="24"/>
              </w:rPr>
              <w:t>根据《山东省生态保护红线规划》（2016-2020），威海市区内有八处生态保护红线，分别是环翠区南部水源涵养生态保护红线区（SD-10-B1-01）、环翠区崮山水库水源涵养生态保护红线区（SD-10-B1-02）、环翠区老虎山土壤保持生态保护红线区（SD-10-B2-01）、双岛防风固沙生态保护红线区（SD-10-B3-01）、环翠区棉花山生态多样性维护生态保护红线区（SD-10-B4-01）、刘公岛生物多样性维护生态保护红线区（SD-10-B4-02）、环翠区里口山生物多样性维护生态保护红线区（SD-10-B4-03）、环翠区正棋山生物多样性维护生态保护红线区（SD-10-B4-04）。</w:t>
            </w:r>
          </w:p>
          <w:p>
            <w:pPr>
              <w:spacing w:line="360" w:lineRule="auto"/>
              <w:ind w:firstLine="480" w:firstLineChars="200"/>
              <w:rPr>
                <w:color w:val="000000"/>
                <w:sz w:val="24"/>
              </w:rPr>
            </w:pPr>
            <w:r>
              <w:rPr>
                <w:rFonts w:hint="eastAsia"/>
                <w:sz w:val="24"/>
                <w:szCs w:val="24"/>
              </w:rPr>
              <w:t>本项目不位于生态保护红线内，符合《山东省生态保护红线规划》（2016-2020）要求。</w:t>
            </w:r>
          </w:p>
          <w:p>
            <w:pPr>
              <w:spacing w:line="360" w:lineRule="auto"/>
              <w:ind w:firstLine="480" w:firstLineChars="200"/>
              <w:rPr>
                <w:rFonts w:eastAsia="黑体"/>
                <w:color w:val="000000"/>
                <w:sz w:val="24"/>
                <w:szCs w:val="24"/>
              </w:rPr>
            </w:pPr>
            <w:r>
              <w:rPr>
                <w:rFonts w:hint="eastAsia" w:eastAsia="黑体"/>
                <w:color w:val="000000"/>
                <w:sz w:val="24"/>
                <w:szCs w:val="24"/>
              </w:rPr>
              <w:t>五、</w:t>
            </w:r>
            <w:r>
              <w:rPr>
                <w:rFonts w:eastAsia="黑体"/>
                <w:color w:val="000000"/>
                <w:sz w:val="24"/>
                <w:szCs w:val="24"/>
              </w:rPr>
              <w:t>项目与《大气污染防治行动计划》（气十条）国发[2013]37号文符合性分析</w:t>
            </w:r>
          </w:p>
          <w:p>
            <w:pPr>
              <w:spacing w:line="360" w:lineRule="auto"/>
              <w:ind w:firstLine="480" w:firstLineChars="200"/>
              <w:jc w:val="left"/>
              <w:rPr>
                <w:rFonts w:hAnsi="Arial"/>
                <w:color w:val="000000" w:themeColor="text1"/>
                <w:sz w:val="24"/>
                <w:szCs w:val="24"/>
              </w:rPr>
            </w:pPr>
            <w:r>
              <w:rPr>
                <w:rFonts w:hint="eastAsia" w:hAnsi="Arial"/>
                <w:color w:val="000000" w:themeColor="text1"/>
                <w:sz w:val="24"/>
                <w:szCs w:val="24"/>
              </w:rPr>
              <w:t>项目与</w:t>
            </w:r>
            <w:r>
              <w:rPr>
                <w:rFonts w:hAnsi="Arial"/>
                <w:color w:val="000000"/>
                <w:sz w:val="24"/>
                <w:szCs w:val="24"/>
              </w:rPr>
              <w:t>《大气污染防治行动计划》</w:t>
            </w:r>
            <w:r>
              <w:rPr>
                <w:rFonts w:hint="eastAsia" w:hAnsi="Arial"/>
                <w:color w:val="000000"/>
                <w:sz w:val="24"/>
                <w:szCs w:val="24"/>
              </w:rPr>
              <w:t>符合性分析</w:t>
            </w:r>
            <w:r>
              <w:rPr>
                <w:rFonts w:hint="eastAsia" w:hAnsi="Arial"/>
                <w:color w:val="000000" w:themeColor="text1"/>
                <w:sz w:val="24"/>
                <w:szCs w:val="24"/>
              </w:rPr>
              <w:t>见表6。</w:t>
            </w:r>
          </w:p>
          <w:p>
            <w:pPr>
              <w:ind w:firstLine="480" w:firstLineChars="200"/>
              <w:jc w:val="center"/>
              <w:rPr>
                <w:rFonts w:eastAsia="黑体"/>
                <w:sz w:val="24"/>
                <w:szCs w:val="24"/>
              </w:rPr>
            </w:pPr>
            <w:r>
              <w:rPr>
                <w:rFonts w:eastAsia="黑体"/>
                <w:sz w:val="24"/>
                <w:szCs w:val="24"/>
              </w:rPr>
              <w:t>表</w:t>
            </w:r>
            <w:r>
              <w:rPr>
                <w:rFonts w:hint="eastAsia" w:eastAsia="黑体"/>
                <w:sz w:val="24"/>
                <w:szCs w:val="24"/>
              </w:rPr>
              <w:t>6</w:t>
            </w:r>
            <w:r>
              <w:rPr>
                <w:rFonts w:eastAsia="黑体"/>
                <w:sz w:val="24"/>
                <w:szCs w:val="24"/>
              </w:rPr>
              <w:t xml:space="preserve"> 项目与《大气污染防治行动计划》符合性一览表 </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4"/>
              <w:gridCol w:w="5293"/>
              <w:gridCol w:w="1420"/>
              <w:gridCol w:w="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Align w:val="center"/>
                </w:tcPr>
                <w:p>
                  <w:pPr>
                    <w:ind w:left="-141" w:leftChars="-47" w:right="-228" w:rightChars="-76"/>
                    <w:jc w:val="center"/>
                    <w:rPr>
                      <w:sz w:val="21"/>
                      <w:szCs w:val="21"/>
                    </w:rPr>
                  </w:pPr>
                  <w:r>
                    <w:rPr>
                      <w:sz w:val="21"/>
                      <w:szCs w:val="21"/>
                    </w:rPr>
                    <w:t>名称</w:t>
                  </w:r>
                </w:p>
              </w:tc>
              <w:tc>
                <w:tcPr>
                  <w:tcW w:w="5293" w:type="dxa"/>
                  <w:vAlign w:val="center"/>
                </w:tcPr>
                <w:p>
                  <w:pPr>
                    <w:jc w:val="center"/>
                    <w:rPr>
                      <w:sz w:val="21"/>
                      <w:szCs w:val="21"/>
                    </w:rPr>
                  </w:pPr>
                  <w:r>
                    <w:rPr>
                      <w:sz w:val="21"/>
                      <w:szCs w:val="21"/>
                    </w:rPr>
                    <w:t>政策要求</w:t>
                  </w:r>
                </w:p>
              </w:tc>
              <w:tc>
                <w:tcPr>
                  <w:tcW w:w="1420" w:type="dxa"/>
                  <w:vAlign w:val="center"/>
                </w:tcPr>
                <w:p>
                  <w:pPr>
                    <w:jc w:val="center"/>
                    <w:rPr>
                      <w:sz w:val="21"/>
                      <w:szCs w:val="21"/>
                    </w:rPr>
                  </w:pPr>
                  <w:r>
                    <w:rPr>
                      <w:sz w:val="21"/>
                      <w:szCs w:val="21"/>
                    </w:rPr>
                    <w:t>项目情况</w:t>
                  </w:r>
                </w:p>
              </w:tc>
              <w:tc>
                <w:tcPr>
                  <w:tcW w:w="691" w:type="dxa"/>
                  <w:vAlign w:val="center"/>
                </w:tcPr>
                <w:p>
                  <w:pPr>
                    <w:jc w:val="center"/>
                    <w:rPr>
                      <w:sz w:val="21"/>
                      <w:szCs w:val="21"/>
                    </w:rPr>
                  </w:pPr>
                  <w:r>
                    <w:rPr>
                      <w:sz w:val="21"/>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Merge w:val="restart"/>
                  <w:vAlign w:val="center"/>
                </w:tcPr>
                <w:p>
                  <w:pPr>
                    <w:jc w:val="center"/>
                    <w:rPr>
                      <w:sz w:val="21"/>
                      <w:szCs w:val="21"/>
                    </w:rPr>
                  </w:pPr>
                  <w:r>
                    <w:rPr>
                      <w:sz w:val="21"/>
                      <w:szCs w:val="21"/>
                    </w:rPr>
                    <w:t>《大气污染防治行动计划》</w:t>
                  </w:r>
                </w:p>
                <w:p>
                  <w:pPr>
                    <w:jc w:val="center"/>
                    <w:rPr>
                      <w:sz w:val="21"/>
                      <w:szCs w:val="21"/>
                    </w:rPr>
                  </w:pPr>
                  <w:r>
                    <w:rPr>
                      <w:sz w:val="21"/>
                      <w:szCs w:val="21"/>
                    </w:rPr>
                    <w:t>（气十条）国发[2013]37号</w:t>
                  </w:r>
                </w:p>
              </w:tc>
              <w:tc>
                <w:tcPr>
                  <w:tcW w:w="5293" w:type="dxa"/>
                </w:tcPr>
                <w:p>
                  <w:pPr>
                    <w:rPr>
                      <w:sz w:val="21"/>
                      <w:szCs w:val="21"/>
                    </w:rPr>
                  </w:pPr>
                  <w:r>
                    <w:rPr>
                      <w:sz w:val="21"/>
                      <w:szCs w:val="21"/>
                    </w:rPr>
                    <w:t>加强工业企业大气污染综合治理。全面整治燃煤小锅炉。加快推进集中供热、“煤改气”、“煤改电”工程建设，到2017年，除必要保留的以外，地级及以上城市建成区基本淘汰每小时10蒸吨及以下的燃煤锅炉，禁止新建每小时20蒸吨以下的燃煤锅炉；其他地区原则上不再新建每小时10蒸吨以下的燃煤锅炉。</w:t>
                  </w:r>
                </w:p>
              </w:tc>
              <w:tc>
                <w:tcPr>
                  <w:tcW w:w="1420" w:type="dxa"/>
                  <w:vAlign w:val="center"/>
                </w:tcPr>
                <w:p>
                  <w:pPr>
                    <w:jc w:val="center"/>
                    <w:rPr>
                      <w:sz w:val="21"/>
                      <w:szCs w:val="21"/>
                    </w:rPr>
                  </w:pPr>
                  <w:r>
                    <w:rPr>
                      <w:sz w:val="21"/>
                      <w:szCs w:val="21"/>
                    </w:rPr>
                    <w:t>项目不新上锅炉。</w:t>
                  </w:r>
                </w:p>
              </w:tc>
              <w:tc>
                <w:tcPr>
                  <w:tcW w:w="691" w:type="dxa"/>
                  <w:vAlign w:val="center"/>
                </w:tcPr>
                <w:p>
                  <w:pPr>
                    <w:jc w:val="center"/>
                    <w:rPr>
                      <w:sz w:val="21"/>
                      <w:szCs w:val="21"/>
                    </w:rPr>
                  </w:pPr>
                  <w:r>
                    <w:rPr>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Merge w:val="continue"/>
                  <w:vAlign w:val="center"/>
                </w:tcPr>
                <w:p>
                  <w:pPr>
                    <w:jc w:val="center"/>
                    <w:rPr>
                      <w:sz w:val="21"/>
                      <w:szCs w:val="21"/>
                    </w:rPr>
                  </w:pPr>
                </w:p>
              </w:tc>
              <w:tc>
                <w:tcPr>
                  <w:tcW w:w="5293" w:type="dxa"/>
                </w:tcPr>
                <w:p>
                  <w:pPr>
                    <w:rPr>
                      <w:sz w:val="21"/>
                      <w:szCs w:val="21"/>
                    </w:rPr>
                  </w:pPr>
                  <w:r>
                    <w:rPr>
                      <w:sz w:val="21"/>
                      <w:szCs w:val="21"/>
                    </w:rPr>
                    <w:t>严控“两高”行业新增产能。修订高耗能、高污染和资源性行业准入条件，明确资源能源节约和污染物排放等指标。有条件的地区要制定符合当地功能定位、严于国家要求的产业准入目录。严格控制“两高”行业新增产能，新、改、扩建项目要实行产能等量或减量置换。</w:t>
                  </w:r>
                </w:p>
              </w:tc>
              <w:tc>
                <w:tcPr>
                  <w:tcW w:w="1420" w:type="dxa"/>
                  <w:vAlign w:val="center"/>
                </w:tcPr>
                <w:p>
                  <w:pPr>
                    <w:jc w:val="center"/>
                    <w:rPr>
                      <w:sz w:val="21"/>
                      <w:szCs w:val="21"/>
                    </w:rPr>
                  </w:pPr>
                  <w:r>
                    <w:rPr>
                      <w:sz w:val="21"/>
                      <w:szCs w:val="21"/>
                    </w:rPr>
                    <w:t>项目不属于高污染、高能耗和资源性行业。</w:t>
                  </w:r>
                </w:p>
              </w:tc>
              <w:tc>
                <w:tcPr>
                  <w:tcW w:w="691" w:type="dxa"/>
                  <w:vAlign w:val="center"/>
                </w:tcPr>
                <w:p>
                  <w:pPr>
                    <w:jc w:val="center"/>
                    <w:rPr>
                      <w:sz w:val="21"/>
                      <w:szCs w:val="21"/>
                    </w:rPr>
                  </w:pPr>
                  <w:r>
                    <w:rPr>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Merge w:val="continue"/>
                  <w:vAlign w:val="center"/>
                </w:tcPr>
                <w:p>
                  <w:pPr>
                    <w:jc w:val="center"/>
                    <w:rPr>
                      <w:sz w:val="21"/>
                      <w:szCs w:val="21"/>
                    </w:rPr>
                  </w:pPr>
                </w:p>
              </w:tc>
              <w:tc>
                <w:tcPr>
                  <w:tcW w:w="5293" w:type="dxa"/>
                </w:tcPr>
                <w:p>
                  <w:pPr>
                    <w:rPr>
                      <w:sz w:val="21"/>
                      <w:szCs w:val="21"/>
                    </w:rPr>
                  </w:pPr>
                  <w:r>
                    <w:rPr>
                      <w:sz w:val="21"/>
                      <w:szCs w:val="21"/>
                    </w:rPr>
                    <w:t>严禁核准产能严重过剩行业新增产能项目。坚决停建产能严重过剩行业违规在建项目。认真清理产能严重过剩行业违规在建项目，对未批先建、边批边建、越权核准的违规项目，尚未开工建设的，不准开工；正在建设的，要停止建设。地方人民政府要加强组织领导和监督检查，坚决遏制产能严重过剩行业盲目扩张。</w:t>
                  </w:r>
                </w:p>
              </w:tc>
              <w:tc>
                <w:tcPr>
                  <w:tcW w:w="1420" w:type="dxa"/>
                  <w:vAlign w:val="center"/>
                </w:tcPr>
                <w:p>
                  <w:pPr>
                    <w:jc w:val="center"/>
                    <w:rPr>
                      <w:sz w:val="21"/>
                      <w:szCs w:val="21"/>
                    </w:rPr>
                  </w:pPr>
                  <w:r>
                    <w:rPr>
                      <w:sz w:val="21"/>
                      <w:szCs w:val="21"/>
                    </w:rPr>
                    <w:t>项目不属于产能严重过剩项目。</w:t>
                  </w:r>
                </w:p>
              </w:tc>
              <w:tc>
                <w:tcPr>
                  <w:tcW w:w="691" w:type="dxa"/>
                  <w:vAlign w:val="center"/>
                </w:tcPr>
                <w:p>
                  <w:pPr>
                    <w:jc w:val="center"/>
                    <w:rPr>
                      <w:sz w:val="21"/>
                      <w:szCs w:val="21"/>
                    </w:rPr>
                  </w:pPr>
                  <w:r>
                    <w:rPr>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4" w:type="dxa"/>
                  <w:vMerge w:val="continue"/>
                  <w:vAlign w:val="center"/>
                </w:tcPr>
                <w:p>
                  <w:pPr>
                    <w:jc w:val="center"/>
                    <w:rPr>
                      <w:sz w:val="21"/>
                      <w:szCs w:val="21"/>
                    </w:rPr>
                  </w:pPr>
                </w:p>
              </w:tc>
              <w:tc>
                <w:tcPr>
                  <w:tcW w:w="5293" w:type="dxa"/>
                </w:tcPr>
                <w:p>
                  <w:pPr>
                    <w:rPr>
                      <w:sz w:val="21"/>
                      <w:szCs w:val="21"/>
                    </w:rPr>
                  </w:pPr>
                  <w:r>
                    <w:rPr>
                      <w:sz w:val="21"/>
                      <w:szCs w:val="21"/>
                    </w:rPr>
                    <w:t>强化企业施治。企业是大气污染治理的责任主体，要按照环保规范要求，加强内部管理，增加资金投入，采用先进的生产工艺和治理技术，确保达标排放，甚至达到“零排放”；要自觉履行环境保护的社会责任，接受社会监督</w:t>
                  </w:r>
                  <w:r>
                    <w:rPr>
                      <w:rFonts w:hint="eastAsia"/>
                      <w:sz w:val="21"/>
                      <w:szCs w:val="21"/>
                    </w:rPr>
                    <w:t>。</w:t>
                  </w:r>
                </w:p>
              </w:tc>
              <w:tc>
                <w:tcPr>
                  <w:tcW w:w="1420" w:type="dxa"/>
                  <w:vAlign w:val="center"/>
                </w:tcPr>
                <w:p>
                  <w:pPr>
                    <w:jc w:val="center"/>
                    <w:rPr>
                      <w:sz w:val="21"/>
                      <w:szCs w:val="21"/>
                    </w:rPr>
                  </w:pPr>
                  <w:r>
                    <w:rPr>
                      <w:sz w:val="21"/>
                      <w:szCs w:val="21"/>
                    </w:rPr>
                    <w:t>项目废气达标排放。</w:t>
                  </w:r>
                </w:p>
              </w:tc>
              <w:tc>
                <w:tcPr>
                  <w:tcW w:w="691" w:type="dxa"/>
                  <w:vAlign w:val="center"/>
                </w:tcPr>
                <w:p>
                  <w:pPr>
                    <w:jc w:val="center"/>
                    <w:rPr>
                      <w:sz w:val="21"/>
                      <w:szCs w:val="21"/>
                    </w:rPr>
                  </w:pPr>
                  <w:r>
                    <w:rPr>
                      <w:sz w:val="21"/>
                      <w:szCs w:val="21"/>
                    </w:rPr>
                    <w:t>符合</w:t>
                  </w:r>
                </w:p>
              </w:tc>
            </w:tr>
          </w:tbl>
          <w:p>
            <w:pPr>
              <w:pStyle w:val="103"/>
              <w:spacing w:before="203" w:beforeLines="50"/>
              <w:ind w:left="150" w:right="150"/>
            </w:pPr>
            <w:r>
              <w:t>综上，项目符合《大气污染防治行动计划》。</w:t>
            </w:r>
          </w:p>
          <w:p>
            <w:pPr>
              <w:spacing w:line="360" w:lineRule="auto"/>
              <w:ind w:firstLine="480" w:firstLineChars="200"/>
              <w:rPr>
                <w:rFonts w:eastAsia="黑体"/>
                <w:color w:val="000000"/>
                <w:sz w:val="24"/>
                <w:szCs w:val="24"/>
              </w:rPr>
            </w:pPr>
            <w:r>
              <w:rPr>
                <w:rFonts w:hint="eastAsia" w:eastAsia="黑体"/>
                <w:color w:val="000000"/>
                <w:sz w:val="24"/>
                <w:szCs w:val="24"/>
              </w:rPr>
              <w:t>六、“三线</w:t>
            </w:r>
            <w:r>
              <w:rPr>
                <w:rFonts w:eastAsia="黑体"/>
                <w:color w:val="000000"/>
                <w:sz w:val="24"/>
                <w:szCs w:val="24"/>
              </w:rPr>
              <w:t>一单</w:t>
            </w:r>
            <w:r>
              <w:rPr>
                <w:rFonts w:hint="eastAsia" w:eastAsia="黑体"/>
                <w:color w:val="000000"/>
                <w:sz w:val="24"/>
                <w:szCs w:val="24"/>
              </w:rPr>
              <w:t>”符合性</w:t>
            </w:r>
            <w:r>
              <w:rPr>
                <w:rFonts w:eastAsia="黑体"/>
                <w:color w:val="000000"/>
                <w:sz w:val="24"/>
                <w:szCs w:val="24"/>
              </w:rPr>
              <w:t>分析</w:t>
            </w:r>
          </w:p>
          <w:p>
            <w:pPr>
              <w:spacing w:line="360" w:lineRule="auto"/>
              <w:ind w:firstLine="480" w:firstLineChars="200"/>
              <w:rPr>
                <w:sz w:val="24"/>
                <w:szCs w:val="24"/>
              </w:rPr>
            </w:pPr>
            <w:r>
              <w:rPr>
                <w:rFonts w:hint="eastAsia"/>
                <w:sz w:val="24"/>
                <w:szCs w:val="24"/>
              </w:rPr>
              <w:t>本项目与“三线一单”符合性分析见表7。</w:t>
            </w:r>
          </w:p>
          <w:p>
            <w:pPr>
              <w:adjustRightInd w:val="0"/>
              <w:snapToGrid w:val="0"/>
              <w:jc w:val="center"/>
              <w:rPr>
                <w:rFonts w:eastAsia="黑体"/>
                <w:sz w:val="24"/>
              </w:rPr>
            </w:pPr>
            <w:r>
              <w:rPr>
                <w:rFonts w:hint="eastAsia" w:eastAsia="黑体"/>
                <w:sz w:val="24"/>
              </w:rPr>
              <w:t>表7 项目“三线</w:t>
            </w:r>
            <w:r>
              <w:rPr>
                <w:rFonts w:eastAsia="黑体"/>
                <w:sz w:val="24"/>
              </w:rPr>
              <w:t>一单</w:t>
            </w:r>
            <w:r>
              <w:rPr>
                <w:rFonts w:hint="eastAsia" w:eastAsia="黑体"/>
                <w:sz w:val="24"/>
              </w:rPr>
              <w:t>”符合性</w:t>
            </w:r>
            <w:r>
              <w:rPr>
                <w:rFonts w:eastAsia="黑体"/>
                <w:sz w:val="24"/>
              </w:rPr>
              <w:t>分析</w:t>
            </w:r>
            <w:r>
              <w:rPr>
                <w:rFonts w:hint="eastAsia" w:eastAsia="黑体"/>
                <w:sz w:val="24"/>
              </w:rPr>
              <w:t>表</w:t>
            </w:r>
          </w:p>
          <w:tbl>
            <w:tblPr>
              <w:tblStyle w:val="27"/>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590"/>
              <w:gridCol w:w="6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787" w:type="dxa"/>
                  <w:vAlign w:val="center"/>
                </w:tcPr>
                <w:p>
                  <w:pPr>
                    <w:jc w:val="center"/>
                    <w:rPr>
                      <w:sz w:val="21"/>
                      <w:szCs w:val="21"/>
                    </w:rPr>
                  </w:pPr>
                  <w:r>
                    <w:rPr>
                      <w:sz w:val="21"/>
                      <w:szCs w:val="21"/>
                    </w:rPr>
                    <w:t>序号</w:t>
                  </w:r>
                </w:p>
              </w:tc>
              <w:tc>
                <w:tcPr>
                  <w:tcW w:w="1590" w:type="dxa"/>
                  <w:vAlign w:val="center"/>
                </w:tcPr>
                <w:p>
                  <w:pPr>
                    <w:jc w:val="center"/>
                    <w:rPr>
                      <w:sz w:val="21"/>
                      <w:szCs w:val="21"/>
                    </w:rPr>
                  </w:pPr>
                  <w:r>
                    <w:rPr>
                      <w:sz w:val="21"/>
                      <w:szCs w:val="21"/>
                    </w:rPr>
                    <w:t>内容</w:t>
                  </w:r>
                </w:p>
              </w:tc>
              <w:tc>
                <w:tcPr>
                  <w:tcW w:w="6520" w:type="dxa"/>
                  <w:vAlign w:val="center"/>
                </w:tcPr>
                <w:p>
                  <w:pPr>
                    <w:jc w:val="center"/>
                    <w:rPr>
                      <w:sz w:val="21"/>
                      <w:szCs w:val="21"/>
                    </w:rPr>
                  </w:pPr>
                  <w:r>
                    <w:rPr>
                      <w:sz w:val="21"/>
                      <w:szCs w:val="21"/>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7" w:type="dxa"/>
                  <w:vAlign w:val="center"/>
                </w:tcPr>
                <w:p>
                  <w:pPr>
                    <w:widowControl/>
                    <w:jc w:val="center"/>
                    <w:rPr>
                      <w:kern w:val="0"/>
                      <w:sz w:val="21"/>
                      <w:szCs w:val="21"/>
                    </w:rPr>
                  </w:pPr>
                  <w:r>
                    <w:rPr>
                      <w:kern w:val="0"/>
                      <w:sz w:val="21"/>
                      <w:szCs w:val="21"/>
                    </w:rPr>
                    <w:t>1</w:t>
                  </w:r>
                </w:p>
              </w:tc>
              <w:tc>
                <w:tcPr>
                  <w:tcW w:w="1590" w:type="dxa"/>
                  <w:noWrap/>
                  <w:vAlign w:val="center"/>
                </w:tcPr>
                <w:p>
                  <w:pPr>
                    <w:widowControl/>
                    <w:jc w:val="center"/>
                    <w:rPr>
                      <w:kern w:val="0"/>
                      <w:sz w:val="21"/>
                      <w:szCs w:val="21"/>
                    </w:rPr>
                  </w:pPr>
                  <w:r>
                    <w:rPr>
                      <w:kern w:val="0"/>
                      <w:sz w:val="21"/>
                      <w:szCs w:val="21"/>
                    </w:rPr>
                    <w:t>生态保护红线</w:t>
                  </w:r>
                </w:p>
              </w:tc>
              <w:tc>
                <w:tcPr>
                  <w:tcW w:w="6520" w:type="dxa"/>
                  <w:vAlign w:val="center"/>
                </w:tcPr>
                <w:p>
                  <w:pPr>
                    <w:widowControl/>
                    <w:jc w:val="left"/>
                    <w:rPr>
                      <w:kern w:val="0"/>
                      <w:sz w:val="21"/>
                      <w:szCs w:val="21"/>
                    </w:rPr>
                  </w:pPr>
                  <w:r>
                    <w:rPr>
                      <w:kern w:val="0"/>
                      <w:sz w:val="21"/>
                      <w:szCs w:val="21"/>
                    </w:rPr>
                    <w:t>根据《山东省生态保护红线规划（2016-2020）》，项目不在</w:t>
                  </w:r>
                  <w:r>
                    <w:rPr>
                      <w:rFonts w:hint="eastAsia"/>
                      <w:kern w:val="0"/>
                      <w:sz w:val="21"/>
                      <w:szCs w:val="21"/>
                    </w:rPr>
                    <w:t>山东省</w:t>
                  </w:r>
                  <w:r>
                    <w:rPr>
                      <w:kern w:val="0"/>
                      <w:sz w:val="21"/>
                      <w:szCs w:val="21"/>
                    </w:rPr>
                    <w:t>生态保护红线区范围内，符合生态保护红线要求。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7" w:type="dxa"/>
                  <w:vAlign w:val="center"/>
                </w:tcPr>
                <w:p>
                  <w:pPr>
                    <w:widowControl/>
                    <w:jc w:val="center"/>
                    <w:rPr>
                      <w:kern w:val="0"/>
                      <w:sz w:val="21"/>
                      <w:szCs w:val="21"/>
                    </w:rPr>
                  </w:pPr>
                  <w:r>
                    <w:rPr>
                      <w:kern w:val="0"/>
                      <w:sz w:val="21"/>
                      <w:szCs w:val="21"/>
                    </w:rPr>
                    <w:t>2</w:t>
                  </w:r>
                </w:p>
              </w:tc>
              <w:tc>
                <w:tcPr>
                  <w:tcW w:w="1590" w:type="dxa"/>
                  <w:noWrap/>
                  <w:vAlign w:val="center"/>
                </w:tcPr>
                <w:p>
                  <w:pPr>
                    <w:widowControl/>
                    <w:jc w:val="center"/>
                    <w:rPr>
                      <w:kern w:val="0"/>
                      <w:sz w:val="21"/>
                      <w:szCs w:val="21"/>
                    </w:rPr>
                  </w:pPr>
                  <w:r>
                    <w:rPr>
                      <w:kern w:val="0"/>
                      <w:sz w:val="21"/>
                      <w:szCs w:val="21"/>
                    </w:rPr>
                    <w:t>环境质量底线</w:t>
                  </w:r>
                </w:p>
              </w:tc>
              <w:tc>
                <w:tcPr>
                  <w:tcW w:w="6520" w:type="dxa"/>
                  <w:vAlign w:val="center"/>
                </w:tcPr>
                <w:p>
                  <w:pPr>
                    <w:widowControl/>
                    <w:jc w:val="left"/>
                    <w:rPr>
                      <w:kern w:val="0"/>
                      <w:sz w:val="21"/>
                      <w:szCs w:val="21"/>
                    </w:rPr>
                  </w:pPr>
                  <w:r>
                    <w:rPr>
                      <w:kern w:val="0"/>
                      <w:sz w:val="21"/>
                      <w:szCs w:val="21"/>
                    </w:rPr>
                    <w:t>根据201</w:t>
                  </w:r>
                  <w:r>
                    <w:rPr>
                      <w:rFonts w:hint="eastAsia"/>
                      <w:kern w:val="0"/>
                      <w:sz w:val="21"/>
                      <w:szCs w:val="21"/>
                    </w:rPr>
                    <w:t>9</w:t>
                  </w:r>
                  <w:r>
                    <w:rPr>
                      <w:kern w:val="0"/>
                      <w:sz w:val="21"/>
                      <w:szCs w:val="21"/>
                    </w:rPr>
                    <w:t>年度《</w:t>
                  </w:r>
                  <w:r>
                    <w:rPr>
                      <w:rFonts w:hint="eastAsia"/>
                      <w:kern w:val="0"/>
                      <w:sz w:val="21"/>
                      <w:szCs w:val="21"/>
                    </w:rPr>
                    <w:t>威海市</w:t>
                  </w:r>
                  <w:r>
                    <w:rPr>
                      <w:kern w:val="0"/>
                      <w:sz w:val="21"/>
                      <w:szCs w:val="21"/>
                    </w:rPr>
                    <w:t>环境质量</w:t>
                  </w:r>
                  <w:r>
                    <w:rPr>
                      <w:rFonts w:hint="eastAsia"/>
                      <w:kern w:val="0"/>
                      <w:sz w:val="21"/>
                      <w:szCs w:val="21"/>
                    </w:rPr>
                    <w:t>公报</w:t>
                  </w:r>
                  <w:r>
                    <w:rPr>
                      <w:kern w:val="0"/>
                      <w:sz w:val="21"/>
                      <w:szCs w:val="21"/>
                    </w:rPr>
                    <w:t>》，该项目所在区域大气、地表水、噪声等均能满足相关环境质量标准。</w:t>
                  </w:r>
                  <w:r>
                    <w:rPr>
                      <w:kern w:val="0"/>
                      <w:sz w:val="21"/>
                      <w:szCs w:val="21"/>
                    </w:rPr>
                    <w:br w:type="textWrapping"/>
                  </w:r>
                  <w:r>
                    <w:rPr>
                      <w:kern w:val="0"/>
                      <w:sz w:val="21"/>
                      <w:szCs w:val="21"/>
                    </w:rPr>
                    <w:t>本项目产生的各类污染物均通过相关措施处理、处置，对环境质量产生的不利影响较小，不会超岀环境质量底线。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7" w:type="dxa"/>
                  <w:vAlign w:val="center"/>
                </w:tcPr>
                <w:p>
                  <w:pPr>
                    <w:widowControl/>
                    <w:jc w:val="center"/>
                    <w:rPr>
                      <w:kern w:val="0"/>
                      <w:sz w:val="21"/>
                      <w:szCs w:val="21"/>
                    </w:rPr>
                  </w:pPr>
                  <w:r>
                    <w:rPr>
                      <w:kern w:val="0"/>
                      <w:sz w:val="21"/>
                      <w:szCs w:val="21"/>
                    </w:rPr>
                    <w:t>3</w:t>
                  </w:r>
                </w:p>
              </w:tc>
              <w:tc>
                <w:tcPr>
                  <w:tcW w:w="1590" w:type="dxa"/>
                  <w:noWrap/>
                  <w:vAlign w:val="center"/>
                </w:tcPr>
                <w:p>
                  <w:pPr>
                    <w:widowControl/>
                    <w:jc w:val="center"/>
                    <w:rPr>
                      <w:kern w:val="0"/>
                      <w:sz w:val="21"/>
                      <w:szCs w:val="21"/>
                    </w:rPr>
                  </w:pPr>
                  <w:r>
                    <w:rPr>
                      <w:kern w:val="0"/>
                      <w:sz w:val="21"/>
                      <w:szCs w:val="21"/>
                    </w:rPr>
                    <w:t>资源利用上线</w:t>
                  </w:r>
                </w:p>
              </w:tc>
              <w:tc>
                <w:tcPr>
                  <w:tcW w:w="6520" w:type="dxa"/>
                  <w:noWrap/>
                  <w:vAlign w:val="center"/>
                </w:tcPr>
                <w:p>
                  <w:pPr>
                    <w:widowControl/>
                    <w:jc w:val="left"/>
                    <w:rPr>
                      <w:kern w:val="0"/>
                      <w:sz w:val="21"/>
                      <w:szCs w:val="21"/>
                    </w:rPr>
                  </w:pPr>
                  <w:r>
                    <w:rPr>
                      <w:kern w:val="0"/>
                      <w:sz w:val="21"/>
                      <w:szCs w:val="21"/>
                    </w:rPr>
                    <w:t>供电：</w:t>
                  </w:r>
                  <w:r>
                    <w:rPr>
                      <w:rFonts w:hint="eastAsia"/>
                      <w:kern w:val="0"/>
                      <w:sz w:val="21"/>
                      <w:szCs w:val="21"/>
                    </w:rPr>
                    <w:t>该</w:t>
                  </w:r>
                  <w:r>
                    <w:rPr>
                      <w:kern w:val="0"/>
                      <w:sz w:val="21"/>
                      <w:szCs w:val="21"/>
                    </w:rPr>
                    <w:t>项目用电</w:t>
                  </w:r>
                  <w:r>
                    <w:rPr>
                      <w:rFonts w:hint="eastAsia"/>
                      <w:kern w:val="0"/>
                      <w:sz w:val="21"/>
                      <w:szCs w:val="21"/>
                    </w:rPr>
                    <w:t>由市政供电电网供给，项目用电量为30万kW·h。</w:t>
                  </w:r>
                </w:p>
                <w:p>
                  <w:pPr>
                    <w:widowControl/>
                    <w:jc w:val="left"/>
                    <w:rPr>
                      <w:kern w:val="0"/>
                      <w:sz w:val="21"/>
                      <w:szCs w:val="21"/>
                    </w:rPr>
                  </w:pPr>
                  <w:r>
                    <w:rPr>
                      <w:kern w:val="0"/>
                      <w:sz w:val="21"/>
                      <w:szCs w:val="21"/>
                    </w:rPr>
                    <w:t>给水：</w:t>
                  </w:r>
                  <w:r>
                    <w:rPr>
                      <w:rFonts w:hint="eastAsia"/>
                      <w:kern w:val="0"/>
                      <w:sz w:val="21"/>
                      <w:szCs w:val="21"/>
                    </w:rPr>
                    <w:t>该项目用水水源来自威海市水务集团</w:t>
                  </w:r>
                  <w:r>
                    <w:rPr>
                      <w:kern w:val="0"/>
                      <w:sz w:val="21"/>
                      <w:szCs w:val="21"/>
                    </w:rPr>
                    <w:t>提供</w:t>
                  </w:r>
                  <w:r>
                    <w:rPr>
                      <w:rFonts w:hint="eastAsia"/>
                      <w:kern w:val="0"/>
                      <w:sz w:val="21"/>
                      <w:szCs w:val="21"/>
                    </w:rPr>
                    <w:t>。项目用水量为700m</w:t>
                  </w:r>
                  <w:r>
                    <w:rPr>
                      <w:rFonts w:hint="eastAsia"/>
                      <w:kern w:val="0"/>
                      <w:sz w:val="21"/>
                      <w:szCs w:val="21"/>
                      <w:vertAlign w:val="superscript"/>
                    </w:rPr>
                    <w:t>3</w:t>
                  </w:r>
                  <w:r>
                    <w:rPr>
                      <w:rFonts w:hint="eastAsia"/>
                      <w:kern w:val="0"/>
                      <w:sz w:val="21"/>
                      <w:szCs w:val="21"/>
                    </w:rPr>
                    <w:t>/a。</w:t>
                  </w:r>
                </w:p>
                <w:p>
                  <w:pPr>
                    <w:widowControl/>
                    <w:jc w:val="left"/>
                    <w:rPr>
                      <w:kern w:val="0"/>
                      <w:sz w:val="21"/>
                      <w:szCs w:val="21"/>
                    </w:rPr>
                  </w:pPr>
                  <w:r>
                    <w:rPr>
                      <w:kern w:val="0"/>
                      <w:sz w:val="21"/>
                      <w:szCs w:val="21"/>
                    </w:rPr>
                    <w:t>本项目不属于高能耗、高水耗项目，用电量和用水量相对较少，符合资源利用上线要求。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87" w:type="dxa"/>
                  <w:vAlign w:val="center"/>
                </w:tcPr>
                <w:p>
                  <w:pPr>
                    <w:widowControl/>
                    <w:jc w:val="center"/>
                    <w:rPr>
                      <w:kern w:val="0"/>
                      <w:sz w:val="21"/>
                      <w:szCs w:val="21"/>
                    </w:rPr>
                  </w:pPr>
                  <w:r>
                    <w:rPr>
                      <w:kern w:val="0"/>
                      <w:sz w:val="21"/>
                      <w:szCs w:val="21"/>
                    </w:rPr>
                    <w:t>4</w:t>
                  </w:r>
                </w:p>
              </w:tc>
              <w:tc>
                <w:tcPr>
                  <w:tcW w:w="1590" w:type="dxa"/>
                  <w:noWrap/>
                  <w:vAlign w:val="center"/>
                </w:tcPr>
                <w:p>
                  <w:pPr>
                    <w:widowControl/>
                    <w:jc w:val="center"/>
                    <w:rPr>
                      <w:kern w:val="0"/>
                      <w:sz w:val="21"/>
                      <w:szCs w:val="21"/>
                    </w:rPr>
                  </w:pPr>
                  <w:r>
                    <w:rPr>
                      <w:kern w:val="0"/>
                      <w:sz w:val="21"/>
                      <w:szCs w:val="21"/>
                    </w:rPr>
                    <w:t>环境准入负面清单</w:t>
                  </w:r>
                </w:p>
              </w:tc>
              <w:tc>
                <w:tcPr>
                  <w:tcW w:w="6520" w:type="dxa"/>
                  <w:noWrap/>
                  <w:vAlign w:val="center"/>
                </w:tcPr>
                <w:p>
                  <w:pPr>
                    <w:widowControl/>
                    <w:jc w:val="left"/>
                    <w:rPr>
                      <w:kern w:val="0"/>
                      <w:sz w:val="21"/>
                      <w:szCs w:val="21"/>
                    </w:rPr>
                  </w:pPr>
                  <w:r>
                    <w:rPr>
                      <w:kern w:val="0"/>
                      <w:sz w:val="21"/>
                      <w:szCs w:val="21"/>
                    </w:rPr>
                    <w:t>本项目不属于高能耗、高水耗项目。项目生产工艺、设备均不属于淘汰类，而且项目所在地暂无环境淮入负面清单。</w:t>
                  </w:r>
                </w:p>
              </w:tc>
            </w:tr>
          </w:tbl>
          <w:p>
            <w:pPr>
              <w:autoSpaceDE w:val="0"/>
              <w:autoSpaceDN w:val="0"/>
              <w:adjustRightInd w:val="0"/>
              <w:snapToGrid w:val="0"/>
              <w:spacing w:line="360" w:lineRule="auto"/>
              <w:ind w:firstLine="600" w:firstLineChars="250"/>
              <w:rPr>
                <w:color w:val="000000"/>
                <w:sz w:val="24"/>
                <w:szCs w:val="24"/>
              </w:rPr>
            </w:pPr>
            <w:r>
              <w:rPr>
                <w:rFonts w:hint="eastAsia"/>
                <w:color w:val="000000"/>
                <w:sz w:val="24"/>
                <w:szCs w:val="24"/>
              </w:rPr>
              <w:t>由</w:t>
            </w:r>
            <w:r>
              <w:rPr>
                <w:color w:val="000000"/>
                <w:sz w:val="24"/>
                <w:szCs w:val="24"/>
              </w:rPr>
              <w:t>表</w:t>
            </w:r>
            <w:r>
              <w:rPr>
                <w:rFonts w:hint="eastAsia"/>
                <w:color w:val="000000"/>
                <w:sz w:val="24"/>
                <w:szCs w:val="24"/>
              </w:rPr>
              <w:t>7</w:t>
            </w:r>
            <w:r>
              <w:rPr>
                <w:color w:val="000000"/>
                <w:sz w:val="24"/>
                <w:szCs w:val="24"/>
              </w:rPr>
              <w:t>可知，项目建设符合</w:t>
            </w:r>
            <w:r>
              <w:rPr>
                <w:rFonts w:hint="eastAsia"/>
                <w:color w:val="000000"/>
                <w:sz w:val="24"/>
                <w:szCs w:val="24"/>
              </w:rPr>
              <w:t>“三线一单”的要求。</w:t>
            </w:r>
          </w:p>
          <w:p>
            <w:pPr>
              <w:autoSpaceDE w:val="0"/>
              <w:autoSpaceDN w:val="0"/>
              <w:adjustRightInd w:val="0"/>
              <w:snapToGrid w:val="0"/>
              <w:spacing w:line="360" w:lineRule="auto"/>
              <w:ind w:firstLine="600" w:firstLineChars="250"/>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 w:hRule="atLeast"/>
          <w:jc w:val="center"/>
        </w:trPr>
        <w:tc>
          <w:tcPr>
            <w:tcW w:w="9694" w:type="dxa"/>
            <w:gridSpan w:val="9"/>
            <w:tcMar>
              <w:top w:w="57" w:type="dxa"/>
            </w:tcMar>
            <w:vAlign w:val="center"/>
          </w:tcPr>
          <w:p>
            <w:pPr>
              <w:spacing w:line="360" w:lineRule="auto"/>
              <w:jc w:val="left"/>
              <w:rPr>
                <w:rFonts w:eastAsia="黑体"/>
                <w:color w:val="000000" w:themeColor="text1"/>
                <w:sz w:val="28"/>
                <w:szCs w:val="28"/>
              </w:rPr>
            </w:pPr>
            <w:r>
              <w:rPr>
                <w:rFonts w:eastAsia="黑体"/>
                <w:color w:val="000000" w:themeColor="text1"/>
                <w:sz w:val="28"/>
                <w:szCs w:val="28"/>
              </w:rPr>
              <w:t>与</w:t>
            </w:r>
            <w:r>
              <w:rPr>
                <w:rFonts w:hint="eastAsia" w:eastAsia="黑体"/>
                <w:color w:val="000000" w:themeColor="text1"/>
                <w:sz w:val="28"/>
                <w:szCs w:val="28"/>
              </w:rPr>
              <w:t>拟建</w:t>
            </w:r>
            <w:r>
              <w:rPr>
                <w:rFonts w:eastAsia="黑体"/>
                <w:color w:val="000000" w:themeColor="text1"/>
                <w:sz w:val="28"/>
                <w:szCs w:val="28"/>
              </w:rPr>
              <w:t>项目有关的原有污染情况及主要环境问题：</w:t>
            </w:r>
          </w:p>
          <w:p>
            <w:pPr>
              <w:spacing w:line="360" w:lineRule="auto"/>
              <w:ind w:firstLine="480" w:firstLineChars="200"/>
              <w:rPr>
                <w:rFonts w:ascii="宋体" w:hAnsi="宋体"/>
                <w:color w:val="000000" w:themeColor="text1"/>
                <w:sz w:val="24"/>
                <w:szCs w:val="24"/>
              </w:rPr>
            </w:pPr>
            <w:r>
              <w:rPr>
                <w:rFonts w:hint="eastAsia" w:ascii="宋体" w:hAnsi="宋体"/>
                <w:color w:val="000000" w:themeColor="text1"/>
                <w:sz w:val="24"/>
                <w:szCs w:val="24"/>
              </w:rPr>
              <w:t>无。</w:t>
            </w:r>
          </w:p>
          <w:p>
            <w:pPr>
              <w:spacing w:line="360" w:lineRule="auto"/>
              <w:ind w:firstLine="480" w:firstLineChars="200"/>
              <w:rPr>
                <w:rFonts w:ascii="宋体" w:hAnsi="宋体"/>
                <w:color w:val="000000" w:themeColor="text1"/>
                <w:sz w:val="24"/>
                <w:szCs w:val="24"/>
              </w:rPr>
            </w:pPr>
          </w:p>
          <w:p>
            <w:pPr>
              <w:spacing w:line="360" w:lineRule="auto"/>
              <w:ind w:firstLine="480" w:firstLineChars="200"/>
              <w:rPr>
                <w:rFonts w:ascii="宋体" w:hAnsi="宋体"/>
                <w:color w:val="000000" w:themeColor="text1"/>
                <w:sz w:val="24"/>
                <w:szCs w:val="24"/>
              </w:rPr>
            </w:pPr>
          </w:p>
          <w:p>
            <w:pPr>
              <w:spacing w:line="360" w:lineRule="auto"/>
              <w:ind w:firstLine="480" w:firstLineChars="200"/>
              <w:rPr>
                <w:rFonts w:ascii="宋体" w:hAnsi="宋体"/>
                <w:color w:val="000000" w:themeColor="text1"/>
                <w:sz w:val="24"/>
                <w:szCs w:val="24"/>
              </w:rPr>
            </w:pPr>
          </w:p>
          <w:p>
            <w:pPr>
              <w:spacing w:line="360" w:lineRule="auto"/>
              <w:ind w:firstLine="480" w:firstLineChars="200"/>
              <w:rPr>
                <w:rFonts w:ascii="宋体" w:hAnsi="宋体"/>
                <w:color w:val="000000" w:themeColor="text1"/>
                <w:sz w:val="24"/>
                <w:szCs w:val="24"/>
              </w:rPr>
            </w:pPr>
          </w:p>
          <w:p>
            <w:pPr>
              <w:ind w:firstLine="480" w:firstLineChars="200"/>
              <w:rPr>
                <w:rFonts w:ascii="宋体" w:hAnsi="宋体"/>
                <w:color w:val="000000" w:themeColor="text1"/>
                <w:sz w:val="24"/>
                <w:szCs w:val="24"/>
              </w:rPr>
            </w:pPr>
          </w:p>
        </w:tc>
      </w:tr>
    </w:tbl>
    <w:p>
      <w:pPr>
        <w:snapToGrid w:val="0"/>
        <w:rPr>
          <w:rFonts w:eastAsia="黑体"/>
          <w:color w:val="000000" w:themeColor="text1"/>
          <w:sz w:val="32"/>
          <w:szCs w:val="32"/>
        </w:rPr>
      </w:pPr>
      <w:r>
        <w:rPr>
          <w:rFonts w:eastAsia="黑体"/>
          <w:color w:val="000000" w:themeColor="text1"/>
          <w:sz w:val="32"/>
          <w:szCs w:val="32"/>
        </w:rPr>
        <w:t>建设项目所在地自然环境社会环境简况</w:t>
      </w:r>
    </w:p>
    <w:tbl>
      <w:tblPr>
        <w:tblStyle w:val="26"/>
        <w:tblW w:w="9801"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8" w:hRule="atLeast"/>
        </w:trPr>
        <w:tc>
          <w:tcPr>
            <w:tcW w:w="9801" w:type="dxa"/>
          </w:tcPr>
          <w:p>
            <w:pPr>
              <w:spacing w:line="360" w:lineRule="auto"/>
              <w:rPr>
                <w:rFonts w:eastAsia="黑体"/>
                <w:color w:val="000000" w:themeColor="text1"/>
                <w:sz w:val="28"/>
              </w:rPr>
            </w:pPr>
            <w:r>
              <w:rPr>
                <w:rFonts w:eastAsia="黑体"/>
                <w:color w:val="000000" w:themeColor="text1"/>
                <w:sz w:val="28"/>
              </w:rPr>
              <w:t>自然环境简况（地形、地貌、地质、气候、气象、水文、植被、生物多样性等）：</w:t>
            </w:r>
          </w:p>
          <w:p>
            <w:pPr>
              <w:spacing w:line="360" w:lineRule="auto"/>
              <w:ind w:firstLine="510"/>
              <w:rPr>
                <w:rFonts w:eastAsia="黑体"/>
                <w:color w:val="0070C0"/>
                <w:sz w:val="24"/>
              </w:rPr>
            </w:pPr>
            <w:r>
              <w:rPr>
                <w:rFonts w:eastAsia="黑体"/>
                <w:color w:val="000000" w:themeColor="text1"/>
                <w:sz w:val="24"/>
              </w:rPr>
              <w:t>1、地理位置</w:t>
            </w:r>
          </w:p>
          <w:p>
            <w:pPr>
              <w:adjustRightInd w:val="0"/>
              <w:snapToGrid w:val="0"/>
              <w:spacing w:line="360" w:lineRule="auto"/>
              <w:ind w:firstLine="480" w:firstLineChars="200"/>
              <w:rPr>
                <w:color w:val="000000" w:themeColor="text1"/>
                <w:sz w:val="24"/>
              </w:rPr>
            </w:pPr>
            <w:r>
              <w:rPr>
                <w:color w:val="000000" w:themeColor="text1"/>
                <w:sz w:val="24"/>
              </w:rPr>
              <w:t>威海临港经济技术开发区</w:t>
            </w:r>
            <w:r>
              <w:rPr>
                <w:rFonts w:hint="eastAsia"/>
                <w:color w:val="000000" w:themeColor="text1"/>
                <w:sz w:val="24"/>
              </w:rPr>
              <w:t>位于威海市区中部，地处威海全域城市化和市域一体化的中心节点，总面积297km</w:t>
            </w:r>
            <w:r>
              <w:rPr>
                <w:rFonts w:hint="eastAsia"/>
                <w:color w:val="000000" w:themeColor="text1"/>
                <w:sz w:val="24"/>
                <w:vertAlign w:val="superscript"/>
              </w:rPr>
              <w:t>2</w:t>
            </w:r>
            <w:r>
              <w:rPr>
                <w:rFonts w:hint="eastAsia"/>
                <w:color w:val="000000" w:themeColor="text1"/>
                <w:sz w:val="24"/>
              </w:rPr>
              <w:t>，现辖草庙子、蔄山、汪疃3个镇和黄岚办事处，169个村，13个居委会，13万人口，是威海发展最为活跃的经济增长极和最新城市拓展区</w:t>
            </w:r>
            <w:r>
              <w:rPr>
                <w:color w:val="000000" w:themeColor="text1"/>
                <w:sz w:val="24"/>
              </w:rPr>
              <w:t>。</w:t>
            </w:r>
          </w:p>
          <w:p>
            <w:pPr>
              <w:adjustRightInd w:val="0"/>
              <w:snapToGrid w:val="0"/>
              <w:spacing w:line="360" w:lineRule="auto"/>
              <w:ind w:firstLine="480" w:firstLineChars="200"/>
              <w:rPr>
                <w:rFonts w:eastAsia="黑体"/>
                <w:color w:val="000000" w:themeColor="text1"/>
                <w:sz w:val="24"/>
                <w:szCs w:val="24"/>
              </w:rPr>
            </w:pPr>
            <w:r>
              <w:rPr>
                <w:rFonts w:eastAsia="黑体"/>
                <w:color w:val="000000" w:themeColor="text1"/>
                <w:sz w:val="24"/>
                <w:szCs w:val="24"/>
              </w:rPr>
              <w:t>2、地形</w:t>
            </w:r>
            <w:r>
              <w:rPr>
                <w:rFonts w:hint="eastAsia" w:eastAsia="黑体"/>
                <w:color w:val="000000" w:themeColor="text1"/>
                <w:sz w:val="24"/>
                <w:szCs w:val="24"/>
              </w:rPr>
              <w:t>、地貌、</w:t>
            </w:r>
            <w:r>
              <w:rPr>
                <w:rFonts w:eastAsia="黑体"/>
                <w:color w:val="000000" w:themeColor="text1"/>
                <w:sz w:val="24"/>
                <w:szCs w:val="24"/>
              </w:rPr>
              <w:t>地质</w:t>
            </w:r>
          </w:p>
          <w:p>
            <w:pPr>
              <w:adjustRightInd w:val="0"/>
              <w:snapToGrid w:val="0"/>
              <w:spacing w:line="360" w:lineRule="auto"/>
              <w:ind w:firstLine="480" w:firstLineChars="200"/>
              <w:rPr>
                <w:color w:val="000000" w:themeColor="text1"/>
                <w:sz w:val="24"/>
              </w:rPr>
            </w:pPr>
            <w:r>
              <w:rPr>
                <w:rFonts w:hint="eastAsia"/>
                <w:color w:val="000000" w:themeColor="text1"/>
                <w:sz w:val="24"/>
              </w:rPr>
              <w:t>威海临港经济技术开发区地处胶东半岛，剥蚀丘陵广布，主要分布于低山周围及其延伸部分，低山丘陵环绕北、东、南三面。地势北高南低，北部为剥蚀构造低山，一般海拔在400m上下。东部和南部为剥蚀丘陵，海拔在300m上下，西南境属剥蚀构造低山丘陵，中部和西南部多缓丘，一般海拔在100m上下。大的地貌可分为山地、丘陵和平原三部分。主要岩性为混合花岗岩、黑云母花岗岩、二长花岗岩、似斑状花岗闪长岩及胶东群变质岩系中的片麻岩、斜长角闪岩等。地形切割零乱，沟谷浅而宽。沟谷中冲积物、洪积物发育，以粗砂粒、砂质粘土、碎石为主。</w:t>
            </w:r>
          </w:p>
          <w:p>
            <w:pPr>
              <w:adjustRightInd w:val="0"/>
              <w:snapToGrid w:val="0"/>
              <w:spacing w:line="360" w:lineRule="auto"/>
              <w:ind w:firstLine="480" w:firstLineChars="200"/>
              <w:rPr>
                <w:color w:val="000000" w:themeColor="text1"/>
                <w:sz w:val="24"/>
              </w:rPr>
            </w:pPr>
            <w:r>
              <w:rPr>
                <w:color w:val="000000" w:themeColor="text1"/>
                <w:sz w:val="24"/>
              </w:rPr>
              <w:t>项目厂址地貌类型为</w:t>
            </w:r>
            <w:r>
              <w:rPr>
                <w:rFonts w:hint="eastAsia"/>
                <w:color w:val="000000" w:themeColor="text1"/>
                <w:sz w:val="24"/>
              </w:rPr>
              <w:t>半岛低山丘陵区</w:t>
            </w:r>
            <w:r>
              <w:rPr>
                <w:color w:val="000000" w:themeColor="text1"/>
                <w:sz w:val="24"/>
              </w:rPr>
              <w:t>剥蚀残丘坡麓的中下部</w:t>
            </w:r>
            <w:r>
              <w:rPr>
                <w:rFonts w:hint="eastAsia"/>
                <w:color w:val="000000" w:themeColor="text1"/>
                <w:sz w:val="24"/>
              </w:rPr>
              <w:t>地貌单元，地势起伏不大，较为平坦</w:t>
            </w:r>
            <w:r>
              <w:rPr>
                <w:color w:val="000000" w:themeColor="text1"/>
                <w:sz w:val="24"/>
              </w:rPr>
              <w:t>。</w:t>
            </w:r>
          </w:p>
          <w:p>
            <w:pPr>
              <w:adjustRightInd w:val="0"/>
              <w:snapToGrid w:val="0"/>
              <w:spacing w:line="360" w:lineRule="auto"/>
              <w:ind w:firstLine="480" w:firstLineChars="200"/>
              <w:rPr>
                <w:rFonts w:eastAsia="黑体"/>
                <w:color w:val="000000" w:themeColor="text1"/>
                <w:sz w:val="24"/>
                <w:szCs w:val="24"/>
              </w:rPr>
            </w:pPr>
            <w:bookmarkStart w:id="0" w:name="bookmark12"/>
            <w:r>
              <w:rPr>
                <w:rFonts w:hint="eastAsia" w:eastAsia="黑体"/>
                <w:color w:val="000000" w:themeColor="text1"/>
                <w:sz w:val="24"/>
                <w:szCs w:val="24"/>
              </w:rPr>
              <w:t>3</w:t>
            </w:r>
            <w:r>
              <w:rPr>
                <w:rFonts w:eastAsia="黑体"/>
                <w:color w:val="000000" w:themeColor="text1"/>
                <w:sz w:val="24"/>
                <w:szCs w:val="24"/>
              </w:rPr>
              <w:t>、水文</w:t>
            </w:r>
            <w:bookmarkEnd w:id="0"/>
          </w:p>
          <w:p>
            <w:pPr>
              <w:spacing w:line="360" w:lineRule="auto"/>
              <w:ind w:firstLine="480" w:firstLineChars="200"/>
              <w:rPr>
                <w:sz w:val="24"/>
                <w:szCs w:val="24"/>
              </w:rPr>
            </w:pPr>
            <w:r>
              <w:rPr>
                <w:rFonts w:hint="eastAsia"/>
                <w:sz w:val="24"/>
                <w:szCs w:val="24"/>
              </w:rPr>
              <w:t>威海市河流属半岛边沿水系，为季风区雨源型河流。河床比降大，源短流急，暴涨暴落。径流量受季节影响差异较大，枯水季节多断流。全市有大小河流1000多条，其中母猪河、乳山河、黄垒河3条较大河流贯穿于文登、乳山市境内，总流域面积2884km</w:t>
            </w:r>
            <w:r>
              <w:rPr>
                <w:rFonts w:hint="eastAsia"/>
                <w:sz w:val="24"/>
                <w:szCs w:val="24"/>
                <w:vertAlign w:val="superscript"/>
              </w:rPr>
              <w:t>2</w:t>
            </w:r>
            <w:r>
              <w:rPr>
                <w:rFonts w:hint="eastAsia"/>
                <w:sz w:val="24"/>
                <w:szCs w:val="24"/>
              </w:rPr>
              <w:t>，占全市土地总面积的53%，母猪河流域面积最大，流域面积</w:t>
            </w:r>
            <w:r>
              <w:rPr>
                <w:sz w:val="24"/>
                <w:szCs w:val="24"/>
              </w:rPr>
              <w:t>1278km</w:t>
            </w:r>
            <w:r>
              <w:rPr>
                <w:sz w:val="24"/>
                <w:szCs w:val="24"/>
                <w:vertAlign w:val="superscript"/>
              </w:rPr>
              <w:t>2</w:t>
            </w:r>
            <w:r>
              <w:rPr>
                <w:rFonts w:hint="eastAsia"/>
                <w:sz w:val="24"/>
                <w:szCs w:val="24"/>
              </w:rPr>
              <w:t>。境内河流长度大于5km的有94条，其中大于10km的有44条，黄垒河最长，全长69km。河网平均密度为0.22km/km</w:t>
            </w:r>
            <w:r>
              <w:rPr>
                <w:rFonts w:hint="eastAsia"/>
                <w:sz w:val="24"/>
                <w:szCs w:val="24"/>
                <w:vertAlign w:val="superscript"/>
              </w:rPr>
              <w:t>2</w:t>
            </w:r>
            <w:r>
              <w:rPr>
                <w:rFonts w:hint="eastAsia"/>
                <w:sz w:val="24"/>
                <w:szCs w:val="24"/>
              </w:rPr>
              <w:t>。多年平均年径流系数为0.36左右，2007年径流系数为0.51。</w:t>
            </w:r>
          </w:p>
          <w:p>
            <w:pPr>
              <w:spacing w:line="360" w:lineRule="auto"/>
              <w:ind w:firstLine="480" w:firstLineChars="200"/>
              <w:rPr>
                <w:sz w:val="24"/>
              </w:rPr>
            </w:pPr>
            <w:r>
              <w:rPr>
                <w:rFonts w:hint="eastAsia"/>
                <w:sz w:val="24"/>
              </w:rPr>
              <w:t>项目区内的主要河流是草庙子</w:t>
            </w:r>
            <w:r>
              <w:rPr>
                <w:rFonts w:hint="eastAsia"/>
                <w:color w:val="000000"/>
                <w:sz w:val="24"/>
              </w:rPr>
              <w:t>河。其支流围绕项目所在地自东北往西南汇入干流。</w:t>
            </w:r>
            <w:r>
              <w:rPr>
                <w:rFonts w:hint="eastAsia"/>
                <w:bCs/>
                <w:iCs/>
                <w:color w:val="000000"/>
                <w:sz w:val="24"/>
              </w:rPr>
              <w:t>草庙</w:t>
            </w:r>
            <w:r>
              <w:rPr>
                <w:rFonts w:hint="eastAsia"/>
                <w:bCs/>
                <w:iCs/>
                <w:sz w:val="24"/>
              </w:rPr>
              <w:t>子河发源于正棋山西麓的大木岚、马家屯、小北庄等，流经大毕、毕家庄、罗家庄、林泉、打铁、北大疃、草庙子、曹格庄等，流域面积30km</w:t>
            </w:r>
            <w:r>
              <w:rPr>
                <w:rFonts w:hint="eastAsia"/>
                <w:bCs/>
                <w:iCs/>
                <w:sz w:val="24"/>
                <w:vertAlign w:val="superscript"/>
              </w:rPr>
              <w:t>2</w:t>
            </w:r>
            <w:r>
              <w:rPr>
                <w:rFonts w:hint="eastAsia"/>
                <w:bCs/>
                <w:iCs/>
                <w:sz w:val="24"/>
              </w:rPr>
              <w:t>，干流长度为15km，基本呈东北西南流向，枯水期、平水期水量不大，多年平均径流量约为7</w:t>
            </w:r>
            <w:r>
              <w:rPr>
                <w:rFonts w:hint="eastAsia"/>
                <w:sz w:val="24"/>
              </w:rPr>
              <w:t>05.3万m</w:t>
            </w:r>
            <w:r>
              <w:rPr>
                <w:rFonts w:hint="eastAsia"/>
                <w:sz w:val="24"/>
                <w:vertAlign w:val="superscript"/>
              </w:rPr>
              <w:t>3</w:t>
            </w:r>
            <w:r>
              <w:rPr>
                <w:rFonts w:hint="eastAsia"/>
                <w:sz w:val="24"/>
              </w:rPr>
              <w:t>，在文登市区西汇入母猪河，最后入黄海。</w:t>
            </w:r>
          </w:p>
          <w:p>
            <w:pPr>
              <w:adjustRightInd w:val="0"/>
              <w:snapToGrid w:val="0"/>
              <w:spacing w:line="360" w:lineRule="auto"/>
              <w:ind w:firstLine="480" w:firstLineChars="200"/>
              <w:rPr>
                <w:rFonts w:eastAsia="黑体"/>
                <w:color w:val="000000" w:themeColor="text1"/>
                <w:sz w:val="24"/>
                <w:szCs w:val="24"/>
              </w:rPr>
            </w:pPr>
            <w:r>
              <w:rPr>
                <w:rFonts w:hint="eastAsia" w:eastAsia="黑体"/>
                <w:color w:val="000000" w:themeColor="text1"/>
                <w:sz w:val="24"/>
                <w:szCs w:val="24"/>
              </w:rPr>
              <w:t>4</w:t>
            </w:r>
            <w:r>
              <w:rPr>
                <w:rFonts w:eastAsia="黑体"/>
                <w:color w:val="000000" w:themeColor="text1"/>
                <w:sz w:val="24"/>
                <w:szCs w:val="24"/>
              </w:rPr>
              <w:t>、气候</w:t>
            </w:r>
            <w:r>
              <w:rPr>
                <w:rFonts w:hint="eastAsia" w:eastAsia="黑体"/>
                <w:color w:val="000000" w:themeColor="text1"/>
                <w:sz w:val="24"/>
                <w:szCs w:val="24"/>
              </w:rPr>
              <w:t>、气象</w:t>
            </w:r>
          </w:p>
          <w:p>
            <w:pPr>
              <w:adjustRightInd w:val="0"/>
              <w:snapToGrid w:val="0"/>
              <w:spacing w:line="360" w:lineRule="auto"/>
              <w:ind w:firstLine="480" w:firstLineChars="200"/>
              <w:rPr>
                <w:color w:val="000000" w:themeColor="text1"/>
                <w:sz w:val="24"/>
              </w:rPr>
            </w:pPr>
            <w:r>
              <w:rPr>
                <w:rFonts w:hint="eastAsia"/>
                <w:color w:val="000000" w:themeColor="text1"/>
                <w:sz w:val="24"/>
              </w:rPr>
              <w:t>威海市</w:t>
            </w:r>
            <w:r>
              <w:rPr>
                <w:color w:val="000000" w:themeColor="text1"/>
                <w:sz w:val="24"/>
              </w:rPr>
              <w:t>地处中纬度，属温带大陆性季风气候。与同纬度内陆地区相比，具有冬暖、夏凉、春冷、秋温四季分明的特点。气温年较差较小；雨水适中，但分布不均；旱、涝、风、雹、低温、霜冻等气象灾害时有发生。历年平均气温11.5</w:t>
            </w:r>
            <w:r>
              <w:rPr>
                <w:rFonts w:hint="eastAsia"/>
                <w:color w:val="000000" w:themeColor="text1"/>
                <w:sz w:val="24"/>
              </w:rPr>
              <w:t>℃</w:t>
            </w:r>
            <w:r>
              <w:rPr>
                <w:color w:val="000000" w:themeColor="text1"/>
                <w:sz w:val="24"/>
              </w:rPr>
              <w:t>，历年平均降水量778.4</w:t>
            </w:r>
            <w:r>
              <w:rPr>
                <w:rFonts w:hint="eastAsia"/>
                <w:color w:val="000000" w:themeColor="text1"/>
                <w:sz w:val="24"/>
              </w:rPr>
              <w:t>mm</w:t>
            </w:r>
            <w:r>
              <w:rPr>
                <w:color w:val="000000" w:themeColor="text1"/>
                <w:sz w:val="24"/>
              </w:rPr>
              <w:t>，历年平均日照2569.4小时。年平均气温12.3</w:t>
            </w:r>
            <w:r>
              <w:rPr>
                <w:rFonts w:hint="eastAsia"/>
                <w:color w:val="000000" w:themeColor="text1"/>
                <w:sz w:val="24"/>
              </w:rPr>
              <w:t>℃</w:t>
            </w:r>
            <w:r>
              <w:rPr>
                <w:color w:val="000000" w:themeColor="text1"/>
                <w:sz w:val="24"/>
              </w:rPr>
              <w:t>；年平均降水量766.7mm左右，主要集中在6～9月份，降水量约占全年的75%；年平均蒸发量1930.7mm，相对湿度68％；年平均风速4.9m/s。主导风向为WNW–NW–NNW，出现频率为33%；其次为SSE–S–SSW，出现频率为23%；静风频率为7.2%。</w:t>
            </w:r>
          </w:p>
          <w:p>
            <w:pPr>
              <w:adjustRightInd w:val="0"/>
              <w:snapToGrid w:val="0"/>
              <w:spacing w:line="360" w:lineRule="auto"/>
              <w:ind w:firstLine="480" w:firstLineChars="200"/>
              <w:rPr>
                <w:rFonts w:eastAsia="黑体"/>
                <w:color w:val="000000" w:themeColor="text1"/>
                <w:sz w:val="24"/>
                <w:szCs w:val="24"/>
              </w:rPr>
            </w:pPr>
            <w:r>
              <w:rPr>
                <w:rFonts w:hint="eastAsia" w:eastAsia="黑体"/>
                <w:color w:val="000000" w:themeColor="text1"/>
                <w:sz w:val="24"/>
                <w:szCs w:val="24"/>
              </w:rPr>
              <w:t>5</w:t>
            </w:r>
            <w:r>
              <w:rPr>
                <w:rFonts w:eastAsia="黑体"/>
                <w:color w:val="000000" w:themeColor="text1"/>
                <w:sz w:val="24"/>
                <w:szCs w:val="24"/>
              </w:rPr>
              <w:t>、</w:t>
            </w:r>
            <w:r>
              <w:rPr>
                <w:rFonts w:hint="eastAsia" w:eastAsia="黑体"/>
                <w:color w:val="000000" w:themeColor="text1"/>
                <w:sz w:val="24"/>
                <w:szCs w:val="24"/>
              </w:rPr>
              <w:t>土壤</w:t>
            </w:r>
          </w:p>
          <w:p>
            <w:pPr>
              <w:adjustRightInd w:val="0"/>
              <w:snapToGrid w:val="0"/>
              <w:spacing w:line="360" w:lineRule="auto"/>
              <w:ind w:firstLine="480" w:firstLineChars="200"/>
              <w:rPr>
                <w:color w:val="000000" w:themeColor="text1"/>
                <w:sz w:val="24"/>
              </w:rPr>
            </w:pPr>
            <w:r>
              <w:rPr>
                <w:color w:val="000000" w:themeColor="text1"/>
                <w:sz w:val="24"/>
              </w:rPr>
              <w:t>威海市土壤类型有棕壤、潮土、盐土、风沙土、褐土、水稻土、山地草甸土等7个土类。棕壤土分布最广，占土壤总面积的83.5%，耕地中棕壤类占82.5%。</w:t>
            </w:r>
            <w:r>
              <w:rPr>
                <w:rFonts w:hint="eastAsia"/>
                <w:color w:val="000000" w:themeColor="text1"/>
                <w:sz w:val="24"/>
              </w:rPr>
              <w:t>拟建项目场区</w:t>
            </w:r>
            <w:r>
              <w:rPr>
                <w:color w:val="000000" w:themeColor="text1"/>
                <w:sz w:val="24"/>
              </w:rPr>
              <w:t>土壤类型主要为棕壤土及河潮土。</w:t>
            </w:r>
          </w:p>
          <w:p>
            <w:pPr>
              <w:adjustRightInd w:val="0"/>
              <w:snapToGrid w:val="0"/>
              <w:spacing w:line="360" w:lineRule="auto"/>
              <w:ind w:firstLine="480" w:firstLineChars="200"/>
              <w:rPr>
                <w:rFonts w:eastAsia="黑体"/>
                <w:color w:val="000000" w:themeColor="text1"/>
                <w:sz w:val="24"/>
                <w:szCs w:val="24"/>
              </w:rPr>
            </w:pPr>
            <w:r>
              <w:rPr>
                <w:rFonts w:hint="eastAsia" w:eastAsia="黑体"/>
                <w:color w:val="000000" w:themeColor="text1"/>
                <w:sz w:val="24"/>
                <w:szCs w:val="24"/>
              </w:rPr>
              <w:t>6</w:t>
            </w:r>
            <w:r>
              <w:rPr>
                <w:rFonts w:eastAsia="黑体"/>
                <w:color w:val="000000" w:themeColor="text1"/>
                <w:sz w:val="24"/>
                <w:szCs w:val="24"/>
              </w:rPr>
              <w:t>、</w:t>
            </w:r>
            <w:r>
              <w:rPr>
                <w:rFonts w:hint="eastAsia" w:eastAsia="黑体"/>
                <w:color w:val="000000" w:themeColor="text1"/>
                <w:sz w:val="24"/>
                <w:szCs w:val="24"/>
              </w:rPr>
              <w:t>生物</w:t>
            </w:r>
            <w:r>
              <w:rPr>
                <w:rFonts w:eastAsia="黑体"/>
                <w:color w:val="000000" w:themeColor="text1"/>
                <w:sz w:val="24"/>
                <w:szCs w:val="24"/>
              </w:rPr>
              <w:t>资源</w:t>
            </w:r>
          </w:p>
          <w:p>
            <w:pPr>
              <w:adjustRightInd w:val="0"/>
              <w:snapToGrid w:val="0"/>
              <w:spacing w:line="360" w:lineRule="auto"/>
              <w:ind w:firstLine="480" w:firstLineChars="200"/>
              <w:rPr>
                <w:color w:val="000000" w:themeColor="text1"/>
                <w:sz w:val="24"/>
              </w:rPr>
            </w:pPr>
            <w:r>
              <w:rPr>
                <w:rFonts w:hint="eastAsia"/>
                <w:color w:val="000000" w:themeColor="text1"/>
                <w:sz w:val="24"/>
              </w:rPr>
              <w:t>临港区境内野生动物资源中，兽类品种为数不多，鸟类品种资源比较丰富。兽类主要品种有野兔、刺猬、蝙蝠、田鼠、大家鼠、小家鼠、草兔等。两栖类主要品种有大蟾蜍、青蛙、蜥蜴；爬行类主要品种有麻蝎、壁虎、红点锦蛇、虎斑游蛇、黄脊游蛇、乌龟、鳖、山地麻蝎、草蜥、蝮蛇等。鸟类候鸟和留鸟种类较少。常见的鸟类有麻雀、黄鹂、斑鸠、八哥、百灵、燕子、乌鸦、布谷鸟、啄木鸟、猫头鹰、野鸡、布鸽、雁鹫等。野生植物共有500多种，其中乔木有黑松、赤松、刺槐、杨树、白榆、泡桐、柳树、楸等；灌木有棉槐、腊条、桑、山槐等；草本植物主要有：羊胡草、黄背草、鬼针叶草，白草等；花卉主要有菊花、鸡冠花、芍药、兰花、月季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01" w:type="dxa"/>
          </w:tcPr>
          <w:p>
            <w:pPr>
              <w:spacing w:line="360" w:lineRule="auto"/>
              <w:rPr>
                <w:rFonts w:eastAsia="黑体"/>
                <w:color w:val="000000" w:themeColor="text1"/>
                <w:sz w:val="28"/>
              </w:rPr>
            </w:pPr>
            <w:r>
              <w:rPr>
                <w:rFonts w:eastAsia="黑体"/>
                <w:color w:val="000000" w:themeColor="text1"/>
                <w:sz w:val="28"/>
              </w:rPr>
              <w:t>社会环境简况（社会经济结构、教育、文化、文物保护等）：</w:t>
            </w:r>
          </w:p>
          <w:p>
            <w:pPr>
              <w:adjustRightInd w:val="0"/>
              <w:snapToGrid w:val="0"/>
              <w:spacing w:line="360" w:lineRule="auto"/>
              <w:ind w:firstLine="480" w:firstLineChars="200"/>
              <w:rPr>
                <w:rFonts w:eastAsia="黑体"/>
                <w:color w:val="000000" w:themeColor="text1"/>
                <w:sz w:val="24"/>
                <w:szCs w:val="24"/>
              </w:rPr>
            </w:pPr>
            <w:r>
              <w:rPr>
                <w:rFonts w:hint="eastAsia" w:eastAsia="黑体"/>
                <w:color w:val="000000" w:themeColor="text1"/>
                <w:sz w:val="24"/>
                <w:szCs w:val="24"/>
              </w:rPr>
              <w:t>1、社会环境及经济概况</w:t>
            </w:r>
          </w:p>
          <w:p>
            <w:pPr>
              <w:adjustRightInd w:val="0"/>
              <w:snapToGrid w:val="0"/>
              <w:spacing w:line="360" w:lineRule="auto"/>
              <w:ind w:firstLine="480" w:firstLineChars="200"/>
              <w:rPr>
                <w:color w:val="000000"/>
                <w:sz w:val="24"/>
              </w:rPr>
            </w:pPr>
            <w:r>
              <w:rPr>
                <w:rFonts w:hint="eastAsia"/>
                <w:color w:val="000000"/>
                <w:sz w:val="24"/>
              </w:rPr>
              <w:t>威海临港经济技术开发区（前称：威海工业新区）位于威海市区南部，地处威海城市群的中心地带。辖区总面积</w:t>
            </w:r>
            <w:r>
              <w:rPr>
                <w:color w:val="000000"/>
                <w:sz w:val="24"/>
              </w:rPr>
              <w:t>297</w:t>
            </w:r>
            <w:r>
              <w:rPr>
                <w:rFonts w:hint="eastAsia"/>
                <w:color w:val="000000"/>
                <w:sz w:val="24"/>
              </w:rPr>
              <w:t>km</w:t>
            </w:r>
            <w:r>
              <w:rPr>
                <w:rFonts w:hint="eastAsia"/>
                <w:color w:val="000000"/>
                <w:sz w:val="24"/>
                <w:vertAlign w:val="superscript"/>
              </w:rPr>
              <w:t>2</w:t>
            </w:r>
            <w:r>
              <w:rPr>
                <w:color w:val="000000"/>
                <w:sz w:val="24"/>
              </w:rPr>
              <w:t>，规划建设用地面积78</w:t>
            </w:r>
            <w:r>
              <w:rPr>
                <w:rFonts w:hint="eastAsia"/>
                <w:color w:val="000000"/>
                <w:sz w:val="24"/>
              </w:rPr>
              <w:t>km</w:t>
            </w:r>
            <w:r>
              <w:rPr>
                <w:rFonts w:hint="eastAsia"/>
                <w:color w:val="000000"/>
                <w:sz w:val="24"/>
                <w:vertAlign w:val="superscript"/>
              </w:rPr>
              <w:t>2</w:t>
            </w:r>
            <w:r>
              <w:rPr>
                <w:color w:val="000000"/>
                <w:sz w:val="24"/>
              </w:rPr>
              <w:t>。其前身威海市工业园于2006年经山东省人民政府批准设立，并报国务院备案。2008年4月29日，威海工业新区正式成立。作为威海市政府规划建设的新型工业城区，威海工业新区是山东半岛区域规划面积最大、规划建设标准最高、最具发展潜力的新型城区，新区10年将规划发展成一座拥有30万人口的工业新城。2013年，经国务院批准，威海工业新区升级为国家级经济技术开发区，定名为威海临港经济技术</w:t>
            </w:r>
            <w:r>
              <w:rPr>
                <w:rFonts w:hint="eastAsia"/>
                <w:color w:val="000000"/>
                <w:sz w:val="24"/>
              </w:rPr>
              <w:t>开发区，</w:t>
            </w:r>
            <w:r>
              <w:rPr>
                <w:color w:val="000000"/>
                <w:sz w:val="24"/>
              </w:rPr>
              <w:t>简称临港区。目前，威海共有经济技术开发区和临港经济技术开发区两个国家级经济技术开发区，火炬高技术产业开发区一个国家级高新技术产业开发区。</w:t>
            </w:r>
          </w:p>
          <w:p>
            <w:pPr>
              <w:adjustRightInd w:val="0"/>
              <w:snapToGrid w:val="0"/>
              <w:spacing w:line="360" w:lineRule="auto"/>
              <w:ind w:firstLine="480" w:firstLineChars="200"/>
              <w:rPr>
                <w:color w:val="000000"/>
                <w:sz w:val="24"/>
              </w:rPr>
            </w:pPr>
            <w:r>
              <w:rPr>
                <w:rFonts w:hint="eastAsia"/>
                <w:color w:val="000000"/>
                <w:sz w:val="24"/>
              </w:rPr>
              <w:t>威海</w:t>
            </w:r>
            <w:r>
              <w:rPr>
                <w:color w:val="000000"/>
                <w:sz w:val="24"/>
              </w:rPr>
              <w:t>临港区辖草庙子、</w:t>
            </w:r>
            <w:r>
              <w:rPr>
                <w:rFonts w:hint="eastAsia"/>
                <w:color w:val="000000"/>
                <w:sz w:val="24"/>
              </w:rPr>
              <w:t>苘山</w:t>
            </w:r>
            <w:r>
              <w:rPr>
                <w:color w:val="000000"/>
                <w:sz w:val="24"/>
              </w:rPr>
              <w:t>、汪疃3个镇</w:t>
            </w:r>
            <w:r>
              <w:rPr>
                <w:rFonts w:hint="eastAsia"/>
                <w:color w:val="000000"/>
                <w:sz w:val="24"/>
              </w:rPr>
              <w:t>，</w:t>
            </w:r>
            <w:r>
              <w:rPr>
                <w:color w:val="000000"/>
                <w:sz w:val="24"/>
              </w:rPr>
              <w:t>169个村民委员会</w:t>
            </w:r>
            <w:r>
              <w:rPr>
                <w:rFonts w:hint="eastAsia"/>
                <w:color w:val="000000"/>
                <w:sz w:val="24"/>
              </w:rPr>
              <w:t>，</w:t>
            </w:r>
            <w:r>
              <w:rPr>
                <w:color w:val="000000"/>
                <w:sz w:val="24"/>
              </w:rPr>
              <w:t>5个居民委员会，人口13万人。目前全区共有工业企业470余家，初步形成了汽车零部件、新材料及制品、高端装备制造、食品医药、文体用品、新信息六大优势产业，培植起了国内最大的碳纤维生产基地——拓展纤维，国内最大的全钢子午线轮胎生产基地——三角工业园，世界最大的钻夹头生产基地——威达集团，威海最大的利用日资项目——豪雅光电，以及美国开泰、浩然特塑、</w:t>
            </w:r>
            <w:r>
              <w:rPr>
                <w:color w:val="000000" w:themeColor="text1"/>
                <w:sz w:val="24"/>
              </w:rPr>
              <w:t>多晶钨钼等一大</w:t>
            </w:r>
            <w:r>
              <w:rPr>
                <w:color w:val="000000"/>
                <w:sz w:val="24"/>
              </w:rPr>
              <w:t>批技术含量高、成长性好的优质企业。坚持创新驱动发展，建起了三角轮胎、拓展纤维国家级工程实验室等100多个市级以上创新平台，与清华大学、北京大学等30多家高校院所建立了产学研合作关系。</w:t>
            </w:r>
          </w:p>
          <w:p>
            <w:pPr>
              <w:adjustRightInd w:val="0"/>
              <w:snapToGrid w:val="0"/>
              <w:spacing w:line="360" w:lineRule="auto"/>
              <w:ind w:firstLine="480" w:firstLineChars="200"/>
              <w:rPr>
                <w:color w:val="000000" w:themeColor="text1"/>
                <w:sz w:val="24"/>
              </w:rPr>
            </w:pPr>
            <w:r>
              <w:rPr>
                <w:rFonts w:hint="eastAsia"/>
                <w:color w:val="000000"/>
                <w:sz w:val="24"/>
              </w:rPr>
              <w:t>苘山</w:t>
            </w:r>
            <w:r>
              <w:rPr>
                <w:color w:val="000000" w:themeColor="text1"/>
                <w:sz w:val="24"/>
              </w:rPr>
              <w:t>镇政府驻西山村，总面积50.62</w:t>
            </w:r>
            <w:r>
              <w:rPr>
                <w:rFonts w:hint="eastAsia"/>
                <w:color w:val="000000" w:themeColor="text1"/>
                <w:sz w:val="24"/>
              </w:rPr>
              <w:t>km</w:t>
            </w:r>
            <w:r>
              <w:rPr>
                <w:rFonts w:hint="eastAsia"/>
                <w:color w:val="000000" w:themeColor="text1"/>
                <w:sz w:val="24"/>
                <w:vertAlign w:val="superscript"/>
              </w:rPr>
              <w:t>2</w:t>
            </w:r>
            <w:r>
              <w:rPr>
                <w:color w:val="000000" w:themeColor="text1"/>
                <w:sz w:val="24"/>
              </w:rPr>
              <w:t>，耕地1180公顷，辖30个村民委员会，5个社区居民委员会，人口3.5万人。有初中1所、小学1所，在校学生3287人。特产主要有威鹰玫瑰花、大屋葡萄、大夼草莓等。南有高格河、北有山马河自东向西穿境而过，有水库2个，塘坝15个。初张公路、202省道、303省道、桃威铁路穿境而过，青威高速横亘镇南门户，交通十分便利。全镇有工业企业119家、个体工商户893家。</w:t>
            </w:r>
          </w:p>
          <w:p>
            <w:pPr>
              <w:adjustRightInd w:val="0"/>
              <w:snapToGrid w:val="0"/>
              <w:spacing w:line="360" w:lineRule="auto"/>
              <w:ind w:firstLine="480" w:firstLineChars="200"/>
              <w:rPr>
                <w:rFonts w:eastAsia="黑体"/>
                <w:color w:val="000000" w:themeColor="text1"/>
                <w:sz w:val="24"/>
                <w:szCs w:val="24"/>
              </w:rPr>
            </w:pPr>
            <w:r>
              <w:rPr>
                <w:rFonts w:hint="eastAsia" w:eastAsia="黑体"/>
                <w:color w:val="000000" w:themeColor="text1"/>
                <w:sz w:val="24"/>
                <w:szCs w:val="24"/>
              </w:rPr>
              <w:t>2、教育、文化</w:t>
            </w:r>
          </w:p>
          <w:p>
            <w:pPr>
              <w:adjustRightInd w:val="0"/>
              <w:snapToGrid w:val="0"/>
              <w:spacing w:line="360" w:lineRule="auto"/>
              <w:ind w:firstLine="480" w:firstLineChars="200"/>
              <w:rPr>
                <w:color w:val="000000" w:themeColor="text1"/>
                <w:sz w:val="24"/>
              </w:rPr>
            </w:pPr>
            <w:r>
              <w:rPr>
                <w:rFonts w:hint="eastAsia"/>
                <w:color w:val="000000" w:themeColor="text1"/>
                <w:sz w:val="24"/>
              </w:rPr>
              <w:t>威海临港经济技术开发区下设苘山中学、汪疃中学、威海十四中</w:t>
            </w:r>
            <w:r>
              <w:rPr>
                <w:color w:val="000000" w:themeColor="text1"/>
                <w:sz w:val="24"/>
              </w:rPr>
              <w:t>3所初中，威海四中一所高中及各镇小学，威海临港区工业技术学校一所职业院校以及威海中世外国语学校。教育资源雄厚</w:t>
            </w:r>
            <w:r>
              <w:rPr>
                <w:rFonts w:hint="eastAsia"/>
                <w:color w:val="000000" w:themeColor="text1"/>
                <w:sz w:val="24"/>
              </w:rPr>
              <w:t>。</w:t>
            </w:r>
          </w:p>
          <w:p>
            <w:pPr>
              <w:widowControl/>
              <w:adjustRightInd w:val="0"/>
              <w:snapToGrid w:val="0"/>
              <w:spacing w:line="360" w:lineRule="auto"/>
              <w:ind w:firstLine="480" w:firstLineChars="200"/>
              <w:rPr>
                <w:rFonts w:eastAsia="黑体"/>
                <w:color w:val="000000" w:themeColor="text1"/>
                <w:sz w:val="24"/>
              </w:rPr>
            </w:pPr>
            <w:r>
              <w:rPr>
                <w:rFonts w:eastAsia="黑体"/>
                <w:color w:val="000000" w:themeColor="text1"/>
                <w:sz w:val="24"/>
              </w:rPr>
              <w:t>3</w:t>
            </w:r>
            <w:r>
              <w:rPr>
                <w:rFonts w:hAnsi="黑体" w:eastAsia="黑体"/>
                <w:color w:val="000000" w:themeColor="text1"/>
                <w:sz w:val="24"/>
              </w:rPr>
              <w:t>、文物保护</w:t>
            </w:r>
          </w:p>
          <w:p>
            <w:pPr>
              <w:adjustRightInd w:val="0"/>
              <w:snapToGrid w:val="0"/>
              <w:spacing w:line="360" w:lineRule="auto"/>
              <w:ind w:firstLine="480" w:firstLineChars="200"/>
              <w:rPr>
                <w:color w:val="000000" w:themeColor="text1"/>
                <w:sz w:val="24"/>
              </w:rPr>
            </w:pPr>
            <w:r>
              <w:rPr>
                <w:color w:val="000000" w:themeColor="text1"/>
                <w:sz w:val="24"/>
              </w:rPr>
              <w:t>项目附近无国家、省、市级重点文物保护单位、名胜古迹及自然保护区。</w:t>
            </w: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eastAsia="黑体"/>
                <w:color w:val="000000" w:themeColor="text1"/>
                <w:sz w:val="24"/>
              </w:rPr>
            </w:pPr>
          </w:p>
          <w:p>
            <w:pPr>
              <w:adjustRightInd w:val="0"/>
              <w:snapToGrid w:val="0"/>
              <w:spacing w:line="360" w:lineRule="auto"/>
              <w:ind w:firstLine="480" w:firstLineChars="200"/>
              <w:rPr>
                <w:rFonts w:hAnsi="黑体" w:eastAsia="黑体"/>
                <w:color w:val="000000" w:themeColor="text1"/>
                <w:sz w:val="24"/>
                <w:szCs w:val="24"/>
              </w:rPr>
            </w:pPr>
          </w:p>
        </w:tc>
      </w:tr>
    </w:tbl>
    <w:p>
      <w:pPr>
        <w:snapToGrid w:val="0"/>
        <w:rPr>
          <w:rFonts w:eastAsia="黑体"/>
          <w:color w:val="000000" w:themeColor="text1"/>
          <w:sz w:val="32"/>
          <w:szCs w:val="32"/>
        </w:rPr>
      </w:pPr>
      <w:r>
        <w:rPr>
          <w:rFonts w:eastAsia="黑体"/>
          <w:color w:val="000000" w:themeColor="text1"/>
          <w:sz w:val="32"/>
          <w:szCs w:val="32"/>
        </w:rPr>
        <w:t>环境质量状况</w:t>
      </w:r>
    </w:p>
    <w:tbl>
      <w:tblPr>
        <w:tblStyle w:val="26"/>
        <w:tblW w:w="9594"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9782" w:type="dxa"/>
          </w:tcPr>
          <w:p>
            <w:pPr>
              <w:spacing w:line="360" w:lineRule="auto"/>
              <w:rPr>
                <w:rFonts w:eastAsia="黑体"/>
                <w:color w:val="000000" w:themeColor="text1"/>
                <w:sz w:val="28"/>
                <w:szCs w:val="28"/>
              </w:rPr>
            </w:pPr>
            <w:r>
              <w:rPr>
                <w:rFonts w:eastAsia="黑体"/>
                <w:color w:val="000000" w:themeColor="text1"/>
                <w:sz w:val="28"/>
                <w:szCs w:val="28"/>
              </w:rPr>
              <w:t>建设项目所在地区域环境质量现状及主要环境问题（环境空气、地面水、地下水、声环境、生态环境等）：</w:t>
            </w:r>
          </w:p>
          <w:p>
            <w:pPr>
              <w:adjustRightInd w:val="0"/>
              <w:snapToGrid w:val="0"/>
              <w:spacing w:line="360" w:lineRule="auto"/>
              <w:ind w:left="480"/>
              <w:rPr>
                <w:rFonts w:eastAsia="黑体"/>
                <w:color w:val="000000" w:themeColor="text1"/>
                <w:sz w:val="24"/>
                <w:szCs w:val="24"/>
              </w:rPr>
            </w:pPr>
            <w:r>
              <w:rPr>
                <w:rFonts w:eastAsia="黑体"/>
                <w:color w:val="000000" w:themeColor="text1"/>
                <w:sz w:val="24"/>
                <w:szCs w:val="24"/>
              </w:rPr>
              <w:t>1、</w:t>
            </w:r>
            <w:r>
              <w:rPr>
                <w:rFonts w:hint="eastAsia" w:eastAsia="黑体"/>
                <w:color w:val="000000" w:themeColor="text1"/>
                <w:sz w:val="24"/>
                <w:szCs w:val="24"/>
              </w:rPr>
              <w:t>环境空气</w:t>
            </w:r>
          </w:p>
          <w:p>
            <w:pPr>
              <w:spacing w:line="360" w:lineRule="auto"/>
              <w:ind w:firstLine="480" w:firstLineChars="200"/>
              <w:rPr>
                <w:color w:val="000000" w:themeColor="text1"/>
                <w:sz w:val="24"/>
              </w:rPr>
            </w:pPr>
            <w:r>
              <w:rPr>
                <w:color w:val="000000" w:themeColor="text1"/>
                <w:sz w:val="24"/>
              </w:rPr>
              <w:t>根据201</w:t>
            </w:r>
            <w:r>
              <w:rPr>
                <w:rFonts w:hint="eastAsia"/>
                <w:color w:val="000000" w:themeColor="text1"/>
                <w:sz w:val="24"/>
              </w:rPr>
              <w:t>9</w:t>
            </w:r>
            <w:r>
              <w:rPr>
                <w:color w:val="000000" w:themeColor="text1"/>
                <w:sz w:val="24"/>
              </w:rPr>
              <w:t>年威海市环境质量</w:t>
            </w:r>
            <w:r>
              <w:rPr>
                <w:rFonts w:hint="eastAsia"/>
                <w:color w:val="000000" w:themeColor="text1"/>
                <w:sz w:val="24"/>
              </w:rPr>
              <w:t>公报</w:t>
            </w:r>
            <w:r>
              <w:rPr>
                <w:color w:val="000000" w:themeColor="text1"/>
                <w:sz w:val="24"/>
              </w:rPr>
              <w:t>，威海市全年环境空气质量主要指标值见表</w:t>
            </w:r>
            <w:r>
              <w:rPr>
                <w:rFonts w:hint="eastAsia"/>
                <w:color w:val="000000" w:themeColor="text1"/>
                <w:sz w:val="24"/>
              </w:rPr>
              <w:t>8</w:t>
            </w:r>
            <w:r>
              <w:rPr>
                <w:color w:val="000000" w:themeColor="text1"/>
                <w:sz w:val="24"/>
              </w:rPr>
              <w:t>。</w:t>
            </w:r>
          </w:p>
          <w:p>
            <w:pPr>
              <w:adjustRightInd w:val="0"/>
              <w:snapToGrid w:val="0"/>
              <w:jc w:val="center"/>
              <w:rPr>
                <w:sz w:val="24"/>
                <w:szCs w:val="24"/>
              </w:rPr>
            </w:pPr>
            <w:r>
              <w:rPr>
                <w:rFonts w:eastAsia="黑体"/>
                <w:color w:val="000000" w:themeColor="text1"/>
                <w:sz w:val="24"/>
                <w:szCs w:val="24"/>
              </w:rPr>
              <w:t>表</w:t>
            </w:r>
            <w:r>
              <w:rPr>
                <w:rFonts w:hint="eastAsia" w:eastAsia="黑体"/>
                <w:color w:val="000000" w:themeColor="text1"/>
                <w:sz w:val="24"/>
                <w:szCs w:val="24"/>
              </w:rPr>
              <w:t xml:space="preserve">8 </w:t>
            </w:r>
            <w:r>
              <w:rPr>
                <w:rFonts w:eastAsia="黑体"/>
                <w:color w:val="000000" w:themeColor="text1"/>
                <w:sz w:val="24"/>
                <w:szCs w:val="24"/>
              </w:rPr>
              <w:t xml:space="preserve"> 201</w:t>
            </w:r>
            <w:r>
              <w:rPr>
                <w:rFonts w:hint="eastAsia" w:eastAsia="黑体"/>
                <w:color w:val="000000" w:themeColor="text1"/>
                <w:sz w:val="24"/>
                <w:szCs w:val="24"/>
              </w:rPr>
              <w:t>9</w:t>
            </w:r>
            <w:r>
              <w:rPr>
                <w:rFonts w:eastAsia="黑体"/>
                <w:color w:val="000000" w:themeColor="text1"/>
                <w:sz w:val="24"/>
                <w:szCs w:val="24"/>
              </w:rPr>
              <w:t>年威海市环境空气质量情况表  单位：μg/m</w:t>
            </w:r>
            <w:r>
              <w:rPr>
                <w:rFonts w:eastAsia="黑体"/>
                <w:color w:val="000000" w:themeColor="text1"/>
                <w:sz w:val="24"/>
                <w:szCs w:val="24"/>
                <w:vertAlign w:val="superscript"/>
              </w:rPr>
              <w:t>3</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0" w:type="dxa"/>
                <w:bottom w:w="0" w:type="dxa"/>
                <w:right w:w="0" w:type="dxa"/>
              </w:tblCellMar>
            </w:tblPr>
            <w:tblGrid>
              <w:gridCol w:w="908"/>
              <w:gridCol w:w="804"/>
              <w:gridCol w:w="808"/>
              <w:gridCol w:w="992"/>
              <w:gridCol w:w="992"/>
              <w:gridCol w:w="2024"/>
              <w:gridCol w:w="209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630" w:hRule="atLeast"/>
                <w:jc w:val="center"/>
              </w:trPr>
              <w:tc>
                <w:tcPr>
                  <w:tcW w:w="908"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szCs w:val="21"/>
                    </w:rPr>
                    <w:t>项目</w:t>
                  </w:r>
                </w:p>
              </w:tc>
              <w:tc>
                <w:tcPr>
                  <w:tcW w:w="850" w:type="dxa"/>
                  <w:tcMar>
                    <w:top w:w="15" w:type="dxa"/>
                    <w:left w:w="15" w:type="dxa"/>
                    <w:bottom w:w="0" w:type="dxa"/>
                    <w:right w:w="15" w:type="dxa"/>
                  </w:tcMar>
                  <w:vAlign w:val="center"/>
                </w:tcPr>
                <w:p>
                  <w:pPr>
                    <w:pStyle w:val="104"/>
                    <w:rPr>
                      <w:color w:val="000000" w:themeColor="text1"/>
                      <w:kern w:val="2"/>
                      <w:szCs w:val="21"/>
                      <w:vertAlign w:val="subscript"/>
                    </w:rPr>
                  </w:pPr>
                  <w:r>
                    <w:rPr>
                      <w:color w:val="000000" w:themeColor="text1"/>
                      <w:kern w:val="2"/>
                      <w:szCs w:val="21"/>
                    </w:rPr>
                    <w:t>SO</w:t>
                  </w:r>
                  <w:r>
                    <w:rPr>
                      <w:color w:val="000000" w:themeColor="text1"/>
                      <w:kern w:val="2"/>
                      <w:szCs w:val="21"/>
                      <w:vertAlign w:val="subscript"/>
                    </w:rPr>
                    <w:t>2</w:t>
                  </w:r>
                </w:p>
                <w:p>
                  <w:pPr>
                    <w:pStyle w:val="104"/>
                    <w:rPr>
                      <w:color w:val="000000" w:themeColor="text1"/>
                      <w:kern w:val="2"/>
                      <w:szCs w:val="21"/>
                    </w:rPr>
                  </w:pPr>
                  <w:r>
                    <w:rPr>
                      <w:rFonts w:hint="eastAsia"/>
                      <w:color w:val="000000" w:themeColor="text1"/>
                      <w:kern w:val="2"/>
                      <w:szCs w:val="21"/>
                    </w:rPr>
                    <w:t>年均值</w:t>
                  </w:r>
                </w:p>
              </w:tc>
              <w:tc>
                <w:tcPr>
                  <w:tcW w:w="851" w:type="dxa"/>
                  <w:tcMar>
                    <w:top w:w="15" w:type="dxa"/>
                    <w:left w:w="15" w:type="dxa"/>
                    <w:bottom w:w="0" w:type="dxa"/>
                    <w:right w:w="15" w:type="dxa"/>
                  </w:tcMar>
                  <w:vAlign w:val="center"/>
                </w:tcPr>
                <w:p>
                  <w:pPr>
                    <w:pStyle w:val="104"/>
                    <w:rPr>
                      <w:color w:val="000000" w:themeColor="text1"/>
                      <w:kern w:val="2"/>
                      <w:szCs w:val="21"/>
                      <w:vertAlign w:val="subscript"/>
                    </w:rPr>
                  </w:pPr>
                  <w:r>
                    <w:rPr>
                      <w:color w:val="000000" w:themeColor="text1"/>
                      <w:kern w:val="2"/>
                      <w:szCs w:val="21"/>
                    </w:rPr>
                    <w:t>NO</w:t>
                  </w:r>
                  <w:r>
                    <w:rPr>
                      <w:color w:val="000000" w:themeColor="text1"/>
                      <w:kern w:val="2"/>
                      <w:szCs w:val="21"/>
                      <w:vertAlign w:val="subscript"/>
                    </w:rPr>
                    <w:t>2</w:t>
                  </w:r>
                </w:p>
                <w:p>
                  <w:pPr>
                    <w:pStyle w:val="104"/>
                    <w:rPr>
                      <w:color w:val="000000" w:themeColor="text1"/>
                      <w:kern w:val="2"/>
                      <w:szCs w:val="21"/>
                    </w:rPr>
                  </w:pPr>
                  <w:r>
                    <w:rPr>
                      <w:rFonts w:hint="eastAsia"/>
                      <w:color w:val="000000" w:themeColor="text1"/>
                      <w:kern w:val="2"/>
                      <w:szCs w:val="21"/>
                    </w:rPr>
                    <w:t>年均值</w:t>
                  </w:r>
                </w:p>
              </w:tc>
              <w:tc>
                <w:tcPr>
                  <w:tcW w:w="992" w:type="dxa"/>
                  <w:noWrap/>
                  <w:tcMar>
                    <w:top w:w="15" w:type="dxa"/>
                    <w:left w:w="15" w:type="dxa"/>
                    <w:bottom w:w="0" w:type="dxa"/>
                    <w:right w:w="15" w:type="dxa"/>
                  </w:tcMar>
                  <w:vAlign w:val="center"/>
                </w:tcPr>
                <w:p>
                  <w:pPr>
                    <w:pStyle w:val="104"/>
                    <w:rPr>
                      <w:color w:val="000000" w:themeColor="text1"/>
                      <w:kern w:val="2"/>
                      <w:szCs w:val="21"/>
                      <w:vertAlign w:val="subscript"/>
                    </w:rPr>
                  </w:pPr>
                  <w:r>
                    <w:rPr>
                      <w:color w:val="000000" w:themeColor="text1"/>
                      <w:kern w:val="2"/>
                      <w:szCs w:val="21"/>
                    </w:rPr>
                    <w:t>PM</w:t>
                  </w:r>
                  <w:r>
                    <w:rPr>
                      <w:color w:val="000000" w:themeColor="text1"/>
                      <w:kern w:val="2"/>
                      <w:szCs w:val="21"/>
                      <w:vertAlign w:val="subscript"/>
                    </w:rPr>
                    <w:t>10</w:t>
                  </w:r>
                </w:p>
                <w:p>
                  <w:pPr>
                    <w:pStyle w:val="104"/>
                    <w:rPr>
                      <w:color w:val="000000" w:themeColor="text1"/>
                      <w:kern w:val="2"/>
                      <w:szCs w:val="21"/>
                    </w:rPr>
                  </w:pPr>
                  <w:r>
                    <w:rPr>
                      <w:rFonts w:hint="eastAsia"/>
                      <w:color w:val="000000" w:themeColor="text1"/>
                      <w:kern w:val="2"/>
                      <w:szCs w:val="21"/>
                    </w:rPr>
                    <w:t>年均值</w:t>
                  </w:r>
                </w:p>
              </w:tc>
              <w:tc>
                <w:tcPr>
                  <w:tcW w:w="992" w:type="dxa"/>
                  <w:noWrap/>
                  <w:tcMar>
                    <w:top w:w="15" w:type="dxa"/>
                    <w:left w:w="15" w:type="dxa"/>
                    <w:bottom w:w="0" w:type="dxa"/>
                    <w:right w:w="15" w:type="dxa"/>
                  </w:tcMar>
                  <w:vAlign w:val="center"/>
                </w:tcPr>
                <w:p>
                  <w:pPr>
                    <w:pStyle w:val="104"/>
                    <w:rPr>
                      <w:color w:val="000000" w:themeColor="text1"/>
                      <w:kern w:val="2"/>
                      <w:szCs w:val="21"/>
                      <w:vertAlign w:val="subscript"/>
                    </w:rPr>
                  </w:pPr>
                  <w:r>
                    <w:rPr>
                      <w:color w:val="000000" w:themeColor="text1"/>
                      <w:kern w:val="2"/>
                      <w:szCs w:val="21"/>
                    </w:rPr>
                    <w:t>PM</w:t>
                  </w:r>
                  <w:r>
                    <w:rPr>
                      <w:color w:val="000000" w:themeColor="text1"/>
                      <w:kern w:val="2"/>
                      <w:szCs w:val="21"/>
                      <w:vertAlign w:val="subscript"/>
                    </w:rPr>
                    <w:t>2.5</w:t>
                  </w:r>
                </w:p>
                <w:p>
                  <w:pPr>
                    <w:pStyle w:val="104"/>
                    <w:rPr>
                      <w:color w:val="000000" w:themeColor="text1"/>
                      <w:kern w:val="2"/>
                      <w:szCs w:val="21"/>
                    </w:rPr>
                  </w:pPr>
                  <w:r>
                    <w:rPr>
                      <w:rFonts w:hint="eastAsia"/>
                      <w:color w:val="000000" w:themeColor="text1"/>
                      <w:kern w:val="2"/>
                      <w:szCs w:val="21"/>
                    </w:rPr>
                    <w:t>年均值</w:t>
                  </w:r>
                </w:p>
              </w:tc>
              <w:tc>
                <w:tcPr>
                  <w:tcW w:w="2024"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rPr>
                    <w:t>一氧化碳</w:t>
                  </w:r>
                  <w:r>
                    <w:rPr>
                      <w:color w:val="000000" w:themeColor="text1"/>
                      <w:kern w:val="2"/>
                    </w:rPr>
                    <w:t>24</w:t>
                  </w:r>
                  <w:r>
                    <w:rPr>
                      <w:rFonts w:hint="eastAsia"/>
                      <w:color w:val="000000" w:themeColor="text1"/>
                      <w:kern w:val="2"/>
                    </w:rPr>
                    <w:t>小时平均第</w:t>
                  </w:r>
                  <w:r>
                    <w:rPr>
                      <w:color w:val="000000" w:themeColor="text1"/>
                      <w:kern w:val="2"/>
                    </w:rPr>
                    <w:t>95</w:t>
                  </w:r>
                  <w:r>
                    <w:rPr>
                      <w:rFonts w:hint="eastAsia"/>
                      <w:color w:val="000000" w:themeColor="text1"/>
                      <w:kern w:val="2"/>
                    </w:rPr>
                    <w:t>百分位数</w:t>
                  </w:r>
                </w:p>
              </w:tc>
              <w:tc>
                <w:tcPr>
                  <w:tcW w:w="2283" w:type="dxa"/>
                  <w:vAlign w:val="center"/>
                </w:tcPr>
                <w:p>
                  <w:pPr>
                    <w:pStyle w:val="104"/>
                    <w:rPr>
                      <w:color w:val="000000" w:themeColor="text1"/>
                      <w:kern w:val="2"/>
                      <w:szCs w:val="21"/>
                    </w:rPr>
                  </w:pPr>
                  <w:r>
                    <w:rPr>
                      <w:rFonts w:hint="eastAsia"/>
                      <w:color w:val="000000" w:themeColor="text1"/>
                      <w:kern w:val="2"/>
                    </w:rPr>
                    <w:t>臭氧日最大</w:t>
                  </w:r>
                  <w:r>
                    <w:rPr>
                      <w:color w:val="000000" w:themeColor="text1"/>
                      <w:kern w:val="2"/>
                    </w:rPr>
                    <w:t>8</w:t>
                  </w:r>
                  <w:r>
                    <w:rPr>
                      <w:rFonts w:hint="eastAsia"/>
                      <w:color w:val="000000" w:themeColor="text1"/>
                      <w:kern w:val="2"/>
                    </w:rPr>
                    <w:t>小时滑动平均值的第</w:t>
                  </w:r>
                  <w:r>
                    <w:rPr>
                      <w:color w:val="000000" w:themeColor="text1"/>
                      <w:kern w:val="2"/>
                    </w:rPr>
                    <w:t>90</w:t>
                  </w:r>
                  <w:r>
                    <w:rPr>
                      <w:rFonts w:hint="eastAsia"/>
                      <w:color w:val="000000" w:themeColor="text1"/>
                      <w:kern w:val="2"/>
                    </w:rPr>
                    <w:t>百分位数</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jc w:val="center"/>
              </w:trPr>
              <w:tc>
                <w:tcPr>
                  <w:tcW w:w="908"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szCs w:val="21"/>
                    </w:rPr>
                    <w:t>数值</w:t>
                  </w:r>
                </w:p>
              </w:tc>
              <w:tc>
                <w:tcPr>
                  <w:tcW w:w="850" w:type="dxa"/>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rPr>
                    <w:t>6</w:t>
                  </w:r>
                </w:p>
              </w:tc>
              <w:tc>
                <w:tcPr>
                  <w:tcW w:w="851" w:type="dxa"/>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rPr>
                    <w:t>20</w:t>
                  </w:r>
                </w:p>
              </w:tc>
              <w:tc>
                <w:tcPr>
                  <w:tcW w:w="992"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szCs w:val="21"/>
                    </w:rPr>
                    <w:t>56</w:t>
                  </w:r>
                </w:p>
              </w:tc>
              <w:tc>
                <w:tcPr>
                  <w:tcW w:w="992"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szCs w:val="21"/>
                    </w:rPr>
                    <w:t>29</w:t>
                  </w:r>
                </w:p>
              </w:tc>
              <w:tc>
                <w:tcPr>
                  <w:tcW w:w="2024" w:type="dxa"/>
                  <w:noWrap/>
                  <w:tcMar>
                    <w:top w:w="15" w:type="dxa"/>
                    <w:left w:w="15" w:type="dxa"/>
                    <w:bottom w:w="0" w:type="dxa"/>
                    <w:right w:w="15" w:type="dxa"/>
                  </w:tcMar>
                  <w:vAlign w:val="center"/>
                </w:tcPr>
                <w:p>
                  <w:pPr>
                    <w:pStyle w:val="104"/>
                    <w:rPr>
                      <w:color w:val="000000" w:themeColor="text1"/>
                      <w:kern w:val="2"/>
                      <w:szCs w:val="21"/>
                    </w:rPr>
                  </w:pPr>
                  <w:r>
                    <w:rPr>
                      <w:color w:val="000000" w:themeColor="text1"/>
                      <w:kern w:val="2"/>
                    </w:rPr>
                    <w:t>1.</w:t>
                  </w:r>
                  <w:r>
                    <w:rPr>
                      <w:rFonts w:hint="eastAsia"/>
                      <w:color w:val="000000" w:themeColor="text1"/>
                      <w:kern w:val="2"/>
                    </w:rPr>
                    <w:t>1</w:t>
                  </w:r>
                  <w:r>
                    <w:rPr>
                      <w:color w:val="000000" w:themeColor="text1"/>
                      <w:kern w:val="2"/>
                    </w:rPr>
                    <w:t>mg/m</w:t>
                  </w:r>
                  <w:r>
                    <w:rPr>
                      <w:color w:val="000000" w:themeColor="text1"/>
                      <w:kern w:val="2"/>
                      <w:vertAlign w:val="superscript"/>
                    </w:rPr>
                    <w:t>3</w:t>
                  </w:r>
                </w:p>
              </w:tc>
              <w:tc>
                <w:tcPr>
                  <w:tcW w:w="2283" w:type="dxa"/>
                  <w:vAlign w:val="center"/>
                </w:tcPr>
                <w:p>
                  <w:pPr>
                    <w:pStyle w:val="104"/>
                    <w:rPr>
                      <w:color w:val="000000" w:themeColor="text1"/>
                      <w:kern w:val="2"/>
                      <w:szCs w:val="21"/>
                    </w:rPr>
                  </w:pPr>
                  <w:r>
                    <w:rPr>
                      <w:color w:val="000000" w:themeColor="text1"/>
                      <w:kern w:val="2"/>
                      <w:szCs w:val="21"/>
                    </w:rPr>
                    <w:t>1</w:t>
                  </w:r>
                  <w:r>
                    <w:rPr>
                      <w:rFonts w:hint="eastAsia"/>
                      <w:color w:val="000000" w:themeColor="text1"/>
                      <w:kern w:val="2"/>
                      <w:szCs w:val="21"/>
                    </w:rPr>
                    <w:t>60</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jc w:val="center"/>
              </w:trPr>
              <w:tc>
                <w:tcPr>
                  <w:tcW w:w="908" w:type="dxa"/>
                  <w:noWrap/>
                  <w:tcMar>
                    <w:top w:w="15" w:type="dxa"/>
                    <w:left w:w="15" w:type="dxa"/>
                    <w:bottom w:w="0" w:type="dxa"/>
                    <w:right w:w="15" w:type="dxa"/>
                  </w:tcMar>
                  <w:vAlign w:val="center"/>
                </w:tcPr>
                <w:p>
                  <w:pPr>
                    <w:pStyle w:val="104"/>
                    <w:rPr>
                      <w:color w:val="000000" w:themeColor="text1"/>
                      <w:kern w:val="2"/>
                      <w:szCs w:val="21"/>
                    </w:rPr>
                  </w:pPr>
                  <w:r>
                    <w:rPr>
                      <w:rFonts w:hint="eastAsia"/>
                      <w:color w:val="000000" w:themeColor="text1"/>
                      <w:kern w:val="2"/>
                      <w:szCs w:val="21"/>
                    </w:rPr>
                    <w:t>标准值</w:t>
                  </w:r>
                </w:p>
              </w:tc>
              <w:tc>
                <w:tcPr>
                  <w:tcW w:w="850" w:type="dxa"/>
                  <w:tcMar>
                    <w:top w:w="15" w:type="dxa"/>
                    <w:left w:w="15" w:type="dxa"/>
                    <w:bottom w:w="0" w:type="dxa"/>
                    <w:right w:w="15" w:type="dxa"/>
                  </w:tcMar>
                  <w:vAlign w:val="center"/>
                </w:tcPr>
                <w:p>
                  <w:pPr>
                    <w:pStyle w:val="104"/>
                    <w:rPr>
                      <w:color w:val="000000" w:themeColor="text1"/>
                      <w:kern w:val="2"/>
                      <w:szCs w:val="21"/>
                    </w:rPr>
                  </w:pPr>
                  <w:r>
                    <w:rPr>
                      <w:color w:val="000000" w:themeColor="text1"/>
                      <w:kern w:val="2"/>
                      <w:szCs w:val="21"/>
                    </w:rPr>
                    <w:t>60</w:t>
                  </w:r>
                </w:p>
              </w:tc>
              <w:tc>
                <w:tcPr>
                  <w:tcW w:w="851" w:type="dxa"/>
                  <w:tcMar>
                    <w:top w:w="15" w:type="dxa"/>
                    <w:left w:w="15" w:type="dxa"/>
                    <w:bottom w:w="0" w:type="dxa"/>
                    <w:right w:w="15" w:type="dxa"/>
                  </w:tcMar>
                  <w:vAlign w:val="center"/>
                </w:tcPr>
                <w:p>
                  <w:pPr>
                    <w:pStyle w:val="104"/>
                    <w:rPr>
                      <w:color w:val="000000" w:themeColor="text1"/>
                      <w:kern w:val="2"/>
                      <w:szCs w:val="21"/>
                    </w:rPr>
                  </w:pPr>
                  <w:r>
                    <w:rPr>
                      <w:color w:val="000000" w:themeColor="text1"/>
                      <w:kern w:val="2"/>
                      <w:szCs w:val="21"/>
                    </w:rPr>
                    <w:t>40</w:t>
                  </w:r>
                </w:p>
              </w:tc>
              <w:tc>
                <w:tcPr>
                  <w:tcW w:w="992" w:type="dxa"/>
                  <w:noWrap/>
                  <w:tcMar>
                    <w:top w:w="15" w:type="dxa"/>
                    <w:left w:w="15" w:type="dxa"/>
                    <w:bottom w:w="0" w:type="dxa"/>
                    <w:right w:w="15" w:type="dxa"/>
                  </w:tcMar>
                  <w:vAlign w:val="center"/>
                </w:tcPr>
                <w:p>
                  <w:pPr>
                    <w:pStyle w:val="104"/>
                    <w:rPr>
                      <w:color w:val="000000" w:themeColor="text1"/>
                      <w:kern w:val="2"/>
                      <w:szCs w:val="21"/>
                    </w:rPr>
                  </w:pPr>
                  <w:r>
                    <w:rPr>
                      <w:color w:val="000000" w:themeColor="text1"/>
                      <w:kern w:val="2"/>
                      <w:szCs w:val="21"/>
                    </w:rPr>
                    <w:t>70</w:t>
                  </w:r>
                </w:p>
              </w:tc>
              <w:tc>
                <w:tcPr>
                  <w:tcW w:w="992" w:type="dxa"/>
                  <w:noWrap/>
                  <w:tcMar>
                    <w:top w:w="15" w:type="dxa"/>
                    <w:left w:w="15" w:type="dxa"/>
                    <w:bottom w:w="0" w:type="dxa"/>
                    <w:right w:w="15" w:type="dxa"/>
                  </w:tcMar>
                  <w:vAlign w:val="center"/>
                </w:tcPr>
                <w:p>
                  <w:pPr>
                    <w:pStyle w:val="104"/>
                    <w:rPr>
                      <w:color w:val="000000" w:themeColor="text1"/>
                      <w:kern w:val="2"/>
                      <w:szCs w:val="21"/>
                    </w:rPr>
                  </w:pPr>
                  <w:r>
                    <w:rPr>
                      <w:color w:val="000000" w:themeColor="text1"/>
                      <w:kern w:val="2"/>
                      <w:szCs w:val="21"/>
                    </w:rPr>
                    <w:t>35</w:t>
                  </w:r>
                </w:p>
              </w:tc>
              <w:tc>
                <w:tcPr>
                  <w:tcW w:w="2024" w:type="dxa"/>
                  <w:noWrap/>
                  <w:tcMar>
                    <w:top w:w="15" w:type="dxa"/>
                    <w:left w:w="15" w:type="dxa"/>
                    <w:bottom w:w="0" w:type="dxa"/>
                    <w:right w:w="15" w:type="dxa"/>
                  </w:tcMar>
                  <w:vAlign w:val="center"/>
                </w:tcPr>
                <w:p>
                  <w:pPr>
                    <w:pStyle w:val="104"/>
                    <w:rPr>
                      <w:color w:val="000000" w:themeColor="text1"/>
                      <w:kern w:val="2"/>
                      <w:szCs w:val="21"/>
                    </w:rPr>
                  </w:pPr>
                  <w:r>
                    <w:rPr>
                      <w:color w:val="000000" w:themeColor="text1"/>
                      <w:kern w:val="2"/>
                    </w:rPr>
                    <w:t>4.0mg/m</w:t>
                  </w:r>
                  <w:r>
                    <w:rPr>
                      <w:color w:val="000000" w:themeColor="text1"/>
                      <w:kern w:val="2"/>
                      <w:vertAlign w:val="superscript"/>
                    </w:rPr>
                    <w:t>3</w:t>
                  </w:r>
                </w:p>
              </w:tc>
              <w:tc>
                <w:tcPr>
                  <w:tcW w:w="2283" w:type="dxa"/>
                  <w:vAlign w:val="center"/>
                </w:tcPr>
                <w:p>
                  <w:pPr>
                    <w:pStyle w:val="104"/>
                    <w:rPr>
                      <w:color w:val="000000" w:themeColor="text1"/>
                      <w:kern w:val="2"/>
                      <w:szCs w:val="21"/>
                    </w:rPr>
                  </w:pPr>
                  <w:r>
                    <w:rPr>
                      <w:color w:val="000000" w:themeColor="text1"/>
                      <w:kern w:val="2"/>
                      <w:szCs w:val="21"/>
                    </w:rPr>
                    <w:t>160</w:t>
                  </w:r>
                </w:p>
              </w:tc>
            </w:tr>
          </w:tbl>
          <w:p>
            <w:pPr>
              <w:spacing w:line="360" w:lineRule="auto"/>
              <w:ind w:firstLine="480" w:firstLineChars="200"/>
              <w:rPr>
                <w:color w:val="000000" w:themeColor="text1"/>
                <w:sz w:val="24"/>
              </w:rPr>
            </w:pPr>
            <w:r>
              <w:rPr>
                <w:rFonts w:hint="eastAsia"/>
                <w:color w:val="000000" w:themeColor="text1"/>
                <w:sz w:val="24"/>
              </w:rPr>
              <w:t>由上表可知，</w:t>
            </w:r>
            <w:r>
              <w:rPr>
                <w:color w:val="000000" w:themeColor="text1"/>
                <w:sz w:val="24"/>
              </w:rPr>
              <w:t xml:space="preserve">环境空气质量符合应执行《环境空气质量标准》（GB3095-2012）二级标准。 </w:t>
            </w:r>
          </w:p>
          <w:p>
            <w:pPr>
              <w:adjustRightInd w:val="0"/>
              <w:snapToGrid w:val="0"/>
              <w:spacing w:line="360" w:lineRule="auto"/>
              <w:ind w:left="480"/>
              <w:rPr>
                <w:rFonts w:eastAsia="黑体"/>
                <w:color w:val="000000" w:themeColor="text1"/>
                <w:sz w:val="24"/>
                <w:szCs w:val="24"/>
              </w:rPr>
            </w:pPr>
            <w:r>
              <w:rPr>
                <w:rFonts w:eastAsia="黑体"/>
                <w:color w:val="000000" w:themeColor="text1"/>
                <w:sz w:val="24"/>
                <w:szCs w:val="24"/>
              </w:rPr>
              <w:t>2、地</w:t>
            </w:r>
            <w:r>
              <w:rPr>
                <w:rFonts w:hint="eastAsia" w:eastAsia="黑体"/>
                <w:color w:val="000000" w:themeColor="text1"/>
                <w:sz w:val="24"/>
                <w:szCs w:val="24"/>
              </w:rPr>
              <w:t>表</w:t>
            </w:r>
            <w:r>
              <w:rPr>
                <w:rFonts w:eastAsia="黑体"/>
                <w:color w:val="000000" w:themeColor="text1"/>
                <w:sz w:val="24"/>
                <w:szCs w:val="24"/>
              </w:rPr>
              <w:t>水</w:t>
            </w:r>
          </w:p>
          <w:p>
            <w:pPr>
              <w:spacing w:line="360" w:lineRule="auto"/>
              <w:ind w:firstLine="480" w:firstLineChars="200"/>
              <w:rPr>
                <w:kern w:val="36"/>
                <w:sz w:val="24"/>
              </w:rPr>
            </w:pPr>
            <w:r>
              <w:rPr>
                <w:kern w:val="36"/>
                <w:sz w:val="24"/>
              </w:rPr>
              <w:t>威海市环境保护监测站于201</w:t>
            </w:r>
            <w:r>
              <w:rPr>
                <w:rFonts w:hint="eastAsia"/>
                <w:kern w:val="36"/>
                <w:sz w:val="24"/>
              </w:rPr>
              <w:t>9</w:t>
            </w:r>
            <w:r>
              <w:rPr>
                <w:kern w:val="36"/>
                <w:sz w:val="24"/>
              </w:rPr>
              <w:t>年</w:t>
            </w:r>
            <w:r>
              <w:rPr>
                <w:rFonts w:hint="eastAsia"/>
                <w:kern w:val="36"/>
                <w:sz w:val="24"/>
              </w:rPr>
              <w:t>4</w:t>
            </w:r>
            <w:r>
              <w:rPr>
                <w:kern w:val="36"/>
                <w:sz w:val="24"/>
              </w:rPr>
              <w:t>月</w:t>
            </w:r>
            <w:r>
              <w:rPr>
                <w:rFonts w:hint="eastAsia"/>
                <w:kern w:val="36"/>
                <w:sz w:val="24"/>
              </w:rPr>
              <w:t>1</w:t>
            </w:r>
            <w:r>
              <w:rPr>
                <w:kern w:val="36"/>
                <w:sz w:val="24"/>
              </w:rPr>
              <w:t>日对草庙子河南申格村东侧断面（位于项目东</w:t>
            </w:r>
            <w:r>
              <w:rPr>
                <w:rFonts w:hint="eastAsia"/>
                <w:kern w:val="36"/>
                <w:sz w:val="24"/>
              </w:rPr>
              <w:t>北约3.0</w:t>
            </w:r>
            <w:r>
              <w:rPr>
                <w:kern w:val="36"/>
                <w:sz w:val="24"/>
              </w:rPr>
              <w:t>km）进行了采样检测，监测结果见表</w:t>
            </w:r>
            <w:r>
              <w:rPr>
                <w:rFonts w:hint="eastAsia"/>
                <w:kern w:val="36"/>
                <w:sz w:val="24"/>
              </w:rPr>
              <w:t>9</w:t>
            </w:r>
            <w:r>
              <w:rPr>
                <w:kern w:val="36"/>
                <w:sz w:val="24"/>
              </w:rPr>
              <w:t>。</w:t>
            </w:r>
          </w:p>
          <w:p>
            <w:pPr>
              <w:widowControl/>
              <w:jc w:val="center"/>
              <w:rPr>
                <w:rFonts w:eastAsia="黑体"/>
                <w:color w:val="000000" w:themeColor="text1"/>
                <w:sz w:val="24"/>
                <w:szCs w:val="24"/>
              </w:rPr>
            </w:pPr>
            <w:r>
              <w:rPr>
                <w:rFonts w:eastAsia="黑体"/>
                <w:color w:val="000000" w:themeColor="text1"/>
                <w:sz w:val="24"/>
                <w:szCs w:val="24"/>
              </w:rPr>
              <w:t>表</w:t>
            </w:r>
            <w:r>
              <w:rPr>
                <w:rFonts w:hint="eastAsia" w:eastAsia="黑体"/>
                <w:color w:val="000000" w:themeColor="text1"/>
                <w:sz w:val="24"/>
                <w:szCs w:val="24"/>
              </w:rPr>
              <w:t>9</w:t>
            </w:r>
            <w:r>
              <w:rPr>
                <w:rFonts w:eastAsia="黑体"/>
                <w:color w:val="000000" w:themeColor="text1"/>
                <w:sz w:val="24"/>
                <w:szCs w:val="24"/>
              </w:rPr>
              <w:t xml:space="preserve"> 地表水监测结果（单位：mg/L，pH、总大肠菌群除外）</w:t>
            </w:r>
          </w:p>
          <w:tbl>
            <w:tblPr>
              <w:tblStyle w:val="26"/>
              <w:tblW w:w="8624" w:type="dxa"/>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autofit"/>
              <w:tblCellMar>
                <w:top w:w="0" w:type="dxa"/>
                <w:left w:w="108" w:type="dxa"/>
                <w:bottom w:w="0" w:type="dxa"/>
                <w:right w:w="108" w:type="dxa"/>
              </w:tblCellMar>
            </w:tblPr>
            <w:tblGrid>
              <w:gridCol w:w="1620"/>
              <w:gridCol w:w="883"/>
              <w:gridCol w:w="1052"/>
              <w:gridCol w:w="1223"/>
              <w:gridCol w:w="1223"/>
              <w:gridCol w:w="1501"/>
              <w:gridCol w:w="1122"/>
            </w:tblGrid>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4"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pH</w:t>
                  </w:r>
                </w:p>
              </w:tc>
              <w:tc>
                <w:tcPr>
                  <w:tcW w:w="1052"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石油类</w:t>
                  </w:r>
                </w:p>
              </w:tc>
              <w:tc>
                <w:tcPr>
                  <w:tcW w:w="122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COD</w:t>
                  </w:r>
                  <w:r>
                    <w:rPr>
                      <w:color w:val="000000" w:themeColor="text1"/>
                      <w:sz w:val="21"/>
                      <w:szCs w:val="21"/>
                      <w:vertAlign w:val="subscript"/>
                    </w:rPr>
                    <w:t>Cr</w:t>
                  </w:r>
                </w:p>
              </w:tc>
              <w:tc>
                <w:tcPr>
                  <w:tcW w:w="122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NH</w:t>
                  </w:r>
                  <w:r>
                    <w:rPr>
                      <w:color w:val="000000" w:themeColor="text1"/>
                      <w:sz w:val="21"/>
                      <w:szCs w:val="21"/>
                      <w:vertAlign w:val="subscript"/>
                    </w:rPr>
                    <w:t>3</w:t>
                  </w:r>
                  <w:r>
                    <w:rPr>
                      <w:color w:val="000000" w:themeColor="text1"/>
                      <w:sz w:val="21"/>
                      <w:szCs w:val="21"/>
                    </w:rPr>
                    <w:t>-N</w:t>
                  </w:r>
                </w:p>
              </w:tc>
              <w:tc>
                <w:tcPr>
                  <w:tcW w:w="1501"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挥发酚</w:t>
                  </w:r>
                </w:p>
              </w:tc>
              <w:tc>
                <w:tcPr>
                  <w:tcW w:w="1122"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阴离子表面活性剂</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监测值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8.67</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14</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1.0</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6-9</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0.05</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≤20</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≤1.0</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0.005</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≤0.2</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DO</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氰化物</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六价铬</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硫化物</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砷</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粪大肠菌群(个/L)</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监测值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3.71</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未检出</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0.0004</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140</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≥5</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≤0.2</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≤0.05</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≤0.2</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≤0.05</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≤10000</w:t>
                  </w:r>
                </w:p>
              </w:tc>
            </w:tr>
          </w:tbl>
          <w:p>
            <w:pPr>
              <w:widowControl/>
              <w:jc w:val="center"/>
              <w:rPr>
                <w:rFonts w:eastAsia="黑体"/>
                <w:color w:val="000000" w:themeColor="text1"/>
                <w:sz w:val="24"/>
                <w:szCs w:val="24"/>
              </w:rPr>
            </w:pPr>
          </w:p>
          <w:p>
            <w:pPr>
              <w:spacing w:line="360" w:lineRule="auto"/>
              <w:ind w:firstLine="480" w:firstLineChars="200"/>
              <w:rPr>
                <w:color w:val="000000"/>
                <w:kern w:val="0"/>
                <w:sz w:val="24"/>
              </w:rPr>
            </w:pPr>
            <w:r>
              <w:rPr>
                <w:color w:val="000000"/>
                <w:kern w:val="0"/>
                <w:sz w:val="24"/>
              </w:rPr>
              <w:t>由上表可知，表中草庙子河南申格村东侧断面的各项监测项目均满足《地表水环境质量标准》(GB3838-2002)中</w:t>
            </w:r>
            <w:r>
              <w:rPr>
                <w:rFonts w:hint="eastAsia" w:ascii="宋体" w:hAnsi="宋体" w:cs="宋体"/>
                <w:color w:val="000000"/>
                <w:kern w:val="0"/>
                <w:sz w:val="24"/>
              </w:rPr>
              <w:t>Ⅲ</w:t>
            </w:r>
            <w:r>
              <w:rPr>
                <w:color w:val="000000"/>
                <w:kern w:val="0"/>
                <w:sz w:val="24"/>
              </w:rPr>
              <w:t>类标准要求。</w:t>
            </w:r>
          </w:p>
          <w:p>
            <w:pPr>
              <w:adjustRightInd w:val="0"/>
              <w:snapToGrid w:val="0"/>
              <w:spacing w:line="360" w:lineRule="auto"/>
              <w:ind w:left="480"/>
              <w:rPr>
                <w:rFonts w:eastAsia="黑体"/>
                <w:color w:val="000000" w:themeColor="text1"/>
                <w:sz w:val="24"/>
                <w:szCs w:val="24"/>
              </w:rPr>
            </w:pPr>
            <w:r>
              <w:rPr>
                <w:rFonts w:hint="eastAsia" w:eastAsia="黑体"/>
                <w:color w:val="000000" w:themeColor="text1"/>
                <w:sz w:val="24"/>
                <w:szCs w:val="24"/>
              </w:rPr>
              <w:t>3</w:t>
            </w:r>
            <w:r>
              <w:rPr>
                <w:rFonts w:eastAsia="黑体"/>
                <w:color w:val="000000" w:themeColor="text1"/>
                <w:sz w:val="24"/>
                <w:szCs w:val="24"/>
              </w:rPr>
              <w:t>、地</w:t>
            </w:r>
            <w:r>
              <w:rPr>
                <w:rFonts w:hint="eastAsia" w:eastAsia="黑体"/>
                <w:color w:val="000000" w:themeColor="text1"/>
                <w:sz w:val="24"/>
                <w:szCs w:val="24"/>
              </w:rPr>
              <w:t>下</w:t>
            </w:r>
            <w:r>
              <w:rPr>
                <w:rFonts w:eastAsia="黑体"/>
                <w:color w:val="000000" w:themeColor="text1"/>
                <w:sz w:val="24"/>
                <w:szCs w:val="24"/>
              </w:rPr>
              <w:t>水</w:t>
            </w:r>
          </w:p>
          <w:p>
            <w:pPr>
              <w:pStyle w:val="16"/>
              <w:spacing w:line="360" w:lineRule="auto"/>
              <w:ind w:firstLine="480" w:firstLineChars="200"/>
              <w:jc w:val="both"/>
              <w:rPr>
                <w:color w:val="000000"/>
                <w:kern w:val="0"/>
                <w:sz w:val="24"/>
              </w:rPr>
            </w:pPr>
            <w:r>
              <w:rPr>
                <w:rFonts w:hint="eastAsia"/>
                <w:color w:val="000000"/>
                <w:kern w:val="0"/>
                <w:sz w:val="24"/>
              </w:rPr>
              <w:t>根据山东佳诺检测有限公司于2019年3月22日对项目附近西马格村（项目西北约1.1km）地下水水质检测的结果，主要指标值</w:t>
            </w:r>
            <w:r>
              <w:rPr>
                <w:color w:val="000000"/>
                <w:kern w:val="0"/>
                <w:sz w:val="24"/>
              </w:rPr>
              <w:t>见表</w:t>
            </w:r>
            <w:r>
              <w:rPr>
                <w:rFonts w:hint="eastAsia"/>
                <w:color w:val="000000"/>
                <w:kern w:val="0"/>
                <w:sz w:val="24"/>
              </w:rPr>
              <w:t>10。</w:t>
            </w:r>
          </w:p>
          <w:p>
            <w:pPr>
              <w:adjustRightInd w:val="0"/>
              <w:snapToGrid w:val="0"/>
              <w:spacing w:line="440" w:lineRule="exact"/>
              <w:ind w:firstLine="480" w:firstLineChars="200"/>
              <w:rPr>
                <w:color w:val="000000"/>
                <w:sz w:val="24"/>
              </w:rPr>
            </w:pPr>
          </w:p>
          <w:p>
            <w:pPr>
              <w:adjustRightInd w:val="0"/>
              <w:snapToGrid w:val="0"/>
              <w:spacing w:line="440" w:lineRule="exact"/>
              <w:ind w:firstLine="480" w:firstLineChars="200"/>
              <w:rPr>
                <w:color w:val="000000"/>
                <w:sz w:val="24"/>
              </w:rPr>
            </w:pPr>
          </w:p>
          <w:p>
            <w:pPr>
              <w:spacing w:line="480" w:lineRule="exact"/>
              <w:ind w:firstLine="480" w:firstLineChars="200"/>
              <w:jc w:val="center"/>
              <w:rPr>
                <w:color w:val="000000"/>
                <w:sz w:val="24"/>
                <w:szCs w:val="24"/>
              </w:rPr>
            </w:pPr>
            <w:r>
              <w:rPr>
                <w:rFonts w:eastAsia="黑体"/>
                <w:color w:val="000000"/>
                <w:sz w:val="24"/>
                <w:szCs w:val="24"/>
              </w:rPr>
              <w:t>表</w:t>
            </w:r>
            <w:r>
              <w:rPr>
                <w:rFonts w:hint="eastAsia" w:eastAsia="黑体"/>
                <w:color w:val="000000"/>
                <w:sz w:val="24"/>
                <w:szCs w:val="24"/>
              </w:rPr>
              <w:t>10</w:t>
            </w:r>
            <w:r>
              <w:rPr>
                <w:rFonts w:eastAsia="黑体"/>
                <w:color w:val="000000"/>
                <w:sz w:val="24"/>
                <w:szCs w:val="24"/>
              </w:rPr>
              <w:t xml:space="preserve"> 地下水监测结果统计表 </w:t>
            </w:r>
            <w:r>
              <w:rPr>
                <w:color w:val="000000"/>
                <w:sz w:val="24"/>
                <w:szCs w:val="24"/>
              </w:rPr>
              <w:t xml:space="preserve"> </w:t>
            </w:r>
            <w:r>
              <w:rPr>
                <w:rFonts w:hint="eastAsia" w:eastAsia="黑体"/>
                <w:color w:val="000000"/>
                <w:sz w:val="24"/>
                <w:szCs w:val="24"/>
              </w:rPr>
              <w:t>（单位：</w:t>
            </w:r>
            <w:r>
              <w:rPr>
                <w:color w:val="000000"/>
                <w:sz w:val="21"/>
                <w:szCs w:val="21"/>
              </w:rPr>
              <w:t>mg/L</w:t>
            </w:r>
            <w:r>
              <w:rPr>
                <w:rFonts w:hint="eastAsia"/>
                <w:color w:val="000000"/>
                <w:sz w:val="21"/>
                <w:szCs w:val="21"/>
              </w:rPr>
              <w:t>，pH除外）</w:t>
            </w:r>
          </w:p>
          <w:tbl>
            <w:tblPr>
              <w:tblStyle w:val="26"/>
              <w:tblW w:w="88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7"/>
              <w:gridCol w:w="812"/>
              <w:gridCol w:w="1049"/>
              <w:gridCol w:w="889"/>
              <w:gridCol w:w="857"/>
              <w:gridCol w:w="838"/>
              <w:gridCol w:w="842"/>
              <w:gridCol w:w="735"/>
              <w:gridCol w:w="950"/>
              <w:gridCol w:w="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07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项目</w:t>
                  </w:r>
                </w:p>
              </w:tc>
              <w:tc>
                <w:tcPr>
                  <w:tcW w:w="81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pH</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hAnsi="Calibri"/>
                      <w:color w:val="000000" w:themeColor="text1"/>
                      <w:sz w:val="21"/>
                      <w:szCs w:val="21"/>
                    </w:rPr>
                  </w:pPr>
                  <w:r>
                    <w:rPr>
                      <w:rFonts w:hint="eastAsia" w:hAnsi="Calibri"/>
                      <w:color w:val="000000" w:themeColor="text1"/>
                      <w:sz w:val="21"/>
                      <w:szCs w:val="21"/>
                    </w:rPr>
                    <w:t>硝酸</w:t>
                  </w:r>
                </w:p>
                <w:p>
                  <w:pPr>
                    <w:jc w:val="center"/>
                    <w:rPr>
                      <w:color w:val="000000" w:themeColor="text1"/>
                      <w:sz w:val="21"/>
                      <w:szCs w:val="21"/>
                    </w:rPr>
                  </w:pPr>
                  <w:r>
                    <w:rPr>
                      <w:rFonts w:hint="eastAsia" w:hAnsi="Calibri"/>
                      <w:color w:val="000000" w:themeColor="text1"/>
                      <w:sz w:val="21"/>
                      <w:szCs w:val="21"/>
                    </w:rPr>
                    <w:t>盐氮</w:t>
                  </w:r>
                </w:p>
              </w:tc>
              <w:tc>
                <w:tcPr>
                  <w:tcW w:w="8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亚硝酸盐氮</w:t>
                  </w:r>
                </w:p>
              </w:tc>
              <w:tc>
                <w:tcPr>
                  <w:tcW w:w="85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耗氧量</w:t>
                  </w:r>
                </w:p>
              </w:tc>
              <w:tc>
                <w:tcPr>
                  <w:tcW w:w="838"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氨氮</w:t>
                  </w:r>
                </w:p>
              </w:tc>
              <w:tc>
                <w:tcPr>
                  <w:tcW w:w="84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氰化物</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总硬度</w:t>
                  </w:r>
                </w:p>
              </w:tc>
              <w:tc>
                <w:tcPr>
                  <w:tcW w:w="950"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溶解性</w:t>
                  </w:r>
                </w:p>
                <w:p>
                  <w:pPr>
                    <w:jc w:val="center"/>
                    <w:rPr>
                      <w:color w:val="000000" w:themeColor="text1"/>
                      <w:sz w:val="21"/>
                      <w:szCs w:val="21"/>
                    </w:rPr>
                  </w:pPr>
                  <w:r>
                    <w:rPr>
                      <w:rFonts w:hint="eastAsia" w:hAnsi="Calibri"/>
                      <w:color w:val="000000" w:themeColor="text1"/>
                      <w:sz w:val="21"/>
                      <w:szCs w:val="21"/>
                    </w:rPr>
                    <w:t>总固体</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挥发性</w:t>
                  </w:r>
                </w:p>
                <w:p>
                  <w:pPr>
                    <w:jc w:val="center"/>
                    <w:rPr>
                      <w:color w:val="000000" w:themeColor="text1"/>
                      <w:sz w:val="21"/>
                      <w:szCs w:val="21"/>
                    </w:rPr>
                  </w:pPr>
                  <w:r>
                    <w:rPr>
                      <w:rFonts w:hint="eastAsia" w:hAnsi="Calibri"/>
                      <w:color w:val="000000" w:themeColor="text1"/>
                      <w:sz w:val="21"/>
                      <w:szCs w:val="21"/>
                    </w:rPr>
                    <w:t>酚类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077" w:type="dxa"/>
                  <w:tcBorders>
                    <w:top w:val="single" w:color="auto" w:sz="4" w:space="0"/>
                    <w:left w:val="single" w:color="auto" w:sz="4" w:space="0"/>
                    <w:bottom w:val="single" w:color="auto" w:sz="4" w:space="0"/>
                    <w:right w:val="single" w:color="auto" w:sz="4" w:space="0"/>
                  </w:tcBorders>
                </w:tcPr>
                <w:p>
                  <w:pPr>
                    <w:jc w:val="center"/>
                    <w:rPr>
                      <w:color w:val="000000" w:themeColor="text1"/>
                      <w:sz w:val="21"/>
                      <w:szCs w:val="21"/>
                    </w:rPr>
                  </w:pPr>
                  <w:r>
                    <w:rPr>
                      <w:rFonts w:hint="eastAsia" w:hAnsi="Calibri"/>
                      <w:color w:val="000000" w:themeColor="text1"/>
                      <w:sz w:val="21"/>
                      <w:szCs w:val="21"/>
                    </w:rPr>
                    <w:t>监测值</w:t>
                  </w:r>
                </w:p>
              </w:tc>
              <w:tc>
                <w:tcPr>
                  <w:tcW w:w="81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7.05</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9.0</w:t>
                  </w:r>
                </w:p>
              </w:tc>
              <w:tc>
                <w:tcPr>
                  <w:tcW w:w="8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sz w:val="21"/>
                      <w:szCs w:val="21"/>
                    </w:rPr>
                    <w:t>0.002</w:t>
                  </w:r>
                </w:p>
              </w:tc>
              <w:tc>
                <w:tcPr>
                  <w:tcW w:w="85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0.9</w:t>
                  </w:r>
                </w:p>
              </w:tc>
              <w:tc>
                <w:tcPr>
                  <w:tcW w:w="838"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sz w:val="21"/>
                      <w:szCs w:val="21"/>
                    </w:rPr>
                    <w:t>0.04</w:t>
                  </w:r>
                </w:p>
              </w:tc>
              <w:tc>
                <w:tcPr>
                  <w:tcW w:w="84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未检出</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144</w:t>
                  </w:r>
                </w:p>
              </w:tc>
              <w:tc>
                <w:tcPr>
                  <w:tcW w:w="950"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328</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未检出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077" w:type="dxa"/>
                  <w:tcBorders>
                    <w:top w:val="single" w:color="auto" w:sz="4" w:space="0"/>
                    <w:left w:val="single" w:color="auto" w:sz="4" w:space="0"/>
                    <w:bottom w:val="single" w:color="auto" w:sz="4" w:space="0"/>
                    <w:right w:val="single" w:color="auto" w:sz="4" w:space="0"/>
                  </w:tcBorders>
                </w:tcPr>
                <w:p>
                  <w:pPr>
                    <w:jc w:val="center"/>
                    <w:rPr>
                      <w:color w:val="000000" w:themeColor="text1"/>
                      <w:sz w:val="21"/>
                      <w:szCs w:val="21"/>
                    </w:rPr>
                  </w:pPr>
                  <w:r>
                    <w:rPr>
                      <w:rFonts w:hint="eastAsia" w:hAnsi="Calibri"/>
                      <w:color w:val="000000" w:themeColor="text1"/>
                      <w:sz w:val="21"/>
                      <w:szCs w:val="21"/>
                    </w:rPr>
                    <w:t>Ⅲ类标准</w:t>
                  </w:r>
                </w:p>
              </w:tc>
              <w:tc>
                <w:tcPr>
                  <w:tcW w:w="81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6.5-8.5</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≤20</w:t>
                  </w:r>
                  <w:r>
                    <w:rPr>
                      <w:rFonts w:hint="eastAsia"/>
                      <w:color w:val="000000" w:themeColor="text1"/>
                      <w:sz w:val="21"/>
                      <w:szCs w:val="21"/>
                    </w:rPr>
                    <w:t>.0</w:t>
                  </w:r>
                </w:p>
              </w:tc>
              <w:tc>
                <w:tcPr>
                  <w:tcW w:w="8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w:t>
                  </w:r>
                  <w:r>
                    <w:rPr>
                      <w:rFonts w:hint="eastAsia"/>
                      <w:color w:val="000000" w:themeColor="text1"/>
                      <w:sz w:val="21"/>
                      <w:szCs w:val="21"/>
                    </w:rPr>
                    <w:t>1.00</w:t>
                  </w:r>
                </w:p>
              </w:tc>
              <w:tc>
                <w:tcPr>
                  <w:tcW w:w="85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≤3.0</w:t>
                  </w:r>
                </w:p>
              </w:tc>
              <w:tc>
                <w:tcPr>
                  <w:tcW w:w="838"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w:t>
                  </w:r>
                  <w:r>
                    <w:rPr>
                      <w:rFonts w:hint="eastAsia"/>
                      <w:color w:val="000000" w:themeColor="text1"/>
                      <w:sz w:val="21"/>
                      <w:szCs w:val="21"/>
                    </w:rPr>
                    <w:t>50</w:t>
                  </w:r>
                </w:p>
              </w:tc>
              <w:tc>
                <w:tcPr>
                  <w:tcW w:w="84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≤0.0</w:t>
                  </w:r>
                  <w:r>
                    <w:rPr>
                      <w:rFonts w:hint="eastAsia"/>
                      <w:color w:val="000000" w:themeColor="text1"/>
                      <w:sz w:val="21"/>
                      <w:szCs w:val="21"/>
                    </w:rPr>
                    <w:t>5</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≤450</w:t>
                  </w:r>
                </w:p>
              </w:tc>
              <w:tc>
                <w:tcPr>
                  <w:tcW w:w="950"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≤1000</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≤0.002</w:t>
                  </w:r>
                </w:p>
              </w:tc>
            </w:tr>
          </w:tbl>
          <w:p>
            <w:pPr>
              <w:adjustRightInd w:val="0"/>
              <w:snapToGrid w:val="0"/>
              <w:spacing w:line="360" w:lineRule="auto"/>
              <w:ind w:firstLine="480" w:firstLineChars="200"/>
              <w:rPr>
                <w:color w:val="000000" w:themeColor="text1"/>
                <w:sz w:val="24"/>
              </w:rPr>
            </w:pPr>
            <w:r>
              <w:rPr>
                <w:rFonts w:hint="eastAsia"/>
                <w:color w:val="000000"/>
                <w:sz w:val="24"/>
              </w:rPr>
              <w:t>由上表可见，</w:t>
            </w:r>
            <w:r>
              <w:rPr>
                <w:rFonts w:hint="eastAsia"/>
                <w:sz w:val="24"/>
                <w:szCs w:val="24"/>
              </w:rPr>
              <w:t>各</w:t>
            </w:r>
            <w:r>
              <w:rPr>
                <w:sz w:val="24"/>
                <w:szCs w:val="24"/>
              </w:rPr>
              <w:t>监测项目符合《地下水质量标准》（GB/T14848-</w:t>
            </w:r>
            <w:r>
              <w:rPr>
                <w:rFonts w:hint="eastAsia"/>
                <w:sz w:val="24"/>
                <w:szCs w:val="24"/>
              </w:rPr>
              <w:t>2017</w:t>
            </w:r>
            <w:r>
              <w:rPr>
                <w:sz w:val="24"/>
                <w:szCs w:val="24"/>
              </w:rPr>
              <w:t>）</w:t>
            </w:r>
            <w:r>
              <w:rPr>
                <w:rFonts w:hAnsi="宋体"/>
                <w:sz w:val="24"/>
                <w:szCs w:val="24"/>
              </w:rPr>
              <w:t>Ⅲ</w:t>
            </w:r>
            <w:r>
              <w:rPr>
                <w:sz w:val="24"/>
                <w:szCs w:val="24"/>
              </w:rPr>
              <w:t>类标准要求。</w:t>
            </w:r>
            <w:r>
              <w:rPr>
                <w:rFonts w:hint="eastAsia"/>
                <w:sz w:val="24"/>
                <w:szCs w:val="24"/>
              </w:rPr>
              <w:t>项目所在区域地下水水质较好</w:t>
            </w:r>
            <w:r>
              <w:rPr>
                <w:sz w:val="24"/>
                <w:szCs w:val="24"/>
              </w:rPr>
              <w:t>。</w:t>
            </w:r>
          </w:p>
          <w:p>
            <w:pPr>
              <w:pStyle w:val="21"/>
              <w:spacing w:after="0" w:line="360" w:lineRule="auto"/>
              <w:ind w:left="600" w:leftChars="200"/>
              <w:rPr>
                <w:rFonts w:ascii="Times New Roman" w:hAnsi="Times New Roman" w:eastAsia="黑体"/>
                <w:color w:val="000000" w:themeColor="text1"/>
              </w:rPr>
            </w:pPr>
            <w:r>
              <w:rPr>
                <w:rFonts w:hint="eastAsia" w:ascii="Times New Roman" w:hAnsi="Times New Roman" w:eastAsia="黑体"/>
                <w:color w:val="000000" w:themeColor="text1"/>
              </w:rPr>
              <w:t>4</w:t>
            </w:r>
            <w:r>
              <w:rPr>
                <w:rFonts w:hint="eastAsia" w:ascii="Times New Roman" w:hAnsi="Times New Roman" w:eastAsia="黑体" w:cs="黑体"/>
                <w:color w:val="000000" w:themeColor="text1"/>
              </w:rPr>
              <w:t>、声环境</w:t>
            </w:r>
          </w:p>
          <w:p>
            <w:pPr>
              <w:spacing w:line="360" w:lineRule="auto"/>
              <w:ind w:firstLine="480" w:firstLineChars="200"/>
              <w:rPr>
                <w:rFonts w:eastAsia="黑体"/>
                <w:color w:val="000000"/>
                <w:sz w:val="24"/>
                <w:szCs w:val="24"/>
              </w:rPr>
            </w:pPr>
            <w:r>
              <w:rPr>
                <w:rFonts w:eastAsiaTheme="minorEastAsia"/>
                <w:color w:val="000000" w:themeColor="text1"/>
                <w:sz w:val="24"/>
              </w:rPr>
              <w:t>根据威海市201</w:t>
            </w:r>
            <w:r>
              <w:rPr>
                <w:rFonts w:hint="eastAsia" w:eastAsiaTheme="minorEastAsia"/>
                <w:color w:val="000000" w:themeColor="text1"/>
                <w:sz w:val="24"/>
              </w:rPr>
              <w:t>9</w:t>
            </w:r>
            <w:r>
              <w:rPr>
                <w:rFonts w:eastAsiaTheme="minorEastAsia"/>
                <w:color w:val="000000" w:themeColor="text1"/>
                <w:sz w:val="24"/>
                <w:szCs w:val="24"/>
              </w:rPr>
              <w:t>年环境质量公报，</w:t>
            </w:r>
            <w:r>
              <w:rPr>
                <w:rFonts w:hint="eastAsia" w:eastAsiaTheme="minorEastAsia"/>
                <w:color w:val="000000"/>
                <w:sz w:val="24"/>
                <w:szCs w:val="24"/>
              </w:rPr>
              <w:t>3</w:t>
            </w:r>
            <w:r>
              <w:rPr>
                <w:rFonts w:eastAsiaTheme="minorEastAsia"/>
                <w:color w:val="000000"/>
                <w:sz w:val="24"/>
                <w:szCs w:val="24"/>
              </w:rPr>
              <w:t>类功能区声环境质量昼、夜平均等效声级范围为：</w:t>
            </w:r>
            <w:r>
              <w:rPr>
                <w:rFonts w:hint="eastAsia" w:eastAsiaTheme="minorEastAsia"/>
                <w:color w:val="000000"/>
                <w:sz w:val="24"/>
              </w:rPr>
              <w:t>55.8</w:t>
            </w:r>
            <w:r>
              <w:rPr>
                <w:rFonts w:eastAsiaTheme="minorEastAsia"/>
                <w:color w:val="000000"/>
                <w:sz w:val="24"/>
              </w:rPr>
              <w:t>~4</w:t>
            </w:r>
            <w:r>
              <w:rPr>
                <w:rFonts w:hint="eastAsia" w:eastAsiaTheme="minorEastAsia"/>
                <w:color w:val="000000"/>
                <w:sz w:val="24"/>
              </w:rPr>
              <w:t>7.8</w:t>
            </w:r>
            <w:r>
              <w:rPr>
                <w:rFonts w:eastAsiaTheme="minorEastAsia"/>
                <w:color w:val="000000"/>
                <w:sz w:val="24"/>
              </w:rPr>
              <w:t>dB（A），符合应执行的《声环境质量标准》（GB3096-2008）中</w:t>
            </w:r>
            <w:r>
              <w:rPr>
                <w:rFonts w:hint="eastAsia" w:eastAsiaTheme="minorEastAsia"/>
                <w:color w:val="000000"/>
                <w:sz w:val="24"/>
              </w:rPr>
              <w:t>3</w:t>
            </w:r>
            <w:r>
              <w:rPr>
                <w:rFonts w:eastAsiaTheme="minorEastAsia"/>
                <w:color w:val="000000"/>
                <w:sz w:val="24"/>
              </w:rPr>
              <w:t>类标准（昼间6</w:t>
            </w:r>
            <w:r>
              <w:rPr>
                <w:rFonts w:hint="eastAsia" w:eastAsiaTheme="minorEastAsia"/>
                <w:color w:val="000000"/>
                <w:sz w:val="24"/>
              </w:rPr>
              <w:t>5</w:t>
            </w:r>
            <w:r>
              <w:rPr>
                <w:rFonts w:eastAsiaTheme="minorEastAsia"/>
                <w:color w:val="000000"/>
                <w:sz w:val="24"/>
              </w:rPr>
              <w:t>dB（A），夜间5</w:t>
            </w:r>
            <w:r>
              <w:rPr>
                <w:rFonts w:hint="eastAsia" w:eastAsiaTheme="minorEastAsia"/>
                <w:color w:val="000000"/>
                <w:sz w:val="24"/>
              </w:rPr>
              <w:t>5</w:t>
            </w:r>
            <w:r>
              <w:rPr>
                <w:rFonts w:eastAsiaTheme="minorEastAsia"/>
                <w:color w:val="000000"/>
                <w:sz w:val="24"/>
              </w:rPr>
              <w:t>dB（A））。</w:t>
            </w: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spacing w:line="360" w:lineRule="auto"/>
              <w:ind w:firstLine="480" w:firstLineChars="200"/>
              <w:rPr>
                <w:color w:val="000000" w:themeColor="text1"/>
                <w:sz w:val="24"/>
              </w:rPr>
            </w:pPr>
          </w:p>
          <w:p>
            <w:pPr>
              <w:adjustRightInd w:val="0"/>
              <w:ind w:firstLine="480" w:firstLineChars="200"/>
              <w:rPr>
                <w:color w:val="000000" w:themeColor="text1"/>
                <w:sz w:val="24"/>
              </w:rPr>
            </w:pPr>
          </w:p>
          <w:p>
            <w:pPr>
              <w:adjustRightInd w:val="0"/>
              <w:ind w:firstLine="480" w:firstLineChars="200"/>
              <w:rPr>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1" w:hRule="atLeast"/>
        </w:trPr>
        <w:tc>
          <w:tcPr>
            <w:tcW w:w="9782" w:type="dxa"/>
          </w:tcPr>
          <w:p>
            <w:pPr>
              <w:spacing w:line="360" w:lineRule="auto"/>
              <w:rPr>
                <w:rFonts w:eastAsia="黑体"/>
                <w:color w:val="000000" w:themeColor="text1"/>
                <w:sz w:val="28"/>
                <w:szCs w:val="24"/>
              </w:rPr>
            </w:pPr>
            <w:r>
              <w:rPr>
                <w:rFonts w:eastAsia="黑体"/>
                <w:color w:val="000000" w:themeColor="text1"/>
                <w:sz w:val="28"/>
                <w:szCs w:val="24"/>
              </w:rPr>
              <w:t>主要环境保护目标（列出名单及保护级别）：</w:t>
            </w:r>
          </w:p>
          <w:p>
            <w:pPr>
              <w:spacing w:line="360" w:lineRule="auto"/>
              <w:ind w:firstLine="480" w:firstLineChars="200"/>
              <w:jc w:val="left"/>
              <w:rPr>
                <w:rFonts w:hAnsi="宋体"/>
                <w:color w:val="000000" w:themeColor="text1"/>
                <w:sz w:val="24"/>
              </w:rPr>
            </w:pPr>
            <w:r>
              <w:rPr>
                <w:rFonts w:hAnsi="宋体"/>
                <w:color w:val="000000" w:themeColor="text1"/>
                <w:sz w:val="24"/>
              </w:rPr>
              <w:t>项目主要环境保护目标及保护级别见表</w:t>
            </w:r>
            <w:r>
              <w:rPr>
                <w:rFonts w:hint="eastAsia"/>
                <w:color w:val="000000" w:themeColor="text1"/>
                <w:sz w:val="24"/>
              </w:rPr>
              <w:t>11</w:t>
            </w:r>
            <w:r>
              <w:rPr>
                <w:rFonts w:hAnsi="宋体"/>
                <w:color w:val="000000" w:themeColor="text1"/>
                <w:sz w:val="24"/>
              </w:rPr>
              <w:t>。</w:t>
            </w:r>
          </w:p>
          <w:p>
            <w:pPr>
              <w:spacing w:before="50"/>
              <w:jc w:val="center"/>
              <w:rPr>
                <w:rFonts w:eastAsia="黑体"/>
                <w:sz w:val="24"/>
                <w:szCs w:val="24"/>
              </w:rPr>
            </w:pPr>
            <w:r>
              <w:rPr>
                <w:rFonts w:eastAsia="黑体"/>
                <w:sz w:val="24"/>
                <w:szCs w:val="24"/>
              </w:rPr>
              <w:t>表</w:t>
            </w:r>
            <w:r>
              <w:rPr>
                <w:rFonts w:hint="eastAsia" w:eastAsia="黑体"/>
                <w:sz w:val="24"/>
                <w:szCs w:val="24"/>
              </w:rPr>
              <w:t>11</w:t>
            </w:r>
            <w:r>
              <w:rPr>
                <w:rFonts w:eastAsia="黑体"/>
                <w:sz w:val="24"/>
                <w:szCs w:val="24"/>
              </w:rPr>
              <w:t xml:space="preserve">  主要环境目标一览表</w:t>
            </w:r>
          </w:p>
          <w:tbl>
            <w:tblPr>
              <w:tblStyle w:val="26"/>
              <w:tblW w:w="8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5"/>
              <w:gridCol w:w="1157"/>
              <w:gridCol w:w="2276"/>
              <w:gridCol w:w="834"/>
              <w:gridCol w:w="993"/>
              <w:gridCol w:w="27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625" w:type="dxa"/>
                  <w:tcBorders>
                    <w:top w:val="single" w:color="auto" w:sz="4" w:space="0"/>
                    <w:left w:val="single" w:color="auto" w:sz="4" w:space="0"/>
                    <w:bottom w:val="single" w:color="auto" w:sz="4" w:space="0"/>
                    <w:right w:val="single" w:color="auto" w:sz="4" w:space="0"/>
                  </w:tcBorders>
                  <w:vAlign w:val="center"/>
                </w:tcPr>
                <w:p>
                  <w:pPr>
                    <w:jc w:val="center"/>
                    <w:rPr>
                      <w:b/>
                      <w:sz w:val="21"/>
                      <w:szCs w:val="21"/>
                    </w:rPr>
                  </w:pPr>
                  <w:r>
                    <w:rPr>
                      <w:b/>
                      <w:sz w:val="21"/>
                      <w:szCs w:val="21"/>
                    </w:rPr>
                    <w:t>序号</w:t>
                  </w:r>
                </w:p>
              </w:tc>
              <w:tc>
                <w:tcPr>
                  <w:tcW w:w="1157" w:type="dxa"/>
                  <w:tcBorders>
                    <w:top w:val="single" w:color="auto" w:sz="4" w:space="0"/>
                    <w:left w:val="single" w:color="auto" w:sz="4" w:space="0"/>
                    <w:bottom w:val="single" w:color="auto" w:sz="4" w:space="0"/>
                    <w:right w:val="single" w:color="auto" w:sz="4" w:space="0"/>
                  </w:tcBorders>
                  <w:vAlign w:val="center"/>
                </w:tcPr>
                <w:p>
                  <w:pPr>
                    <w:jc w:val="center"/>
                    <w:rPr>
                      <w:b/>
                      <w:sz w:val="21"/>
                      <w:szCs w:val="21"/>
                    </w:rPr>
                  </w:pPr>
                  <w:r>
                    <w:rPr>
                      <w:b/>
                      <w:sz w:val="21"/>
                      <w:szCs w:val="21"/>
                    </w:rPr>
                    <w:t>环境要素</w:t>
                  </w:r>
                </w:p>
              </w:tc>
              <w:tc>
                <w:tcPr>
                  <w:tcW w:w="2276" w:type="dxa"/>
                  <w:tcBorders>
                    <w:top w:val="single" w:color="auto" w:sz="4" w:space="0"/>
                    <w:left w:val="single" w:color="auto" w:sz="4" w:space="0"/>
                    <w:bottom w:val="single" w:color="auto" w:sz="4" w:space="0"/>
                    <w:right w:val="single" w:color="auto" w:sz="4" w:space="0"/>
                  </w:tcBorders>
                  <w:vAlign w:val="center"/>
                </w:tcPr>
                <w:p>
                  <w:pPr>
                    <w:jc w:val="center"/>
                    <w:rPr>
                      <w:b/>
                      <w:sz w:val="21"/>
                      <w:szCs w:val="21"/>
                    </w:rPr>
                  </w:pPr>
                  <w:r>
                    <w:rPr>
                      <w:b/>
                      <w:sz w:val="21"/>
                      <w:szCs w:val="21"/>
                    </w:rPr>
                    <w:t>主要保护目标</w:t>
                  </w:r>
                </w:p>
              </w:tc>
              <w:tc>
                <w:tcPr>
                  <w:tcW w:w="834" w:type="dxa"/>
                  <w:tcBorders>
                    <w:top w:val="single" w:color="auto" w:sz="4" w:space="0"/>
                    <w:left w:val="single" w:color="auto" w:sz="4" w:space="0"/>
                    <w:bottom w:val="single" w:color="auto" w:sz="4" w:space="0"/>
                    <w:right w:val="single" w:color="auto" w:sz="4" w:space="0"/>
                  </w:tcBorders>
                  <w:vAlign w:val="center"/>
                </w:tcPr>
                <w:p>
                  <w:pPr>
                    <w:jc w:val="center"/>
                    <w:rPr>
                      <w:rFonts w:eastAsia="Times New Roman"/>
                      <w:b/>
                      <w:sz w:val="21"/>
                      <w:szCs w:val="21"/>
                    </w:rPr>
                  </w:pPr>
                  <w:r>
                    <w:rPr>
                      <w:b/>
                      <w:sz w:val="21"/>
                      <w:szCs w:val="21"/>
                    </w:rPr>
                    <w:t>方位</w:t>
                  </w:r>
                </w:p>
              </w:tc>
              <w:tc>
                <w:tcPr>
                  <w:tcW w:w="993" w:type="dxa"/>
                  <w:tcBorders>
                    <w:top w:val="single" w:color="auto" w:sz="4" w:space="0"/>
                    <w:left w:val="single" w:color="auto" w:sz="4" w:space="0"/>
                    <w:bottom w:val="single" w:color="auto" w:sz="4" w:space="0"/>
                    <w:right w:val="single" w:color="auto" w:sz="4" w:space="0"/>
                  </w:tcBorders>
                  <w:vAlign w:val="center"/>
                </w:tcPr>
                <w:p>
                  <w:pPr>
                    <w:jc w:val="center"/>
                    <w:rPr>
                      <w:b/>
                      <w:sz w:val="21"/>
                      <w:szCs w:val="21"/>
                    </w:rPr>
                  </w:pPr>
                  <w:r>
                    <w:rPr>
                      <w:b/>
                      <w:sz w:val="21"/>
                      <w:szCs w:val="21"/>
                    </w:rPr>
                    <w:t>距离/m</w:t>
                  </w:r>
                </w:p>
              </w:tc>
              <w:tc>
                <w:tcPr>
                  <w:tcW w:w="2734" w:type="dxa"/>
                  <w:tcBorders>
                    <w:top w:val="single" w:color="auto" w:sz="4" w:space="0"/>
                    <w:left w:val="single" w:color="auto" w:sz="4" w:space="0"/>
                    <w:bottom w:val="single" w:color="auto" w:sz="4" w:space="0"/>
                    <w:right w:val="single" w:color="auto" w:sz="4" w:space="0"/>
                  </w:tcBorders>
                  <w:vAlign w:val="center"/>
                </w:tcPr>
                <w:p>
                  <w:pPr>
                    <w:jc w:val="center"/>
                    <w:rPr>
                      <w:b/>
                      <w:sz w:val="21"/>
                      <w:szCs w:val="21"/>
                    </w:rPr>
                  </w:pPr>
                  <w:r>
                    <w:rPr>
                      <w:b/>
                      <w:sz w:val="21"/>
                      <w:szCs w:val="21"/>
                    </w:rPr>
                    <w:t>保护标准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625" w:type="dxa"/>
                  <w:vMerge w:val="restart"/>
                  <w:tcBorders>
                    <w:top w:val="single" w:color="auto" w:sz="4" w:space="0"/>
                    <w:left w:val="single" w:color="auto" w:sz="4" w:space="0"/>
                    <w:right w:val="single" w:color="auto" w:sz="4" w:space="0"/>
                  </w:tcBorders>
                  <w:vAlign w:val="center"/>
                </w:tcPr>
                <w:p>
                  <w:pPr>
                    <w:jc w:val="center"/>
                    <w:rPr>
                      <w:sz w:val="21"/>
                      <w:szCs w:val="21"/>
                    </w:rPr>
                  </w:pPr>
                  <w:r>
                    <w:rPr>
                      <w:sz w:val="21"/>
                      <w:szCs w:val="21"/>
                    </w:rPr>
                    <w:t>1</w:t>
                  </w:r>
                </w:p>
              </w:tc>
              <w:tc>
                <w:tcPr>
                  <w:tcW w:w="1157" w:type="dxa"/>
                  <w:vMerge w:val="restart"/>
                  <w:tcBorders>
                    <w:top w:val="single" w:color="auto" w:sz="4" w:space="0"/>
                    <w:left w:val="single" w:color="auto" w:sz="4" w:space="0"/>
                    <w:right w:val="single" w:color="auto" w:sz="4" w:space="0"/>
                  </w:tcBorders>
                  <w:vAlign w:val="center"/>
                </w:tcPr>
                <w:p>
                  <w:pPr>
                    <w:jc w:val="center"/>
                    <w:rPr>
                      <w:sz w:val="21"/>
                      <w:szCs w:val="21"/>
                    </w:rPr>
                  </w:pPr>
                  <w:r>
                    <w:rPr>
                      <w:sz w:val="21"/>
                      <w:szCs w:val="21"/>
                    </w:rPr>
                    <w:t>环境空气</w:t>
                  </w:r>
                </w:p>
              </w:tc>
              <w:tc>
                <w:tcPr>
                  <w:tcW w:w="2276" w:type="dxa"/>
                  <w:vAlign w:val="center"/>
                </w:tcPr>
                <w:p>
                  <w:pPr>
                    <w:overflowPunct w:val="0"/>
                    <w:adjustRightInd w:val="0"/>
                    <w:spacing w:line="0" w:lineRule="atLeast"/>
                    <w:jc w:val="center"/>
                    <w:textAlignment w:val="baseline"/>
                    <w:rPr>
                      <w:sz w:val="21"/>
                      <w:szCs w:val="21"/>
                    </w:rPr>
                  </w:pPr>
                  <w:r>
                    <w:rPr>
                      <w:rFonts w:hint="eastAsia"/>
                      <w:sz w:val="21"/>
                      <w:szCs w:val="21"/>
                    </w:rPr>
                    <w:t>东马格村</w:t>
                  </w:r>
                </w:p>
              </w:tc>
              <w:tc>
                <w:tcPr>
                  <w:tcW w:w="834" w:type="dxa"/>
                  <w:vAlign w:val="center"/>
                </w:tcPr>
                <w:p>
                  <w:pPr>
                    <w:spacing w:line="0" w:lineRule="atLeast"/>
                    <w:jc w:val="center"/>
                    <w:outlineLvl w:val="1"/>
                    <w:rPr>
                      <w:bCs/>
                      <w:kern w:val="28"/>
                      <w:sz w:val="21"/>
                      <w:szCs w:val="21"/>
                    </w:rPr>
                  </w:pPr>
                  <w:r>
                    <w:rPr>
                      <w:rFonts w:hint="eastAsia"/>
                      <w:bCs/>
                      <w:kern w:val="28"/>
                      <w:sz w:val="21"/>
                      <w:szCs w:val="21"/>
                    </w:rPr>
                    <w:t>N</w:t>
                  </w:r>
                  <w:r>
                    <w:rPr>
                      <w:bCs/>
                      <w:kern w:val="28"/>
                      <w:sz w:val="21"/>
                      <w:szCs w:val="21"/>
                    </w:rPr>
                    <w:t>W</w:t>
                  </w:r>
                </w:p>
              </w:tc>
              <w:tc>
                <w:tcPr>
                  <w:tcW w:w="993" w:type="dxa"/>
                  <w:vAlign w:val="center"/>
                </w:tcPr>
                <w:p>
                  <w:pPr>
                    <w:spacing w:line="0" w:lineRule="atLeast"/>
                    <w:jc w:val="center"/>
                    <w:outlineLvl w:val="1"/>
                    <w:rPr>
                      <w:bCs/>
                      <w:kern w:val="28"/>
                      <w:sz w:val="21"/>
                      <w:szCs w:val="21"/>
                    </w:rPr>
                  </w:pPr>
                  <w:r>
                    <w:rPr>
                      <w:rFonts w:hint="eastAsia"/>
                      <w:bCs/>
                      <w:kern w:val="28"/>
                      <w:sz w:val="21"/>
                      <w:szCs w:val="21"/>
                    </w:rPr>
                    <w:t>860</w:t>
                  </w:r>
                </w:p>
              </w:tc>
              <w:tc>
                <w:tcPr>
                  <w:tcW w:w="2734" w:type="dxa"/>
                  <w:vMerge w:val="restart"/>
                  <w:tcBorders>
                    <w:top w:val="single" w:color="auto" w:sz="4" w:space="0"/>
                    <w:left w:val="single" w:color="auto" w:sz="4" w:space="0"/>
                    <w:right w:val="single" w:color="auto" w:sz="4" w:space="0"/>
                  </w:tcBorders>
                  <w:vAlign w:val="center"/>
                </w:tcPr>
                <w:p>
                  <w:pPr>
                    <w:jc w:val="center"/>
                    <w:rPr>
                      <w:sz w:val="21"/>
                      <w:szCs w:val="21"/>
                    </w:rPr>
                  </w:pPr>
                  <w:r>
                    <w:rPr>
                      <w:sz w:val="21"/>
                      <w:szCs w:val="21"/>
                    </w:rPr>
                    <w:t>《环境空气质量标准》（GB3095-2012）及其修改单</w:t>
                  </w:r>
                  <w:r>
                    <w:rPr>
                      <w:rFonts w:hint="eastAsia"/>
                      <w:sz w:val="21"/>
                      <w:szCs w:val="21"/>
                    </w:rPr>
                    <w:t xml:space="preserve"> </w:t>
                  </w:r>
                  <w:r>
                    <w:rPr>
                      <w:sz w:val="21"/>
                      <w:szCs w:val="21"/>
                    </w:rPr>
                    <w:t>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625" w:type="dxa"/>
                  <w:vMerge w:val="continue"/>
                  <w:tcBorders>
                    <w:left w:val="single" w:color="auto" w:sz="4" w:space="0"/>
                    <w:right w:val="single" w:color="auto" w:sz="4" w:space="0"/>
                  </w:tcBorders>
                  <w:vAlign w:val="center"/>
                </w:tcPr>
                <w:p>
                  <w:pPr>
                    <w:jc w:val="center"/>
                    <w:rPr>
                      <w:sz w:val="21"/>
                      <w:szCs w:val="21"/>
                    </w:rPr>
                  </w:pPr>
                </w:p>
              </w:tc>
              <w:tc>
                <w:tcPr>
                  <w:tcW w:w="1157" w:type="dxa"/>
                  <w:vMerge w:val="continue"/>
                  <w:tcBorders>
                    <w:left w:val="single" w:color="auto" w:sz="4" w:space="0"/>
                    <w:right w:val="single" w:color="auto" w:sz="4" w:space="0"/>
                  </w:tcBorders>
                  <w:vAlign w:val="center"/>
                </w:tcPr>
                <w:p>
                  <w:pPr>
                    <w:jc w:val="center"/>
                    <w:rPr>
                      <w:sz w:val="21"/>
                      <w:szCs w:val="21"/>
                    </w:rPr>
                  </w:pPr>
                </w:p>
              </w:tc>
              <w:tc>
                <w:tcPr>
                  <w:tcW w:w="2276" w:type="dxa"/>
                  <w:vAlign w:val="center"/>
                </w:tcPr>
                <w:p>
                  <w:pPr>
                    <w:overflowPunct w:val="0"/>
                    <w:adjustRightInd w:val="0"/>
                    <w:spacing w:line="0" w:lineRule="atLeast"/>
                    <w:jc w:val="center"/>
                    <w:textAlignment w:val="baseline"/>
                    <w:rPr>
                      <w:sz w:val="21"/>
                      <w:szCs w:val="21"/>
                    </w:rPr>
                  </w:pPr>
                  <w:r>
                    <w:rPr>
                      <w:rFonts w:hint="eastAsia"/>
                      <w:sz w:val="21"/>
                      <w:szCs w:val="21"/>
                    </w:rPr>
                    <w:t>西高格村</w:t>
                  </w:r>
                </w:p>
              </w:tc>
              <w:tc>
                <w:tcPr>
                  <w:tcW w:w="834" w:type="dxa"/>
                  <w:vAlign w:val="center"/>
                </w:tcPr>
                <w:p>
                  <w:pPr>
                    <w:spacing w:line="0" w:lineRule="atLeast"/>
                    <w:jc w:val="center"/>
                    <w:outlineLvl w:val="1"/>
                    <w:rPr>
                      <w:bCs/>
                      <w:kern w:val="28"/>
                      <w:sz w:val="21"/>
                      <w:szCs w:val="21"/>
                    </w:rPr>
                  </w:pPr>
                  <w:r>
                    <w:rPr>
                      <w:rFonts w:hint="eastAsia"/>
                      <w:bCs/>
                      <w:kern w:val="28"/>
                      <w:sz w:val="21"/>
                      <w:szCs w:val="21"/>
                    </w:rPr>
                    <w:t>NE</w:t>
                  </w:r>
                </w:p>
              </w:tc>
              <w:tc>
                <w:tcPr>
                  <w:tcW w:w="993" w:type="dxa"/>
                  <w:vAlign w:val="center"/>
                </w:tcPr>
                <w:p>
                  <w:pPr>
                    <w:spacing w:line="0" w:lineRule="atLeast"/>
                    <w:jc w:val="center"/>
                    <w:outlineLvl w:val="1"/>
                    <w:rPr>
                      <w:bCs/>
                      <w:kern w:val="28"/>
                      <w:sz w:val="21"/>
                      <w:szCs w:val="21"/>
                    </w:rPr>
                  </w:pPr>
                  <w:r>
                    <w:rPr>
                      <w:rFonts w:hint="eastAsia"/>
                      <w:bCs/>
                      <w:kern w:val="28"/>
                      <w:sz w:val="21"/>
                      <w:szCs w:val="21"/>
                    </w:rPr>
                    <w:t>950</w:t>
                  </w:r>
                </w:p>
              </w:tc>
              <w:tc>
                <w:tcPr>
                  <w:tcW w:w="2734" w:type="dxa"/>
                  <w:vMerge w:val="continue"/>
                  <w:tcBorders>
                    <w:left w:val="single" w:color="auto" w:sz="4" w:space="0"/>
                    <w:right w:val="single" w:color="auto" w:sz="4" w:space="0"/>
                  </w:tcBorders>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625" w:type="dxa"/>
                  <w:vMerge w:val="continue"/>
                  <w:tcBorders>
                    <w:left w:val="single" w:color="auto" w:sz="4" w:space="0"/>
                    <w:right w:val="single" w:color="auto" w:sz="4" w:space="0"/>
                  </w:tcBorders>
                  <w:vAlign w:val="center"/>
                </w:tcPr>
                <w:p>
                  <w:pPr>
                    <w:jc w:val="center"/>
                    <w:rPr>
                      <w:sz w:val="21"/>
                      <w:szCs w:val="21"/>
                    </w:rPr>
                  </w:pPr>
                </w:p>
              </w:tc>
              <w:tc>
                <w:tcPr>
                  <w:tcW w:w="1157" w:type="dxa"/>
                  <w:vMerge w:val="continue"/>
                  <w:tcBorders>
                    <w:left w:val="single" w:color="auto" w:sz="4" w:space="0"/>
                    <w:right w:val="single" w:color="auto" w:sz="4" w:space="0"/>
                  </w:tcBorders>
                  <w:vAlign w:val="center"/>
                </w:tcPr>
                <w:p>
                  <w:pPr>
                    <w:jc w:val="center"/>
                    <w:rPr>
                      <w:sz w:val="21"/>
                      <w:szCs w:val="21"/>
                    </w:rPr>
                  </w:pPr>
                </w:p>
              </w:tc>
              <w:tc>
                <w:tcPr>
                  <w:tcW w:w="2276" w:type="dxa"/>
                  <w:vAlign w:val="center"/>
                </w:tcPr>
                <w:p>
                  <w:pPr>
                    <w:overflowPunct w:val="0"/>
                    <w:adjustRightInd w:val="0"/>
                    <w:spacing w:line="0" w:lineRule="atLeast"/>
                    <w:jc w:val="center"/>
                    <w:textAlignment w:val="baseline"/>
                    <w:rPr>
                      <w:sz w:val="21"/>
                      <w:szCs w:val="21"/>
                    </w:rPr>
                  </w:pPr>
                  <w:r>
                    <w:rPr>
                      <w:rFonts w:hint="eastAsia"/>
                      <w:sz w:val="21"/>
                      <w:szCs w:val="21"/>
                    </w:rPr>
                    <w:t>西马格村</w:t>
                  </w:r>
                </w:p>
              </w:tc>
              <w:tc>
                <w:tcPr>
                  <w:tcW w:w="834" w:type="dxa"/>
                  <w:vAlign w:val="center"/>
                </w:tcPr>
                <w:p>
                  <w:pPr>
                    <w:spacing w:line="0" w:lineRule="atLeast"/>
                    <w:jc w:val="center"/>
                    <w:outlineLvl w:val="1"/>
                    <w:rPr>
                      <w:bCs/>
                      <w:kern w:val="28"/>
                      <w:sz w:val="21"/>
                      <w:szCs w:val="21"/>
                    </w:rPr>
                  </w:pPr>
                  <w:r>
                    <w:rPr>
                      <w:rFonts w:hint="eastAsia"/>
                      <w:bCs/>
                      <w:kern w:val="28"/>
                      <w:sz w:val="21"/>
                      <w:szCs w:val="21"/>
                    </w:rPr>
                    <w:t>NW</w:t>
                  </w:r>
                </w:p>
              </w:tc>
              <w:tc>
                <w:tcPr>
                  <w:tcW w:w="993" w:type="dxa"/>
                  <w:vAlign w:val="center"/>
                </w:tcPr>
                <w:p>
                  <w:pPr>
                    <w:spacing w:line="0" w:lineRule="atLeast"/>
                    <w:jc w:val="center"/>
                    <w:outlineLvl w:val="1"/>
                    <w:rPr>
                      <w:bCs/>
                      <w:kern w:val="28"/>
                      <w:sz w:val="21"/>
                      <w:szCs w:val="21"/>
                    </w:rPr>
                  </w:pPr>
                  <w:r>
                    <w:rPr>
                      <w:rFonts w:hint="eastAsia"/>
                      <w:bCs/>
                      <w:kern w:val="28"/>
                      <w:sz w:val="21"/>
                      <w:szCs w:val="21"/>
                    </w:rPr>
                    <w:t>1060</w:t>
                  </w:r>
                </w:p>
              </w:tc>
              <w:tc>
                <w:tcPr>
                  <w:tcW w:w="2734" w:type="dxa"/>
                  <w:vMerge w:val="continue"/>
                  <w:tcBorders>
                    <w:left w:val="single" w:color="auto" w:sz="4" w:space="0"/>
                    <w:right w:val="single" w:color="auto" w:sz="4" w:space="0"/>
                  </w:tcBorders>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625" w:type="dxa"/>
                  <w:vMerge w:val="continue"/>
                  <w:tcBorders>
                    <w:left w:val="single" w:color="auto" w:sz="4" w:space="0"/>
                    <w:right w:val="single" w:color="auto" w:sz="4" w:space="0"/>
                  </w:tcBorders>
                  <w:vAlign w:val="center"/>
                </w:tcPr>
                <w:p>
                  <w:pPr>
                    <w:jc w:val="center"/>
                    <w:rPr>
                      <w:sz w:val="21"/>
                      <w:szCs w:val="21"/>
                    </w:rPr>
                  </w:pPr>
                </w:p>
              </w:tc>
              <w:tc>
                <w:tcPr>
                  <w:tcW w:w="1157" w:type="dxa"/>
                  <w:vMerge w:val="continue"/>
                  <w:tcBorders>
                    <w:left w:val="single" w:color="auto" w:sz="4" w:space="0"/>
                    <w:right w:val="single" w:color="auto" w:sz="4" w:space="0"/>
                  </w:tcBorders>
                  <w:vAlign w:val="center"/>
                </w:tcPr>
                <w:p>
                  <w:pPr>
                    <w:jc w:val="center"/>
                    <w:rPr>
                      <w:sz w:val="21"/>
                      <w:szCs w:val="21"/>
                    </w:rPr>
                  </w:pPr>
                </w:p>
              </w:tc>
              <w:tc>
                <w:tcPr>
                  <w:tcW w:w="2276" w:type="dxa"/>
                  <w:vAlign w:val="center"/>
                </w:tcPr>
                <w:p>
                  <w:pPr>
                    <w:overflowPunct w:val="0"/>
                    <w:adjustRightInd w:val="0"/>
                    <w:spacing w:line="0" w:lineRule="atLeast"/>
                    <w:jc w:val="center"/>
                    <w:textAlignment w:val="baseline"/>
                    <w:rPr>
                      <w:sz w:val="21"/>
                      <w:szCs w:val="21"/>
                    </w:rPr>
                  </w:pPr>
                  <w:r>
                    <w:rPr>
                      <w:rFonts w:hint="eastAsia"/>
                      <w:sz w:val="21"/>
                      <w:szCs w:val="21"/>
                    </w:rPr>
                    <w:t>温阳花园</w:t>
                  </w:r>
                </w:p>
              </w:tc>
              <w:tc>
                <w:tcPr>
                  <w:tcW w:w="834" w:type="dxa"/>
                  <w:vAlign w:val="center"/>
                </w:tcPr>
                <w:p>
                  <w:pPr>
                    <w:spacing w:line="0" w:lineRule="atLeast"/>
                    <w:jc w:val="center"/>
                    <w:outlineLvl w:val="1"/>
                    <w:rPr>
                      <w:bCs/>
                      <w:kern w:val="28"/>
                      <w:sz w:val="21"/>
                      <w:szCs w:val="21"/>
                    </w:rPr>
                  </w:pPr>
                  <w:r>
                    <w:rPr>
                      <w:rFonts w:hint="eastAsia"/>
                      <w:bCs/>
                      <w:kern w:val="28"/>
                      <w:sz w:val="21"/>
                      <w:szCs w:val="21"/>
                    </w:rPr>
                    <w:t>E</w:t>
                  </w:r>
                </w:p>
              </w:tc>
              <w:tc>
                <w:tcPr>
                  <w:tcW w:w="993" w:type="dxa"/>
                  <w:vAlign w:val="center"/>
                </w:tcPr>
                <w:p>
                  <w:pPr>
                    <w:spacing w:line="0" w:lineRule="atLeast"/>
                    <w:jc w:val="center"/>
                    <w:outlineLvl w:val="1"/>
                    <w:rPr>
                      <w:bCs/>
                      <w:kern w:val="28"/>
                      <w:sz w:val="21"/>
                      <w:szCs w:val="21"/>
                    </w:rPr>
                  </w:pPr>
                  <w:r>
                    <w:rPr>
                      <w:rFonts w:hint="eastAsia"/>
                      <w:bCs/>
                      <w:kern w:val="28"/>
                      <w:sz w:val="21"/>
                      <w:szCs w:val="21"/>
                    </w:rPr>
                    <w:t>1050</w:t>
                  </w:r>
                </w:p>
              </w:tc>
              <w:tc>
                <w:tcPr>
                  <w:tcW w:w="2734" w:type="dxa"/>
                  <w:vMerge w:val="continue"/>
                  <w:tcBorders>
                    <w:left w:val="single" w:color="auto" w:sz="4" w:space="0"/>
                    <w:right w:val="single" w:color="auto" w:sz="4" w:space="0"/>
                  </w:tcBorders>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2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2</w:t>
                  </w:r>
                </w:p>
              </w:tc>
              <w:tc>
                <w:tcPr>
                  <w:tcW w:w="1157"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声环境</w:t>
                  </w:r>
                </w:p>
              </w:tc>
              <w:tc>
                <w:tcPr>
                  <w:tcW w:w="4103" w:type="dxa"/>
                  <w:gridSpan w:val="3"/>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厂界外1m及向外延伸200m</w:t>
                  </w:r>
                </w:p>
              </w:tc>
              <w:tc>
                <w:tcPr>
                  <w:tcW w:w="2734" w:type="dxa"/>
                  <w:tcBorders>
                    <w:top w:val="single" w:color="auto" w:sz="4" w:space="0"/>
                    <w:left w:val="single" w:color="auto" w:sz="4" w:space="0"/>
                    <w:bottom w:val="single" w:color="auto" w:sz="4" w:space="0"/>
                    <w:right w:val="single" w:color="auto" w:sz="4" w:space="0"/>
                  </w:tcBorders>
                  <w:vAlign w:val="center"/>
                </w:tcPr>
                <w:p>
                  <w:pPr>
                    <w:jc w:val="center"/>
                    <w:rPr>
                      <w:bCs/>
                      <w:sz w:val="21"/>
                      <w:szCs w:val="21"/>
                    </w:rPr>
                  </w:pPr>
                  <w:r>
                    <w:rPr>
                      <w:bCs/>
                      <w:sz w:val="21"/>
                      <w:szCs w:val="21"/>
                    </w:rPr>
                    <w:t>《声环境质量标准》（GB3096-2008）</w:t>
                  </w:r>
                  <w:r>
                    <w:rPr>
                      <w:rFonts w:hint="eastAsia"/>
                      <w:bCs/>
                      <w:sz w:val="21"/>
                      <w:szCs w:val="21"/>
                    </w:rPr>
                    <w:t>3</w:t>
                  </w:r>
                  <w:r>
                    <w:rPr>
                      <w:bCs/>
                      <w:sz w:val="21"/>
                      <w:szCs w:val="21"/>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2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3</w:t>
                  </w:r>
                </w:p>
              </w:tc>
              <w:tc>
                <w:tcPr>
                  <w:tcW w:w="1157"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地表水</w:t>
                  </w:r>
                </w:p>
              </w:tc>
              <w:tc>
                <w:tcPr>
                  <w:tcW w:w="4103" w:type="dxa"/>
                  <w:gridSpan w:val="3"/>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rFonts w:hint="eastAsia"/>
                      <w:sz w:val="21"/>
                      <w:szCs w:val="21"/>
                    </w:rPr>
                    <w:t>高格</w:t>
                  </w:r>
                  <w:r>
                    <w:rPr>
                      <w:sz w:val="21"/>
                      <w:szCs w:val="21"/>
                    </w:rPr>
                    <w:t>河</w:t>
                  </w:r>
                </w:p>
              </w:tc>
              <w:tc>
                <w:tcPr>
                  <w:tcW w:w="2734" w:type="dxa"/>
                  <w:tcBorders>
                    <w:top w:val="single" w:color="auto" w:sz="4" w:space="0"/>
                    <w:left w:val="single" w:color="auto" w:sz="4" w:space="0"/>
                    <w:bottom w:val="single" w:color="auto" w:sz="4" w:space="0"/>
                    <w:right w:val="single" w:color="auto" w:sz="4" w:space="0"/>
                  </w:tcBorders>
                  <w:vAlign w:val="center"/>
                </w:tcPr>
                <w:p>
                  <w:pPr>
                    <w:jc w:val="center"/>
                    <w:rPr>
                      <w:bCs/>
                      <w:sz w:val="21"/>
                      <w:szCs w:val="21"/>
                    </w:rPr>
                  </w:pPr>
                  <w:r>
                    <w:rPr>
                      <w:bCs/>
                      <w:sz w:val="21"/>
                      <w:szCs w:val="21"/>
                    </w:rPr>
                    <w:t>《地表水环境质量标准》</w:t>
                  </w:r>
                </w:p>
                <w:p>
                  <w:pPr>
                    <w:jc w:val="center"/>
                    <w:rPr>
                      <w:bCs/>
                      <w:sz w:val="21"/>
                      <w:szCs w:val="21"/>
                    </w:rPr>
                  </w:pPr>
                  <w:r>
                    <w:rPr>
                      <w:bCs/>
                      <w:sz w:val="21"/>
                      <w:szCs w:val="21"/>
                    </w:rPr>
                    <w:t>(GB3838-2002)III类标准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2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4</w:t>
                  </w:r>
                </w:p>
              </w:tc>
              <w:tc>
                <w:tcPr>
                  <w:tcW w:w="1157"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地下水</w:t>
                  </w:r>
                </w:p>
              </w:tc>
              <w:tc>
                <w:tcPr>
                  <w:tcW w:w="4103" w:type="dxa"/>
                  <w:gridSpan w:val="3"/>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项目厂址周围地区</w:t>
                  </w:r>
                </w:p>
              </w:tc>
              <w:tc>
                <w:tcPr>
                  <w:tcW w:w="273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《地下水质量标准》(GB/T14848-2017)</w:t>
                  </w:r>
                  <w:r>
                    <w:rPr>
                      <w:rFonts w:hAnsi="宋体"/>
                      <w:sz w:val="21"/>
                      <w:szCs w:val="21"/>
                    </w:rPr>
                    <w:t>Ⅲ</w:t>
                  </w:r>
                  <w:r>
                    <w:rPr>
                      <w:sz w:val="21"/>
                      <w:szCs w:val="21"/>
                    </w:rPr>
                    <w:t>类标准</w:t>
                  </w:r>
                </w:p>
              </w:tc>
            </w:tr>
          </w:tbl>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ind w:firstLine="480" w:firstLineChars="200"/>
              <w:jc w:val="left"/>
              <w:rPr>
                <w:color w:val="0070C0"/>
                <w:sz w:val="24"/>
              </w:rPr>
            </w:pPr>
          </w:p>
          <w:p>
            <w:pPr>
              <w:spacing w:before="100"/>
              <w:rPr>
                <w:color w:val="0070C0"/>
                <w:sz w:val="15"/>
                <w:szCs w:val="15"/>
              </w:rPr>
            </w:pPr>
          </w:p>
          <w:p>
            <w:pPr>
              <w:spacing w:before="100"/>
              <w:rPr>
                <w:color w:val="0070C0"/>
                <w:sz w:val="15"/>
                <w:szCs w:val="15"/>
              </w:rPr>
            </w:pPr>
          </w:p>
          <w:p>
            <w:pPr>
              <w:spacing w:before="100"/>
              <w:rPr>
                <w:color w:val="0070C0"/>
                <w:sz w:val="15"/>
                <w:szCs w:val="15"/>
              </w:rPr>
            </w:pPr>
          </w:p>
          <w:p>
            <w:pPr>
              <w:spacing w:before="100"/>
              <w:rPr>
                <w:color w:val="0070C0"/>
                <w:sz w:val="15"/>
                <w:szCs w:val="15"/>
              </w:rPr>
            </w:pPr>
          </w:p>
          <w:p>
            <w:pPr>
              <w:spacing w:before="100"/>
              <w:rPr>
                <w:color w:val="0070C0"/>
                <w:sz w:val="15"/>
                <w:szCs w:val="15"/>
              </w:rPr>
            </w:pPr>
          </w:p>
          <w:p>
            <w:pPr>
              <w:spacing w:before="100"/>
              <w:rPr>
                <w:color w:val="0070C0"/>
                <w:sz w:val="15"/>
                <w:szCs w:val="15"/>
              </w:rPr>
            </w:pPr>
          </w:p>
        </w:tc>
      </w:tr>
    </w:tbl>
    <w:p>
      <w:pPr>
        <w:snapToGrid w:val="0"/>
        <w:rPr>
          <w:rFonts w:eastAsia="黑体"/>
          <w:color w:val="000000" w:themeColor="text1"/>
          <w:sz w:val="32"/>
          <w:szCs w:val="32"/>
        </w:rPr>
      </w:pPr>
      <w:r>
        <w:rPr>
          <w:rFonts w:eastAsia="黑体"/>
          <w:color w:val="000000" w:themeColor="text1"/>
          <w:sz w:val="32"/>
          <w:szCs w:val="32"/>
        </w:rPr>
        <w:t>评价适用标准</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8"/>
        <w:gridCol w:w="8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5" w:hRule="atLeast"/>
          <w:jc w:val="center"/>
        </w:trPr>
        <w:tc>
          <w:tcPr>
            <w:tcW w:w="610" w:type="dxa"/>
            <w:vAlign w:val="center"/>
          </w:tcPr>
          <w:p>
            <w:pPr>
              <w:snapToGrid w:val="0"/>
              <w:ind w:right="113"/>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环</w:t>
            </w:r>
          </w:p>
          <w:p>
            <w:pPr>
              <w:snapToGrid w:val="0"/>
              <w:ind w:right="113"/>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境</w:t>
            </w:r>
          </w:p>
          <w:p>
            <w:pPr>
              <w:snapToGrid w:val="0"/>
              <w:ind w:right="113"/>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质</w:t>
            </w:r>
          </w:p>
          <w:p>
            <w:pPr>
              <w:snapToGrid w:val="0"/>
              <w:ind w:right="113"/>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量</w:t>
            </w:r>
          </w:p>
          <w:p>
            <w:pPr>
              <w:snapToGrid w:val="0"/>
              <w:ind w:right="113"/>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标</w:t>
            </w:r>
          </w:p>
          <w:p>
            <w:pPr>
              <w:snapToGrid w:val="0"/>
              <w:ind w:right="113"/>
              <w:jc w:val="center"/>
              <w:rPr>
                <w:rFonts w:ascii="华文中宋" w:hAnsi="华文中宋" w:eastAsia="华文中宋"/>
                <w:b/>
                <w:color w:val="0070C0"/>
                <w:szCs w:val="30"/>
              </w:rPr>
            </w:pPr>
            <w:r>
              <w:rPr>
                <w:rFonts w:ascii="华文中宋" w:hAnsi="华文中宋" w:eastAsia="华文中宋"/>
                <w:b/>
                <w:color w:val="000000" w:themeColor="text1"/>
                <w:sz w:val="28"/>
                <w:szCs w:val="28"/>
              </w:rPr>
              <w:t>准</w:t>
            </w:r>
          </w:p>
        </w:tc>
        <w:tc>
          <w:tcPr>
            <w:tcW w:w="8861" w:type="dxa"/>
          </w:tcPr>
          <w:p>
            <w:pPr>
              <w:adjustRightInd w:val="0"/>
              <w:snapToGrid w:val="0"/>
              <w:spacing w:line="360" w:lineRule="auto"/>
              <w:ind w:firstLine="456" w:firstLineChars="200"/>
              <w:rPr>
                <w:rFonts w:eastAsia="黑体"/>
                <w:spacing w:val="-6"/>
                <w:kern w:val="0"/>
                <w:sz w:val="24"/>
              </w:rPr>
            </w:pPr>
            <w:r>
              <w:rPr>
                <w:rFonts w:eastAsia="黑体"/>
                <w:spacing w:val="-6"/>
                <w:kern w:val="0"/>
                <w:sz w:val="24"/>
              </w:rPr>
              <w:t>1</w:t>
            </w:r>
            <w:r>
              <w:rPr>
                <w:rFonts w:hAnsi="黑体" w:eastAsia="黑体"/>
                <w:spacing w:val="-6"/>
                <w:kern w:val="0"/>
                <w:sz w:val="24"/>
              </w:rPr>
              <w:t>、大气环境质量标准</w:t>
            </w:r>
          </w:p>
          <w:p>
            <w:pPr>
              <w:adjustRightInd w:val="0"/>
              <w:snapToGrid w:val="0"/>
              <w:spacing w:line="360" w:lineRule="auto"/>
              <w:ind w:firstLine="480" w:firstLineChars="200"/>
              <w:rPr>
                <w:sz w:val="24"/>
              </w:rPr>
            </w:pPr>
            <w:r>
              <w:rPr>
                <w:rFonts w:hint="eastAsia"/>
                <w:sz w:val="24"/>
              </w:rPr>
              <w:t>威海市环境空气质量功能区划为二类区，环境空气执行</w:t>
            </w:r>
            <w:r>
              <w:rPr>
                <w:sz w:val="24"/>
              </w:rPr>
              <w:t>《环境空气质量标准》（GB3095-</w:t>
            </w:r>
            <w:r>
              <w:rPr>
                <w:rFonts w:hint="eastAsia"/>
                <w:sz w:val="24"/>
              </w:rPr>
              <w:t>2012</w:t>
            </w:r>
            <w:r>
              <w:rPr>
                <w:sz w:val="24"/>
              </w:rPr>
              <w:t>）中的二级标准</w:t>
            </w:r>
            <w:r>
              <w:rPr>
                <w:rFonts w:hint="eastAsia"/>
                <w:sz w:val="24"/>
              </w:rPr>
              <w:t>，标准情况见表12。</w:t>
            </w:r>
          </w:p>
          <w:p>
            <w:pPr>
              <w:spacing w:before="50"/>
              <w:jc w:val="center"/>
              <w:rPr>
                <w:rFonts w:eastAsia="黑体"/>
                <w:sz w:val="24"/>
                <w:szCs w:val="24"/>
              </w:rPr>
            </w:pPr>
            <w:r>
              <w:rPr>
                <w:rFonts w:eastAsia="黑体"/>
                <w:sz w:val="24"/>
                <w:szCs w:val="24"/>
              </w:rPr>
              <w:t>表</w:t>
            </w:r>
            <w:r>
              <w:rPr>
                <w:rFonts w:hint="eastAsia" w:eastAsia="黑体"/>
                <w:sz w:val="24"/>
                <w:szCs w:val="24"/>
              </w:rPr>
              <w:t xml:space="preserve">12 </w:t>
            </w:r>
            <w:r>
              <w:rPr>
                <w:rFonts w:eastAsia="黑体"/>
                <w:sz w:val="24"/>
                <w:szCs w:val="24"/>
              </w:rPr>
              <w:t>环境</w:t>
            </w:r>
            <w:r>
              <w:rPr>
                <w:rFonts w:hint="eastAsia" w:eastAsia="黑体"/>
                <w:sz w:val="24"/>
                <w:szCs w:val="24"/>
              </w:rPr>
              <w:t>空气质量标准</w:t>
            </w:r>
            <w:r>
              <w:rPr>
                <w:rFonts w:eastAsia="黑体"/>
                <w:sz w:val="24"/>
                <w:szCs w:val="24"/>
              </w:rPr>
              <w:t>（单位：µg /m</w:t>
            </w:r>
            <w:r>
              <w:rPr>
                <w:rFonts w:eastAsia="黑体"/>
                <w:sz w:val="24"/>
                <w:szCs w:val="24"/>
                <w:vertAlign w:val="superscript"/>
              </w:rPr>
              <w:t>3</w:t>
            </w:r>
            <w:r>
              <w:rPr>
                <w:rFonts w:eastAsia="黑体"/>
                <w:sz w:val="24"/>
                <w:szCs w:val="24"/>
              </w:rPr>
              <w:t>）</w:t>
            </w:r>
          </w:p>
          <w:tbl>
            <w:tblPr>
              <w:tblStyle w:val="27"/>
              <w:tblW w:w="8624"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1074"/>
              <w:gridCol w:w="2302"/>
              <w:gridCol w:w="1687"/>
              <w:gridCol w:w="1381"/>
              <w:gridCol w:w="218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Align w:val="center"/>
                </w:tcPr>
                <w:p>
                  <w:pPr>
                    <w:pStyle w:val="8"/>
                    <w:autoSpaceDE w:val="0"/>
                    <w:autoSpaceDN w:val="0"/>
                    <w:spacing w:line="240" w:lineRule="auto"/>
                    <w:jc w:val="center"/>
                    <w:rPr>
                      <w:sz w:val="21"/>
                      <w:szCs w:val="21"/>
                    </w:rPr>
                  </w:pPr>
                  <w:r>
                    <w:rPr>
                      <w:sz w:val="21"/>
                      <w:szCs w:val="21"/>
                    </w:rPr>
                    <w:t>污染物</w:t>
                  </w:r>
                </w:p>
              </w:tc>
              <w:tc>
                <w:tcPr>
                  <w:tcW w:w="2302" w:type="dxa"/>
                  <w:vAlign w:val="center"/>
                </w:tcPr>
                <w:p>
                  <w:pPr>
                    <w:pStyle w:val="8"/>
                    <w:autoSpaceDE w:val="0"/>
                    <w:autoSpaceDN w:val="0"/>
                    <w:spacing w:line="240" w:lineRule="auto"/>
                    <w:jc w:val="center"/>
                    <w:rPr>
                      <w:sz w:val="21"/>
                      <w:szCs w:val="21"/>
                    </w:rPr>
                  </w:pPr>
                  <w:r>
                    <w:rPr>
                      <w:sz w:val="21"/>
                      <w:szCs w:val="21"/>
                    </w:rPr>
                    <w:t>取值时间</w:t>
                  </w:r>
                </w:p>
              </w:tc>
              <w:tc>
                <w:tcPr>
                  <w:tcW w:w="1687" w:type="dxa"/>
                  <w:vAlign w:val="center"/>
                </w:tcPr>
                <w:p>
                  <w:pPr>
                    <w:pStyle w:val="8"/>
                    <w:autoSpaceDE w:val="0"/>
                    <w:autoSpaceDN w:val="0"/>
                    <w:spacing w:line="240" w:lineRule="auto"/>
                    <w:jc w:val="center"/>
                    <w:rPr>
                      <w:sz w:val="21"/>
                      <w:szCs w:val="21"/>
                    </w:rPr>
                  </w:pPr>
                  <w:r>
                    <w:rPr>
                      <w:sz w:val="21"/>
                      <w:szCs w:val="21"/>
                    </w:rPr>
                    <w:t>浓度限值</w:t>
                  </w:r>
                </w:p>
              </w:tc>
              <w:tc>
                <w:tcPr>
                  <w:tcW w:w="1381" w:type="dxa"/>
                  <w:vAlign w:val="center"/>
                </w:tcPr>
                <w:p>
                  <w:pPr>
                    <w:pStyle w:val="8"/>
                    <w:autoSpaceDE w:val="0"/>
                    <w:autoSpaceDN w:val="0"/>
                    <w:spacing w:line="240" w:lineRule="auto"/>
                    <w:jc w:val="center"/>
                    <w:rPr>
                      <w:sz w:val="21"/>
                      <w:szCs w:val="21"/>
                    </w:rPr>
                  </w:pPr>
                  <w:r>
                    <w:rPr>
                      <w:sz w:val="21"/>
                      <w:szCs w:val="21"/>
                    </w:rPr>
                    <w:t>单位</w:t>
                  </w:r>
                </w:p>
              </w:tc>
              <w:tc>
                <w:tcPr>
                  <w:tcW w:w="2180" w:type="dxa"/>
                  <w:vAlign w:val="center"/>
                </w:tcPr>
                <w:p>
                  <w:pPr>
                    <w:pStyle w:val="8"/>
                    <w:autoSpaceDE w:val="0"/>
                    <w:autoSpaceDN w:val="0"/>
                    <w:spacing w:line="240" w:lineRule="auto"/>
                    <w:jc w:val="center"/>
                    <w:rPr>
                      <w:sz w:val="21"/>
                      <w:szCs w:val="21"/>
                    </w:rPr>
                  </w:pPr>
                  <w:r>
                    <w:rPr>
                      <w:sz w:val="21"/>
                      <w:szCs w:val="21"/>
                    </w:rPr>
                    <w:t>标准来源</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SO</w:t>
                  </w:r>
                  <w:r>
                    <w:rPr>
                      <w:rFonts w:ascii="Times New Roman" w:hAnsi="Times New Roman"/>
                      <w:sz w:val="21"/>
                      <w:szCs w:val="21"/>
                      <w:vertAlign w:val="subscript"/>
                      <w:lang w:eastAsia="zh-CN" w:bidi="zh-CN"/>
                    </w:rPr>
                    <w:t>2</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60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《环境空气质量标准》(GB3095-2012)及其修改单</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150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500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PM</w:t>
                  </w:r>
                  <w:r>
                    <w:rPr>
                      <w:rFonts w:ascii="Times New Roman" w:hAnsi="Times New Roman"/>
                      <w:sz w:val="21"/>
                      <w:szCs w:val="21"/>
                      <w:vertAlign w:val="subscript"/>
                      <w:lang w:eastAsia="zh-CN" w:bidi="zh-CN"/>
                    </w:rPr>
                    <w:t>10</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70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before="0"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150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PM</w:t>
                  </w:r>
                  <w:r>
                    <w:rPr>
                      <w:rFonts w:ascii="Times New Roman" w:hAnsi="Times New Roman"/>
                      <w:sz w:val="21"/>
                      <w:szCs w:val="21"/>
                      <w:vertAlign w:val="subscript"/>
                      <w:lang w:eastAsia="zh-CN" w:bidi="zh-CN"/>
                    </w:rPr>
                    <w:t>2.5</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35</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before="0"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51" w:hRule="atLeast"/>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75</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NO</w:t>
                  </w:r>
                  <w:r>
                    <w:rPr>
                      <w:rFonts w:ascii="Times New Roman" w:hAnsi="Times New Roman"/>
                      <w:sz w:val="21"/>
                      <w:szCs w:val="21"/>
                      <w:vertAlign w:val="subscript"/>
                      <w:lang w:eastAsia="zh-CN" w:bidi="zh-CN"/>
                    </w:rPr>
                    <w:t>2</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年均值</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40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before="0"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80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200</w:t>
                  </w:r>
                </w:p>
              </w:tc>
              <w:tc>
                <w:tcPr>
                  <w:tcW w:w="1381" w:type="dxa"/>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CO</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24小时平均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4</w:t>
                  </w:r>
                </w:p>
              </w:tc>
              <w:tc>
                <w:tcPr>
                  <w:tcW w:w="1381" w:type="dxa"/>
                  <w:vMerge w:val="restart"/>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before="0"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10</w:t>
                  </w:r>
                </w:p>
              </w:tc>
              <w:tc>
                <w:tcPr>
                  <w:tcW w:w="1381" w:type="dxa"/>
                  <w:vMerge w:val="continue"/>
                  <w:vAlign w:val="center"/>
                </w:tcPr>
                <w:p>
                  <w:pPr>
                    <w:pStyle w:val="105"/>
                    <w:autoSpaceDE w:val="0"/>
                    <w:autoSpaceDN w:val="0"/>
                    <w:jc w:val="center"/>
                    <w:rPr>
                      <w:rFonts w:ascii="Times New Roman" w:hAnsi="Times New Roman"/>
                      <w:sz w:val="21"/>
                      <w:szCs w:val="21"/>
                      <w:lang w:eastAsia="zh-CN" w:bidi="zh-CN"/>
                    </w:rPr>
                  </w:pPr>
                </w:p>
              </w:tc>
              <w:tc>
                <w:tcPr>
                  <w:tcW w:w="2180" w:type="dxa"/>
                  <w:vMerge w:val="continue"/>
                  <w:vAlign w:val="center"/>
                </w:tcPr>
                <w:p>
                  <w:pPr>
                    <w:pStyle w:val="8"/>
                    <w:autoSpaceDE w:val="0"/>
                    <w:autoSpaceDN w:val="0"/>
                    <w:spacing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restart"/>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O</w:t>
                  </w:r>
                  <w:r>
                    <w:rPr>
                      <w:rFonts w:ascii="Times New Roman" w:hAnsi="Times New Roman"/>
                      <w:sz w:val="21"/>
                      <w:szCs w:val="21"/>
                      <w:vertAlign w:val="subscript"/>
                      <w:lang w:eastAsia="zh-CN" w:bidi="zh-CN"/>
                    </w:rPr>
                    <w:t>3</w:t>
                  </w: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日最大8小时平均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160</w:t>
                  </w:r>
                </w:p>
              </w:tc>
              <w:tc>
                <w:tcPr>
                  <w:tcW w:w="1381" w:type="dxa"/>
                  <w:vMerge w:val="restart"/>
                  <w:vAlign w:val="center"/>
                </w:tcPr>
                <w:p>
                  <w:pPr>
                    <w:jc w:val="center"/>
                  </w:pPr>
                  <w:r>
                    <w:rPr>
                      <w:rFonts w:eastAsia="黑体"/>
                      <w:color w:val="000000" w:themeColor="text1"/>
                      <w:sz w:val="24"/>
                      <w:szCs w:val="24"/>
                    </w:rPr>
                    <w:t>µg/m</w:t>
                  </w:r>
                  <w:r>
                    <w:rPr>
                      <w:rFonts w:eastAsia="黑体"/>
                      <w:color w:val="000000" w:themeColor="text1"/>
                      <w:sz w:val="24"/>
                      <w:szCs w:val="24"/>
                      <w:vertAlign w:val="superscript"/>
                    </w:rPr>
                    <w:t>3</w:t>
                  </w:r>
                </w:p>
              </w:tc>
              <w:tc>
                <w:tcPr>
                  <w:tcW w:w="2180" w:type="dxa"/>
                  <w:vMerge w:val="continue"/>
                  <w:vAlign w:val="center"/>
                </w:tcPr>
                <w:p>
                  <w:pPr>
                    <w:pStyle w:val="8"/>
                    <w:autoSpaceDE w:val="0"/>
                    <w:autoSpaceDN w:val="0"/>
                    <w:spacing w:before="0" w:line="240" w:lineRule="auto"/>
                    <w:jc w:val="center"/>
                    <w:rPr>
                      <w:sz w:val="21"/>
                      <w:szCs w:val="21"/>
                      <w:lang w:bidi="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74" w:type="dxa"/>
                  <w:vMerge w:val="continue"/>
                  <w:vAlign w:val="center"/>
                </w:tcPr>
                <w:p>
                  <w:pPr>
                    <w:pStyle w:val="8"/>
                    <w:autoSpaceDE w:val="0"/>
                    <w:autoSpaceDN w:val="0"/>
                    <w:spacing w:line="240" w:lineRule="auto"/>
                    <w:jc w:val="center"/>
                    <w:rPr>
                      <w:sz w:val="21"/>
                      <w:szCs w:val="21"/>
                      <w:lang w:bidi="zh-CN"/>
                    </w:rPr>
                  </w:pPr>
                </w:p>
              </w:tc>
              <w:tc>
                <w:tcPr>
                  <w:tcW w:w="2302"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1小时平均</w:t>
                  </w:r>
                </w:p>
              </w:tc>
              <w:tc>
                <w:tcPr>
                  <w:tcW w:w="1687" w:type="dxa"/>
                  <w:vAlign w:val="center"/>
                </w:tcPr>
                <w:p>
                  <w:pPr>
                    <w:pStyle w:val="105"/>
                    <w:autoSpaceDE w:val="0"/>
                    <w:autoSpaceDN w:val="0"/>
                    <w:jc w:val="center"/>
                    <w:rPr>
                      <w:rFonts w:ascii="Times New Roman" w:hAnsi="Times New Roman"/>
                      <w:sz w:val="21"/>
                      <w:szCs w:val="21"/>
                      <w:lang w:eastAsia="zh-CN" w:bidi="zh-CN"/>
                    </w:rPr>
                  </w:pPr>
                  <w:r>
                    <w:rPr>
                      <w:rFonts w:ascii="Times New Roman" w:hAnsi="Times New Roman"/>
                      <w:sz w:val="21"/>
                      <w:szCs w:val="21"/>
                      <w:lang w:eastAsia="zh-CN" w:bidi="zh-CN"/>
                    </w:rPr>
                    <w:t>200</w:t>
                  </w:r>
                </w:p>
              </w:tc>
              <w:tc>
                <w:tcPr>
                  <w:tcW w:w="1381" w:type="dxa"/>
                  <w:vMerge w:val="continue"/>
                  <w:vAlign w:val="center"/>
                </w:tcPr>
                <w:p>
                  <w:pPr>
                    <w:pStyle w:val="8"/>
                    <w:autoSpaceDE w:val="0"/>
                    <w:autoSpaceDN w:val="0"/>
                    <w:spacing w:line="240" w:lineRule="auto"/>
                    <w:jc w:val="center"/>
                    <w:rPr>
                      <w:sz w:val="21"/>
                      <w:szCs w:val="21"/>
                      <w:lang w:bidi="zh-CN"/>
                    </w:rPr>
                  </w:pPr>
                </w:p>
              </w:tc>
              <w:tc>
                <w:tcPr>
                  <w:tcW w:w="2180" w:type="dxa"/>
                  <w:vMerge w:val="continue"/>
                  <w:vAlign w:val="center"/>
                </w:tcPr>
                <w:p>
                  <w:pPr>
                    <w:pStyle w:val="8"/>
                    <w:autoSpaceDE w:val="0"/>
                    <w:autoSpaceDN w:val="0"/>
                    <w:spacing w:line="240" w:lineRule="auto"/>
                    <w:jc w:val="center"/>
                    <w:rPr>
                      <w:sz w:val="21"/>
                      <w:szCs w:val="21"/>
                      <w:lang w:bidi="zh-CN"/>
                    </w:rPr>
                  </w:pPr>
                </w:p>
              </w:tc>
            </w:tr>
          </w:tbl>
          <w:p>
            <w:pPr>
              <w:adjustRightInd w:val="0"/>
              <w:snapToGrid w:val="0"/>
              <w:spacing w:line="360" w:lineRule="auto"/>
              <w:ind w:firstLine="456" w:firstLineChars="200"/>
              <w:rPr>
                <w:rFonts w:eastAsia="黑体"/>
                <w:spacing w:val="-6"/>
                <w:kern w:val="0"/>
                <w:sz w:val="24"/>
              </w:rPr>
            </w:pPr>
            <w:r>
              <w:rPr>
                <w:rFonts w:eastAsia="黑体"/>
                <w:spacing w:val="-6"/>
                <w:kern w:val="0"/>
                <w:sz w:val="24"/>
              </w:rPr>
              <w:t>2、</w:t>
            </w:r>
            <w:r>
              <w:rPr>
                <w:rFonts w:hint="eastAsia" w:eastAsia="黑体"/>
                <w:spacing w:val="-6"/>
                <w:kern w:val="0"/>
                <w:sz w:val="24"/>
              </w:rPr>
              <w:t>地表水</w:t>
            </w:r>
          </w:p>
          <w:p>
            <w:pPr>
              <w:adjustRightInd w:val="0"/>
              <w:snapToGrid w:val="0"/>
              <w:spacing w:line="360" w:lineRule="auto"/>
              <w:ind w:firstLine="480" w:firstLineChars="200"/>
              <w:rPr>
                <w:sz w:val="24"/>
              </w:rPr>
            </w:pPr>
            <w:r>
              <w:rPr>
                <w:rFonts w:hint="eastAsia"/>
                <w:sz w:val="24"/>
              </w:rPr>
              <w:t>地表水执行</w:t>
            </w:r>
            <w:r>
              <w:rPr>
                <w:sz w:val="24"/>
              </w:rPr>
              <w:t>《</w:t>
            </w:r>
            <w:r>
              <w:rPr>
                <w:rFonts w:hint="eastAsia"/>
                <w:sz w:val="24"/>
              </w:rPr>
              <w:t>地表水环境质量标准</w:t>
            </w:r>
            <w:r>
              <w:rPr>
                <w:sz w:val="24"/>
              </w:rPr>
              <w:t>》（GB3838-2002）中的</w:t>
            </w:r>
            <w:r>
              <w:rPr>
                <w:rFonts w:hint="eastAsia"/>
                <w:sz w:val="24"/>
              </w:rPr>
              <w:t>Ⅲ</w:t>
            </w:r>
            <w:r>
              <w:rPr>
                <w:sz w:val="24"/>
              </w:rPr>
              <w:t>类</w:t>
            </w:r>
            <w:r>
              <w:rPr>
                <w:rFonts w:hint="eastAsia"/>
                <w:sz w:val="24"/>
              </w:rPr>
              <w:t>标准，部分标准情况见表13。</w:t>
            </w:r>
          </w:p>
          <w:p>
            <w:pPr>
              <w:jc w:val="center"/>
              <w:rPr>
                <w:rFonts w:hAnsi="黑体" w:eastAsia="黑体"/>
                <w:sz w:val="24"/>
                <w:szCs w:val="24"/>
              </w:rPr>
            </w:pPr>
            <w:r>
              <w:rPr>
                <w:rFonts w:hint="eastAsia" w:eastAsia="黑体"/>
                <w:sz w:val="24"/>
                <w:szCs w:val="24"/>
              </w:rPr>
              <w:t>表13《地表水环境质量标准》</w:t>
            </w:r>
            <w:r>
              <w:rPr>
                <w:rFonts w:eastAsia="黑体"/>
                <w:sz w:val="24"/>
                <w:szCs w:val="24"/>
              </w:rPr>
              <w:t>Ⅲ</w:t>
            </w:r>
            <w:r>
              <w:rPr>
                <w:rFonts w:hint="eastAsia" w:eastAsia="黑体"/>
                <w:sz w:val="24"/>
                <w:szCs w:val="24"/>
              </w:rPr>
              <w:t>类标准</w:t>
            </w:r>
            <w:r>
              <w:rPr>
                <w:rFonts w:hAnsi="黑体" w:eastAsia="黑体"/>
                <w:sz w:val="24"/>
                <w:szCs w:val="24"/>
              </w:rPr>
              <w:t>（单位：</w:t>
            </w:r>
            <w:r>
              <w:rPr>
                <w:rFonts w:eastAsia="黑体"/>
                <w:sz w:val="24"/>
                <w:szCs w:val="24"/>
              </w:rPr>
              <w:t>mg/L</w:t>
            </w:r>
            <w:r>
              <w:rPr>
                <w:rFonts w:hAnsi="黑体" w:eastAsia="黑体"/>
                <w:sz w:val="24"/>
                <w:szCs w:val="24"/>
              </w:rPr>
              <w:t>，</w:t>
            </w:r>
            <w:r>
              <w:rPr>
                <w:rFonts w:eastAsia="黑体"/>
                <w:sz w:val="24"/>
                <w:szCs w:val="24"/>
              </w:rPr>
              <w:t>pH</w:t>
            </w:r>
            <w:r>
              <w:rPr>
                <w:rFonts w:hAnsi="黑体" w:eastAsia="黑体"/>
                <w:sz w:val="24"/>
                <w:szCs w:val="24"/>
              </w:rPr>
              <w:t>除外）</w:t>
            </w:r>
          </w:p>
          <w:tbl>
            <w:tblPr>
              <w:tblStyle w:val="26"/>
              <w:tblW w:w="8624" w:type="dxa"/>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autofit"/>
              <w:tblCellMar>
                <w:top w:w="0" w:type="dxa"/>
                <w:left w:w="108" w:type="dxa"/>
                <w:bottom w:w="0" w:type="dxa"/>
                <w:right w:w="108" w:type="dxa"/>
              </w:tblCellMar>
            </w:tblPr>
            <w:tblGrid>
              <w:gridCol w:w="1620"/>
              <w:gridCol w:w="883"/>
              <w:gridCol w:w="1052"/>
              <w:gridCol w:w="1223"/>
              <w:gridCol w:w="1223"/>
              <w:gridCol w:w="1501"/>
              <w:gridCol w:w="1122"/>
            </w:tblGrid>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4"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pH</w:t>
                  </w:r>
                </w:p>
              </w:tc>
              <w:tc>
                <w:tcPr>
                  <w:tcW w:w="1052"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石油类</w:t>
                  </w:r>
                </w:p>
              </w:tc>
              <w:tc>
                <w:tcPr>
                  <w:tcW w:w="122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COD</w:t>
                  </w:r>
                  <w:r>
                    <w:rPr>
                      <w:color w:val="000000" w:themeColor="text1"/>
                      <w:sz w:val="21"/>
                      <w:szCs w:val="21"/>
                      <w:vertAlign w:val="subscript"/>
                    </w:rPr>
                    <w:t>Cr</w:t>
                  </w:r>
                </w:p>
              </w:tc>
              <w:tc>
                <w:tcPr>
                  <w:tcW w:w="1223"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NH</w:t>
                  </w:r>
                  <w:r>
                    <w:rPr>
                      <w:color w:val="000000" w:themeColor="text1"/>
                      <w:sz w:val="21"/>
                      <w:szCs w:val="21"/>
                      <w:vertAlign w:val="subscript"/>
                    </w:rPr>
                    <w:t>3</w:t>
                  </w:r>
                  <w:r>
                    <w:rPr>
                      <w:color w:val="000000" w:themeColor="text1"/>
                      <w:sz w:val="21"/>
                      <w:szCs w:val="21"/>
                    </w:rPr>
                    <w:t>-N</w:t>
                  </w:r>
                </w:p>
              </w:tc>
              <w:tc>
                <w:tcPr>
                  <w:tcW w:w="1501"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挥发酚</w:t>
                  </w:r>
                </w:p>
              </w:tc>
              <w:tc>
                <w:tcPr>
                  <w:tcW w:w="1122" w:type="dxa"/>
                  <w:tcBorders>
                    <w:top w:val="single" w:color="000000" w:sz="4"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阴离子表面活性剂</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6-9</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0.05</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≤20</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≤1.0</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w:t>
                  </w:r>
                  <w:r>
                    <w:rPr>
                      <w:rFonts w:hint="eastAsia"/>
                      <w:color w:val="000000" w:themeColor="text1"/>
                      <w:sz w:val="21"/>
                      <w:szCs w:val="21"/>
                    </w:rPr>
                    <w:t>0.005</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≤0.2</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项目</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DO</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氰化物</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六价铬</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硫化物</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砷</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color w:val="000000" w:themeColor="text1"/>
                      <w:sz w:val="21"/>
                      <w:szCs w:val="21"/>
                    </w:rPr>
                    <w:t>粪大肠菌群(个/L)</w:t>
                  </w:r>
                </w:p>
              </w:tc>
            </w:tr>
            <w:tr>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620" w:type="dxa"/>
                  <w:tcBorders>
                    <w:top w:val="single" w:color="000000" w:sz="6" w:space="0"/>
                    <w:left w:val="single" w:color="000000" w:sz="4"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rFonts w:hint="eastAsia"/>
                      <w:color w:val="000000" w:themeColor="text1"/>
                      <w:sz w:val="21"/>
                      <w:szCs w:val="21"/>
                    </w:rPr>
                    <w:t>Ⅲ类标准值</w:t>
                  </w:r>
                </w:p>
              </w:tc>
              <w:tc>
                <w:tcPr>
                  <w:tcW w:w="88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≥5</w:t>
                  </w:r>
                </w:p>
              </w:tc>
              <w:tc>
                <w:tcPr>
                  <w:tcW w:w="105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≤0.2</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≤0.05</w:t>
                  </w:r>
                </w:p>
              </w:tc>
              <w:tc>
                <w:tcPr>
                  <w:tcW w:w="1223"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≤0.2</w:t>
                  </w:r>
                </w:p>
              </w:tc>
              <w:tc>
                <w:tcPr>
                  <w:tcW w:w="1501"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≤0.05</w:t>
                  </w:r>
                </w:p>
              </w:tc>
              <w:tc>
                <w:tcPr>
                  <w:tcW w:w="1122" w:type="dxa"/>
                  <w:tcBorders>
                    <w:top w:val="single" w:color="000000" w:sz="6" w:space="0"/>
                    <w:left w:val="single" w:color="000000" w:sz="6" w:space="0"/>
                    <w:bottom w:val="single" w:color="000000" w:sz="6" w:space="0"/>
                    <w:right w:val="single" w:color="000000" w:sz="6" w:space="0"/>
                  </w:tcBorders>
                  <w:vAlign w:val="center"/>
                </w:tcPr>
                <w:p>
                  <w:pPr>
                    <w:autoSpaceDE w:val="0"/>
                    <w:autoSpaceDN w:val="0"/>
                    <w:adjustRightInd w:val="0"/>
                    <w:jc w:val="center"/>
                    <w:rPr>
                      <w:color w:val="000000" w:themeColor="text1"/>
                      <w:sz w:val="21"/>
                      <w:szCs w:val="21"/>
                    </w:rPr>
                  </w:pPr>
                  <w:r>
                    <w:rPr>
                      <w:bCs/>
                      <w:kern w:val="28"/>
                      <w:sz w:val="21"/>
                      <w:szCs w:val="21"/>
                    </w:rPr>
                    <w:t>≤10000</w:t>
                  </w:r>
                </w:p>
              </w:tc>
            </w:tr>
          </w:tbl>
          <w:p>
            <w:pPr>
              <w:adjustRightInd w:val="0"/>
              <w:snapToGrid w:val="0"/>
              <w:spacing w:line="360" w:lineRule="auto"/>
              <w:ind w:firstLine="456" w:firstLineChars="200"/>
              <w:rPr>
                <w:rFonts w:eastAsia="黑体"/>
                <w:spacing w:val="-6"/>
                <w:kern w:val="0"/>
                <w:sz w:val="24"/>
              </w:rPr>
            </w:pPr>
            <w:r>
              <w:rPr>
                <w:rFonts w:hint="eastAsia" w:eastAsia="黑体"/>
                <w:spacing w:val="-6"/>
                <w:kern w:val="0"/>
                <w:sz w:val="24"/>
              </w:rPr>
              <w:t>3、地下水</w:t>
            </w:r>
          </w:p>
          <w:p>
            <w:pPr>
              <w:adjustRightInd w:val="0"/>
              <w:snapToGrid w:val="0"/>
              <w:spacing w:line="360" w:lineRule="auto"/>
              <w:ind w:firstLine="480" w:firstLineChars="200"/>
              <w:rPr>
                <w:sz w:val="24"/>
              </w:rPr>
            </w:pPr>
            <w:r>
              <w:rPr>
                <w:rFonts w:hint="eastAsia"/>
                <w:sz w:val="24"/>
              </w:rPr>
              <w:t>地下水执行</w:t>
            </w:r>
            <w:r>
              <w:rPr>
                <w:sz w:val="24"/>
              </w:rPr>
              <w:t>《地下水质量标准》（GB/T14848-</w:t>
            </w:r>
            <w:r>
              <w:rPr>
                <w:rFonts w:hint="eastAsia"/>
                <w:sz w:val="24"/>
              </w:rPr>
              <w:t>2017</w:t>
            </w:r>
            <w:r>
              <w:rPr>
                <w:sz w:val="24"/>
              </w:rPr>
              <w:t>）中的</w:t>
            </w:r>
            <w:r>
              <w:rPr>
                <w:rFonts w:hint="eastAsia"/>
                <w:sz w:val="24"/>
              </w:rPr>
              <w:t>Ⅲ</w:t>
            </w:r>
            <w:r>
              <w:rPr>
                <w:sz w:val="24"/>
              </w:rPr>
              <w:t>类标准</w:t>
            </w:r>
            <w:r>
              <w:rPr>
                <w:rFonts w:hint="eastAsia"/>
                <w:sz w:val="24"/>
              </w:rPr>
              <w:t>，部分标准情况见表14。</w:t>
            </w:r>
          </w:p>
          <w:p>
            <w:pPr>
              <w:jc w:val="center"/>
              <w:rPr>
                <w:rFonts w:eastAsia="黑体"/>
                <w:sz w:val="24"/>
                <w:szCs w:val="24"/>
              </w:rPr>
            </w:pPr>
          </w:p>
          <w:p>
            <w:pPr>
              <w:jc w:val="center"/>
              <w:rPr>
                <w:rFonts w:eastAsia="黑体"/>
                <w:sz w:val="24"/>
                <w:szCs w:val="24"/>
              </w:rPr>
            </w:pPr>
          </w:p>
          <w:p>
            <w:pPr>
              <w:jc w:val="center"/>
              <w:rPr>
                <w:rFonts w:eastAsia="黑体"/>
                <w:sz w:val="24"/>
                <w:szCs w:val="24"/>
              </w:rPr>
            </w:pPr>
          </w:p>
          <w:p>
            <w:pPr>
              <w:jc w:val="center"/>
              <w:rPr>
                <w:rFonts w:eastAsia="黑体"/>
                <w:sz w:val="24"/>
                <w:szCs w:val="24"/>
              </w:rPr>
            </w:pPr>
          </w:p>
          <w:p>
            <w:pPr>
              <w:jc w:val="center"/>
              <w:rPr>
                <w:rFonts w:eastAsia="黑体"/>
                <w:sz w:val="24"/>
                <w:szCs w:val="24"/>
              </w:rPr>
            </w:pPr>
            <w:r>
              <w:rPr>
                <w:rFonts w:hint="eastAsia" w:eastAsia="黑体"/>
                <w:sz w:val="24"/>
                <w:szCs w:val="24"/>
              </w:rPr>
              <w:t>表14 《地下水质量标准》</w:t>
            </w:r>
            <w:r>
              <w:rPr>
                <w:rFonts w:eastAsia="黑体"/>
                <w:sz w:val="24"/>
                <w:szCs w:val="24"/>
              </w:rPr>
              <w:t>Ⅲ</w:t>
            </w:r>
            <w:r>
              <w:rPr>
                <w:rFonts w:hint="eastAsia" w:eastAsia="黑体"/>
                <w:sz w:val="24"/>
                <w:szCs w:val="24"/>
              </w:rPr>
              <w:t>类标准</w:t>
            </w:r>
            <w:r>
              <w:rPr>
                <w:rFonts w:eastAsia="黑体"/>
                <w:sz w:val="24"/>
                <w:szCs w:val="24"/>
              </w:rPr>
              <w:t xml:space="preserve">   (</w:t>
            </w:r>
            <w:r>
              <w:rPr>
                <w:rFonts w:hint="eastAsia" w:eastAsia="黑体"/>
                <w:sz w:val="24"/>
                <w:szCs w:val="24"/>
              </w:rPr>
              <w:t>单位：</w:t>
            </w:r>
            <w:r>
              <w:rPr>
                <w:rFonts w:eastAsia="黑体"/>
                <w:sz w:val="24"/>
                <w:szCs w:val="24"/>
              </w:rPr>
              <w:t>mg/L</w:t>
            </w:r>
            <w:r>
              <w:rPr>
                <w:rFonts w:hint="eastAsia" w:eastAsia="黑体"/>
                <w:sz w:val="24"/>
                <w:szCs w:val="24"/>
              </w:rPr>
              <w:t>，</w:t>
            </w:r>
            <w:r>
              <w:rPr>
                <w:rFonts w:eastAsia="黑体"/>
                <w:sz w:val="24"/>
                <w:szCs w:val="24"/>
              </w:rPr>
              <w:t>pH</w:t>
            </w:r>
            <w:r>
              <w:rPr>
                <w:rFonts w:hint="eastAsia" w:eastAsia="黑体"/>
                <w:sz w:val="24"/>
                <w:szCs w:val="24"/>
              </w:rPr>
              <w:t>除外</w:t>
            </w:r>
            <w:r>
              <w:rPr>
                <w:rFonts w:eastAsia="黑体"/>
                <w:sz w:val="24"/>
                <w:szCs w:val="24"/>
              </w:rPr>
              <w:t>)</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2"/>
              <w:gridCol w:w="812"/>
              <w:gridCol w:w="1008"/>
              <w:gridCol w:w="867"/>
              <w:gridCol w:w="826"/>
              <w:gridCol w:w="822"/>
              <w:gridCol w:w="825"/>
              <w:gridCol w:w="725"/>
              <w:gridCol w:w="927"/>
              <w:gridCol w:w="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07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color w:val="000000" w:themeColor="text1"/>
                      <w:sz w:val="21"/>
                      <w:szCs w:val="21"/>
                    </w:rPr>
                    <w:t>项目</w:t>
                  </w:r>
                </w:p>
              </w:tc>
              <w:tc>
                <w:tcPr>
                  <w:tcW w:w="81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pH</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hAnsi="Calibri"/>
                      <w:color w:val="000000" w:themeColor="text1"/>
                      <w:sz w:val="21"/>
                      <w:szCs w:val="21"/>
                    </w:rPr>
                  </w:pPr>
                  <w:r>
                    <w:rPr>
                      <w:rFonts w:hint="eastAsia" w:hAnsi="Calibri"/>
                      <w:color w:val="000000" w:themeColor="text1"/>
                      <w:sz w:val="21"/>
                      <w:szCs w:val="21"/>
                    </w:rPr>
                    <w:t>硝酸</w:t>
                  </w:r>
                </w:p>
                <w:p>
                  <w:pPr>
                    <w:jc w:val="center"/>
                    <w:rPr>
                      <w:color w:val="000000" w:themeColor="text1"/>
                      <w:sz w:val="21"/>
                      <w:szCs w:val="21"/>
                    </w:rPr>
                  </w:pPr>
                  <w:r>
                    <w:rPr>
                      <w:rFonts w:hint="eastAsia" w:hAnsi="Calibri"/>
                      <w:color w:val="000000" w:themeColor="text1"/>
                      <w:sz w:val="21"/>
                      <w:szCs w:val="21"/>
                    </w:rPr>
                    <w:t>盐氮</w:t>
                  </w:r>
                </w:p>
              </w:tc>
              <w:tc>
                <w:tcPr>
                  <w:tcW w:w="8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亚硝酸盐氮</w:t>
                  </w:r>
                </w:p>
              </w:tc>
              <w:tc>
                <w:tcPr>
                  <w:tcW w:w="85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耗氧量</w:t>
                  </w:r>
                </w:p>
              </w:tc>
              <w:tc>
                <w:tcPr>
                  <w:tcW w:w="838"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氨氮</w:t>
                  </w:r>
                </w:p>
              </w:tc>
              <w:tc>
                <w:tcPr>
                  <w:tcW w:w="84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氰化物</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总硬度</w:t>
                  </w:r>
                </w:p>
              </w:tc>
              <w:tc>
                <w:tcPr>
                  <w:tcW w:w="950"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溶解性</w:t>
                  </w:r>
                </w:p>
                <w:p>
                  <w:pPr>
                    <w:jc w:val="center"/>
                    <w:rPr>
                      <w:color w:val="000000" w:themeColor="text1"/>
                      <w:sz w:val="21"/>
                      <w:szCs w:val="21"/>
                    </w:rPr>
                  </w:pPr>
                  <w:r>
                    <w:rPr>
                      <w:rFonts w:hint="eastAsia" w:hAnsi="Calibri"/>
                      <w:color w:val="000000" w:themeColor="text1"/>
                      <w:sz w:val="21"/>
                      <w:szCs w:val="21"/>
                    </w:rPr>
                    <w:t>总固体</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rFonts w:hint="eastAsia" w:hAnsi="Calibri"/>
                      <w:color w:val="000000" w:themeColor="text1"/>
                      <w:sz w:val="21"/>
                      <w:szCs w:val="21"/>
                    </w:rPr>
                    <w:t>挥发性</w:t>
                  </w:r>
                </w:p>
                <w:p>
                  <w:pPr>
                    <w:jc w:val="center"/>
                    <w:rPr>
                      <w:color w:val="000000" w:themeColor="text1"/>
                      <w:sz w:val="21"/>
                      <w:szCs w:val="21"/>
                    </w:rPr>
                  </w:pPr>
                  <w:r>
                    <w:rPr>
                      <w:rFonts w:hint="eastAsia" w:hAnsi="Calibri"/>
                      <w:color w:val="000000" w:themeColor="text1"/>
                      <w:sz w:val="21"/>
                      <w:szCs w:val="21"/>
                    </w:rPr>
                    <w:t>酚类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jc w:val="center"/>
              </w:trPr>
              <w:tc>
                <w:tcPr>
                  <w:tcW w:w="1077" w:type="dxa"/>
                  <w:tcBorders>
                    <w:top w:val="single" w:color="auto" w:sz="4" w:space="0"/>
                    <w:left w:val="single" w:color="auto" w:sz="4" w:space="0"/>
                    <w:bottom w:val="single" w:color="auto" w:sz="4" w:space="0"/>
                    <w:right w:val="single" w:color="auto" w:sz="4" w:space="0"/>
                  </w:tcBorders>
                </w:tcPr>
                <w:p>
                  <w:pPr>
                    <w:jc w:val="center"/>
                    <w:rPr>
                      <w:rFonts w:hAnsi="Calibri"/>
                      <w:color w:val="000000" w:themeColor="text1"/>
                      <w:sz w:val="21"/>
                      <w:szCs w:val="21"/>
                    </w:rPr>
                  </w:pPr>
                  <w:r>
                    <w:rPr>
                      <w:rFonts w:hint="eastAsia" w:hAnsi="Calibri"/>
                      <w:color w:val="000000" w:themeColor="text1"/>
                      <w:sz w:val="21"/>
                      <w:szCs w:val="21"/>
                    </w:rPr>
                    <w:t>Ⅲ类</w:t>
                  </w:r>
                </w:p>
                <w:p>
                  <w:pPr>
                    <w:jc w:val="center"/>
                    <w:rPr>
                      <w:color w:val="000000" w:themeColor="text1"/>
                      <w:sz w:val="21"/>
                      <w:szCs w:val="21"/>
                    </w:rPr>
                  </w:pPr>
                  <w:r>
                    <w:rPr>
                      <w:rFonts w:hint="eastAsia" w:hAnsi="Calibri"/>
                      <w:color w:val="000000" w:themeColor="text1"/>
                      <w:sz w:val="21"/>
                      <w:szCs w:val="21"/>
                    </w:rPr>
                    <w:t>标准</w:t>
                  </w:r>
                </w:p>
              </w:tc>
              <w:tc>
                <w:tcPr>
                  <w:tcW w:w="81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6.5-8.5</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≤20</w:t>
                  </w:r>
                  <w:r>
                    <w:rPr>
                      <w:rFonts w:hint="eastAsia"/>
                      <w:color w:val="000000" w:themeColor="text1"/>
                      <w:sz w:val="21"/>
                      <w:szCs w:val="21"/>
                    </w:rPr>
                    <w:t>.0</w:t>
                  </w:r>
                </w:p>
              </w:tc>
              <w:tc>
                <w:tcPr>
                  <w:tcW w:w="889"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w:t>
                  </w:r>
                  <w:r>
                    <w:rPr>
                      <w:rFonts w:hint="eastAsia"/>
                      <w:color w:val="000000" w:themeColor="text1"/>
                      <w:sz w:val="21"/>
                      <w:szCs w:val="21"/>
                    </w:rPr>
                    <w:t>1.00</w:t>
                  </w:r>
                </w:p>
              </w:tc>
              <w:tc>
                <w:tcPr>
                  <w:tcW w:w="857"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≤3.0</w:t>
                  </w:r>
                </w:p>
              </w:tc>
              <w:tc>
                <w:tcPr>
                  <w:tcW w:w="838"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w:t>
                  </w:r>
                  <w:r>
                    <w:rPr>
                      <w:rFonts w:hint="eastAsia"/>
                      <w:color w:val="000000" w:themeColor="text1"/>
                      <w:sz w:val="21"/>
                      <w:szCs w:val="21"/>
                    </w:rPr>
                    <w:t>50</w:t>
                  </w:r>
                </w:p>
              </w:tc>
              <w:tc>
                <w:tcPr>
                  <w:tcW w:w="842"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≤0.0</w:t>
                  </w:r>
                  <w:r>
                    <w:rPr>
                      <w:rFonts w:hint="eastAsia"/>
                      <w:color w:val="000000" w:themeColor="text1"/>
                      <w:sz w:val="21"/>
                      <w:szCs w:val="21"/>
                    </w:rPr>
                    <w:t>5</w:t>
                  </w:r>
                </w:p>
              </w:tc>
              <w:tc>
                <w:tcPr>
                  <w:tcW w:w="735"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≤450</w:t>
                  </w:r>
                </w:p>
              </w:tc>
              <w:tc>
                <w:tcPr>
                  <w:tcW w:w="950"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≤1000</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color w:val="000000" w:themeColor="text1"/>
                      <w:sz w:val="21"/>
                      <w:szCs w:val="21"/>
                    </w:rPr>
                  </w:pPr>
                  <w:r>
                    <w:rPr>
                      <w:color w:val="000000" w:themeColor="text1"/>
                      <w:sz w:val="21"/>
                      <w:szCs w:val="21"/>
                    </w:rPr>
                    <w:t>≤0.002</w:t>
                  </w:r>
                </w:p>
              </w:tc>
            </w:tr>
          </w:tbl>
          <w:p>
            <w:pPr>
              <w:adjustRightInd w:val="0"/>
              <w:snapToGrid w:val="0"/>
              <w:spacing w:line="360" w:lineRule="auto"/>
              <w:ind w:firstLine="456" w:firstLineChars="200"/>
              <w:rPr>
                <w:rFonts w:eastAsia="黑体"/>
                <w:spacing w:val="-6"/>
                <w:kern w:val="0"/>
                <w:sz w:val="24"/>
              </w:rPr>
            </w:pPr>
            <w:r>
              <w:rPr>
                <w:rFonts w:hint="eastAsia" w:eastAsia="黑体"/>
                <w:spacing w:val="-6"/>
                <w:kern w:val="0"/>
                <w:sz w:val="24"/>
              </w:rPr>
              <w:t>4、声环境</w:t>
            </w:r>
          </w:p>
          <w:p>
            <w:pPr>
              <w:adjustRightInd w:val="0"/>
              <w:snapToGrid w:val="0"/>
              <w:spacing w:line="360" w:lineRule="auto"/>
              <w:ind w:firstLine="480" w:firstLineChars="200"/>
              <w:rPr>
                <w:sz w:val="24"/>
              </w:rPr>
            </w:pPr>
            <w:r>
              <w:rPr>
                <w:rFonts w:hint="eastAsia"/>
                <w:sz w:val="24"/>
              </w:rPr>
              <w:t>声环境执行</w:t>
            </w:r>
            <w:r>
              <w:rPr>
                <w:sz w:val="24"/>
              </w:rPr>
              <w:t>《声环境质量标准》（GB3096-2008）中的</w:t>
            </w:r>
            <w:r>
              <w:rPr>
                <w:rFonts w:hint="eastAsia"/>
                <w:sz w:val="24"/>
              </w:rPr>
              <w:t>3</w:t>
            </w:r>
            <w:r>
              <w:rPr>
                <w:sz w:val="24"/>
              </w:rPr>
              <w:t>类标准</w:t>
            </w:r>
            <w:r>
              <w:rPr>
                <w:rFonts w:hint="eastAsia"/>
                <w:sz w:val="24"/>
              </w:rPr>
              <w:t>，具体情况见表15。</w:t>
            </w:r>
          </w:p>
          <w:p>
            <w:pPr>
              <w:adjustRightInd w:val="0"/>
              <w:snapToGrid w:val="0"/>
              <w:ind w:firstLine="480" w:firstLineChars="200"/>
              <w:jc w:val="center"/>
              <w:rPr>
                <w:rFonts w:eastAsia="黑体"/>
                <w:sz w:val="24"/>
                <w:szCs w:val="24"/>
              </w:rPr>
            </w:pPr>
            <w:r>
              <w:rPr>
                <w:rFonts w:eastAsia="黑体"/>
                <w:sz w:val="24"/>
                <w:szCs w:val="24"/>
              </w:rPr>
              <w:t>表1</w:t>
            </w:r>
            <w:r>
              <w:rPr>
                <w:rFonts w:hint="eastAsia" w:eastAsia="黑体"/>
                <w:sz w:val="24"/>
                <w:szCs w:val="24"/>
              </w:rPr>
              <w:t>5</w:t>
            </w:r>
            <w:r>
              <w:rPr>
                <w:rFonts w:eastAsia="黑体"/>
                <w:sz w:val="24"/>
                <w:szCs w:val="24"/>
              </w:rPr>
              <w:t xml:space="preserve">  声环境质量标准限值</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43"/>
              <w:gridCol w:w="3670"/>
              <w:gridCol w:w="1471"/>
              <w:gridCol w:w="1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126" w:type="pct"/>
                  <w:vAlign w:val="center"/>
                </w:tcPr>
                <w:p>
                  <w:pPr>
                    <w:adjustRightInd w:val="0"/>
                    <w:snapToGrid w:val="0"/>
                    <w:jc w:val="center"/>
                    <w:rPr>
                      <w:sz w:val="21"/>
                      <w:szCs w:val="21"/>
                    </w:rPr>
                  </w:pPr>
                  <w:r>
                    <w:rPr>
                      <w:sz w:val="21"/>
                      <w:szCs w:val="21"/>
                    </w:rPr>
                    <w:t>类别</w:t>
                  </w:r>
                </w:p>
              </w:tc>
              <w:tc>
                <w:tcPr>
                  <w:tcW w:w="2128" w:type="pct"/>
                  <w:vAlign w:val="center"/>
                </w:tcPr>
                <w:p>
                  <w:pPr>
                    <w:adjustRightInd w:val="0"/>
                    <w:snapToGrid w:val="0"/>
                    <w:jc w:val="center"/>
                    <w:rPr>
                      <w:sz w:val="21"/>
                      <w:szCs w:val="21"/>
                    </w:rPr>
                  </w:pPr>
                  <w:r>
                    <w:rPr>
                      <w:sz w:val="21"/>
                      <w:szCs w:val="21"/>
                    </w:rPr>
                    <w:t>适用区域</w:t>
                  </w:r>
                </w:p>
              </w:tc>
              <w:tc>
                <w:tcPr>
                  <w:tcW w:w="853" w:type="pct"/>
                  <w:vAlign w:val="center"/>
                </w:tcPr>
                <w:p>
                  <w:pPr>
                    <w:adjustRightInd w:val="0"/>
                    <w:snapToGrid w:val="0"/>
                    <w:jc w:val="center"/>
                    <w:rPr>
                      <w:sz w:val="21"/>
                      <w:szCs w:val="21"/>
                    </w:rPr>
                  </w:pPr>
                  <w:r>
                    <w:rPr>
                      <w:sz w:val="21"/>
                      <w:szCs w:val="21"/>
                    </w:rPr>
                    <w:t>昼间</w:t>
                  </w:r>
                </w:p>
              </w:tc>
              <w:tc>
                <w:tcPr>
                  <w:tcW w:w="894" w:type="pct"/>
                  <w:vAlign w:val="center"/>
                </w:tcPr>
                <w:p>
                  <w:pPr>
                    <w:adjustRightInd w:val="0"/>
                    <w:snapToGrid w:val="0"/>
                    <w:jc w:val="center"/>
                    <w:rPr>
                      <w:sz w:val="21"/>
                      <w:szCs w:val="21"/>
                    </w:rPr>
                  </w:pPr>
                  <w:r>
                    <w:rPr>
                      <w:sz w:val="21"/>
                      <w:szCs w:val="21"/>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126" w:type="pct"/>
                  <w:vAlign w:val="center"/>
                </w:tcPr>
                <w:p>
                  <w:pPr>
                    <w:adjustRightInd w:val="0"/>
                    <w:snapToGrid w:val="0"/>
                    <w:jc w:val="center"/>
                    <w:rPr>
                      <w:sz w:val="21"/>
                      <w:szCs w:val="21"/>
                    </w:rPr>
                  </w:pPr>
                  <w:r>
                    <w:rPr>
                      <w:rFonts w:hint="eastAsia"/>
                      <w:sz w:val="21"/>
                      <w:szCs w:val="21"/>
                    </w:rPr>
                    <w:t>3</w:t>
                  </w:r>
                </w:p>
              </w:tc>
              <w:tc>
                <w:tcPr>
                  <w:tcW w:w="2128" w:type="pct"/>
                  <w:vAlign w:val="center"/>
                </w:tcPr>
                <w:p>
                  <w:pPr>
                    <w:adjustRightInd w:val="0"/>
                    <w:snapToGrid w:val="0"/>
                    <w:jc w:val="center"/>
                    <w:rPr>
                      <w:kern w:val="0"/>
                      <w:sz w:val="21"/>
                      <w:szCs w:val="21"/>
                    </w:rPr>
                  </w:pPr>
                  <w:r>
                    <w:rPr>
                      <w:rFonts w:hint="eastAsia"/>
                      <w:sz w:val="21"/>
                      <w:szCs w:val="21"/>
                    </w:rPr>
                    <w:t>以工业生产、仓储物流为主要功能</w:t>
                  </w:r>
                </w:p>
              </w:tc>
              <w:tc>
                <w:tcPr>
                  <w:tcW w:w="853" w:type="pct"/>
                  <w:vAlign w:val="center"/>
                </w:tcPr>
                <w:p>
                  <w:pPr>
                    <w:adjustRightInd w:val="0"/>
                    <w:snapToGrid w:val="0"/>
                    <w:jc w:val="center"/>
                    <w:rPr>
                      <w:snapToGrid w:val="0"/>
                      <w:kern w:val="0"/>
                      <w:sz w:val="21"/>
                      <w:szCs w:val="21"/>
                    </w:rPr>
                  </w:pPr>
                  <w:r>
                    <w:rPr>
                      <w:kern w:val="0"/>
                      <w:sz w:val="21"/>
                      <w:szCs w:val="21"/>
                    </w:rPr>
                    <w:t>6</w:t>
                  </w:r>
                  <w:r>
                    <w:rPr>
                      <w:rFonts w:hint="eastAsia"/>
                      <w:kern w:val="0"/>
                      <w:sz w:val="21"/>
                      <w:szCs w:val="21"/>
                    </w:rPr>
                    <w:t>5</w:t>
                  </w:r>
                  <w:r>
                    <w:rPr>
                      <w:kern w:val="0"/>
                      <w:sz w:val="21"/>
                      <w:szCs w:val="21"/>
                    </w:rPr>
                    <w:t>dB(A)</w:t>
                  </w:r>
                </w:p>
              </w:tc>
              <w:tc>
                <w:tcPr>
                  <w:tcW w:w="894" w:type="pct"/>
                  <w:vAlign w:val="center"/>
                </w:tcPr>
                <w:p>
                  <w:pPr>
                    <w:widowControl/>
                    <w:adjustRightInd w:val="0"/>
                    <w:snapToGrid w:val="0"/>
                    <w:jc w:val="center"/>
                    <w:rPr>
                      <w:kern w:val="0"/>
                      <w:sz w:val="21"/>
                      <w:szCs w:val="21"/>
                    </w:rPr>
                  </w:pPr>
                  <w:r>
                    <w:rPr>
                      <w:kern w:val="0"/>
                      <w:sz w:val="21"/>
                      <w:szCs w:val="21"/>
                    </w:rPr>
                    <w:t>5</w:t>
                  </w:r>
                  <w:r>
                    <w:rPr>
                      <w:rFonts w:hint="eastAsia"/>
                      <w:kern w:val="0"/>
                      <w:sz w:val="21"/>
                      <w:szCs w:val="21"/>
                    </w:rPr>
                    <w:t>5</w:t>
                  </w:r>
                  <w:r>
                    <w:rPr>
                      <w:kern w:val="0"/>
                      <w:sz w:val="21"/>
                      <w:szCs w:val="21"/>
                    </w:rPr>
                    <w:t xml:space="preserve"> dB(A)</w:t>
                  </w:r>
                </w:p>
              </w:tc>
            </w:tr>
          </w:tbl>
          <w:p>
            <w:pPr>
              <w:adjustRightInd w:val="0"/>
              <w:snapToGrid w:val="0"/>
              <w:spacing w:line="360" w:lineRule="auto"/>
              <w:rPr>
                <w:rFonts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610" w:type="dxa"/>
            <w:vAlign w:val="center"/>
          </w:tcPr>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污</w:t>
            </w:r>
          </w:p>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染</w:t>
            </w:r>
          </w:p>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物</w:t>
            </w:r>
          </w:p>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排</w:t>
            </w:r>
          </w:p>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放</w:t>
            </w:r>
          </w:p>
          <w:p>
            <w:pPr>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标</w:t>
            </w:r>
          </w:p>
          <w:p>
            <w:pPr>
              <w:snapToGrid w:val="0"/>
              <w:jc w:val="center"/>
              <w:rPr>
                <w:rFonts w:eastAsia="黑体"/>
                <w:b/>
                <w:color w:val="0070C0"/>
                <w:sz w:val="28"/>
                <w:szCs w:val="28"/>
              </w:rPr>
            </w:pPr>
            <w:r>
              <w:rPr>
                <w:rFonts w:ascii="华文中宋" w:hAnsi="华文中宋" w:eastAsia="华文中宋"/>
                <w:b/>
                <w:color w:val="000000" w:themeColor="text1"/>
                <w:sz w:val="28"/>
                <w:szCs w:val="28"/>
              </w:rPr>
              <w:t>准</w:t>
            </w:r>
          </w:p>
        </w:tc>
        <w:tc>
          <w:tcPr>
            <w:tcW w:w="8861" w:type="dxa"/>
          </w:tcPr>
          <w:p>
            <w:pPr>
              <w:adjustRightInd w:val="0"/>
              <w:snapToGrid w:val="0"/>
              <w:spacing w:line="360" w:lineRule="auto"/>
              <w:ind w:firstLine="456" w:firstLineChars="200"/>
              <w:rPr>
                <w:rFonts w:ascii="黑体" w:hAnsi="黑体" w:eastAsia="黑体"/>
                <w:sz w:val="24"/>
              </w:rPr>
            </w:pPr>
            <w:r>
              <w:rPr>
                <w:rFonts w:eastAsia="黑体"/>
                <w:spacing w:val="-6"/>
                <w:kern w:val="0"/>
                <w:sz w:val="24"/>
              </w:rPr>
              <w:t>1、</w:t>
            </w:r>
            <w:r>
              <w:rPr>
                <w:rFonts w:ascii="黑体" w:hAnsi="黑体" w:eastAsia="黑体"/>
                <w:sz w:val="24"/>
              </w:rPr>
              <w:t>废气污染物排放标准</w:t>
            </w:r>
          </w:p>
          <w:p>
            <w:pPr>
              <w:adjustRightInd w:val="0"/>
              <w:snapToGrid w:val="0"/>
              <w:spacing w:line="360" w:lineRule="auto"/>
              <w:ind w:firstLine="480" w:firstLineChars="200"/>
              <w:rPr>
                <w:color w:val="000000"/>
                <w:sz w:val="24"/>
              </w:rPr>
            </w:pPr>
            <w:r>
              <w:rPr>
                <w:rFonts w:hint="eastAsia"/>
                <w:color w:val="000000"/>
                <w:sz w:val="24"/>
              </w:rPr>
              <w:t>本项目挥发性有机物排放执行</w:t>
            </w:r>
            <w:r>
              <w:rPr>
                <w:sz w:val="24"/>
              </w:rPr>
              <w:t>《</w:t>
            </w:r>
            <w:r>
              <w:rPr>
                <w:rFonts w:hint="eastAsia"/>
                <w:sz w:val="24"/>
              </w:rPr>
              <w:t>挥发性有机物</w:t>
            </w:r>
            <w:r>
              <w:rPr>
                <w:sz w:val="24"/>
              </w:rPr>
              <w:t>排放标准</w:t>
            </w:r>
            <w:r>
              <w:rPr>
                <w:rFonts w:hint="eastAsia"/>
                <w:sz w:val="24"/>
              </w:rPr>
              <w:t xml:space="preserve"> 第7部分：其他行业</w:t>
            </w:r>
            <w:r>
              <w:rPr>
                <w:sz w:val="24"/>
              </w:rPr>
              <w:t>》</w:t>
            </w:r>
            <w:r>
              <w:rPr>
                <w:rFonts w:hint="eastAsia"/>
                <w:sz w:val="24"/>
              </w:rPr>
              <w:t>（DB37/2801.7-2019）表1和表2</w:t>
            </w:r>
            <w:r>
              <w:rPr>
                <w:sz w:val="24"/>
              </w:rPr>
              <w:t>标准限值</w:t>
            </w:r>
            <w:r>
              <w:rPr>
                <w:rFonts w:hint="eastAsia"/>
                <w:sz w:val="24"/>
              </w:rPr>
              <w:t>，</w:t>
            </w:r>
            <w:r>
              <w:rPr>
                <w:rFonts w:hint="eastAsia"/>
                <w:color w:val="000000"/>
                <w:sz w:val="24"/>
              </w:rPr>
              <w:t>具体排放标准限值见表17。</w:t>
            </w:r>
          </w:p>
          <w:p>
            <w:pPr>
              <w:pStyle w:val="78"/>
              <w:rPr>
                <w:rFonts w:eastAsia="黑体"/>
                <w:b w:val="0"/>
              </w:rPr>
            </w:pPr>
            <w:r>
              <w:rPr>
                <w:rFonts w:eastAsia="黑体"/>
                <w:b w:val="0"/>
              </w:rPr>
              <w:t>表</w:t>
            </w:r>
            <w:r>
              <w:rPr>
                <w:rFonts w:hint="eastAsia" w:eastAsia="黑体"/>
                <w:b w:val="0"/>
              </w:rPr>
              <w:t>17 大气污染物</w:t>
            </w:r>
            <w:r>
              <w:rPr>
                <w:rFonts w:eastAsia="黑体"/>
                <w:b w:val="0"/>
              </w:rPr>
              <w:t>排放标准</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8"/>
              <w:gridCol w:w="1524"/>
              <w:gridCol w:w="1207"/>
              <w:gridCol w:w="1208"/>
              <w:gridCol w:w="35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43" w:type="pct"/>
                  <w:vMerge w:val="restart"/>
                  <w:vAlign w:val="center"/>
                </w:tcPr>
                <w:p>
                  <w:pPr>
                    <w:spacing w:line="360" w:lineRule="exact"/>
                    <w:jc w:val="center"/>
                    <w:rPr>
                      <w:sz w:val="21"/>
                      <w:szCs w:val="21"/>
                    </w:rPr>
                  </w:pPr>
                  <w:r>
                    <w:rPr>
                      <w:rFonts w:hint="eastAsia"/>
                      <w:sz w:val="21"/>
                      <w:szCs w:val="21"/>
                    </w:rPr>
                    <w:t>排放方式</w:t>
                  </w:r>
                </w:p>
              </w:tc>
              <w:tc>
                <w:tcPr>
                  <w:tcW w:w="884" w:type="pct"/>
                  <w:vAlign w:val="center"/>
                </w:tcPr>
                <w:p>
                  <w:pPr>
                    <w:spacing w:line="360" w:lineRule="exact"/>
                    <w:jc w:val="center"/>
                    <w:rPr>
                      <w:sz w:val="21"/>
                      <w:szCs w:val="21"/>
                    </w:rPr>
                  </w:pPr>
                  <w:r>
                    <w:rPr>
                      <w:sz w:val="21"/>
                      <w:szCs w:val="21"/>
                    </w:rPr>
                    <w:t>污染物</w:t>
                  </w:r>
                </w:p>
              </w:tc>
              <w:tc>
                <w:tcPr>
                  <w:tcW w:w="700" w:type="pct"/>
                  <w:shd w:val="clear" w:color="auto" w:fill="auto"/>
                  <w:vAlign w:val="center"/>
                </w:tcPr>
                <w:p>
                  <w:pPr>
                    <w:spacing w:line="360" w:lineRule="exact"/>
                    <w:jc w:val="center"/>
                    <w:rPr>
                      <w:sz w:val="21"/>
                      <w:szCs w:val="21"/>
                    </w:rPr>
                  </w:pPr>
                  <w:r>
                    <w:rPr>
                      <w:sz w:val="21"/>
                      <w:szCs w:val="21"/>
                    </w:rPr>
                    <w:t>最高允许排放浓度（mg/m</w:t>
                  </w:r>
                  <w:r>
                    <w:rPr>
                      <w:sz w:val="21"/>
                      <w:szCs w:val="21"/>
                      <w:vertAlign w:val="superscript"/>
                    </w:rPr>
                    <w:t>3</w:t>
                  </w:r>
                  <w:r>
                    <w:rPr>
                      <w:sz w:val="21"/>
                      <w:szCs w:val="21"/>
                    </w:rPr>
                    <w:t>）</w:t>
                  </w:r>
                </w:p>
              </w:tc>
              <w:tc>
                <w:tcPr>
                  <w:tcW w:w="701" w:type="pct"/>
                  <w:shd w:val="clear" w:color="auto" w:fill="auto"/>
                  <w:vAlign w:val="center"/>
                </w:tcPr>
                <w:p>
                  <w:pPr>
                    <w:spacing w:line="360" w:lineRule="exact"/>
                    <w:jc w:val="center"/>
                    <w:rPr>
                      <w:sz w:val="21"/>
                      <w:szCs w:val="21"/>
                    </w:rPr>
                  </w:pPr>
                  <w:r>
                    <w:rPr>
                      <w:sz w:val="21"/>
                      <w:szCs w:val="21"/>
                    </w:rPr>
                    <w:t>最高允许排放</w:t>
                  </w:r>
                  <w:r>
                    <w:rPr>
                      <w:rFonts w:hint="eastAsia"/>
                      <w:sz w:val="21"/>
                      <w:szCs w:val="21"/>
                    </w:rPr>
                    <w:t>速率</w:t>
                  </w:r>
                  <w:r>
                    <w:rPr>
                      <w:sz w:val="21"/>
                      <w:szCs w:val="21"/>
                    </w:rPr>
                    <w:t>（</w:t>
                  </w:r>
                  <w:r>
                    <w:rPr>
                      <w:rFonts w:hint="eastAsia"/>
                      <w:sz w:val="21"/>
                      <w:szCs w:val="21"/>
                    </w:rPr>
                    <w:t>k</w:t>
                  </w:r>
                  <w:r>
                    <w:rPr>
                      <w:sz w:val="21"/>
                      <w:szCs w:val="21"/>
                    </w:rPr>
                    <w:t>g/</w:t>
                  </w:r>
                  <w:r>
                    <w:rPr>
                      <w:rFonts w:hint="eastAsia"/>
                      <w:sz w:val="21"/>
                      <w:szCs w:val="21"/>
                    </w:rPr>
                    <w:t>h</w:t>
                  </w:r>
                  <w:r>
                    <w:rPr>
                      <w:sz w:val="21"/>
                      <w:szCs w:val="21"/>
                    </w:rPr>
                    <w:t>）</w:t>
                  </w:r>
                </w:p>
              </w:tc>
              <w:tc>
                <w:tcPr>
                  <w:tcW w:w="2072" w:type="pct"/>
                  <w:vMerge w:val="restart"/>
                  <w:vAlign w:val="center"/>
                </w:tcPr>
                <w:p>
                  <w:pPr>
                    <w:spacing w:line="360" w:lineRule="exact"/>
                    <w:jc w:val="center"/>
                    <w:rPr>
                      <w:sz w:val="21"/>
                      <w:szCs w:val="21"/>
                    </w:rPr>
                  </w:pPr>
                  <w:r>
                    <w:rPr>
                      <w:sz w:val="21"/>
                      <w:szCs w:val="21"/>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43" w:type="pct"/>
                  <w:vAlign w:val="center"/>
                </w:tcPr>
                <w:p>
                  <w:pPr>
                    <w:spacing w:line="360" w:lineRule="exact"/>
                    <w:jc w:val="center"/>
                    <w:rPr>
                      <w:sz w:val="21"/>
                      <w:szCs w:val="21"/>
                    </w:rPr>
                  </w:pPr>
                  <w:r>
                    <w:rPr>
                      <w:rFonts w:hint="eastAsia"/>
                      <w:sz w:val="21"/>
                      <w:szCs w:val="21"/>
                    </w:rPr>
                    <w:t>有组织</w:t>
                  </w:r>
                </w:p>
              </w:tc>
              <w:tc>
                <w:tcPr>
                  <w:tcW w:w="884" w:type="pct"/>
                  <w:vAlign w:val="center"/>
                </w:tcPr>
                <w:p>
                  <w:pPr>
                    <w:spacing w:line="360" w:lineRule="exact"/>
                    <w:jc w:val="center"/>
                    <w:rPr>
                      <w:sz w:val="21"/>
                      <w:szCs w:val="21"/>
                    </w:rPr>
                  </w:pPr>
                  <w:r>
                    <w:rPr>
                      <w:rFonts w:hint="eastAsia"/>
                      <w:sz w:val="21"/>
                      <w:szCs w:val="21"/>
                    </w:rPr>
                    <w:t>VOCs</w:t>
                  </w:r>
                </w:p>
              </w:tc>
              <w:tc>
                <w:tcPr>
                  <w:tcW w:w="700" w:type="pct"/>
                  <w:shd w:val="clear" w:color="auto" w:fill="auto"/>
                  <w:vAlign w:val="center"/>
                </w:tcPr>
                <w:p>
                  <w:pPr>
                    <w:spacing w:line="360" w:lineRule="exact"/>
                    <w:jc w:val="center"/>
                    <w:rPr>
                      <w:sz w:val="21"/>
                      <w:szCs w:val="21"/>
                    </w:rPr>
                  </w:pPr>
                  <w:r>
                    <w:rPr>
                      <w:rFonts w:hint="eastAsia"/>
                      <w:sz w:val="21"/>
                      <w:szCs w:val="21"/>
                    </w:rPr>
                    <w:t>20</w:t>
                  </w:r>
                </w:p>
              </w:tc>
              <w:tc>
                <w:tcPr>
                  <w:tcW w:w="701" w:type="pct"/>
                  <w:shd w:val="clear" w:color="auto" w:fill="auto"/>
                  <w:vAlign w:val="center"/>
                </w:tcPr>
                <w:p>
                  <w:pPr>
                    <w:spacing w:line="360" w:lineRule="exact"/>
                    <w:jc w:val="center"/>
                    <w:rPr>
                      <w:sz w:val="21"/>
                      <w:szCs w:val="21"/>
                    </w:rPr>
                  </w:pPr>
                  <w:r>
                    <w:rPr>
                      <w:rFonts w:hint="eastAsia"/>
                      <w:sz w:val="21"/>
                      <w:szCs w:val="21"/>
                    </w:rPr>
                    <w:t>3.0</w:t>
                  </w:r>
                </w:p>
              </w:tc>
              <w:tc>
                <w:tcPr>
                  <w:tcW w:w="2072" w:type="pct"/>
                  <w:vAlign w:val="center"/>
                </w:tcPr>
                <w:p>
                  <w:pPr>
                    <w:jc w:val="center"/>
                    <w:rPr>
                      <w:sz w:val="21"/>
                      <w:szCs w:val="21"/>
                    </w:rPr>
                  </w:pPr>
                  <w:r>
                    <w:rPr>
                      <w:sz w:val="21"/>
                      <w:szCs w:val="21"/>
                    </w:rPr>
                    <w:t>《</w:t>
                  </w:r>
                  <w:r>
                    <w:rPr>
                      <w:rFonts w:hint="eastAsia"/>
                      <w:sz w:val="21"/>
                      <w:szCs w:val="21"/>
                    </w:rPr>
                    <w:t>挥发性有机物</w:t>
                  </w:r>
                  <w:r>
                    <w:rPr>
                      <w:sz w:val="21"/>
                      <w:szCs w:val="21"/>
                    </w:rPr>
                    <w:t>排放标准</w:t>
                  </w:r>
                  <w:r>
                    <w:rPr>
                      <w:rFonts w:hint="eastAsia"/>
                      <w:sz w:val="21"/>
                      <w:szCs w:val="21"/>
                    </w:rPr>
                    <w:t xml:space="preserve"> 第7部分：其他行业</w:t>
                  </w:r>
                  <w:r>
                    <w:rPr>
                      <w:sz w:val="21"/>
                      <w:szCs w:val="21"/>
                    </w:rPr>
                    <w:t>》</w:t>
                  </w:r>
                  <w:r>
                    <w:rPr>
                      <w:rFonts w:hint="eastAsia"/>
                      <w:sz w:val="21"/>
                      <w:szCs w:val="21"/>
                    </w:rPr>
                    <w:t>表1</w:t>
                  </w:r>
                  <w:r>
                    <w:rPr>
                      <w:sz w:val="21"/>
                      <w:szCs w:val="21"/>
                    </w:rPr>
                    <w:t>限值标准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43" w:type="pct"/>
                  <w:vAlign w:val="center"/>
                </w:tcPr>
                <w:p>
                  <w:pPr>
                    <w:spacing w:line="360" w:lineRule="exact"/>
                    <w:jc w:val="center"/>
                    <w:rPr>
                      <w:sz w:val="21"/>
                      <w:szCs w:val="21"/>
                    </w:rPr>
                  </w:pPr>
                  <w:r>
                    <w:rPr>
                      <w:rFonts w:hint="eastAsia"/>
                      <w:sz w:val="21"/>
                      <w:szCs w:val="21"/>
                    </w:rPr>
                    <w:t>无组织</w:t>
                  </w:r>
                </w:p>
              </w:tc>
              <w:tc>
                <w:tcPr>
                  <w:tcW w:w="884" w:type="pct"/>
                  <w:vAlign w:val="center"/>
                </w:tcPr>
                <w:p>
                  <w:pPr>
                    <w:spacing w:line="360" w:lineRule="exact"/>
                    <w:jc w:val="center"/>
                    <w:rPr>
                      <w:sz w:val="21"/>
                      <w:szCs w:val="21"/>
                    </w:rPr>
                  </w:pPr>
                  <w:r>
                    <w:rPr>
                      <w:rFonts w:hint="eastAsia"/>
                      <w:sz w:val="21"/>
                      <w:szCs w:val="21"/>
                    </w:rPr>
                    <w:t>VOCs</w:t>
                  </w:r>
                </w:p>
              </w:tc>
              <w:tc>
                <w:tcPr>
                  <w:tcW w:w="700" w:type="pct"/>
                  <w:shd w:val="clear" w:color="auto" w:fill="auto"/>
                  <w:vAlign w:val="center"/>
                </w:tcPr>
                <w:p>
                  <w:pPr>
                    <w:spacing w:line="360" w:lineRule="exact"/>
                    <w:jc w:val="center"/>
                    <w:rPr>
                      <w:sz w:val="21"/>
                      <w:szCs w:val="21"/>
                    </w:rPr>
                  </w:pPr>
                  <w:r>
                    <w:rPr>
                      <w:rFonts w:hint="eastAsia"/>
                      <w:sz w:val="21"/>
                      <w:szCs w:val="21"/>
                    </w:rPr>
                    <w:t>2.0</w:t>
                  </w:r>
                </w:p>
              </w:tc>
              <w:tc>
                <w:tcPr>
                  <w:tcW w:w="701" w:type="pct"/>
                  <w:shd w:val="clear" w:color="auto" w:fill="auto"/>
                  <w:vAlign w:val="center"/>
                </w:tcPr>
                <w:p>
                  <w:pPr>
                    <w:spacing w:line="360" w:lineRule="exact"/>
                    <w:jc w:val="center"/>
                    <w:rPr>
                      <w:sz w:val="21"/>
                      <w:szCs w:val="21"/>
                    </w:rPr>
                  </w:pPr>
                  <w:r>
                    <w:rPr>
                      <w:rFonts w:hint="eastAsia"/>
                      <w:sz w:val="21"/>
                      <w:szCs w:val="21"/>
                    </w:rPr>
                    <w:t>—</w:t>
                  </w:r>
                </w:p>
              </w:tc>
              <w:tc>
                <w:tcPr>
                  <w:tcW w:w="2072" w:type="pct"/>
                  <w:vAlign w:val="center"/>
                </w:tcPr>
                <w:p>
                  <w:pPr>
                    <w:jc w:val="center"/>
                    <w:rPr>
                      <w:sz w:val="21"/>
                      <w:szCs w:val="21"/>
                    </w:rPr>
                  </w:pPr>
                  <w:r>
                    <w:rPr>
                      <w:sz w:val="21"/>
                      <w:szCs w:val="21"/>
                    </w:rPr>
                    <w:t>《</w:t>
                  </w:r>
                  <w:r>
                    <w:rPr>
                      <w:rFonts w:hint="eastAsia"/>
                      <w:sz w:val="21"/>
                      <w:szCs w:val="21"/>
                    </w:rPr>
                    <w:t>挥发性有机物</w:t>
                  </w:r>
                  <w:r>
                    <w:rPr>
                      <w:sz w:val="21"/>
                      <w:szCs w:val="21"/>
                    </w:rPr>
                    <w:t>排放标准</w:t>
                  </w:r>
                  <w:r>
                    <w:rPr>
                      <w:rFonts w:hint="eastAsia"/>
                      <w:sz w:val="21"/>
                      <w:szCs w:val="21"/>
                    </w:rPr>
                    <w:t xml:space="preserve"> 第7部分：其他行业</w:t>
                  </w:r>
                  <w:r>
                    <w:rPr>
                      <w:sz w:val="21"/>
                      <w:szCs w:val="21"/>
                    </w:rPr>
                    <w:t>》</w:t>
                  </w:r>
                  <w:r>
                    <w:rPr>
                      <w:rFonts w:hint="eastAsia"/>
                      <w:sz w:val="21"/>
                      <w:szCs w:val="21"/>
                    </w:rPr>
                    <w:t>表2</w:t>
                  </w:r>
                  <w:r>
                    <w:rPr>
                      <w:sz w:val="21"/>
                      <w:szCs w:val="21"/>
                    </w:rPr>
                    <w:t>限值标准</w:t>
                  </w:r>
                </w:p>
              </w:tc>
            </w:tr>
          </w:tbl>
          <w:p>
            <w:pPr>
              <w:adjustRightInd w:val="0"/>
              <w:snapToGrid w:val="0"/>
              <w:spacing w:line="360" w:lineRule="auto"/>
              <w:ind w:firstLine="456" w:firstLineChars="200"/>
              <w:rPr>
                <w:rFonts w:eastAsia="黑体"/>
                <w:spacing w:val="-6"/>
                <w:kern w:val="0"/>
                <w:sz w:val="24"/>
              </w:rPr>
            </w:pPr>
            <w:r>
              <w:rPr>
                <w:rFonts w:hint="eastAsia" w:eastAsia="黑体"/>
                <w:spacing w:val="-6"/>
                <w:kern w:val="0"/>
                <w:sz w:val="24"/>
              </w:rPr>
              <w:t>2</w:t>
            </w:r>
            <w:r>
              <w:rPr>
                <w:rFonts w:eastAsia="黑体"/>
                <w:spacing w:val="-6"/>
                <w:kern w:val="0"/>
                <w:sz w:val="24"/>
              </w:rPr>
              <w:t>、噪声排放标准</w:t>
            </w:r>
          </w:p>
          <w:p>
            <w:pPr>
              <w:adjustRightInd w:val="0"/>
              <w:snapToGrid w:val="0"/>
              <w:spacing w:line="360" w:lineRule="auto"/>
              <w:ind w:firstLine="480" w:firstLineChars="200"/>
              <w:rPr>
                <w:sz w:val="24"/>
              </w:rPr>
            </w:pPr>
            <w:r>
              <w:rPr>
                <w:sz w:val="24"/>
              </w:rPr>
              <w:t>项目运营期噪声执行《工业企业厂界环境噪声排放标准》（GB12348-2008）</w:t>
            </w:r>
            <w:r>
              <w:rPr>
                <w:rFonts w:hint="eastAsia"/>
                <w:sz w:val="24"/>
              </w:rPr>
              <w:t>3</w:t>
            </w:r>
            <w:r>
              <w:rPr>
                <w:sz w:val="24"/>
              </w:rPr>
              <w:t>类功能区标准。</w:t>
            </w:r>
            <w:r>
              <w:rPr>
                <w:rFonts w:hint="eastAsia"/>
                <w:sz w:val="24"/>
              </w:rPr>
              <w:t>具体标准值见表18。</w:t>
            </w:r>
          </w:p>
          <w:p>
            <w:pPr>
              <w:adjustRightInd w:val="0"/>
              <w:snapToGrid w:val="0"/>
              <w:ind w:firstLine="480" w:firstLineChars="200"/>
              <w:jc w:val="center"/>
              <w:rPr>
                <w:rFonts w:eastAsia="黑体"/>
                <w:sz w:val="24"/>
                <w:szCs w:val="24"/>
              </w:rPr>
            </w:pPr>
            <w:r>
              <w:rPr>
                <w:rFonts w:eastAsia="黑体"/>
                <w:sz w:val="24"/>
                <w:szCs w:val="24"/>
              </w:rPr>
              <w:t>表</w:t>
            </w:r>
            <w:r>
              <w:rPr>
                <w:rFonts w:hint="eastAsia" w:eastAsia="黑体"/>
                <w:sz w:val="24"/>
                <w:szCs w:val="24"/>
              </w:rPr>
              <w:t>18</w:t>
            </w:r>
            <w:r>
              <w:rPr>
                <w:rFonts w:eastAsia="黑体"/>
                <w:sz w:val="24"/>
                <w:szCs w:val="24"/>
              </w:rPr>
              <w:t xml:space="preserve">  噪声评价标准限值</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79"/>
              <w:gridCol w:w="1870"/>
              <w:gridCol w:w="18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9" w:type="pct"/>
                  <w:vAlign w:val="center"/>
                </w:tcPr>
                <w:p>
                  <w:pPr>
                    <w:adjustRightInd w:val="0"/>
                    <w:snapToGrid w:val="0"/>
                    <w:jc w:val="center"/>
                    <w:rPr>
                      <w:sz w:val="21"/>
                      <w:szCs w:val="21"/>
                    </w:rPr>
                  </w:pPr>
                  <w:r>
                    <w:rPr>
                      <w:sz w:val="21"/>
                      <w:szCs w:val="21"/>
                    </w:rPr>
                    <w:t>标准</w:t>
                  </w:r>
                </w:p>
              </w:tc>
              <w:tc>
                <w:tcPr>
                  <w:tcW w:w="1084" w:type="pct"/>
                  <w:vAlign w:val="center"/>
                </w:tcPr>
                <w:p>
                  <w:pPr>
                    <w:adjustRightInd w:val="0"/>
                    <w:snapToGrid w:val="0"/>
                    <w:jc w:val="center"/>
                    <w:rPr>
                      <w:sz w:val="21"/>
                      <w:szCs w:val="21"/>
                    </w:rPr>
                  </w:pPr>
                  <w:r>
                    <w:rPr>
                      <w:sz w:val="21"/>
                      <w:szCs w:val="21"/>
                    </w:rPr>
                    <w:t>昼间</w:t>
                  </w:r>
                  <w:r>
                    <w:rPr>
                      <w:kern w:val="0"/>
                      <w:sz w:val="21"/>
                      <w:szCs w:val="21"/>
                    </w:rPr>
                    <w:t>dB(A)</w:t>
                  </w:r>
                </w:p>
              </w:tc>
              <w:tc>
                <w:tcPr>
                  <w:tcW w:w="1087" w:type="pct"/>
                  <w:vAlign w:val="center"/>
                </w:tcPr>
                <w:p>
                  <w:pPr>
                    <w:adjustRightInd w:val="0"/>
                    <w:snapToGrid w:val="0"/>
                    <w:jc w:val="center"/>
                    <w:rPr>
                      <w:sz w:val="21"/>
                      <w:szCs w:val="21"/>
                    </w:rPr>
                  </w:pPr>
                  <w:r>
                    <w:rPr>
                      <w:sz w:val="21"/>
                      <w:szCs w:val="21"/>
                    </w:rPr>
                    <w:t>夜间</w:t>
                  </w:r>
                  <w:r>
                    <w:rPr>
                      <w:kern w:val="0"/>
                      <w:sz w:val="21"/>
                      <w:szCs w:val="21"/>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29" w:type="pct"/>
                </w:tcPr>
                <w:p>
                  <w:pPr>
                    <w:widowControl/>
                    <w:adjustRightInd w:val="0"/>
                    <w:snapToGrid w:val="0"/>
                    <w:jc w:val="center"/>
                    <w:rPr>
                      <w:sz w:val="21"/>
                      <w:szCs w:val="21"/>
                    </w:rPr>
                  </w:pPr>
                  <w:r>
                    <w:rPr>
                      <w:sz w:val="21"/>
                      <w:szCs w:val="21"/>
                    </w:rPr>
                    <w:t>《工业企业厂界环境噪声排放标准》（GB12348-2008）</w:t>
                  </w:r>
                  <w:r>
                    <w:rPr>
                      <w:rFonts w:hint="eastAsia"/>
                      <w:sz w:val="21"/>
                      <w:szCs w:val="21"/>
                    </w:rPr>
                    <w:t>3</w:t>
                  </w:r>
                  <w:r>
                    <w:rPr>
                      <w:sz w:val="21"/>
                      <w:szCs w:val="21"/>
                    </w:rPr>
                    <w:t>类功能区标准</w:t>
                  </w:r>
                </w:p>
              </w:tc>
              <w:tc>
                <w:tcPr>
                  <w:tcW w:w="1084" w:type="pct"/>
                  <w:vAlign w:val="center"/>
                </w:tcPr>
                <w:p>
                  <w:pPr>
                    <w:widowControl/>
                    <w:adjustRightInd w:val="0"/>
                    <w:snapToGrid w:val="0"/>
                    <w:jc w:val="center"/>
                    <w:rPr>
                      <w:snapToGrid w:val="0"/>
                      <w:kern w:val="0"/>
                      <w:sz w:val="21"/>
                      <w:szCs w:val="21"/>
                    </w:rPr>
                  </w:pPr>
                  <w:r>
                    <w:rPr>
                      <w:rFonts w:hint="eastAsia"/>
                      <w:kern w:val="0"/>
                      <w:sz w:val="21"/>
                      <w:szCs w:val="21"/>
                    </w:rPr>
                    <w:t>65</w:t>
                  </w:r>
                </w:p>
              </w:tc>
              <w:tc>
                <w:tcPr>
                  <w:tcW w:w="1087" w:type="pct"/>
                  <w:vAlign w:val="center"/>
                </w:tcPr>
                <w:p>
                  <w:pPr>
                    <w:widowControl/>
                    <w:adjustRightInd w:val="0"/>
                    <w:snapToGrid w:val="0"/>
                    <w:jc w:val="center"/>
                    <w:rPr>
                      <w:kern w:val="0"/>
                      <w:sz w:val="21"/>
                      <w:szCs w:val="21"/>
                    </w:rPr>
                  </w:pPr>
                  <w:r>
                    <w:rPr>
                      <w:rFonts w:hint="eastAsia"/>
                      <w:kern w:val="0"/>
                      <w:sz w:val="21"/>
                      <w:szCs w:val="21"/>
                    </w:rPr>
                    <w:t>55</w:t>
                  </w:r>
                </w:p>
              </w:tc>
            </w:tr>
          </w:tbl>
          <w:p>
            <w:pPr>
              <w:adjustRightInd w:val="0"/>
              <w:snapToGrid w:val="0"/>
              <w:spacing w:line="360" w:lineRule="auto"/>
              <w:ind w:firstLine="456" w:firstLineChars="200"/>
              <w:rPr>
                <w:rFonts w:eastAsia="黑体"/>
                <w:spacing w:val="-6"/>
                <w:kern w:val="0"/>
                <w:sz w:val="24"/>
              </w:rPr>
            </w:pPr>
            <w:r>
              <w:rPr>
                <w:rFonts w:hint="eastAsia" w:eastAsia="黑体"/>
                <w:spacing w:val="-6"/>
                <w:kern w:val="0"/>
                <w:sz w:val="24"/>
              </w:rPr>
              <w:t>3</w:t>
            </w:r>
            <w:r>
              <w:rPr>
                <w:rFonts w:eastAsia="黑体"/>
                <w:spacing w:val="-6"/>
                <w:kern w:val="0"/>
                <w:sz w:val="24"/>
              </w:rPr>
              <w:t>、固体废弃物排放标准</w:t>
            </w:r>
          </w:p>
          <w:p>
            <w:pPr>
              <w:adjustRightInd w:val="0"/>
              <w:snapToGrid w:val="0"/>
              <w:spacing w:line="360" w:lineRule="auto"/>
              <w:ind w:firstLine="480" w:firstLineChars="200"/>
              <w:rPr>
                <w:sz w:val="24"/>
              </w:rPr>
            </w:pPr>
            <w:r>
              <w:rPr>
                <w:sz w:val="24"/>
              </w:rPr>
              <w:t>项目固废执行《一般工业固体废物贮存、处置场污染控制标准》（GB18599-2001）及2013年修改单标准。</w:t>
            </w:r>
          </w:p>
          <w:p>
            <w:pPr>
              <w:adjustRightInd w:val="0"/>
              <w:snapToGrid w:val="0"/>
              <w:spacing w:line="360" w:lineRule="auto"/>
              <w:ind w:firstLine="480" w:firstLineChars="200"/>
              <w:rPr>
                <w:sz w:val="24"/>
              </w:rPr>
            </w:pPr>
            <w:r>
              <w:rPr>
                <w:rFonts w:hint="eastAsia"/>
                <w:sz w:val="24"/>
              </w:rPr>
              <w:t>危险废物执行《危险废物贮存污染控制标准》</w:t>
            </w:r>
            <w:r>
              <w:rPr>
                <w:sz w:val="24"/>
              </w:rPr>
              <w:t>（GB1859</w:t>
            </w:r>
            <w:r>
              <w:rPr>
                <w:rFonts w:hint="eastAsia"/>
                <w:sz w:val="24"/>
              </w:rPr>
              <w:t>7</w:t>
            </w:r>
            <w:r>
              <w:rPr>
                <w:sz w:val="24"/>
              </w:rPr>
              <w:t>-2001）及2013年修改单标准。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4" w:hRule="atLeast"/>
          <w:jc w:val="center"/>
        </w:trPr>
        <w:tc>
          <w:tcPr>
            <w:tcW w:w="610" w:type="dxa"/>
            <w:vAlign w:val="center"/>
          </w:tcPr>
          <w:p>
            <w:pPr>
              <w:adjustRightInd w:val="0"/>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总</w:t>
            </w:r>
          </w:p>
          <w:p>
            <w:pPr>
              <w:adjustRightInd w:val="0"/>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量</w:t>
            </w:r>
          </w:p>
          <w:p>
            <w:pPr>
              <w:adjustRightInd w:val="0"/>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控</w:t>
            </w:r>
          </w:p>
          <w:p>
            <w:pPr>
              <w:adjustRightInd w:val="0"/>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制</w:t>
            </w:r>
          </w:p>
          <w:p>
            <w:pPr>
              <w:adjustRightInd w:val="0"/>
              <w:snapToGrid w:val="0"/>
              <w:jc w:val="center"/>
              <w:rPr>
                <w:rFonts w:ascii="华文中宋" w:hAnsi="华文中宋" w:eastAsia="华文中宋"/>
                <w:b/>
                <w:color w:val="000000" w:themeColor="text1"/>
                <w:sz w:val="28"/>
                <w:szCs w:val="28"/>
              </w:rPr>
            </w:pPr>
            <w:r>
              <w:rPr>
                <w:rFonts w:ascii="华文中宋" w:hAnsi="华文中宋" w:eastAsia="华文中宋"/>
                <w:b/>
                <w:color w:val="000000" w:themeColor="text1"/>
                <w:sz w:val="28"/>
                <w:szCs w:val="28"/>
              </w:rPr>
              <w:t>指</w:t>
            </w:r>
          </w:p>
          <w:p>
            <w:pPr>
              <w:adjustRightInd w:val="0"/>
              <w:snapToGrid w:val="0"/>
              <w:jc w:val="center"/>
              <w:rPr>
                <w:rFonts w:eastAsia="黑体"/>
                <w:b/>
                <w:color w:val="0070C0"/>
                <w:sz w:val="28"/>
                <w:szCs w:val="28"/>
              </w:rPr>
            </w:pPr>
            <w:r>
              <w:rPr>
                <w:rFonts w:ascii="华文中宋" w:hAnsi="华文中宋" w:eastAsia="华文中宋"/>
                <w:b/>
                <w:color w:val="000000" w:themeColor="text1"/>
                <w:sz w:val="28"/>
                <w:szCs w:val="28"/>
              </w:rPr>
              <w:t>标</w:t>
            </w:r>
          </w:p>
        </w:tc>
        <w:tc>
          <w:tcPr>
            <w:tcW w:w="8861" w:type="dxa"/>
          </w:tcPr>
          <w:p>
            <w:pPr>
              <w:spacing w:line="360" w:lineRule="auto"/>
              <w:ind w:right="147" w:firstLine="480" w:firstLineChars="200"/>
              <w:rPr>
                <w:sz w:val="24"/>
              </w:rPr>
            </w:pPr>
            <w:r>
              <w:rPr>
                <w:rFonts w:hint="eastAsia"/>
                <w:sz w:val="24"/>
              </w:rPr>
              <w:t>1、污染物排放总量</w:t>
            </w:r>
          </w:p>
          <w:p>
            <w:pPr>
              <w:spacing w:line="360" w:lineRule="auto"/>
              <w:ind w:right="147" w:firstLine="480" w:firstLineChars="200"/>
              <w:rPr>
                <w:sz w:val="24"/>
              </w:rPr>
            </w:pPr>
            <w:r>
              <w:rPr>
                <w:rFonts w:hint="eastAsia"/>
                <w:sz w:val="24"/>
              </w:rPr>
              <w:t>本项目污染物排放总量见表19。</w:t>
            </w:r>
          </w:p>
          <w:p>
            <w:pPr>
              <w:pStyle w:val="23"/>
              <w:spacing w:before="0" w:beforeAutospacing="0" w:after="0" w:afterAutospacing="0" w:line="500" w:lineRule="exact"/>
              <w:ind w:left="480" w:hanging="480"/>
              <w:jc w:val="center"/>
              <w:rPr>
                <w:rFonts w:ascii="Times New Roman" w:hAnsi="Times New Roman" w:eastAsia="黑体"/>
              </w:rPr>
            </w:pPr>
            <w:r>
              <w:rPr>
                <w:rFonts w:ascii="Times New Roman" w:hAnsi="Times New Roman" w:eastAsia="黑体"/>
              </w:rPr>
              <w:t xml:space="preserve">  </w:t>
            </w:r>
            <w:r>
              <w:rPr>
                <w:rFonts w:ascii="Times New Roman" w:hAnsi="黑体" w:eastAsia="黑体"/>
              </w:rPr>
              <w:t>表</w:t>
            </w:r>
            <w:r>
              <w:rPr>
                <w:rFonts w:hint="eastAsia" w:ascii="Times New Roman" w:hAnsi="Times New Roman" w:eastAsia="黑体"/>
              </w:rPr>
              <w:t>19</w:t>
            </w:r>
            <w:r>
              <w:rPr>
                <w:rFonts w:ascii="Times New Roman" w:hAnsi="Times New Roman" w:eastAsia="黑体"/>
              </w:rPr>
              <w:t xml:space="preserve"> </w:t>
            </w:r>
            <w:r>
              <w:rPr>
                <w:rFonts w:ascii="Times New Roman" w:hAnsi="黑体" w:eastAsia="黑体"/>
              </w:rPr>
              <w:t>污染物排放总量一览表</w:t>
            </w:r>
          </w:p>
          <w:tbl>
            <w:tblPr>
              <w:tblStyle w:val="26"/>
              <w:tblW w:w="86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4312"/>
              <w:gridCol w:w="431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4312" w:type="dxa"/>
                  <w:vAlign w:val="center"/>
                </w:tcPr>
                <w:p>
                  <w:pPr>
                    <w:snapToGrid w:val="0"/>
                    <w:jc w:val="center"/>
                    <w:rPr>
                      <w:bCs/>
                      <w:sz w:val="21"/>
                      <w:szCs w:val="21"/>
                    </w:rPr>
                  </w:pPr>
                  <w:r>
                    <w:rPr>
                      <w:bCs/>
                      <w:sz w:val="21"/>
                      <w:szCs w:val="21"/>
                    </w:rPr>
                    <w:t>污染物名称</w:t>
                  </w:r>
                </w:p>
              </w:tc>
              <w:tc>
                <w:tcPr>
                  <w:tcW w:w="4312" w:type="dxa"/>
                  <w:vAlign w:val="center"/>
                </w:tcPr>
                <w:p>
                  <w:pPr>
                    <w:snapToGrid w:val="0"/>
                    <w:jc w:val="center"/>
                    <w:rPr>
                      <w:bCs/>
                      <w:sz w:val="21"/>
                      <w:szCs w:val="21"/>
                    </w:rPr>
                  </w:pPr>
                  <w:r>
                    <w:rPr>
                      <w:rFonts w:hint="eastAsia"/>
                      <w:bCs/>
                      <w:sz w:val="21"/>
                      <w:szCs w:val="21"/>
                    </w:rPr>
                    <w:t>排放量</w:t>
                  </w:r>
                  <w:r>
                    <w:rPr>
                      <w:bCs/>
                      <w:sz w:val="21"/>
                      <w:szCs w:val="21"/>
                    </w:rPr>
                    <w:t>（t/a）</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4312" w:type="dxa"/>
                  <w:vAlign w:val="center"/>
                </w:tcPr>
                <w:p>
                  <w:pPr>
                    <w:snapToGrid w:val="0"/>
                    <w:jc w:val="center"/>
                    <w:rPr>
                      <w:bCs/>
                      <w:sz w:val="21"/>
                      <w:szCs w:val="21"/>
                    </w:rPr>
                  </w:pPr>
                  <w:r>
                    <w:rPr>
                      <w:bCs/>
                      <w:sz w:val="21"/>
                      <w:szCs w:val="21"/>
                    </w:rPr>
                    <w:t>COD</w:t>
                  </w:r>
                </w:p>
              </w:tc>
              <w:tc>
                <w:tcPr>
                  <w:tcW w:w="4312" w:type="dxa"/>
                  <w:vAlign w:val="center"/>
                </w:tcPr>
                <w:p>
                  <w:pPr>
                    <w:snapToGrid w:val="0"/>
                    <w:jc w:val="center"/>
                    <w:rPr>
                      <w:bCs/>
                      <w:sz w:val="21"/>
                      <w:szCs w:val="21"/>
                    </w:rPr>
                  </w:pPr>
                  <w:r>
                    <w:rPr>
                      <w:rFonts w:hint="eastAsia"/>
                      <w:bCs/>
                      <w:sz w:val="21"/>
                      <w:szCs w:val="21"/>
                    </w:rP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4312" w:type="dxa"/>
                  <w:vAlign w:val="center"/>
                </w:tcPr>
                <w:p>
                  <w:pPr>
                    <w:snapToGrid w:val="0"/>
                    <w:jc w:val="center"/>
                    <w:rPr>
                      <w:bCs/>
                      <w:sz w:val="21"/>
                      <w:szCs w:val="21"/>
                    </w:rPr>
                  </w:pPr>
                  <w:r>
                    <w:rPr>
                      <w:bCs/>
                      <w:sz w:val="21"/>
                      <w:szCs w:val="21"/>
                    </w:rPr>
                    <w:t>氨氮</w:t>
                  </w:r>
                </w:p>
              </w:tc>
              <w:tc>
                <w:tcPr>
                  <w:tcW w:w="4312" w:type="dxa"/>
                  <w:vAlign w:val="center"/>
                </w:tcPr>
                <w:p>
                  <w:pPr>
                    <w:snapToGrid w:val="0"/>
                    <w:jc w:val="center"/>
                    <w:rPr>
                      <w:bCs/>
                      <w:sz w:val="21"/>
                      <w:szCs w:val="21"/>
                    </w:rPr>
                  </w:pPr>
                  <w:r>
                    <w:rPr>
                      <w:rFonts w:hint="eastAsia"/>
                      <w:bCs/>
                      <w:sz w:val="21"/>
                      <w:szCs w:val="21"/>
                    </w:rP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4312" w:type="dxa"/>
                  <w:vAlign w:val="center"/>
                </w:tcPr>
                <w:p>
                  <w:pPr>
                    <w:snapToGrid w:val="0"/>
                    <w:jc w:val="center"/>
                    <w:rPr>
                      <w:bCs/>
                      <w:sz w:val="21"/>
                      <w:szCs w:val="21"/>
                    </w:rPr>
                  </w:pPr>
                  <w:r>
                    <w:rPr>
                      <w:rFonts w:hint="eastAsia"/>
                      <w:bCs/>
                      <w:sz w:val="21"/>
                      <w:szCs w:val="21"/>
                    </w:rPr>
                    <w:t>VOCs</w:t>
                  </w:r>
                </w:p>
              </w:tc>
              <w:tc>
                <w:tcPr>
                  <w:tcW w:w="4312" w:type="dxa"/>
                  <w:vAlign w:val="center"/>
                </w:tcPr>
                <w:p>
                  <w:pPr>
                    <w:snapToGrid w:val="0"/>
                    <w:jc w:val="center"/>
                    <w:rPr>
                      <w:bCs/>
                      <w:sz w:val="21"/>
                      <w:szCs w:val="21"/>
                    </w:rPr>
                  </w:pPr>
                  <w:r>
                    <w:rPr>
                      <w:rFonts w:hint="eastAsia"/>
                      <w:bCs/>
                      <w:sz w:val="21"/>
                      <w:szCs w:val="21"/>
                    </w:rPr>
                    <w:t>0.028</w:t>
                  </w:r>
                </w:p>
              </w:tc>
            </w:tr>
          </w:tbl>
          <w:p>
            <w:pPr>
              <w:spacing w:line="360" w:lineRule="auto"/>
              <w:ind w:firstLine="480" w:firstLineChars="200"/>
              <w:rPr>
                <w:sz w:val="24"/>
              </w:rPr>
            </w:pPr>
            <w:r>
              <w:rPr>
                <w:rFonts w:hint="eastAsia"/>
                <w:sz w:val="24"/>
              </w:rPr>
              <w:t>2、总量来源</w:t>
            </w:r>
          </w:p>
          <w:p>
            <w:pPr>
              <w:adjustRightInd w:val="0"/>
              <w:snapToGrid w:val="0"/>
              <w:spacing w:line="360" w:lineRule="auto"/>
              <w:ind w:firstLine="480" w:firstLineChars="200"/>
              <w:rPr>
                <w:sz w:val="24"/>
              </w:rPr>
            </w:pPr>
            <w:r>
              <w:rPr>
                <w:rFonts w:hint="eastAsia"/>
                <w:sz w:val="24"/>
              </w:rPr>
              <w:t>（1）废水</w:t>
            </w:r>
          </w:p>
          <w:p>
            <w:pPr>
              <w:adjustRightInd w:val="0"/>
              <w:snapToGrid w:val="0"/>
              <w:spacing w:line="360" w:lineRule="auto"/>
              <w:ind w:firstLine="480" w:firstLineChars="200"/>
              <w:rPr>
                <w:color w:val="000000"/>
                <w:sz w:val="24"/>
              </w:rPr>
            </w:pPr>
            <w:r>
              <w:rPr>
                <w:rFonts w:hint="eastAsia"/>
                <w:color w:val="000000"/>
                <w:sz w:val="24"/>
              </w:rPr>
              <w:t>项目废水经城市污水管网进临港区污水处理厂，废水总量指标纳入该污水处理厂的总量指标管理。</w:t>
            </w:r>
          </w:p>
          <w:p>
            <w:pPr>
              <w:adjustRightInd w:val="0"/>
              <w:snapToGrid w:val="0"/>
              <w:spacing w:line="360" w:lineRule="auto"/>
              <w:ind w:firstLine="480" w:firstLineChars="200"/>
              <w:rPr>
                <w:sz w:val="24"/>
              </w:rPr>
            </w:pPr>
            <w:r>
              <w:rPr>
                <w:rFonts w:hint="eastAsia"/>
                <w:sz w:val="24"/>
              </w:rPr>
              <w:t>（2）废气（VOCs）</w:t>
            </w:r>
          </w:p>
          <w:p>
            <w:pPr>
              <w:spacing w:line="360" w:lineRule="auto"/>
              <w:ind w:firstLine="480" w:firstLineChars="200"/>
              <w:rPr>
                <w:sz w:val="24"/>
                <w:szCs w:val="24"/>
              </w:rPr>
            </w:pPr>
            <w:r>
              <w:rPr>
                <w:rFonts w:hint="eastAsia"/>
                <w:sz w:val="24"/>
                <w:szCs w:val="24"/>
              </w:rPr>
              <w:t>本项目</w:t>
            </w:r>
            <w:r>
              <w:rPr>
                <w:sz w:val="24"/>
                <w:szCs w:val="24"/>
              </w:rPr>
              <w:t>不设锅炉等燃煤燃油设备，无SO</w:t>
            </w:r>
            <w:r>
              <w:rPr>
                <w:sz w:val="24"/>
                <w:szCs w:val="24"/>
                <w:vertAlign w:val="subscript"/>
              </w:rPr>
              <w:t>2</w:t>
            </w:r>
            <w:r>
              <w:rPr>
                <w:sz w:val="24"/>
                <w:szCs w:val="24"/>
              </w:rPr>
              <w:t>、氮氧化物等废气产生，不需要申请SO</w:t>
            </w:r>
            <w:r>
              <w:rPr>
                <w:sz w:val="24"/>
                <w:szCs w:val="24"/>
                <w:vertAlign w:val="subscript"/>
              </w:rPr>
              <w:t>2</w:t>
            </w:r>
            <w:r>
              <w:rPr>
                <w:sz w:val="24"/>
                <w:szCs w:val="24"/>
              </w:rPr>
              <w:t>、氮氧化物总量</w:t>
            </w:r>
            <w:r>
              <w:rPr>
                <w:rFonts w:hint="eastAsia"/>
                <w:sz w:val="24"/>
                <w:szCs w:val="24"/>
              </w:rPr>
              <w:t>控制指标。</w:t>
            </w:r>
          </w:p>
          <w:p>
            <w:pPr>
              <w:spacing w:line="360" w:lineRule="auto"/>
              <w:ind w:firstLine="480" w:firstLineChars="200"/>
              <w:rPr>
                <w:kern w:val="0"/>
                <w:sz w:val="24"/>
                <w:szCs w:val="24"/>
                <w:shd w:val="clear" w:color="auto" w:fill="FFFFFF"/>
              </w:rPr>
            </w:pPr>
            <w:r>
              <w:rPr>
                <w:sz w:val="24"/>
              </w:rPr>
              <w:t>按照《山东省“十三五”挥发性有机物污染防治工作方案》和《威海市十三五挥发性有机物污染防治工作方案》</w:t>
            </w:r>
            <w:r>
              <w:rPr>
                <w:rFonts w:hint="eastAsia"/>
                <w:sz w:val="24"/>
              </w:rPr>
              <w:t>的要求，</w:t>
            </w:r>
            <w:r>
              <w:rPr>
                <w:sz w:val="24"/>
              </w:rPr>
              <w:t>挥发性有机物</w:t>
            </w:r>
            <w:r>
              <w:rPr>
                <w:rFonts w:hint="eastAsia"/>
                <w:sz w:val="24"/>
              </w:rPr>
              <w:t>需</w:t>
            </w:r>
            <w:r>
              <w:rPr>
                <w:sz w:val="24"/>
              </w:rPr>
              <w:t>实行区域内排放等量或倍量削减替代</w:t>
            </w:r>
            <w:r>
              <w:rPr>
                <w:rFonts w:hint="eastAsia"/>
                <w:sz w:val="24"/>
              </w:rPr>
              <w:t>。</w:t>
            </w:r>
            <w:r>
              <w:rPr>
                <w:sz w:val="24"/>
              </w:rPr>
              <w:t>经计算，</w:t>
            </w:r>
            <w:r>
              <w:rPr>
                <w:rFonts w:hint="eastAsia"/>
                <w:sz w:val="24"/>
              </w:rPr>
              <w:t>本</w:t>
            </w:r>
            <w:r>
              <w:rPr>
                <w:sz w:val="24"/>
              </w:rPr>
              <w:t>项目VOCs排放量为</w:t>
            </w:r>
            <w:r>
              <w:rPr>
                <w:rFonts w:hint="eastAsia"/>
                <w:sz w:val="24"/>
              </w:rPr>
              <w:t>0.028</w:t>
            </w:r>
            <w:r>
              <w:rPr>
                <w:sz w:val="24"/>
              </w:rPr>
              <w:t>t/a</w:t>
            </w:r>
            <w:r>
              <w:rPr>
                <w:rFonts w:hint="eastAsia"/>
                <w:sz w:val="24"/>
              </w:rPr>
              <w:t>，等</w:t>
            </w:r>
            <w:r>
              <w:rPr>
                <w:sz w:val="24"/>
              </w:rPr>
              <w:t>量削减替代指标从</w:t>
            </w:r>
            <w:r>
              <w:rPr>
                <w:rFonts w:hint="eastAsia"/>
                <w:sz w:val="24"/>
              </w:rPr>
              <w:t>联合金属科技（威海）有限公司</w:t>
            </w:r>
            <w:r>
              <w:rPr>
                <w:sz w:val="24"/>
              </w:rPr>
              <w:t>减排量指标中进行调剂。</w:t>
            </w:r>
          </w:p>
          <w:p>
            <w:pPr>
              <w:spacing w:line="360" w:lineRule="auto"/>
              <w:ind w:firstLine="480" w:firstLineChars="200"/>
              <w:rPr>
                <w:kern w:val="0"/>
                <w:sz w:val="24"/>
                <w:szCs w:val="24"/>
                <w:shd w:val="clear" w:color="auto" w:fill="FFFFFF"/>
              </w:rPr>
            </w:pPr>
            <w:r>
              <w:rPr>
                <w:rFonts w:hint="eastAsia"/>
                <w:sz w:val="24"/>
              </w:rPr>
              <w:t>联合金属科技（威海）有限公司成立于2008年，企业现已关停。原厂位于威海市开元西路298号，主要从事高速铝镁锰合金涂层板生产，使用聚酯涂料和氟碳漆9000t/a，经催化燃烧处理后，有机废气排放量为18.5t/a，环评批复文号为威环发[2009]62号。经临港区工业与信息化局会议讨论，同意将联合金属科技（威海）有限公司停产削减的VOCs排放量调剂0.028t/a给威海佰特玻璃有限公司。因此，</w:t>
            </w:r>
            <w:r>
              <w:rPr>
                <w:rFonts w:hint="eastAsia"/>
                <w:sz w:val="24"/>
                <w:szCs w:val="24"/>
              </w:rPr>
              <w:t>本项目满足</w:t>
            </w:r>
            <w:r>
              <w:rPr>
                <w:sz w:val="24"/>
                <w:szCs w:val="24"/>
              </w:rPr>
              <w:t>挥发性有机物实行区域内</w:t>
            </w:r>
            <w:r>
              <w:rPr>
                <w:rFonts w:hint="eastAsia"/>
                <w:sz w:val="24"/>
                <w:szCs w:val="24"/>
              </w:rPr>
              <w:t>等</w:t>
            </w:r>
            <w:r>
              <w:rPr>
                <w:sz w:val="24"/>
                <w:szCs w:val="24"/>
              </w:rPr>
              <w:t>量</w:t>
            </w:r>
            <w:r>
              <w:rPr>
                <w:rFonts w:hint="eastAsia"/>
                <w:sz w:val="24"/>
                <w:szCs w:val="24"/>
              </w:rPr>
              <w:t>或倍量</w:t>
            </w:r>
            <w:r>
              <w:rPr>
                <w:sz w:val="24"/>
                <w:szCs w:val="24"/>
              </w:rPr>
              <w:t>削减替代的要求</w:t>
            </w:r>
            <w:r>
              <w:rPr>
                <w:sz w:val="24"/>
              </w:rPr>
              <w:t>。</w:t>
            </w:r>
            <w:r>
              <w:rPr>
                <w:rFonts w:hint="eastAsia"/>
                <w:sz w:val="24"/>
              </w:rPr>
              <w:t>（详见报告附件）</w:t>
            </w:r>
          </w:p>
          <w:p>
            <w:pPr>
              <w:snapToGrid w:val="0"/>
              <w:rPr>
                <w:sz w:val="24"/>
                <w:szCs w:val="24"/>
              </w:rPr>
            </w:pPr>
          </w:p>
          <w:p>
            <w:pPr>
              <w:snapToGrid w:val="0"/>
              <w:rPr>
                <w:sz w:val="24"/>
                <w:szCs w:val="24"/>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p>
            <w:pPr>
              <w:snapToGrid w:val="0"/>
              <w:rPr>
                <w:rFonts w:eastAsia="黑体"/>
                <w:sz w:val="18"/>
                <w:szCs w:val="18"/>
              </w:rPr>
            </w:pPr>
          </w:p>
        </w:tc>
      </w:tr>
    </w:tbl>
    <w:p>
      <w:pPr>
        <w:snapToGrid w:val="0"/>
        <w:rPr>
          <w:rFonts w:eastAsia="黑体"/>
          <w:color w:val="000000" w:themeColor="text1"/>
          <w:sz w:val="32"/>
          <w:szCs w:val="32"/>
        </w:rPr>
      </w:pPr>
      <w:r>
        <w:rPr>
          <w:rFonts w:eastAsia="黑体"/>
          <w:color w:val="000000" w:themeColor="text1"/>
          <w:sz w:val="32"/>
          <w:szCs w:val="32"/>
        </w:rPr>
        <w:t>建设项目工程分析</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9356" w:type="dxa"/>
            <w:tcBorders>
              <w:top w:val="single" w:color="auto" w:sz="4" w:space="0"/>
              <w:left w:val="single" w:color="auto" w:sz="4" w:space="0"/>
              <w:bottom w:val="single" w:color="auto" w:sz="4" w:space="0"/>
              <w:right w:val="single" w:color="auto" w:sz="4" w:space="0"/>
            </w:tcBorders>
          </w:tcPr>
          <w:p>
            <w:pPr>
              <w:spacing w:line="360" w:lineRule="auto"/>
              <w:rPr>
                <w:snapToGrid w:val="0"/>
                <w:color w:val="000000" w:themeColor="text1"/>
                <w:kern w:val="0"/>
                <w:sz w:val="24"/>
                <w:szCs w:val="24"/>
              </w:rPr>
            </w:pPr>
            <w:r>
              <w:rPr>
                <w:rFonts w:eastAsia="黑体"/>
                <w:color w:val="000000" w:themeColor="text1"/>
                <w:sz w:val="28"/>
                <w:szCs w:val="28"/>
              </w:rPr>
              <mc:AlternateContent>
                <mc:Choice Requires="wps">
                  <w:drawing>
                    <wp:anchor distT="0" distB="0" distL="114300" distR="114300" simplePos="0" relativeHeight="251662336" behindDoc="0" locked="0" layoutInCell="0" allowOverlap="1">
                      <wp:simplePos x="0" y="0"/>
                      <wp:positionH relativeFrom="column">
                        <wp:posOffset>1905000</wp:posOffset>
                      </wp:positionH>
                      <wp:positionV relativeFrom="paragraph">
                        <wp:posOffset>2326005</wp:posOffset>
                      </wp:positionV>
                      <wp:extent cx="0" cy="0"/>
                      <wp:effectExtent l="0" t="0" r="0" b="0"/>
                      <wp:wrapNone/>
                      <wp:docPr id="3" name="直线 4475"/>
                      <wp:cNvGraphicFramePr/>
                      <a:graphic xmlns:a="http://schemas.openxmlformats.org/drawingml/2006/main">
                        <a:graphicData uri="http://schemas.microsoft.com/office/word/2010/wordprocessingShape">
                          <wps:wsp>
                            <wps:cNvSpPr/>
                            <wps:spPr>
                              <a:xfrm>
                                <a:off x="0" y="0"/>
                                <a:ext cx="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475" o:spid="_x0000_s1026" o:spt="20" style="position:absolute;left:0pt;margin-left:150pt;margin-top:183.15pt;height:0pt;width:0pt;z-index:251662336;mso-width-relative:page;mso-height-relative:page;" filled="f" stroked="t" coordsize="21600,21600" o:allowincell="f" o:gfxdata="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aXtKZdQAAAALAQAA&#10;DwAAAAAAAAABACAAAAAiAAAAZHJzL2Rvd25yZXYueG1sUEsBAhQAFAAAAAgAh07iQHZiJjDkAQAA&#10;2AMAAA4AAAAAAAAAAQAgAAAAIwEAAGRycy9lMm9Eb2MueG1sUEsFBgAAAAAGAAYAWQEAAHkFAAAA&#10;AA==&#10;">
                      <v:fill on="f" focussize="0,0"/>
                      <v:stroke color="#000000" joinstyle="round"/>
                      <v:imagedata o:title=""/>
                      <o:lock v:ext="edit" aspectratio="f"/>
                    </v:line>
                  </w:pict>
                </mc:Fallback>
              </mc:AlternateContent>
            </w:r>
            <w:r>
              <w:rPr>
                <w:rFonts w:eastAsia="黑体"/>
                <w:color w:val="000000" w:themeColor="text1"/>
                <w:sz w:val="28"/>
                <w:szCs w:val="28"/>
              </w:rPr>
              <mc:AlternateContent>
                <mc:Choice Requires="wps">
                  <w:drawing>
                    <wp:anchor distT="0" distB="0" distL="114300" distR="114300" simplePos="0" relativeHeight="251661312" behindDoc="0" locked="0" layoutInCell="0" allowOverlap="1">
                      <wp:simplePos x="0" y="0"/>
                      <wp:positionH relativeFrom="column">
                        <wp:posOffset>1905000</wp:posOffset>
                      </wp:positionH>
                      <wp:positionV relativeFrom="paragraph">
                        <wp:posOffset>1809115</wp:posOffset>
                      </wp:positionV>
                      <wp:extent cx="0" cy="0"/>
                      <wp:effectExtent l="0" t="0" r="0" b="0"/>
                      <wp:wrapNone/>
                      <wp:docPr id="2" name="直线 4474"/>
                      <wp:cNvGraphicFramePr/>
                      <a:graphic xmlns:a="http://schemas.openxmlformats.org/drawingml/2006/main">
                        <a:graphicData uri="http://schemas.microsoft.com/office/word/2010/wordprocessingShape">
                          <wps:wsp>
                            <wps:cNvSpPr/>
                            <wps:spPr>
                              <a:xfrm>
                                <a:off x="0" y="0"/>
                                <a:ext cx="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474" o:spid="_x0000_s1026" o:spt="20" style="position:absolute;left:0pt;margin-left:150pt;margin-top:142.45pt;height:0pt;width:0pt;z-index:251661312;mso-width-relative:page;mso-height-relative:page;" filled="f" stroked="t" coordsize="21600,21600" o:allowincell="f" o:gfxdata="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vz5GtUAAAALAQAA&#10;DwAAAAAAAAABACAAAAAiAAAAZHJzL2Rvd25yZXYueG1sUEsBAhQAFAAAAAgAh07iQDwUXmzjAQAA&#10;2AMAAA4AAAAAAAAAAQAgAAAAJAEAAGRycy9lMm9Eb2MueG1sUEsFBgAAAAAGAAYAWQEAAHkFAAAA&#10;AA==&#10;">
                      <v:fill on="f" focussize="0,0"/>
                      <v:stroke color="#000000" joinstyle="round"/>
                      <v:imagedata o:title=""/>
                      <o:lock v:ext="edit" aspectratio="f"/>
                    </v:line>
                  </w:pict>
                </mc:Fallback>
              </mc:AlternateContent>
            </w:r>
            <w:r>
              <w:rPr>
                <w:rFonts w:eastAsia="黑体"/>
                <w:color w:val="000000" w:themeColor="text1"/>
                <w:sz w:val="28"/>
                <w:szCs w:val="28"/>
              </w:rPr>
              <mc:AlternateContent>
                <mc:Choice Requires="wps">
                  <w:drawing>
                    <wp:anchor distT="0" distB="0" distL="114300" distR="114300" simplePos="0" relativeHeight="251660288" behindDoc="0" locked="0" layoutInCell="0" allowOverlap="1">
                      <wp:simplePos x="0" y="0"/>
                      <wp:positionH relativeFrom="column">
                        <wp:posOffset>1905000</wp:posOffset>
                      </wp:positionH>
                      <wp:positionV relativeFrom="paragraph">
                        <wp:posOffset>1809115</wp:posOffset>
                      </wp:positionV>
                      <wp:extent cx="0" cy="0"/>
                      <wp:effectExtent l="0" t="0" r="0" b="0"/>
                      <wp:wrapNone/>
                      <wp:docPr id="1" name="直线 4473"/>
                      <wp:cNvGraphicFramePr/>
                      <a:graphic xmlns:a="http://schemas.openxmlformats.org/drawingml/2006/main">
                        <a:graphicData uri="http://schemas.microsoft.com/office/word/2010/wordprocessingShape">
                          <wps:wsp>
                            <wps:cNvSpPr/>
                            <wps:spPr>
                              <a:xfrm>
                                <a:off x="0" y="0"/>
                                <a:ext cx="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473" o:spid="_x0000_s1026" o:spt="20" style="position:absolute;left:0pt;margin-left:150pt;margin-top:142.45pt;height:0pt;width:0pt;z-index:251660288;mso-width-relative:page;mso-height-relative:page;" filled="f" stroked="t" coordsize="21600,21600" o:allowincell="f" o:gfxdata="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vz5GtUAAAALAQAA&#10;DwAAAAAAAAABACAAAAAiAAAAZHJzL2Rvd25yZXYueG1sUEsBAhQAFAAAAAgAh07iQGKGuFPjAQAA&#10;2AMAAA4AAAAAAAAAAQAgAAAAJAEAAGRycy9lMm9Eb2MueG1sUEsFBgAAAAAGAAYAWQEAAHkFAAAA&#10;AA==&#10;">
                      <v:fill on="f" focussize="0,0"/>
                      <v:stroke color="#000000" joinstyle="round"/>
                      <v:imagedata o:title=""/>
                      <o:lock v:ext="edit" aspectratio="f"/>
                    </v:line>
                  </w:pict>
                </mc:Fallback>
              </mc:AlternateContent>
            </w:r>
            <w:r>
              <w:rPr>
                <w:rFonts w:eastAsia="黑体"/>
                <w:color w:val="000000" w:themeColor="text1"/>
                <w:sz w:val="28"/>
                <w:szCs w:val="28"/>
              </w:rPr>
              <w:t>工艺流程简述（图示）：</w:t>
            </w:r>
            <w:r>
              <w:rPr>
                <w:snapToGrid w:val="0"/>
                <w:color w:val="000000" w:themeColor="text1"/>
                <w:kern w:val="0"/>
                <w:sz w:val="24"/>
                <w:szCs w:val="24"/>
              </w:rPr>
              <w:t xml:space="preserve"> </w:t>
            </w:r>
          </w:p>
          <w:p>
            <w:pPr>
              <w:spacing w:line="480" w:lineRule="exact"/>
              <w:ind w:firstLine="482"/>
              <w:rPr>
                <w:snapToGrid w:val="0"/>
                <w:color w:val="000000" w:themeColor="text1"/>
                <w:kern w:val="0"/>
                <w:sz w:val="24"/>
                <w:szCs w:val="24"/>
              </w:rPr>
            </w:pPr>
            <w:r>
              <w:rPr>
                <w:snapToGrid w:val="0"/>
                <w:color w:val="000000" w:themeColor="text1"/>
                <w:kern w:val="0"/>
                <w:sz w:val="24"/>
                <w:szCs w:val="24"/>
              </w:rPr>
              <w:t>本项目</w:t>
            </w:r>
            <w:r>
              <w:rPr>
                <w:rFonts w:hint="eastAsia"/>
                <w:snapToGrid w:val="0"/>
                <w:color w:val="000000" w:themeColor="text1"/>
                <w:kern w:val="0"/>
                <w:sz w:val="24"/>
                <w:szCs w:val="24"/>
              </w:rPr>
              <w:t>使用现有厂房</w:t>
            </w:r>
            <w:r>
              <w:rPr>
                <w:snapToGrid w:val="0"/>
                <w:color w:val="000000" w:themeColor="text1"/>
                <w:kern w:val="0"/>
                <w:sz w:val="24"/>
                <w:szCs w:val="24"/>
              </w:rPr>
              <w:t>进行</w:t>
            </w:r>
            <w:r>
              <w:rPr>
                <w:rFonts w:hint="eastAsia"/>
                <w:snapToGrid w:val="0"/>
                <w:color w:val="000000" w:themeColor="text1"/>
                <w:kern w:val="0"/>
                <w:sz w:val="24"/>
                <w:szCs w:val="24"/>
              </w:rPr>
              <w:t>生产加工</w:t>
            </w:r>
            <w:r>
              <w:rPr>
                <w:snapToGrid w:val="0"/>
                <w:color w:val="000000" w:themeColor="text1"/>
                <w:kern w:val="0"/>
                <w:sz w:val="24"/>
                <w:szCs w:val="24"/>
              </w:rPr>
              <w:t>活动，施工期主要为设备安装</w:t>
            </w:r>
            <w:r>
              <w:rPr>
                <w:rFonts w:hint="eastAsia"/>
                <w:snapToGrid w:val="0"/>
                <w:color w:val="000000" w:themeColor="text1"/>
                <w:kern w:val="0"/>
                <w:sz w:val="24"/>
                <w:szCs w:val="24"/>
              </w:rPr>
              <w:t>和调试</w:t>
            </w:r>
            <w:r>
              <w:rPr>
                <w:snapToGrid w:val="0"/>
                <w:color w:val="000000" w:themeColor="text1"/>
                <w:kern w:val="0"/>
                <w:sz w:val="24"/>
                <w:szCs w:val="24"/>
              </w:rPr>
              <w:t>，施工期较短，环境影响较小。</w:t>
            </w:r>
          </w:p>
          <w:p>
            <w:pPr>
              <w:spacing w:line="480" w:lineRule="exact"/>
              <w:ind w:firstLine="482"/>
              <w:rPr>
                <w:snapToGrid w:val="0"/>
                <w:color w:val="000000" w:themeColor="text1"/>
                <w:kern w:val="0"/>
                <w:sz w:val="24"/>
                <w:szCs w:val="24"/>
              </w:rPr>
            </w:pPr>
            <w:r>
              <w:rPr>
                <w:snapToGrid w:val="0"/>
                <w:color w:val="000000" w:themeColor="text1"/>
                <w:kern w:val="0"/>
                <w:sz w:val="24"/>
                <w:szCs w:val="24"/>
              </w:rPr>
              <w:t>本项目主要</w:t>
            </w:r>
            <w:r>
              <w:rPr>
                <w:rFonts w:hint="eastAsia"/>
                <w:snapToGrid w:val="0"/>
                <w:color w:val="000000" w:themeColor="text1"/>
                <w:kern w:val="0"/>
                <w:sz w:val="24"/>
                <w:szCs w:val="24"/>
              </w:rPr>
              <w:t>为玻璃深加工</w:t>
            </w:r>
            <w:r>
              <w:rPr>
                <w:snapToGrid w:val="0"/>
                <w:color w:val="000000" w:themeColor="text1"/>
                <w:kern w:val="0"/>
                <w:sz w:val="24"/>
                <w:szCs w:val="24"/>
              </w:rPr>
              <w:t>，营运期</w:t>
            </w:r>
            <w:r>
              <w:rPr>
                <w:rFonts w:hint="eastAsia"/>
                <w:snapToGrid w:val="0"/>
                <w:color w:val="000000" w:themeColor="text1"/>
                <w:kern w:val="0"/>
                <w:sz w:val="24"/>
                <w:szCs w:val="24"/>
              </w:rPr>
              <w:t>生产加工工艺</w:t>
            </w:r>
            <w:r>
              <w:rPr>
                <w:snapToGrid w:val="0"/>
                <w:color w:val="000000" w:themeColor="text1"/>
                <w:kern w:val="0"/>
                <w:sz w:val="24"/>
                <w:szCs w:val="24"/>
              </w:rPr>
              <w:t>流程</w:t>
            </w:r>
            <w:r>
              <w:rPr>
                <w:rFonts w:hint="eastAsia"/>
                <w:snapToGrid w:val="0"/>
                <w:color w:val="000000" w:themeColor="text1"/>
                <w:kern w:val="0"/>
                <w:sz w:val="24"/>
                <w:szCs w:val="24"/>
              </w:rPr>
              <w:t>详见图3和图4</w:t>
            </w:r>
            <w:r>
              <w:rPr>
                <w:snapToGrid w:val="0"/>
                <w:color w:val="000000" w:themeColor="text1"/>
                <w:kern w:val="0"/>
                <w:sz w:val="24"/>
                <w:szCs w:val="24"/>
              </w:rPr>
              <w:t>。</w:t>
            </w:r>
          </w:p>
          <w:p>
            <w:pPr>
              <w:spacing w:line="480" w:lineRule="exact"/>
              <w:ind w:firstLine="482"/>
              <w:rPr>
                <w:snapToGrid w:val="0"/>
                <w:color w:val="000000" w:themeColor="text1"/>
                <w:kern w:val="0"/>
                <w:sz w:val="24"/>
                <w:szCs w:val="24"/>
              </w:rPr>
            </w:pPr>
            <w:r>
              <w:rPr>
                <w:rFonts w:hint="eastAsia"/>
                <w:sz w:val="24"/>
                <w:szCs w:val="24"/>
              </w:rPr>
              <w:t>1、</w:t>
            </w:r>
            <w:r>
              <w:rPr>
                <w:rFonts w:hint="eastAsia"/>
                <w:snapToGrid w:val="0"/>
                <w:color w:val="000000" w:themeColor="text1"/>
                <w:kern w:val="0"/>
                <w:sz w:val="24"/>
                <w:szCs w:val="24"/>
              </w:rPr>
              <w:t>钢化玻璃</w:t>
            </w:r>
          </w:p>
          <w:p>
            <w:pPr>
              <w:adjustRightInd w:val="0"/>
              <w:snapToGrid w:val="0"/>
              <w:spacing w:line="360" w:lineRule="auto"/>
              <w:jc w:val="center"/>
            </w:pPr>
            <w:r>
              <w:object>
                <v:shape id="_x0000_i1027" o:spt="75" type="#_x0000_t75" style="height:139.5pt;width:411pt;" o:ole="t" filled="f" coordsize="21600,21600">
                  <v:path/>
                  <v:fill on="f" focussize="0,0"/>
                  <v:stroke/>
                  <v:imagedata r:id="rId19" o:title=""/>
                  <o:lock v:ext="edit" aspectratio="t"/>
                  <w10:wrap type="none"/>
                  <w10:anchorlock/>
                </v:shape>
                <o:OLEObject Type="Embed" ProgID="Visio.Drawing.11" ShapeID="_x0000_i1027" DrawAspect="Content" ObjectID="_1468075727" r:id="rId18">
                  <o:LockedField>false</o:LockedField>
                </o:OLEObject>
              </w:object>
            </w:r>
          </w:p>
          <w:p>
            <w:pPr>
              <w:adjustRightInd w:val="0"/>
              <w:snapToGrid w:val="0"/>
              <w:spacing w:line="360" w:lineRule="auto"/>
              <w:ind w:firstLine="480" w:firstLineChars="200"/>
              <w:jc w:val="center"/>
              <w:rPr>
                <w:rFonts w:eastAsia="黑体"/>
                <w:sz w:val="24"/>
                <w:szCs w:val="30"/>
              </w:rPr>
            </w:pPr>
            <w:r>
              <w:rPr>
                <w:rFonts w:hAnsi="黑体" w:eastAsia="黑体"/>
                <w:sz w:val="24"/>
                <w:szCs w:val="30"/>
              </w:rPr>
              <w:t>图</w:t>
            </w:r>
            <w:r>
              <w:rPr>
                <w:rFonts w:hint="eastAsia" w:eastAsia="黑体"/>
                <w:sz w:val="24"/>
                <w:szCs w:val="30"/>
              </w:rPr>
              <w:t xml:space="preserve">3 </w:t>
            </w:r>
            <w:r>
              <w:rPr>
                <w:rFonts w:hint="eastAsia" w:hAnsi="黑体" w:eastAsia="黑体"/>
                <w:sz w:val="24"/>
                <w:szCs w:val="30"/>
              </w:rPr>
              <w:t>钢化玻璃</w:t>
            </w:r>
            <w:r>
              <w:rPr>
                <w:rFonts w:hAnsi="黑体" w:eastAsia="黑体"/>
                <w:sz w:val="24"/>
                <w:szCs w:val="30"/>
              </w:rPr>
              <w:t>生产工艺及产污环节示意图</w:t>
            </w:r>
          </w:p>
          <w:p>
            <w:pPr>
              <w:pStyle w:val="100"/>
              <w:spacing w:line="360" w:lineRule="auto"/>
              <w:ind w:firstLine="482" w:firstLineChars="200"/>
              <w:rPr>
                <w:rFonts w:ascii="宋体" w:hAnsi="宋体"/>
                <w:b/>
                <w:sz w:val="24"/>
                <w:szCs w:val="28"/>
              </w:rPr>
            </w:pPr>
            <w:r>
              <w:rPr>
                <w:rFonts w:hint="eastAsia" w:ascii="宋体" w:hAnsi="宋体"/>
                <w:b/>
                <w:sz w:val="24"/>
                <w:szCs w:val="28"/>
              </w:rPr>
              <w:t>主要工艺说明：</w:t>
            </w:r>
          </w:p>
          <w:p>
            <w:pPr>
              <w:spacing w:line="360" w:lineRule="auto"/>
              <w:ind w:firstLine="480" w:firstLineChars="200"/>
              <w:jc w:val="left"/>
              <w:rPr>
                <w:sz w:val="24"/>
              </w:rPr>
            </w:pPr>
            <w:r>
              <w:rPr>
                <w:rFonts w:hint="eastAsia"/>
                <w:sz w:val="24"/>
              </w:rPr>
              <w:t>（</w:t>
            </w:r>
            <w:r>
              <w:rPr>
                <w:sz w:val="24"/>
              </w:rPr>
              <w:t>1</w:t>
            </w:r>
            <w:r>
              <w:rPr>
                <w:rFonts w:hint="eastAsia"/>
                <w:sz w:val="24"/>
              </w:rPr>
              <w:t>）切割：利用切割机将外购进厂的玻璃原片根据客户要求的产品规格进行切割，将大块玻璃原片剪裁成相应的小块玻璃。</w:t>
            </w:r>
          </w:p>
          <w:p>
            <w:pPr>
              <w:spacing w:line="360" w:lineRule="auto"/>
              <w:ind w:firstLine="480" w:firstLineChars="200"/>
              <w:jc w:val="left"/>
              <w:rPr>
                <w:sz w:val="24"/>
              </w:rPr>
            </w:pPr>
            <w:r>
              <w:rPr>
                <w:rFonts w:hint="eastAsia"/>
                <w:sz w:val="24"/>
              </w:rPr>
              <w:t>产污环节：此工序会产生玻璃边角料和噪声。</w:t>
            </w:r>
          </w:p>
          <w:p>
            <w:pPr>
              <w:spacing w:line="360" w:lineRule="auto"/>
              <w:ind w:firstLine="480" w:firstLineChars="200"/>
              <w:jc w:val="left"/>
              <w:rPr>
                <w:sz w:val="24"/>
              </w:rPr>
            </w:pPr>
            <w:r>
              <w:rPr>
                <w:rFonts w:hint="eastAsia"/>
                <w:sz w:val="24"/>
              </w:rPr>
              <w:t>（</w:t>
            </w:r>
            <w:r>
              <w:rPr>
                <w:sz w:val="24"/>
              </w:rPr>
              <w:t>2</w:t>
            </w:r>
            <w:r>
              <w:rPr>
                <w:rFonts w:hint="eastAsia"/>
                <w:sz w:val="24"/>
              </w:rPr>
              <w:t>）磨边：通过磨机对裁剪后的玻璃边缘进行磨边，以保证成品的质量，磨边工作时在工具与玻璃接触部位冲水，以免产生玻璃粉尘。</w:t>
            </w:r>
          </w:p>
          <w:p>
            <w:pPr>
              <w:spacing w:line="360" w:lineRule="auto"/>
              <w:ind w:firstLine="480" w:firstLineChars="200"/>
              <w:jc w:val="left"/>
              <w:rPr>
                <w:sz w:val="24"/>
              </w:rPr>
            </w:pPr>
            <w:bookmarkStart w:id="1" w:name="OLE_LINK3"/>
            <w:bookmarkStart w:id="2" w:name="OLE_LINK4"/>
            <w:r>
              <w:rPr>
                <w:rFonts w:hint="eastAsia"/>
                <w:sz w:val="24"/>
              </w:rPr>
              <w:t>产污环节：此工序会产生玻璃边角料。</w:t>
            </w:r>
            <w:bookmarkEnd w:id="1"/>
            <w:bookmarkEnd w:id="2"/>
          </w:p>
          <w:p>
            <w:pPr>
              <w:spacing w:line="360" w:lineRule="auto"/>
              <w:ind w:firstLine="480" w:firstLineChars="200"/>
              <w:jc w:val="left"/>
              <w:rPr>
                <w:sz w:val="24"/>
              </w:rPr>
            </w:pPr>
            <w:r>
              <w:rPr>
                <w:rFonts w:hint="eastAsia"/>
                <w:sz w:val="24"/>
              </w:rPr>
              <w:t>（</w:t>
            </w:r>
            <w:r>
              <w:rPr>
                <w:sz w:val="24"/>
              </w:rPr>
              <w:t>3</w:t>
            </w:r>
            <w:r>
              <w:rPr>
                <w:rFonts w:hint="eastAsia"/>
                <w:sz w:val="24"/>
              </w:rPr>
              <w:t>）清洗：初加工后的玻璃原片在钢化前需将表面灰尘杂质清洗干净，去除玻璃表面的浮灰等，项目钢化线配备清洗水箱，采用纯水作为循环清洗水，不需加洗涤剂，水箱中清洗水静置沉淀后，下层底泥定期清理，上层清洗废水经市政管网排入污水处理厂。</w:t>
            </w:r>
          </w:p>
          <w:p>
            <w:pPr>
              <w:spacing w:line="360" w:lineRule="auto"/>
              <w:ind w:firstLine="480" w:firstLineChars="200"/>
              <w:jc w:val="left"/>
              <w:rPr>
                <w:sz w:val="24"/>
              </w:rPr>
            </w:pPr>
            <w:r>
              <w:rPr>
                <w:rFonts w:hint="eastAsia"/>
                <w:sz w:val="24"/>
              </w:rPr>
              <w:t>产污环节：清洗水箱定期清理时，底部会有少量底泥产生，主要为灰尘杂质，不含有毒有害及腐蚀性物质，为一般固体废物，由环卫部门定期清运。</w:t>
            </w:r>
          </w:p>
          <w:p>
            <w:pPr>
              <w:spacing w:line="360" w:lineRule="auto"/>
              <w:ind w:firstLine="480" w:firstLineChars="200"/>
              <w:jc w:val="left"/>
              <w:rPr>
                <w:sz w:val="24"/>
              </w:rPr>
            </w:pPr>
            <w:r>
              <w:rPr>
                <w:rFonts w:hint="eastAsia"/>
                <w:sz w:val="24"/>
              </w:rPr>
              <w:t>（</w:t>
            </w:r>
            <w:r>
              <w:rPr>
                <w:sz w:val="24"/>
              </w:rPr>
              <w:t>4</w:t>
            </w:r>
            <w:r>
              <w:rPr>
                <w:rFonts w:hint="eastAsia"/>
                <w:sz w:val="24"/>
              </w:rPr>
              <w:t>）钢化：清洗后玻璃匀速通过电加热钢化炉，根据玻璃厚度控制通过速度，一般加热时间在</w:t>
            </w:r>
            <w:r>
              <w:rPr>
                <w:sz w:val="24"/>
              </w:rPr>
              <w:t xml:space="preserve">15~30 </w:t>
            </w:r>
            <w:r>
              <w:rPr>
                <w:rFonts w:hint="eastAsia"/>
                <w:sz w:val="24"/>
              </w:rPr>
              <w:t>min之间，加热温度</w:t>
            </w:r>
            <w:r>
              <w:rPr>
                <w:sz w:val="24"/>
              </w:rPr>
              <w:t>600</w:t>
            </w:r>
            <w:r>
              <w:rPr>
                <w:rFonts w:hint="eastAsia"/>
                <w:sz w:val="24"/>
              </w:rPr>
              <w:t>℃左右，刚好到玻璃软化点成型。</w:t>
            </w:r>
          </w:p>
          <w:p>
            <w:pPr>
              <w:spacing w:line="360" w:lineRule="auto"/>
              <w:ind w:firstLine="480" w:firstLineChars="200"/>
              <w:jc w:val="left"/>
              <w:rPr>
                <w:sz w:val="24"/>
              </w:rPr>
            </w:pPr>
            <w:r>
              <w:rPr>
                <w:rFonts w:hint="eastAsia"/>
                <w:sz w:val="24"/>
              </w:rPr>
              <w:t>（</w:t>
            </w:r>
            <w:r>
              <w:rPr>
                <w:sz w:val="24"/>
              </w:rPr>
              <w:t>5</w:t>
            </w:r>
            <w:r>
              <w:rPr>
                <w:rFonts w:hint="eastAsia"/>
                <w:sz w:val="24"/>
              </w:rPr>
              <w:t>）冷却：钢化处理后的玻璃出炉经多头喷嘴向两面喷吹空气，使之迅速地、均匀地冷却，当冷却至室温时，就形成了高强度的钢化玻璃。</w:t>
            </w:r>
          </w:p>
          <w:p>
            <w:pPr>
              <w:spacing w:line="360" w:lineRule="auto"/>
              <w:ind w:firstLine="480" w:firstLineChars="200"/>
              <w:jc w:val="left"/>
              <w:rPr>
                <w:sz w:val="24"/>
              </w:rPr>
            </w:pPr>
            <w:r>
              <w:rPr>
                <w:rFonts w:hint="eastAsia"/>
                <w:sz w:val="24"/>
              </w:rPr>
              <w:t>产污环节：钢化玻璃从钢化炉中送出时相互碰撞会产生玻璃渣。</w:t>
            </w:r>
          </w:p>
          <w:p>
            <w:pPr>
              <w:spacing w:line="360" w:lineRule="auto"/>
              <w:ind w:firstLine="480" w:firstLineChars="200"/>
              <w:jc w:val="left"/>
              <w:rPr>
                <w:sz w:val="24"/>
              </w:rPr>
            </w:pPr>
            <w:r>
              <w:rPr>
                <w:rFonts w:hint="eastAsia"/>
                <w:sz w:val="24"/>
              </w:rPr>
              <w:t>（</w:t>
            </w:r>
            <w:r>
              <w:rPr>
                <w:sz w:val="24"/>
              </w:rPr>
              <w:t>6</w:t>
            </w:r>
            <w:r>
              <w:rPr>
                <w:rFonts w:hint="eastAsia"/>
                <w:sz w:val="24"/>
              </w:rPr>
              <w:t>）检验：通过人工检验钢化玻璃表面情况、强度等特性，合格的钢化玻璃入库，一部分作为生产其他玻璃的原料，一部分待售。</w:t>
            </w:r>
          </w:p>
          <w:p>
            <w:pPr>
              <w:spacing w:line="360" w:lineRule="auto"/>
              <w:ind w:firstLine="480" w:firstLineChars="200"/>
              <w:jc w:val="left"/>
              <w:rPr>
                <w:sz w:val="24"/>
              </w:rPr>
            </w:pPr>
            <w:r>
              <w:rPr>
                <w:rFonts w:hint="eastAsia"/>
                <w:sz w:val="24"/>
              </w:rPr>
              <w:t>产污环节：此工序会产生不合格品。</w:t>
            </w:r>
          </w:p>
          <w:p>
            <w:pPr>
              <w:spacing w:line="360" w:lineRule="auto"/>
              <w:ind w:firstLine="480" w:firstLineChars="200"/>
              <w:jc w:val="left"/>
              <w:rPr>
                <w:sz w:val="24"/>
              </w:rPr>
            </w:pPr>
            <w:r>
              <w:rPr>
                <w:rFonts w:hint="eastAsia"/>
                <w:sz w:val="24"/>
              </w:rPr>
              <w:t>根据客户需求，少量钢化玻璃需要进行磨砂处理。喷砂机内的砂粒高速循环运动打磨钢化玻璃，使之变成磨砂状态。该磨砂工序在喷砂机内密闭进行，无喷砂粉尘外排。</w:t>
            </w:r>
          </w:p>
          <w:p>
            <w:pPr>
              <w:spacing w:line="480" w:lineRule="exact"/>
              <w:ind w:firstLine="482"/>
              <w:rPr>
                <w:snapToGrid w:val="0"/>
                <w:color w:val="000000" w:themeColor="text1"/>
                <w:kern w:val="0"/>
                <w:sz w:val="24"/>
                <w:szCs w:val="24"/>
              </w:rPr>
            </w:pPr>
            <w:r>
              <w:rPr>
                <w:rFonts w:hint="eastAsia"/>
                <w:sz w:val="24"/>
                <w:szCs w:val="24"/>
              </w:rPr>
              <w:t>2、</w:t>
            </w:r>
            <w:r>
              <w:rPr>
                <w:rFonts w:hint="eastAsia"/>
                <w:snapToGrid w:val="0"/>
                <w:color w:val="000000" w:themeColor="text1"/>
                <w:kern w:val="0"/>
                <w:sz w:val="24"/>
                <w:szCs w:val="24"/>
              </w:rPr>
              <w:t>中空玻璃</w:t>
            </w:r>
          </w:p>
          <w:p>
            <w:pPr>
              <w:adjustRightInd w:val="0"/>
              <w:snapToGrid w:val="0"/>
              <w:spacing w:line="360" w:lineRule="auto"/>
              <w:jc w:val="center"/>
            </w:pPr>
            <w:r>
              <w:object>
                <v:shape id="_x0000_i1028" o:spt="75" type="#_x0000_t75" style="height:329.25pt;width:358.5pt;" o:ole="t" filled="f" coordsize="21600,21600">
                  <v:path/>
                  <v:fill on="f" focussize="0,0"/>
                  <v:stroke/>
                  <v:imagedata r:id="rId21" o:title=""/>
                  <o:lock v:ext="edit" aspectratio="t"/>
                  <w10:wrap type="none"/>
                  <w10:anchorlock/>
                </v:shape>
                <o:OLEObject Type="Embed" ProgID="Visio.Drawing.11" ShapeID="_x0000_i1028" DrawAspect="Content" ObjectID="_1468075728" r:id="rId20">
                  <o:LockedField>false</o:LockedField>
                </o:OLEObject>
              </w:object>
            </w:r>
          </w:p>
          <w:p>
            <w:pPr>
              <w:adjustRightInd w:val="0"/>
              <w:snapToGrid w:val="0"/>
              <w:spacing w:line="360" w:lineRule="auto"/>
              <w:ind w:firstLine="480" w:firstLineChars="200"/>
              <w:jc w:val="center"/>
              <w:rPr>
                <w:rFonts w:eastAsia="黑体"/>
                <w:sz w:val="24"/>
                <w:szCs w:val="30"/>
              </w:rPr>
            </w:pPr>
            <w:r>
              <w:rPr>
                <w:rFonts w:hAnsi="黑体" w:eastAsia="黑体"/>
                <w:sz w:val="24"/>
                <w:szCs w:val="30"/>
              </w:rPr>
              <w:t>图</w:t>
            </w:r>
            <w:r>
              <w:rPr>
                <w:rFonts w:hint="eastAsia" w:eastAsia="黑体"/>
                <w:sz w:val="24"/>
                <w:szCs w:val="30"/>
              </w:rPr>
              <w:t xml:space="preserve">4 </w:t>
            </w:r>
            <w:r>
              <w:rPr>
                <w:rFonts w:hint="eastAsia" w:hAnsi="黑体" w:eastAsia="黑体"/>
                <w:sz w:val="24"/>
                <w:szCs w:val="30"/>
              </w:rPr>
              <w:t>中空玻璃</w:t>
            </w:r>
            <w:r>
              <w:rPr>
                <w:rFonts w:hAnsi="黑体" w:eastAsia="黑体"/>
                <w:sz w:val="24"/>
                <w:szCs w:val="30"/>
              </w:rPr>
              <w:t>生产工艺及产污环节示意图</w:t>
            </w:r>
          </w:p>
          <w:p>
            <w:pPr>
              <w:pStyle w:val="100"/>
              <w:spacing w:line="360" w:lineRule="auto"/>
              <w:ind w:firstLine="482" w:firstLineChars="200"/>
              <w:rPr>
                <w:rFonts w:ascii="宋体" w:hAnsi="宋体"/>
                <w:b/>
                <w:sz w:val="24"/>
                <w:szCs w:val="28"/>
              </w:rPr>
            </w:pPr>
            <w:r>
              <w:rPr>
                <w:rFonts w:hint="eastAsia" w:ascii="宋体" w:hAnsi="宋体"/>
                <w:b/>
                <w:sz w:val="24"/>
                <w:szCs w:val="28"/>
              </w:rPr>
              <w:t>主要工艺说明：</w:t>
            </w:r>
          </w:p>
          <w:p>
            <w:pPr>
              <w:spacing w:line="360" w:lineRule="auto"/>
              <w:ind w:firstLine="480" w:firstLineChars="200"/>
              <w:jc w:val="left"/>
              <w:rPr>
                <w:sz w:val="24"/>
              </w:rPr>
            </w:pPr>
            <w:r>
              <w:rPr>
                <w:rFonts w:hint="eastAsia"/>
                <w:sz w:val="24"/>
              </w:rPr>
              <w:t>（</w:t>
            </w:r>
            <w:r>
              <w:rPr>
                <w:sz w:val="24"/>
              </w:rPr>
              <w:t>1</w:t>
            </w:r>
            <w:r>
              <w:rPr>
                <w:rFonts w:hint="eastAsia"/>
                <w:sz w:val="24"/>
              </w:rPr>
              <w:t>）上片：本项目中空玻璃采用的基片为玻璃原片，上片时首先应检验玻璃尺寸是否与订单相符，其次在操作中应随时注意玻璃的表面质量，不得有划伤、擦伤、崩边、气泡、夹渣等明显缺陷。</w:t>
            </w:r>
          </w:p>
          <w:p>
            <w:pPr>
              <w:spacing w:line="360" w:lineRule="auto"/>
              <w:ind w:firstLine="480" w:firstLineChars="200"/>
              <w:jc w:val="left"/>
              <w:rPr>
                <w:sz w:val="24"/>
              </w:rPr>
            </w:pPr>
            <w:r>
              <w:rPr>
                <w:rFonts w:hint="eastAsia"/>
                <w:sz w:val="24"/>
              </w:rPr>
              <w:t>（</w:t>
            </w:r>
            <w:r>
              <w:rPr>
                <w:sz w:val="24"/>
              </w:rPr>
              <w:t>2</w:t>
            </w:r>
            <w:r>
              <w:rPr>
                <w:rFonts w:hint="eastAsia"/>
                <w:sz w:val="24"/>
              </w:rPr>
              <w:t>）清洗：采用专门的清洗机对玻璃进行清洗，本项目中空玻璃线配备清洗水箱，采用纯水作为循环清洗水，不需加洗涤剂，水箱中清洗水静置沉淀后，下层底泥定期清理，上层清洗废水经市政管网排入污水处理厂。</w:t>
            </w:r>
          </w:p>
          <w:p>
            <w:pPr>
              <w:spacing w:line="360" w:lineRule="auto"/>
              <w:ind w:firstLine="480" w:firstLineChars="200"/>
              <w:jc w:val="left"/>
              <w:rPr>
                <w:sz w:val="24"/>
              </w:rPr>
            </w:pPr>
            <w:r>
              <w:rPr>
                <w:rFonts w:hint="eastAsia"/>
                <w:sz w:val="24"/>
              </w:rPr>
              <w:t>产污环节：清洗水箱定期清理时，底部会有少量底泥产生，主要为灰尘杂质，不含有毒有害及腐蚀性物质，为一般固体废物，由环卫部门定期清运。</w:t>
            </w:r>
          </w:p>
          <w:p>
            <w:pPr>
              <w:spacing w:line="360" w:lineRule="auto"/>
              <w:ind w:firstLine="480" w:firstLineChars="200"/>
              <w:jc w:val="left"/>
              <w:rPr>
                <w:sz w:val="24"/>
              </w:rPr>
            </w:pPr>
            <w:r>
              <w:rPr>
                <w:rFonts w:hint="eastAsia"/>
                <w:sz w:val="24"/>
              </w:rPr>
              <w:t>（</w:t>
            </w:r>
            <w:r>
              <w:rPr>
                <w:sz w:val="24"/>
              </w:rPr>
              <w:t>3</w:t>
            </w:r>
            <w:r>
              <w:rPr>
                <w:rFonts w:hint="eastAsia"/>
                <w:sz w:val="24"/>
              </w:rPr>
              <w:t>）制框：按照玻璃外形尺寸等计算出所用铝框的长度，通过切割机对外购铝条进行切割，并用折弯机进行折弯制成方形弯框。</w:t>
            </w:r>
          </w:p>
          <w:p>
            <w:pPr>
              <w:spacing w:line="360" w:lineRule="auto"/>
              <w:ind w:firstLine="480" w:firstLineChars="200"/>
              <w:jc w:val="left"/>
              <w:rPr>
                <w:sz w:val="24"/>
              </w:rPr>
            </w:pPr>
            <w:r>
              <w:rPr>
                <w:rFonts w:hint="eastAsia"/>
                <w:sz w:val="24"/>
              </w:rPr>
              <w:t>产污环节：此工序会产生铝条边角料。</w:t>
            </w:r>
          </w:p>
          <w:p>
            <w:pPr>
              <w:spacing w:line="360" w:lineRule="auto"/>
              <w:ind w:firstLine="480" w:firstLineChars="200"/>
              <w:jc w:val="left"/>
              <w:rPr>
                <w:sz w:val="24"/>
              </w:rPr>
            </w:pPr>
            <w:r>
              <w:rPr>
                <w:rFonts w:hint="eastAsia"/>
                <w:sz w:val="24"/>
              </w:rPr>
              <w:t>（</w:t>
            </w:r>
            <w:r>
              <w:rPr>
                <w:sz w:val="24"/>
              </w:rPr>
              <w:t>4</w:t>
            </w:r>
            <w:r>
              <w:rPr>
                <w:rFonts w:hint="eastAsia"/>
                <w:sz w:val="24"/>
              </w:rPr>
              <w:t>）填充：在铝框内冲灌分子筛干燥剂。</w:t>
            </w:r>
          </w:p>
          <w:p>
            <w:pPr>
              <w:spacing w:line="360" w:lineRule="auto"/>
              <w:ind w:firstLine="480" w:firstLineChars="200"/>
              <w:jc w:val="left"/>
              <w:rPr>
                <w:sz w:val="24"/>
              </w:rPr>
            </w:pPr>
            <w:r>
              <w:rPr>
                <w:rFonts w:hint="eastAsia"/>
                <w:sz w:val="24"/>
              </w:rPr>
              <w:t>（</w:t>
            </w:r>
            <w:r>
              <w:rPr>
                <w:sz w:val="24"/>
              </w:rPr>
              <w:t>5</w:t>
            </w:r>
            <w:r>
              <w:rPr>
                <w:rFonts w:hint="eastAsia"/>
                <w:sz w:val="24"/>
              </w:rPr>
              <w:t>）涂胶：铝框制好后对其涂丁基胶，丁基胶是铝条式中空玻璃的首道密封，属于一种热熔性胶，具有很低的水汽透过率及较高的粘性，是铝条侧面和玻璃之间阻挡水汽最有效的屏障，丁基胶在常温下固化。</w:t>
            </w:r>
          </w:p>
          <w:p>
            <w:pPr>
              <w:spacing w:line="360" w:lineRule="auto"/>
              <w:ind w:firstLine="480" w:firstLineChars="200"/>
              <w:jc w:val="left"/>
              <w:rPr>
                <w:sz w:val="24"/>
                <w:highlight w:val="yellow"/>
              </w:rPr>
            </w:pPr>
            <w:r>
              <w:rPr>
                <w:rFonts w:hint="eastAsia"/>
                <w:sz w:val="24"/>
              </w:rPr>
              <w:t>产污环节：此工序会产生少量有机废气。</w:t>
            </w:r>
          </w:p>
          <w:p>
            <w:pPr>
              <w:spacing w:line="360" w:lineRule="auto"/>
              <w:ind w:firstLine="480" w:firstLineChars="200"/>
              <w:jc w:val="left"/>
              <w:rPr>
                <w:sz w:val="24"/>
              </w:rPr>
            </w:pPr>
            <w:r>
              <w:rPr>
                <w:rFonts w:hint="eastAsia"/>
                <w:sz w:val="24"/>
              </w:rPr>
              <w:t>（</w:t>
            </w:r>
            <w:r>
              <w:rPr>
                <w:sz w:val="24"/>
              </w:rPr>
              <w:t>6</w:t>
            </w:r>
            <w:r>
              <w:rPr>
                <w:rFonts w:hint="eastAsia"/>
                <w:sz w:val="24"/>
              </w:rPr>
              <w:t>）合片：通过板压机将两片选择好的玻璃匹配压合，在铝条和丁基胶的粘接作用下成为一个整体。</w:t>
            </w:r>
          </w:p>
          <w:p>
            <w:pPr>
              <w:spacing w:line="360" w:lineRule="auto"/>
              <w:ind w:firstLine="480" w:firstLineChars="200"/>
              <w:jc w:val="left"/>
              <w:rPr>
                <w:sz w:val="24"/>
              </w:rPr>
            </w:pPr>
            <w:r>
              <w:rPr>
                <w:rFonts w:hint="eastAsia"/>
                <w:sz w:val="24"/>
              </w:rPr>
              <w:t>（</w:t>
            </w:r>
            <w:r>
              <w:rPr>
                <w:sz w:val="24"/>
              </w:rPr>
              <w:t>7</w:t>
            </w:r>
            <w:r>
              <w:rPr>
                <w:rFonts w:hint="eastAsia"/>
                <w:sz w:val="24"/>
              </w:rPr>
              <w:t>）混合封边：将外购的硅酮密封胶</w:t>
            </w:r>
            <w:r>
              <w:rPr>
                <w:sz w:val="24"/>
              </w:rPr>
              <w:t>A</w:t>
            </w:r>
            <w:r>
              <w:rPr>
                <w:rFonts w:hint="eastAsia"/>
                <w:sz w:val="24"/>
              </w:rPr>
              <w:t>、</w:t>
            </w:r>
            <w:r>
              <w:rPr>
                <w:sz w:val="24"/>
              </w:rPr>
              <w:t xml:space="preserve">B </w:t>
            </w:r>
            <w:r>
              <w:rPr>
                <w:rFonts w:hint="eastAsia"/>
                <w:sz w:val="24"/>
              </w:rPr>
              <w:t>组分按照</w:t>
            </w:r>
            <w:r>
              <w:rPr>
                <w:sz w:val="24"/>
              </w:rPr>
              <w:t xml:space="preserve">14:1 </w:t>
            </w:r>
            <w:r>
              <w:rPr>
                <w:rFonts w:hint="eastAsia"/>
                <w:sz w:val="24"/>
              </w:rPr>
              <w:t>的比例加入涂布机混合，然后涂布在中空玻璃周边进行第二道封胶，硅酮胶固化过程会产生少量有机废气。</w:t>
            </w:r>
          </w:p>
          <w:p>
            <w:pPr>
              <w:spacing w:line="360" w:lineRule="auto"/>
              <w:ind w:firstLine="480" w:firstLineChars="200"/>
              <w:jc w:val="left"/>
              <w:rPr>
                <w:sz w:val="24"/>
              </w:rPr>
            </w:pPr>
            <w:r>
              <w:rPr>
                <w:rFonts w:hint="eastAsia"/>
                <w:sz w:val="24"/>
              </w:rPr>
              <w:t>（</w:t>
            </w:r>
            <w:r>
              <w:rPr>
                <w:sz w:val="24"/>
              </w:rPr>
              <w:t>8</w:t>
            </w:r>
            <w:r>
              <w:rPr>
                <w:rFonts w:hint="eastAsia"/>
                <w:sz w:val="24"/>
              </w:rPr>
              <w:t>）检验：产品通过人工检验，合格品入库，不合格品外售回收公司。</w:t>
            </w:r>
          </w:p>
          <w:p>
            <w:pPr>
              <w:spacing w:line="360" w:lineRule="auto"/>
              <w:ind w:firstLine="480" w:firstLineChars="200"/>
              <w:jc w:val="left"/>
              <w:rPr>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6" w:type="dxa"/>
            <w:tcBorders>
              <w:top w:val="single" w:color="auto" w:sz="4" w:space="0"/>
              <w:left w:val="single" w:color="auto" w:sz="4" w:space="0"/>
              <w:bottom w:val="single" w:color="auto" w:sz="4" w:space="0"/>
              <w:right w:val="single" w:color="auto" w:sz="4" w:space="0"/>
            </w:tcBorders>
          </w:tcPr>
          <w:p>
            <w:pPr>
              <w:spacing w:line="360" w:lineRule="auto"/>
              <w:rPr>
                <w:rFonts w:eastAsia="黑体"/>
                <w:color w:val="000000" w:themeColor="text1"/>
                <w:sz w:val="28"/>
                <w:szCs w:val="30"/>
              </w:rPr>
            </w:pPr>
            <w:r>
              <w:rPr>
                <w:rFonts w:eastAsia="黑体"/>
                <w:color w:val="000000" w:themeColor="text1"/>
                <w:sz w:val="28"/>
                <w:szCs w:val="30"/>
              </w:rPr>
              <w:t>主要污染工序：</w:t>
            </w:r>
          </w:p>
          <w:p>
            <w:pPr>
              <w:spacing w:line="360" w:lineRule="auto"/>
              <w:ind w:firstLine="480" w:firstLineChars="200"/>
              <w:jc w:val="left"/>
              <w:rPr>
                <w:sz w:val="24"/>
              </w:rPr>
            </w:pPr>
            <w:r>
              <w:rPr>
                <w:rFonts w:hint="eastAsia"/>
                <w:sz w:val="24"/>
              </w:rPr>
              <w:t>本项目所利用的厂房均已建成，无施工期，因此，主要污染工序为运营期。</w:t>
            </w:r>
          </w:p>
          <w:p>
            <w:pPr>
              <w:spacing w:line="360" w:lineRule="auto"/>
              <w:ind w:firstLine="480" w:firstLineChars="200"/>
              <w:jc w:val="left"/>
              <w:rPr>
                <w:sz w:val="24"/>
              </w:rPr>
            </w:pPr>
            <w:r>
              <w:rPr>
                <w:rFonts w:hint="eastAsia"/>
                <w:sz w:val="24"/>
              </w:rPr>
              <w:t>运营期主要污染因素是废气、废水、噪声和固体废物等。</w:t>
            </w:r>
          </w:p>
          <w:p>
            <w:pPr>
              <w:spacing w:line="360" w:lineRule="auto"/>
              <w:ind w:firstLine="480" w:firstLineChars="200"/>
              <w:jc w:val="left"/>
              <w:rPr>
                <w:rFonts w:eastAsia="黑体"/>
                <w:sz w:val="24"/>
              </w:rPr>
            </w:pPr>
            <w:r>
              <w:rPr>
                <w:rFonts w:eastAsia="黑体"/>
                <w:sz w:val="24"/>
              </w:rPr>
              <w:t>1</w:t>
            </w:r>
            <w:r>
              <w:rPr>
                <w:rFonts w:hAnsi="黑体" w:eastAsia="黑体"/>
                <w:sz w:val="24"/>
              </w:rPr>
              <w:t>、废气</w:t>
            </w:r>
          </w:p>
          <w:p>
            <w:pPr>
              <w:spacing w:line="360" w:lineRule="auto"/>
              <w:ind w:firstLine="480" w:firstLineChars="200"/>
              <w:jc w:val="left"/>
              <w:rPr>
                <w:sz w:val="24"/>
              </w:rPr>
            </w:pPr>
            <w:r>
              <w:rPr>
                <w:rFonts w:hint="eastAsia"/>
                <w:sz w:val="24"/>
              </w:rPr>
              <w:t>本项目餐饮来自外卖，无生活废气排放。</w:t>
            </w:r>
          </w:p>
          <w:p>
            <w:pPr>
              <w:spacing w:line="360" w:lineRule="auto"/>
              <w:ind w:firstLine="480" w:firstLineChars="200"/>
              <w:jc w:val="left"/>
              <w:rPr>
                <w:sz w:val="24"/>
              </w:rPr>
            </w:pPr>
            <w:r>
              <w:rPr>
                <w:rFonts w:hint="eastAsia"/>
                <w:sz w:val="24"/>
              </w:rPr>
              <w:t>本项目生产废气主要为中空玻璃生产线产生的封边固化废气。</w:t>
            </w:r>
          </w:p>
          <w:p>
            <w:pPr>
              <w:spacing w:line="360" w:lineRule="auto"/>
              <w:ind w:firstLine="480" w:firstLineChars="200"/>
              <w:jc w:val="left"/>
              <w:rPr>
                <w:sz w:val="24"/>
              </w:rPr>
            </w:pPr>
            <w:r>
              <w:rPr>
                <w:rFonts w:hint="eastAsia"/>
                <w:sz w:val="24"/>
              </w:rPr>
              <w:t>【产生情况】项目中空玻璃涂胶和封边固化工序会产生少量有机废气，以</w:t>
            </w:r>
            <w:r>
              <w:rPr>
                <w:sz w:val="24"/>
              </w:rPr>
              <w:t xml:space="preserve">VOCs </w:t>
            </w:r>
            <w:r>
              <w:rPr>
                <w:rFonts w:hint="eastAsia"/>
                <w:sz w:val="24"/>
              </w:rPr>
              <w:t>计，</w:t>
            </w:r>
          </w:p>
          <w:p>
            <w:pPr>
              <w:spacing w:line="360" w:lineRule="auto"/>
              <w:jc w:val="left"/>
              <w:rPr>
                <w:sz w:val="24"/>
              </w:rPr>
            </w:pPr>
            <w:r>
              <w:rPr>
                <w:rFonts w:hint="eastAsia"/>
                <w:sz w:val="24"/>
              </w:rPr>
              <w:t>根据同类企业类比及原料厂家提供的技术参数，涂胶工序和封边固化工序分别约为用胶量的0.5%和6.0</w:t>
            </w:r>
            <w:r>
              <w:rPr>
                <w:sz w:val="24"/>
              </w:rPr>
              <w:t>%</w:t>
            </w:r>
            <w:r>
              <w:rPr>
                <w:rFonts w:hint="eastAsia"/>
                <w:sz w:val="24"/>
              </w:rPr>
              <w:t>挥发，项目中空玻璃线涂胶丁基胶用量为0.6t/a，封边工序硅酮密封胶用量为2.4</w:t>
            </w:r>
            <w:r>
              <w:rPr>
                <w:sz w:val="24"/>
              </w:rPr>
              <w:t>t/a</w:t>
            </w:r>
            <w:r>
              <w:rPr>
                <w:rFonts w:hint="eastAsia"/>
                <w:sz w:val="24"/>
              </w:rPr>
              <w:t>，则</w:t>
            </w:r>
            <w:r>
              <w:rPr>
                <w:sz w:val="24"/>
              </w:rPr>
              <w:t xml:space="preserve">VOCs </w:t>
            </w:r>
            <w:r>
              <w:rPr>
                <w:rFonts w:hint="eastAsia"/>
                <w:sz w:val="24"/>
              </w:rPr>
              <w:t>产生量为0.6×0.5%+2.4×6.0%=0.147</w:t>
            </w:r>
            <w:r>
              <w:rPr>
                <w:sz w:val="24"/>
              </w:rPr>
              <w:t>t/a</w:t>
            </w:r>
            <w:r>
              <w:rPr>
                <w:rFonts w:hint="eastAsia"/>
                <w:sz w:val="24"/>
              </w:rPr>
              <w:t>。</w:t>
            </w:r>
          </w:p>
          <w:p>
            <w:pPr>
              <w:spacing w:line="360" w:lineRule="auto"/>
              <w:ind w:firstLine="480" w:firstLineChars="200"/>
              <w:jc w:val="left"/>
              <w:rPr>
                <w:sz w:val="24"/>
              </w:rPr>
            </w:pPr>
            <w:r>
              <w:rPr>
                <w:rFonts w:hint="eastAsia"/>
                <w:sz w:val="24"/>
              </w:rPr>
              <w:t>【治理措施】企业通过集气罩对有机废气进行收集，然后进入</w:t>
            </w:r>
            <w:r>
              <w:rPr>
                <w:sz w:val="24"/>
              </w:rPr>
              <w:t xml:space="preserve">1 </w:t>
            </w:r>
            <w:r>
              <w:rPr>
                <w:rFonts w:hint="eastAsia"/>
                <w:sz w:val="24"/>
              </w:rPr>
              <w:t>套活性炭吸附处理装置进行处理，最后通过</w:t>
            </w:r>
            <w:r>
              <w:rPr>
                <w:sz w:val="24"/>
              </w:rPr>
              <w:t xml:space="preserve">1 </w:t>
            </w:r>
            <w:r>
              <w:rPr>
                <w:rFonts w:hint="eastAsia"/>
                <w:sz w:val="24"/>
              </w:rPr>
              <w:t>根</w:t>
            </w:r>
            <w:r>
              <w:rPr>
                <w:sz w:val="24"/>
              </w:rPr>
              <w:t xml:space="preserve">15m </w:t>
            </w:r>
            <w:r>
              <w:rPr>
                <w:rFonts w:hint="eastAsia"/>
                <w:sz w:val="24"/>
              </w:rPr>
              <w:t>高排气筒有组织排放。集气罩收集效率按</w:t>
            </w:r>
            <w:r>
              <w:rPr>
                <w:sz w:val="24"/>
              </w:rPr>
              <w:t>90%</w:t>
            </w:r>
            <w:r>
              <w:rPr>
                <w:rFonts w:hint="eastAsia"/>
                <w:sz w:val="24"/>
              </w:rPr>
              <w:t>计算，活性炭吸附处理装置对有机废气的去除率按</w:t>
            </w:r>
            <w:r>
              <w:rPr>
                <w:sz w:val="24"/>
              </w:rPr>
              <w:t>90%</w:t>
            </w:r>
            <w:r>
              <w:rPr>
                <w:rFonts w:hint="eastAsia"/>
                <w:sz w:val="24"/>
              </w:rPr>
              <w:t>计算。</w:t>
            </w:r>
          </w:p>
          <w:p>
            <w:pPr>
              <w:spacing w:line="360" w:lineRule="auto"/>
              <w:ind w:firstLine="480" w:firstLineChars="200"/>
              <w:jc w:val="left"/>
              <w:rPr>
                <w:sz w:val="24"/>
              </w:rPr>
            </w:pPr>
            <w:r>
              <w:rPr>
                <w:rFonts w:hint="eastAsia"/>
                <w:sz w:val="24"/>
              </w:rPr>
              <w:t>【排放源强】本项目封边固化工序年工作时间为</w:t>
            </w:r>
            <w:r>
              <w:rPr>
                <w:sz w:val="24"/>
              </w:rPr>
              <w:t>800h</w:t>
            </w:r>
            <w:r>
              <w:rPr>
                <w:rFonts w:hint="eastAsia"/>
                <w:sz w:val="24"/>
              </w:rPr>
              <w:t>。有组织收集的废气量为0.132</w:t>
            </w:r>
            <w:r>
              <w:rPr>
                <w:sz w:val="24"/>
              </w:rPr>
              <w:t>t/a</w:t>
            </w:r>
            <w:r>
              <w:rPr>
                <w:rFonts w:hint="eastAsia"/>
                <w:sz w:val="24"/>
              </w:rPr>
              <w:t>，风机风量为25</w:t>
            </w:r>
            <w:r>
              <w:rPr>
                <w:sz w:val="24"/>
              </w:rPr>
              <w:t>00 m</w:t>
            </w:r>
            <w:r>
              <w:rPr>
                <w:sz w:val="24"/>
                <w:vertAlign w:val="superscript"/>
              </w:rPr>
              <w:t>3</w:t>
            </w:r>
            <w:r>
              <w:rPr>
                <w:sz w:val="24"/>
              </w:rPr>
              <w:t>/h</w:t>
            </w:r>
            <w:r>
              <w:rPr>
                <w:rFonts w:hint="eastAsia"/>
                <w:sz w:val="24"/>
              </w:rPr>
              <w:t>，处理后</w:t>
            </w:r>
            <w:r>
              <w:rPr>
                <w:sz w:val="24"/>
              </w:rPr>
              <w:t xml:space="preserve">VOCs </w:t>
            </w:r>
            <w:r>
              <w:rPr>
                <w:rFonts w:hint="eastAsia"/>
                <w:sz w:val="24"/>
              </w:rPr>
              <w:t>排放量为0.013</w:t>
            </w:r>
            <w:r>
              <w:rPr>
                <w:sz w:val="24"/>
              </w:rPr>
              <w:t>t/a</w:t>
            </w:r>
            <w:r>
              <w:rPr>
                <w:rFonts w:hint="eastAsia"/>
                <w:sz w:val="24"/>
              </w:rPr>
              <w:t>，排放速率为0.016</w:t>
            </w:r>
            <w:r>
              <w:rPr>
                <w:sz w:val="24"/>
              </w:rPr>
              <w:t>kg/h</w:t>
            </w:r>
            <w:r>
              <w:rPr>
                <w:rFonts w:hint="eastAsia"/>
                <w:sz w:val="24"/>
              </w:rPr>
              <w:t>，排放浓度为6.50</w:t>
            </w:r>
            <w:r>
              <w:rPr>
                <w:sz w:val="24"/>
              </w:rPr>
              <w:t>mg/m</w:t>
            </w:r>
            <w:r>
              <w:rPr>
                <w:sz w:val="24"/>
                <w:vertAlign w:val="superscript"/>
              </w:rPr>
              <w:t>3</w:t>
            </w:r>
            <w:r>
              <w:rPr>
                <w:rFonts w:hint="eastAsia"/>
                <w:sz w:val="24"/>
              </w:rPr>
              <w:t>。未收集的有机废气量为0.015</w:t>
            </w:r>
            <w:r>
              <w:rPr>
                <w:sz w:val="24"/>
              </w:rPr>
              <w:t>t/a</w:t>
            </w:r>
            <w:r>
              <w:rPr>
                <w:rFonts w:hint="eastAsia"/>
                <w:sz w:val="24"/>
              </w:rPr>
              <w:t>，以无组织的形式排放，</w:t>
            </w:r>
          </w:p>
          <w:p>
            <w:pPr>
              <w:spacing w:line="360" w:lineRule="auto"/>
              <w:ind w:firstLine="480" w:firstLineChars="200"/>
              <w:rPr>
                <w:sz w:val="24"/>
              </w:rPr>
            </w:pPr>
            <w:r>
              <w:rPr>
                <w:rFonts w:hint="eastAsia"/>
                <w:sz w:val="24"/>
              </w:rPr>
              <w:t>综上所述，本项目</w:t>
            </w:r>
            <w:r>
              <w:rPr>
                <w:sz w:val="24"/>
              </w:rPr>
              <w:t>废气产生</w:t>
            </w:r>
            <w:r>
              <w:rPr>
                <w:rFonts w:hint="eastAsia"/>
                <w:sz w:val="24"/>
              </w:rPr>
              <w:t>及处理后</w:t>
            </w:r>
            <w:r>
              <w:rPr>
                <w:sz w:val="24"/>
              </w:rPr>
              <w:t>排放情况见表</w:t>
            </w:r>
            <w:r>
              <w:rPr>
                <w:rFonts w:hint="eastAsia"/>
                <w:sz w:val="24"/>
              </w:rPr>
              <w:t>20和表21</w:t>
            </w:r>
            <w:r>
              <w:rPr>
                <w:sz w:val="24"/>
              </w:rPr>
              <w:t>。</w:t>
            </w:r>
          </w:p>
          <w:p>
            <w:pPr>
              <w:jc w:val="center"/>
              <w:rPr>
                <w:rFonts w:eastAsia="黑体"/>
                <w:sz w:val="24"/>
                <w:szCs w:val="24"/>
              </w:rPr>
            </w:pPr>
            <w:r>
              <w:rPr>
                <w:rFonts w:eastAsia="黑体"/>
                <w:sz w:val="24"/>
                <w:szCs w:val="24"/>
              </w:rPr>
              <w:t>表</w:t>
            </w:r>
            <w:r>
              <w:rPr>
                <w:rFonts w:hint="eastAsia" w:eastAsia="黑体"/>
                <w:sz w:val="24"/>
                <w:szCs w:val="24"/>
              </w:rPr>
              <w:t xml:space="preserve">20 </w:t>
            </w:r>
            <w:r>
              <w:rPr>
                <w:rFonts w:eastAsia="黑体"/>
                <w:sz w:val="24"/>
                <w:szCs w:val="24"/>
              </w:rPr>
              <w:t>废气产生及排放情况</w:t>
            </w:r>
            <w:r>
              <w:rPr>
                <w:rFonts w:hint="eastAsia" w:eastAsia="黑体"/>
                <w:sz w:val="24"/>
                <w:szCs w:val="24"/>
              </w:rPr>
              <w:t>（有组织）</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3"/>
              <w:gridCol w:w="798"/>
              <w:gridCol w:w="910"/>
              <w:gridCol w:w="991"/>
              <w:gridCol w:w="991"/>
              <w:gridCol w:w="2057"/>
              <w:gridCol w:w="20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53" w:type="dxa"/>
                  <w:vMerge w:val="restart"/>
                  <w:vAlign w:val="center"/>
                </w:tcPr>
                <w:p>
                  <w:pPr>
                    <w:spacing w:line="276" w:lineRule="auto"/>
                    <w:jc w:val="center"/>
                    <w:rPr>
                      <w:sz w:val="21"/>
                      <w:szCs w:val="21"/>
                    </w:rPr>
                  </w:pPr>
                  <w:r>
                    <w:rPr>
                      <w:sz w:val="21"/>
                      <w:szCs w:val="21"/>
                    </w:rPr>
                    <w:t>排气筒</w:t>
                  </w:r>
                </w:p>
              </w:tc>
              <w:tc>
                <w:tcPr>
                  <w:tcW w:w="798" w:type="dxa"/>
                  <w:vMerge w:val="restart"/>
                  <w:vAlign w:val="center"/>
                </w:tcPr>
                <w:p>
                  <w:pPr>
                    <w:spacing w:line="276" w:lineRule="auto"/>
                    <w:jc w:val="center"/>
                    <w:rPr>
                      <w:sz w:val="21"/>
                      <w:szCs w:val="21"/>
                    </w:rPr>
                  </w:pPr>
                  <w:r>
                    <w:rPr>
                      <w:sz w:val="21"/>
                      <w:szCs w:val="21"/>
                    </w:rPr>
                    <w:t>污染物</w:t>
                  </w:r>
                </w:p>
              </w:tc>
              <w:tc>
                <w:tcPr>
                  <w:tcW w:w="910" w:type="dxa"/>
                  <w:vMerge w:val="restart"/>
                  <w:shd w:val="clear" w:color="auto" w:fill="auto"/>
                  <w:vAlign w:val="center"/>
                </w:tcPr>
                <w:p>
                  <w:pPr>
                    <w:spacing w:line="276" w:lineRule="auto"/>
                    <w:jc w:val="center"/>
                    <w:rPr>
                      <w:sz w:val="21"/>
                      <w:szCs w:val="21"/>
                    </w:rPr>
                  </w:pPr>
                  <w:r>
                    <w:rPr>
                      <w:sz w:val="21"/>
                      <w:szCs w:val="21"/>
                    </w:rPr>
                    <w:t>产生</w:t>
                  </w:r>
                  <w:r>
                    <w:rPr>
                      <w:rFonts w:hint="eastAsia"/>
                      <w:sz w:val="21"/>
                      <w:szCs w:val="21"/>
                    </w:rPr>
                    <w:t>量（t/a）</w:t>
                  </w:r>
                </w:p>
              </w:tc>
              <w:tc>
                <w:tcPr>
                  <w:tcW w:w="991" w:type="dxa"/>
                  <w:vMerge w:val="restart"/>
                  <w:shd w:val="clear" w:color="auto" w:fill="auto"/>
                  <w:vAlign w:val="center"/>
                </w:tcPr>
                <w:p>
                  <w:pPr>
                    <w:spacing w:line="276" w:lineRule="auto"/>
                    <w:jc w:val="center"/>
                    <w:rPr>
                      <w:sz w:val="21"/>
                      <w:szCs w:val="21"/>
                    </w:rPr>
                  </w:pPr>
                  <w:r>
                    <w:rPr>
                      <w:rFonts w:hint="eastAsia"/>
                      <w:sz w:val="21"/>
                      <w:szCs w:val="21"/>
                    </w:rPr>
                    <w:t>削减量（t/a）</w:t>
                  </w:r>
                </w:p>
              </w:tc>
              <w:tc>
                <w:tcPr>
                  <w:tcW w:w="991" w:type="dxa"/>
                  <w:vMerge w:val="restart"/>
                  <w:shd w:val="clear" w:color="auto" w:fill="auto"/>
                  <w:vAlign w:val="center"/>
                </w:tcPr>
                <w:p>
                  <w:pPr>
                    <w:spacing w:line="276" w:lineRule="auto"/>
                    <w:jc w:val="center"/>
                    <w:rPr>
                      <w:sz w:val="21"/>
                      <w:szCs w:val="21"/>
                    </w:rPr>
                  </w:pPr>
                  <w:r>
                    <w:rPr>
                      <w:rFonts w:hint="eastAsia"/>
                      <w:sz w:val="21"/>
                      <w:szCs w:val="21"/>
                    </w:rPr>
                    <w:t>排放量（t/a）</w:t>
                  </w:r>
                </w:p>
              </w:tc>
              <w:tc>
                <w:tcPr>
                  <w:tcW w:w="4075" w:type="dxa"/>
                  <w:gridSpan w:val="2"/>
                  <w:vAlign w:val="center"/>
                </w:tcPr>
                <w:p>
                  <w:pPr>
                    <w:spacing w:line="276" w:lineRule="auto"/>
                    <w:jc w:val="center"/>
                    <w:rPr>
                      <w:sz w:val="21"/>
                      <w:szCs w:val="21"/>
                    </w:rPr>
                  </w:pPr>
                  <w:r>
                    <w:rPr>
                      <w:sz w:val="21"/>
                      <w:szCs w:val="21"/>
                    </w:rPr>
                    <w:t>污染物</w:t>
                  </w:r>
                  <w:r>
                    <w:rPr>
                      <w:rFonts w:hint="eastAsia"/>
                      <w:sz w:val="21"/>
                      <w:szCs w:val="21"/>
                    </w:rPr>
                    <w:t>有组织</w:t>
                  </w:r>
                  <w:r>
                    <w:rPr>
                      <w:sz w:val="21"/>
                      <w:szCs w:val="21"/>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53" w:type="dxa"/>
                  <w:vMerge w:val="continue"/>
                  <w:vAlign w:val="center"/>
                </w:tcPr>
                <w:p>
                  <w:pPr>
                    <w:spacing w:line="276" w:lineRule="auto"/>
                    <w:jc w:val="center"/>
                    <w:rPr>
                      <w:sz w:val="21"/>
                      <w:szCs w:val="21"/>
                    </w:rPr>
                  </w:pPr>
                </w:p>
              </w:tc>
              <w:tc>
                <w:tcPr>
                  <w:tcW w:w="798" w:type="dxa"/>
                  <w:vMerge w:val="continue"/>
                  <w:vAlign w:val="center"/>
                </w:tcPr>
                <w:p>
                  <w:pPr>
                    <w:spacing w:line="276" w:lineRule="auto"/>
                    <w:jc w:val="center"/>
                    <w:rPr>
                      <w:sz w:val="21"/>
                      <w:szCs w:val="21"/>
                    </w:rPr>
                  </w:pPr>
                </w:p>
              </w:tc>
              <w:tc>
                <w:tcPr>
                  <w:tcW w:w="910" w:type="dxa"/>
                  <w:vMerge w:val="continue"/>
                  <w:shd w:val="clear" w:color="auto" w:fill="auto"/>
                  <w:vAlign w:val="center"/>
                </w:tcPr>
                <w:p>
                  <w:pPr>
                    <w:spacing w:line="276" w:lineRule="auto"/>
                    <w:jc w:val="center"/>
                    <w:rPr>
                      <w:sz w:val="21"/>
                      <w:szCs w:val="21"/>
                    </w:rPr>
                  </w:pPr>
                </w:p>
              </w:tc>
              <w:tc>
                <w:tcPr>
                  <w:tcW w:w="991" w:type="dxa"/>
                  <w:vMerge w:val="continue"/>
                  <w:shd w:val="clear" w:color="auto" w:fill="auto"/>
                  <w:vAlign w:val="center"/>
                </w:tcPr>
                <w:p>
                  <w:pPr>
                    <w:spacing w:line="276" w:lineRule="auto"/>
                    <w:jc w:val="center"/>
                    <w:rPr>
                      <w:sz w:val="21"/>
                      <w:szCs w:val="21"/>
                    </w:rPr>
                  </w:pPr>
                </w:p>
              </w:tc>
              <w:tc>
                <w:tcPr>
                  <w:tcW w:w="991" w:type="dxa"/>
                  <w:vMerge w:val="continue"/>
                  <w:shd w:val="clear" w:color="auto" w:fill="auto"/>
                  <w:vAlign w:val="center"/>
                </w:tcPr>
                <w:p>
                  <w:pPr>
                    <w:spacing w:line="276" w:lineRule="auto"/>
                    <w:jc w:val="center"/>
                    <w:rPr>
                      <w:sz w:val="21"/>
                      <w:szCs w:val="21"/>
                    </w:rPr>
                  </w:pPr>
                </w:p>
              </w:tc>
              <w:tc>
                <w:tcPr>
                  <w:tcW w:w="2057" w:type="dxa"/>
                  <w:vAlign w:val="center"/>
                </w:tcPr>
                <w:p>
                  <w:pPr>
                    <w:spacing w:line="276" w:lineRule="auto"/>
                    <w:jc w:val="center"/>
                    <w:rPr>
                      <w:sz w:val="21"/>
                      <w:szCs w:val="21"/>
                    </w:rPr>
                  </w:pPr>
                  <w:r>
                    <w:rPr>
                      <w:sz w:val="21"/>
                      <w:szCs w:val="21"/>
                    </w:rPr>
                    <w:t>速率(kg/h)</w:t>
                  </w:r>
                </w:p>
              </w:tc>
              <w:tc>
                <w:tcPr>
                  <w:tcW w:w="2018" w:type="dxa"/>
                  <w:shd w:val="clear" w:color="auto" w:fill="auto"/>
                  <w:vAlign w:val="center"/>
                </w:tcPr>
                <w:p>
                  <w:pPr>
                    <w:spacing w:line="276" w:lineRule="auto"/>
                    <w:jc w:val="center"/>
                    <w:rPr>
                      <w:sz w:val="21"/>
                      <w:szCs w:val="21"/>
                    </w:rPr>
                  </w:pPr>
                  <w:r>
                    <w:rPr>
                      <w:sz w:val="21"/>
                      <w:szCs w:val="21"/>
                    </w:rPr>
                    <w:t>浓度(mg/m</w:t>
                  </w:r>
                  <w:r>
                    <w:rPr>
                      <w:sz w:val="21"/>
                      <w:szCs w:val="21"/>
                      <w:vertAlign w:val="superscript"/>
                    </w:rPr>
                    <w:t>3</w:t>
                  </w:r>
                  <w:r>
                    <w:rPr>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853" w:type="dxa"/>
                  <w:vAlign w:val="center"/>
                </w:tcPr>
                <w:p>
                  <w:pPr>
                    <w:spacing w:line="276" w:lineRule="auto"/>
                    <w:jc w:val="center"/>
                    <w:rPr>
                      <w:sz w:val="21"/>
                      <w:szCs w:val="21"/>
                    </w:rPr>
                  </w:pPr>
                  <w:r>
                    <w:rPr>
                      <w:rFonts w:hint="eastAsia"/>
                      <w:sz w:val="21"/>
                      <w:szCs w:val="21"/>
                    </w:rPr>
                    <w:t>15m</w:t>
                  </w:r>
                </w:p>
              </w:tc>
              <w:tc>
                <w:tcPr>
                  <w:tcW w:w="798" w:type="dxa"/>
                  <w:vAlign w:val="center"/>
                </w:tcPr>
                <w:p>
                  <w:pPr>
                    <w:spacing w:line="276" w:lineRule="auto"/>
                    <w:jc w:val="center"/>
                    <w:rPr>
                      <w:sz w:val="21"/>
                      <w:szCs w:val="21"/>
                    </w:rPr>
                  </w:pPr>
                  <w:r>
                    <w:rPr>
                      <w:rFonts w:hint="eastAsia"/>
                      <w:sz w:val="21"/>
                      <w:szCs w:val="21"/>
                    </w:rPr>
                    <w:t>VOCs</w:t>
                  </w:r>
                </w:p>
              </w:tc>
              <w:tc>
                <w:tcPr>
                  <w:tcW w:w="910" w:type="dxa"/>
                  <w:shd w:val="clear" w:color="auto" w:fill="auto"/>
                  <w:vAlign w:val="center"/>
                </w:tcPr>
                <w:p>
                  <w:pPr>
                    <w:jc w:val="center"/>
                    <w:rPr>
                      <w:sz w:val="21"/>
                      <w:szCs w:val="21"/>
                    </w:rPr>
                  </w:pPr>
                  <w:r>
                    <w:rPr>
                      <w:rFonts w:hint="eastAsia"/>
                      <w:sz w:val="21"/>
                      <w:szCs w:val="21"/>
                    </w:rPr>
                    <w:t>0.132</w:t>
                  </w:r>
                </w:p>
              </w:tc>
              <w:tc>
                <w:tcPr>
                  <w:tcW w:w="991" w:type="dxa"/>
                  <w:shd w:val="clear" w:color="auto" w:fill="auto"/>
                  <w:vAlign w:val="center"/>
                </w:tcPr>
                <w:p>
                  <w:pPr>
                    <w:jc w:val="center"/>
                    <w:rPr>
                      <w:sz w:val="21"/>
                      <w:szCs w:val="21"/>
                    </w:rPr>
                  </w:pPr>
                  <w:r>
                    <w:rPr>
                      <w:rFonts w:hint="eastAsia"/>
                      <w:sz w:val="21"/>
                      <w:szCs w:val="21"/>
                    </w:rPr>
                    <w:t>0.119</w:t>
                  </w:r>
                </w:p>
              </w:tc>
              <w:tc>
                <w:tcPr>
                  <w:tcW w:w="991" w:type="dxa"/>
                  <w:shd w:val="clear" w:color="auto" w:fill="auto"/>
                  <w:vAlign w:val="center"/>
                </w:tcPr>
                <w:p>
                  <w:pPr>
                    <w:jc w:val="center"/>
                    <w:rPr>
                      <w:sz w:val="21"/>
                      <w:szCs w:val="21"/>
                    </w:rPr>
                  </w:pPr>
                  <w:r>
                    <w:rPr>
                      <w:rFonts w:hint="eastAsia"/>
                      <w:sz w:val="21"/>
                      <w:szCs w:val="21"/>
                    </w:rPr>
                    <w:t>0.013</w:t>
                  </w:r>
                </w:p>
              </w:tc>
              <w:tc>
                <w:tcPr>
                  <w:tcW w:w="2057" w:type="dxa"/>
                  <w:vAlign w:val="center"/>
                </w:tcPr>
                <w:p>
                  <w:pPr>
                    <w:jc w:val="center"/>
                    <w:rPr>
                      <w:sz w:val="21"/>
                      <w:szCs w:val="21"/>
                    </w:rPr>
                  </w:pPr>
                  <w:r>
                    <w:rPr>
                      <w:rFonts w:hint="eastAsia"/>
                      <w:sz w:val="21"/>
                      <w:szCs w:val="21"/>
                    </w:rPr>
                    <w:t>0.016（3.0）</w:t>
                  </w:r>
                </w:p>
              </w:tc>
              <w:tc>
                <w:tcPr>
                  <w:tcW w:w="2018" w:type="dxa"/>
                  <w:shd w:val="clear" w:color="auto" w:fill="auto"/>
                  <w:vAlign w:val="center"/>
                </w:tcPr>
                <w:p>
                  <w:pPr>
                    <w:spacing w:line="276" w:lineRule="auto"/>
                    <w:jc w:val="center"/>
                    <w:rPr>
                      <w:sz w:val="21"/>
                      <w:szCs w:val="21"/>
                    </w:rPr>
                  </w:pPr>
                  <w:r>
                    <w:rPr>
                      <w:rFonts w:hint="eastAsia"/>
                      <w:sz w:val="21"/>
                      <w:szCs w:val="21"/>
                    </w:rPr>
                    <w:t>6.50（20）</w:t>
                  </w:r>
                </w:p>
              </w:tc>
            </w:tr>
          </w:tbl>
          <w:p>
            <w:pPr>
              <w:spacing w:line="360" w:lineRule="auto"/>
              <w:ind w:firstLine="810" w:firstLineChars="450"/>
              <w:rPr>
                <w:sz w:val="18"/>
                <w:szCs w:val="18"/>
              </w:rPr>
            </w:pPr>
            <w:r>
              <w:rPr>
                <w:rFonts w:hint="eastAsia"/>
                <w:sz w:val="18"/>
                <w:szCs w:val="18"/>
              </w:rPr>
              <w:t>注：（）为执行标准限值。</w:t>
            </w:r>
          </w:p>
          <w:p>
            <w:pPr>
              <w:jc w:val="center"/>
              <w:rPr>
                <w:rFonts w:eastAsia="黑体"/>
                <w:sz w:val="24"/>
                <w:szCs w:val="24"/>
              </w:rPr>
            </w:pPr>
            <w:r>
              <w:rPr>
                <w:rFonts w:eastAsia="黑体"/>
                <w:sz w:val="24"/>
                <w:szCs w:val="24"/>
              </w:rPr>
              <w:t>表</w:t>
            </w:r>
            <w:r>
              <w:rPr>
                <w:rFonts w:hint="eastAsia" w:eastAsia="黑体"/>
                <w:sz w:val="24"/>
                <w:szCs w:val="24"/>
              </w:rPr>
              <w:t xml:space="preserve">21  </w:t>
            </w:r>
            <w:r>
              <w:rPr>
                <w:rFonts w:eastAsia="黑体"/>
                <w:sz w:val="24"/>
                <w:szCs w:val="24"/>
              </w:rPr>
              <w:t>废气排放情况</w:t>
            </w:r>
            <w:r>
              <w:rPr>
                <w:rFonts w:hint="eastAsia" w:eastAsia="黑体"/>
                <w:sz w:val="24"/>
                <w:szCs w:val="24"/>
              </w:rPr>
              <w:t>（无组织）</w:t>
            </w:r>
          </w:p>
          <w:tbl>
            <w:tblPr>
              <w:tblStyle w:val="26"/>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2"/>
              <w:gridCol w:w="2873"/>
              <w:gridCol w:w="28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2872" w:type="dxa"/>
                  <w:vAlign w:val="center"/>
                </w:tcPr>
                <w:p>
                  <w:pPr>
                    <w:spacing w:line="276" w:lineRule="auto"/>
                    <w:jc w:val="center"/>
                    <w:rPr>
                      <w:sz w:val="21"/>
                      <w:szCs w:val="21"/>
                    </w:rPr>
                  </w:pPr>
                  <w:r>
                    <w:rPr>
                      <w:rFonts w:hint="eastAsia"/>
                      <w:sz w:val="21"/>
                      <w:szCs w:val="21"/>
                    </w:rPr>
                    <w:t>工序</w:t>
                  </w:r>
                </w:p>
              </w:tc>
              <w:tc>
                <w:tcPr>
                  <w:tcW w:w="2873" w:type="dxa"/>
                  <w:vAlign w:val="center"/>
                </w:tcPr>
                <w:p>
                  <w:pPr>
                    <w:spacing w:line="276" w:lineRule="auto"/>
                    <w:jc w:val="center"/>
                    <w:rPr>
                      <w:sz w:val="21"/>
                      <w:szCs w:val="21"/>
                    </w:rPr>
                  </w:pPr>
                  <w:r>
                    <w:rPr>
                      <w:sz w:val="21"/>
                      <w:szCs w:val="21"/>
                    </w:rPr>
                    <w:t>污染物</w:t>
                  </w:r>
                </w:p>
              </w:tc>
              <w:tc>
                <w:tcPr>
                  <w:tcW w:w="2873" w:type="dxa"/>
                  <w:shd w:val="clear" w:color="auto" w:fill="auto"/>
                  <w:vAlign w:val="center"/>
                </w:tcPr>
                <w:p>
                  <w:pPr>
                    <w:spacing w:line="276" w:lineRule="auto"/>
                    <w:jc w:val="center"/>
                    <w:rPr>
                      <w:sz w:val="21"/>
                      <w:szCs w:val="21"/>
                    </w:rPr>
                  </w:pPr>
                  <w:r>
                    <w:rPr>
                      <w:rFonts w:hint="eastAsia"/>
                      <w:sz w:val="21"/>
                      <w:szCs w:val="21"/>
                    </w:rPr>
                    <w:t>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2872" w:type="dxa"/>
                  <w:vAlign w:val="center"/>
                </w:tcPr>
                <w:p>
                  <w:pPr>
                    <w:spacing w:line="276" w:lineRule="auto"/>
                    <w:jc w:val="center"/>
                    <w:rPr>
                      <w:sz w:val="21"/>
                      <w:szCs w:val="21"/>
                    </w:rPr>
                  </w:pPr>
                  <w:r>
                    <w:rPr>
                      <w:rFonts w:hint="eastAsia"/>
                      <w:sz w:val="21"/>
                      <w:szCs w:val="21"/>
                    </w:rPr>
                    <w:t>封边固化废气</w:t>
                  </w:r>
                </w:p>
              </w:tc>
              <w:tc>
                <w:tcPr>
                  <w:tcW w:w="2873" w:type="dxa"/>
                  <w:vAlign w:val="center"/>
                </w:tcPr>
                <w:p>
                  <w:pPr>
                    <w:spacing w:line="276" w:lineRule="auto"/>
                    <w:jc w:val="center"/>
                    <w:rPr>
                      <w:sz w:val="21"/>
                      <w:szCs w:val="21"/>
                    </w:rPr>
                  </w:pPr>
                  <w:r>
                    <w:rPr>
                      <w:rFonts w:hint="eastAsia"/>
                      <w:sz w:val="21"/>
                      <w:szCs w:val="21"/>
                    </w:rPr>
                    <w:t>VOCs</w:t>
                  </w:r>
                </w:p>
              </w:tc>
              <w:tc>
                <w:tcPr>
                  <w:tcW w:w="2873" w:type="dxa"/>
                  <w:shd w:val="clear" w:color="auto" w:fill="auto"/>
                  <w:vAlign w:val="center"/>
                </w:tcPr>
                <w:p>
                  <w:pPr>
                    <w:jc w:val="center"/>
                    <w:rPr>
                      <w:sz w:val="21"/>
                      <w:szCs w:val="21"/>
                    </w:rPr>
                  </w:pPr>
                  <w:r>
                    <w:rPr>
                      <w:rFonts w:hint="eastAsia"/>
                      <w:sz w:val="21"/>
                      <w:szCs w:val="21"/>
                    </w:rPr>
                    <w:t>0.015</w:t>
                  </w:r>
                </w:p>
              </w:tc>
            </w:tr>
          </w:tbl>
          <w:p>
            <w:pPr>
              <w:spacing w:line="360" w:lineRule="auto"/>
              <w:ind w:firstLine="480" w:firstLineChars="200"/>
              <w:rPr>
                <w:sz w:val="24"/>
                <w:szCs w:val="24"/>
              </w:rPr>
            </w:pPr>
            <w:r>
              <w:rPr>
                <w:sz w:val="24"/>
                <w:szCs w:val="24"/>
              </w:rPr>
              <w:t>根据</w:t>
            </w:r>
            <w:r>
              <w:rPr>
                <w:rFonts w:hint="eastAsia"/>
                <w:sz w:val="24"/>
                <w:szCs w:val="24"/>
              </w:rPr>
              <w:t>以上结果</w:t>
            </w:r>
            <w:r>
              <w:rPr>
                <w:sz w:val="24"/>
                <w:szCs w:val="24"/>
              </w:rPr>
              <w:t>可知，</w:t>
            </w:r>
            <w:r>
              <w:rPr>
                <w:rFonts w:hint="eastAsia"/>
                <w:sz w:val="24"/>
                <w:szCs w:val="24"/>
              </w:rPr>
              <w:t>本项目</w:t>
            </w:r>
            <w:r>
              <w:rPr>
                <w:sz w:val="24"/>
                <w:szCs w:val="24"/>
              </w:rPr>
              <w:t>废气主要污染物</w:t>
            </w:r>
            <w:r>
              <w:rPr>
                <w:rFonts w:hint="eastAsia"/>
                <w:sz w:val="24"/>
                <w:szCs w:val="24"/>
              </w:rPr>
              <w:t>VOCs</w:t>
            </w:r>
            <w:r>
              <w:rPr>
                <w:sz w:val="24"/>
                <w:szCs w:val="24"/>
              </w:rPr>
              <w:t>的排放浓度和排放速率均可满足</w:t>
            </w:r>
            <w:r>
              <w:rPr>
                <w:rFonts w:hint="eastAsia"/>
                <w:sz w:val="24"/>
                <w:szCs w:val="24"/>
              </w:rPr>
              <w:t>《挥发性有机物排放标准第7部分：其他行业》</w:t>
            </w:r>
            <w:r>
              <w:rPr>
                <w:rFonts w:hint="eastAsia"/>
                <w:sz w:val="24"/>
              </w:rPr>
              <w:t>（DB37/2801.7-2019）表1和表2</w:t>
            </w:r>
            <w:r>
              <w:rPr>
                <w:sz w:val="24"/>
              </w:rPr>
              <w:t>标准限值</w:t>
            </w:r>
            <w:r>
              <w:rPr>
                <w:sz w:val="24"/>
                <w:szCs w:val="24"/>
              </w:rPr>
              <w:t>。</w:t>
            </w:r>
            <w:r>
              <w:rPr>
                <w:rFonts w:hint="eastAsia"/>
                <w:sz w:val="24"/>
                <w:szCs w:val="24"/>
              </w:rPr>
              <w:t>废气中VOCs有组织和无组织排放量分别为0.013t/a和0.015t/a，合计0.028t/a。</w:t>
            </w:r>
          </w:p>
          <w:p>
            <w:pPr>
              <w:spacing w:line="360" w:lineRule="auto"/>
              <w:ind w:firstLine="480" w:firstLineChars="200"/>
              <w:jc w:val="left"/>
              <w:rPr>
                <w:rFonts w:eastAsia="黑体"/>
                <w:sz w:val="24"/>
              </w:rPr>
            </w:pPr>
            <w:r>
              <w:rPr>
                <w:rFonts w:eastAsia="黑体"/>
                <w:sz w:val="24"/>
              </w:rPr>
              <w:t>2、废水</w:t>
            </w:r>
          </w:p>
          <w:p>
            <w:pPr>
              <w:pStyle w:val="107"/>
              <w:ind w:firstLine="480"/>
            </w:pPr>
            <w:r>
              <w:rPr>
                <w:rFonts w:hint="eastAsia"/>
              </w:rPr>
              <w:t>项目营运期废水主要包括玻璃清洗废水、制纯水浓水和生活污水。</w:t>
            </w:r>
          </w:p>
          <w:p>
            <w:pPr>
              <w:spacing w:line="360" w:lineRule="auto"/>
              <w:ind w:firstLine="480" w:firstLineChars="200"/>
              <w:textAlignment w:val="baseline"/>
              <w:rPr>
                <w:kern w:val="0"/>
                <w:sz w:val="24"/>
              </w:rPr>
            </w:pPr>
            <w:r>
              <w:rPr>
                <w:rFonts w:hint="eastAsia"/>
                <w:kern w:val="0"/>
                <w:sz w:val="24"/>
              </w:rPr>
              <w:t>（1）玻璃清洗废水</w:t>
            </w:r>
          </w:p>
          <w:p>
            <w:pPr>
              <w:spacing w:line="360" w:lineRule="auto"/>
              <w:ind w:firstLine="480" w:firstLineChars="200"/>
              <w:textAlignment w:val="baseline"/>
              <w:rPr>
                <w:snapToGrid w:val="0"/>
                <w:color w:val="000000"/>
                <w:kern w:val="0"/>
                <w:sz w:val="24"/>
                <w:szCs w:val="24"/>
              </w:rPr>
            </w:pPr>
            <w:r>
              <w:rPr>
                <w:rFonts w:hint="eastAsia"/>
                <w:snapToGrid w:val="0"/>
                <w:color w:val="000000"/>
                <w:kern w:val="0"/>
                <w:sz w:val="24"/>
                <w:szCs w:val="24"/>
              </w:rPr>
              <w:t>本项目清洗水不添加任何添加剂，废水排放量为252 t/a，主要污染因子是SS，经静置沉淀后，</w:t>
            </w:r>
            <w:r>
              <w:rPr>
                <w:snapToGrid w:val="0"/>
                <w:color w:val="000000"/>
                <w:kern w:val="0"/>
                <w:sz w:val="24"/>
                <w:szCs w:val="24"/>
              </w:rPr>
              <w:t>能够达到</w:t>
            </w:r>
            <w:r>
              <w:rPr>
                <w:sz w:val="24"/>
                <w:szCs w:val="24"/>
              </w:rPr>
              <w:t>《污水排入城镇下水道水质标准》（GB/T31962-2015）表1中B</w:t>
            </w:r>
            <w:r>
              <w:rPr>
                <w:snapToGrid w:val="0"/>
                <w:color w:val="000000"/>
                <w:kern w:val="0"/>
                <w:sz w:val="24"/>
                <w:szCs w:val="24"/>
              </w:rPr>
              <w:t>等级标准，</w:t>
            </w:r>
            <w:r>
              <w:rPr>
                <w:rFonts w:hint="eastAsia"/>
                <w:snapToGrid w:val="0"/>
                <w:color w:val="000000"/>
                <w:kern w:val="0"/>
                <w:sz w:val="24"/>
                <w:szCs w:val="24"/>
              </w:rPr>
              <w:t>最终由污水管网进</w:t>
            </w:r>
            <w:r>
              <w:rPr>
                <w:rFonts w:hint="eastAsia"/>
                <w:color w:val="000000"/>
                <w:sz w:val="24"/>
              </w:rPr>
              <w:t>临港区污水处理厂</w:t>
            </w:r>
            <w:r>
              <w:rPr>
                <w:rFonts w:hint="eastAsia"/>
                <w:snapToGrid w:val="0"/>
                <w:color w:val="000000"/>
                <w:kern w:val="0"/>
                <w:sz w:val="24"/>
                <w:szCs w:val="24"/>
              </w:rPr>
              <w:t>处理。</w:t>
            </w:r>
          </w:p>
          <w:p>
            <w:pPr>
              <w:pStyle w:val="107"/>
              <w:ind w:firstLine="480"/>
            </w:pPr>
            <w:r>
              <w:rPr>
                <w:rFonts w:hint="eastAsia"/>
                <w:snapToGrid w:val="0"/>
                <w:color w:val="000000"/>
                <w:szCs w:val="24"/>
              </w:rPr>
              <w:t>（2）</w:t>
            </w:r>
            <w:r>
              <w:rPr>
                <w:rFonts w:hint="eastAsia"/>
              </w:rPr>
              <w:t>制纯水浓水</w:t>
            </w:r>
          </w:p>
          <w:p>
            <w:pPr>
              <w:pStyle w:val="107"/>
              <w:ind w:firstLine="480"/>
            </w:pPr>
            <w:r>
              <w:rPr>
                <w:rFonts w:hint="eastAsia"/>
                <w:szCs w:val="24"/>
              </w:rPr>
              <w:t>项目制纯水过程产生浓水120t/a，属于清净下水，排入市政污水管网。</w:t>
            </w:r>
          </w:p>
          <w:p>
            <w:pPr>
              <w:spacing w:line="360" w:lineRule="auto"/>
              <w:ind w:firstLine="480" w:firstLineChars="200"/>
              <w:textAlignment w:val="baseline"/>
              <w:rPr>
                <w:snapToGrid w:val="0"/>
                <w:color w:val="000000"/>
                <w:kern w:val="0"/>
                <w:sz w:val="24"/>
                <w:szCs w:val="24"/>
              </w:rPr>
            </w:pPr>
            <w:r>
              <w:rPr>
                <w:rFonts w:hint="eastAsia"/>
                <w:snapToGrid w:val="0"/>
                <w:color w:val="000000"/>
                <w:kern w:val="0"/>
                <w:sz w:val="24"/>
                <w:szCs w:val="24"/>
              </w:rPr>
              <w:t>（3）生活污水</w:t>
            </w:r>
          </w:p>
          <w:p>
            <w:pPr>
              <w:spacing w:line="360" w:lineRule="auto"/>
              <w:ind w:firstLine="480" w:firstLineChars="200"/>
              <w:textAlignment w:val="baseline"/>
              <w:rPr>
                <w:snapToGrid w:val="0"/>
                <w:color w:val="000000"/>
                <w:kern w:val="0"/>
                <w:sz w:val="24"/>
                <w:szCs w:val="24"/>
              </w:rPr>
            </w:pPr>
            <w:r>
              <w:rPr>
                <w:rFonts w:hint="eastAsia"/>
                <w:snapToGrid w:val="0"/>
                <w:color w:val="000000"/>
                <w:kern w:val="0"/>
                <w:sz w:val="24"/>
                <w:szCs w:val="24"/>
              </w:rPr>
              <w:t>项目生活</w:t>
            </w:r>
            <w:r>
              <w:rPr>
                <w:snapToGrid w:val="0"/>
                <w:color w:val="000000"/>
                <w:kern w:val="0"/>
                <w:sz w:val="24"/>
                <w:szCs w:val="24"/>
              </w:rPr>
              <w:t>污水</w:t>
            </w:r>
            <w:r>
              <w:rPr>
                <w:rFonts w:hint="eastAsia"/>
                <w:snapToGrid w:val="0"/>
                <w:color w:val="000000"/>
                <w:kern w:val="0"/>
                <w:sz w:val="24"/>
                <w:szCs w:val="24"/>
              </w:rPr>
              <w:t>产生量为240t/a，生活废水成分简单，</w:t>
            </w:r>
            <w:r>
              <w:rPr>
                <w:snapToGrid w:val="0"/>
                <w:color w:val="000000"/>
                <w:kern w:val="0"/>
                <w:sz w:val="24"/>
                <w:szCs w:val="24"/>
              </w:rPr>
              <w:t>主要</w:t>
            </w:r>
            <w:r>
              <w:rPr>
                <w:rFonts w:hint="eastAsia"/>
                <w:snapToGrid w:val="0"/>
                <w:color w:val="000000"/>
                <w:kern w:val="0"/>
                <w:sz w:val="24"/>
                <w:szCs w:val="24"/>
              </w:rPr>
              <w:t>含有</w:t>
            </w:r>
            <w:r>
              <w:rPr>
                <w:snapToGrid w:val="0"/>
                <w:color w:val="000000"/>
                <w:kern w:val="0"/>
                <w:sz w:val="24"/>
                <w:szCs w:val="24"/>
              </w:rPr>
              <w:t>COD</w:t>
            </w:r>
            <w:r>
              <w:rPr>
                <w:rFonts w:hint="eastAsia"/>
                <w:snapToGrid w:val="0"/>
                <w:color w:val="000000"/>
                <w:kern w:val="0"/>
                <w:sz w:val="24"/>
                <w:szCs w:val="24"/>
              </w:rPr>
              <w:t>和氨氮，其产生浓度分别为COD：350mg/l、氨氮：35mg/l，</w:t>
            </w:r>
            <w:r>
              <w:rPr>
                <w:snapToGrid w:val="0"/>
                <w:color w:val="000000"/>
                <w:kern w:val="0"/>
                <w:sz w:val="24"/>
                <w:szCs w:val="24"/>
              </w:rPr>
              <w:t>能够达到</w:t>
            </w:r>
            <w:r>
              <w:rPr>
                <w:sz w:val="24"/>
                <w:szCs w:val="24"/>
              </w:rPr>
              <w:t>《污水排入城镇下水道水质标准》（GB/T31962-2015）表1中B</w:t>
            </w:r>
            <w:r>
              <w:rPr>
                <w:snapToGrid w:val="0"/>
                <w:color w:val="000000"/>
                <w:kern w:val="0"/>
                <w:sz w:val="24"/>
                <w:szCs w:val="24"/>
              </w:rPr>
              <w:t>等级标准，</w:t>
            </w:r>
            <w:r>
              <w:rPr>
                <w:rFonts w:hint="eastAsia"/>
                <w:snapToGrid w:val="0"/>
                <w:color w:val="000000"/>
                <w:kern w:val="0"/>
                <w:sz w:val="24"/>
                <w:szCs w:val="24"/>
              </w:rPr>
              <w:t>最终由污水管网进</w:t>
            </w:r>
            <w:r>
              <w:rPr>
                <w:rFonts w:hint="eastAsia"/>
                <w:color w:val="000000"/>
                <w:sz w:val="24"/>
              </w:rPr>
              <w:t>临港区污水处理厂</w:t>
            </w:r>
            <w:r>
              <w:rPr>
                <w:rFonts w:hint="eastAsia"/>
                <w:snapToGrid w:val="0"/>
                <w:color w:val="000000"/>
                <w:kern w:val="0"/>
                <w:sz w:val="24"/>
                <w:szCs w:val="24"/>
              </w:rPr>
              <w:t>处理。</w:t>
            </w:r>
          </w:p>
          <w:p>
            <w:pPr>
              <w:spacing w:line="360" w:lineRule="auto"/>
              <w:ind w:firstLine="482"/>
              <w:jc w:val="left"/>
              <w:textAlignment w:val="baseline"/>
              <w:rPr>
                <w:rFonts w:hAnsi="Arial"/>
                <w:color w:val="000000"/>
                <w:sz w:val="24"/>
                <w:szCs w:val="24"/>
              </w:rPr>
            </w:pPr>
            <w:r>
              <w:rPr>
                <w:rFonts w:hint="eastAsia"/>
                <w:snapToGrid w:val="0"/>
                <w:color w:val="000000"/>
                <w:kern w:val="0"/>
                <w:sz w:val="24"/>
                <w:szCs w:val="24"/>
              </w:rPr>
              <w:t>项目</w:t>
            </w:r>
            <w:r>
              <w:rPr>
                <w:rFonts w:hint="eastAsia" w:hAnsi="Arial"/>
                <w:color w:val="000000"/>
                <w:sz w:val="24"/>
                <w:szCs w:val="24"/>
              </w:rPr>
              <w:t>玻璃清洗废水、</w:t>
            </w:r>
            <w:r>
              <w:rPr>
                <w:rFonts w:hAnsi="Arial"/>
                <w:color w:val="000000"/>
                <w:sz w:val="24"/>
                <w:szCs w:val="24"/>
              </w:rPr>
              <w:t>生活污水</w:t>
            </w:r>
            <w:r>
              <w:rPr>
                <w:rFonts w:hint="eastAsia" w:hAnsi="Arial"/>
                <w:color w:val="000000"/>
                <w:sz w:val="24"/>
                <w:szCs w:val="24"/>
              </w:rPr>
              <w:t>和制纯水浓水均排入市政管网，在厂区口混合形成的综合废水</w:t>
            </w:r>
            <w:r>
              <w:rPr>
                <w:rFonts w:hAnsi="Arial"/>
                <w:color w:val="000000"/>
                <w:sz w:val="24"/>
                <w:szCs w:val="24"/>
              </w:rPr>
              <w:t>，</w:t>
            </w:r>
            <w:r>
              <w:rPr>
                <w:rFonts w:hint="eastAsia" w:hAnsi="Arial"/>
                <w:color w:val="000000"/>
                <w:sz w:val="24"/>
                <w:szCs w:val="24"/>
              </w:rPr>
              <w:t>总排放量为612t/a，</w:t>
            </w:r>
            <w:r>
              <w:rPr>
                <w:snapToGrid w:val="0"/>
                <w:color w:val="000000"/>
                <w:kern w:val="0"/>
                <w:sz w:val="24"/>
                <w:szCs w:val="24"/>
              </w:rPr>
              <w:t>主要</w:t>
            </w:r>
            <w:r>
              <w:rPr>
                <w:rFonts w:hint="eastAsia"/>
                <w:snapToGrid w:val="0"/>
                <w:color w:val="000000"/>
                <w:kern w:val="0"/>
                <w:sz w:val="24"/>
                <w:szCs w:val="24"/>
              </w:rPr>
              <w:t>含有</w:t>
            </w:r>
            <w:r>
              <w:rPr>
                <w:snapToGrid w:val="0"/>
                <w:color w:val="000000"/>
                <w:kern w:val="0"/>
                <w:sz w:val="24"/>
                <w:szCs w:val="24"/>
              </w:rPr>
              <w:t>COD</w:t>
            </w:r>
            <w:r>
              <w:rPr>
                <w:rFonts w:hint="eastAsia"/>
                <w:snapToGrid w:val="0"/>
                <w:color w:val="000000"/>
                <w:kern w:val="0"/>
                <w:sz w:val="24"/>
                <w:szCs w:val="24"/>
              </w:rPr>
              <w:t>、氨氮和SS，其排放浓度和排放量分别为COD：200mg/l、0.12t/a；氨氮：20mg/l、0.01t/a；SS：100mg/l、0.06t/a；</w:t>
            </w:r>
            <w:r>
              <w:rPr>
                <w:rFonts w:hAnsi="Arial"/>
                <w:color w:val="000000"/>
                <w:sz w:val="24"/>
                <w:szCs w:val="24"/>
              </w:rPr>
              <w:t>经污水管网输送至威海水务投资有限责任公司</w:t>
            </w:r>
            <w:r>
              <w:rPr>
                <w:rFonts w:hint="eastAsia" w:hAnsi="Arial"/>
                <w:color w:val="000000"/>
                <w:sz w:val="24"/>
                <w:szCs w:val="24"/>
              </w:rPr>
              <w:t>临港</w:t>
            </w:r>
            <w:r>
              <w:rPr>
                <w:rFonts w:hAnsi="Arial"/>
                <w:color w:val="000000"/>
                <w:sz w:val="24"/>
                <w:szCs w:val="24"/>
              </w:rPr>
              <w:t>区污水处理厂集中处理</w:t>
            </w:r>
            <w:r>
              <w:rPr>
                <w:rFonts w:hint="eastAsia" w:hAnsi="Arial"/>
                <w:color w:val="000000"/>
                <w:sz w:val="24"/>
                <w:szCs w:val="24"/>
              </w:rPr>
              <w:t>，</w:t>
            </w:r>
            <w:r>
              <w:rPr>
                <w:rFonts w:hint="eastAsia"/>
                <w:snapToGrid w:val="0"/>
                <w:color w:val="000000"/>
                <w:kern w:val="0"/>
                <w:sz w:val="24"/>
                <w:szCs w:val="24"/>
              </w:rPr>
              <w:t>经污水处理厂处理后</w:t>
            </w:r>
            <w:r>
              <w:rPr>
                <w:snapToGrid w:val="0"/>
                <w:color w:val="000000"/>
                <w:kern w:val="0"/>
                <w:sz w:val="24"/>
                <w:szCs w:val="24"/>
              </w:rPr>
              <w:t>COD</w:t>
            </w:r>
            <w:r>
              <w:rPr>
                <w:rFonts w:hint="eastAsia"/>
                <w:snapToGrid w:val="0"/>
                <w:color w:val="000000"/>
                <w:kern w:val="0"/>
                <w:sz w:val="24"/>
                <w:szCs w:val="24"/>
              </w:rPr>
              <w:t>浓度为</w:t>
            </w:r>
            <w:r>
              <w:rPr>
                <w:snapToGrid w:val="0"/>
                <w:color w:val="000000"/>
                <w:kern w:val="0"/>
                <w:sz w:val="24"/>
                <w:szCs w:val="24"/>
              </w:rPr>
              <w:t>50mg/L</w:t>
            </w:r>
            <w:r>
              <w:rPr>
                <w:rFonts w:hint="eastAsia"/>
                <w:snapToGrid w:val="0"/>
                <w:color w:val="000000"/>
                <w:kern w:val="0"/>
                <w:sz w:val="24"/>
                <w:szCs w:val="24"/>
              </w:rPr>
              <w:t>、数量为0.03</w:t>
            </w:r>
            <w:r>
              <w:rPr>
                <w:snapToGrid w:val="0"/>
                <w:color w:val="000000"/>
                <w:kern w:val="0"/>
                <w:sz w:val="24"/>
                <w:szCs w:val="24"/>
              </w:rPr>
              <w:t>t/a</w:t>
            </w:r>
            <w:r>
              <w:rPr>
                <w:rFonts w:hint="eastAsia"/>
                <w:snapToGrid w:val="0"/>
                <w:color w:val="000000"/>
                <w:kern w:val="0"/>
                <w:sz w:val="24"/>
                <w:szCs w:val="24"/>
              </w:rPr>
              <w:t>，氨氮浓度为</w:t>
            </w:r>
            <w:r>
              <w:rPr>
                <w:snapToGrid w:val="0"/>
                <w:color w:val="000000"/>
                <w:kern w:val="0"/>
                <w:sz w:val="24"/>
                <w:szCs w:val="24"/>
              </w:rPr>
              <w:t>6.25mg/L</w:t>
            </w:r>
            <w:r>
              <w:rPr>
                <w:rFonts w:hint="eastAsia"/>
                <w:snapToGrid w:val="0"/>
                <w:color w:val="000000"/>
                <w:kern w:val="0"/>
                <w:sz w:val="24"/>
                <w:szCs w:val="24"/>
              </w:rPr>
              <w:t>（夏季5</w:t>
            </w:r>
            <w:r>
              <w:rPr>
                <w:snapToGrid w:val="0"/>
                <w:color w:val="000000"/>
                <w:kern w:val="0"/>
                <w:sz w:val="24"/>
                <w:szCs w:val="24"/>
              </w:rPr>
              <w:t>mg/L</w:t>
            </w:r>
            <w:r>
              <w:rPr>
                <w:rFonts w:hint="eastAsia"/>
                <w:snapToGrid w:val="0"/>
                <w:color w:val="000000"/>
                <w:kern w:val="0"/>
                <w:sz w:val="24"/>
                <w:szCs w:val="24"/>
              </w:rPr>
              <w:t>、冬季8</w:t>
            </w:r>
            <w:r>
              <w:rPr>
                <w:snapToGrid w:val="0"/>
                <w:color w:val="000000"/>
                <w:kern w:val="0"/>
                <w:sz w:val="24"/>
                <w:szCs w:val="24"/>
              </w:rPr>
              <w:t>mg/L</w:t>
            </w:r>
            <w:r>
              <w:rPr>
                <w:rFonts w:hint="eastAsia"/>
                <w:snapToGrid w:val="0"/>
                <w:color w:val="000000"/>
                <w:kern w:val="0"/>
                <w:sz w:val="24"/>
                <w:szCs w:val="24"/>
              </w:rPr>
              <w:t>）、数量为0.004</w:t>
            </w:r>
            <w:r>
              <w:rPr>
                <w:snapToGrid w:val="0"/>
                <w:color w:val="000000"/>
                <w:kern w:val="0"/>
                <w:sz w:val="24"/>
                <w:szCs w:val="24"/>
              </w:rPr>
              <w:t>t/a</w:t>
            </w:r>
            <w:r>
              <w:rPr>
                <w:rFonts w:hint="eastAsia"/>
                <w:snapToGrid w:val="0"/>
                <w:color w:val="000000"/>
                <w:kern w:val="0"/>
                <w:sz w:val="24"/>
                <w:szCs w:val="24"/>
              </w:rPr>
              <w:t>，达到《城镇污水处理厂污染物排放标准》（</w:t>
            </w:r>
            <w:r>
              <w:rPr>
                <w:snapToGrid w:val="0"/>
                <w:color w:val="000000"/>
                <w:kern w:val="0"/>
                <w:sz w:val="24"/>
                <w:szCs w:val="24"/>
              </w:rPr>
              <w:t>GB18918-2002</w:t>
            </w:r>
            <w:r>
              <w:rPr>
                <w:rFonts w:hint="eastAsia"/>
                <w:snapToGrid w:val="0"/>
                <w:color w:val="000000"/>
                <w:kern w:val="0"/>
                <w:sz w:val="24"/>
                <w:szCs w:val="24"/>
              </w:rPr>
              <w:t>）一级</w:t>
            </w:r>
            <w:r>
              <w:rPr>
                <w:snapToGrid w:val="0"/>
                <w:color w:val="000000"/>
                <w:kern w:val="0"/>
                <w:sz w:val="24"/>
                <w:szCs w:val="24"/>
              </w:rPr>
              <w:t>A</w:t>
            </w:r>
            <w:r>
              <w:rPr>
                <w:rFonts w:hint="eastAsia"/>
                <w:snapToGrid w:val="0"/>
                <w:color w:val="000000"/>
                <w:kern w:val="0"/>
                <w:sz w:val="24"/>
                <w:szCs w:val="24"/>
              </w:rPr>
              <w:t>标准后排放。</w:t>
            </w:r>
          </w:p>
          <w:p>
            <w:pPr>
              <w:spacing w:line="460" w:lineRule="exact"/>
              <w:ind w:firstLine="480" w:firstLineChars="200"/>
              <w:textAlignment w:val="baseline"/>
              <w:rPr>
                <w:snapToGrid w:val="0"/>
                <w:color w:val="000000"/>
                <w:kern w:val="0"/>
                <w:sz w:val="24"/>
                <w:szCs w:val="24"/>
              </w:rPr>
            </w:pPr>
            <w:r>
              <w:rPr>
                <w:rFonts w:hint="eastAsia"/>
                <w:snapToGrid w:val="0"/>
                <w:color w:val="000000"/>
                <w:kern w:val="0"/>
                <w:sz w:val="24"/>
                <w:szCs w:val="24"/>
              </w:rPr>
              <w:t>该项目废水排放量及排放情况见表22。</w:t>
            </w:r>
          </w:p>
          <w:p>
            <w:pPr>
              <w:adjustRightInd w:val="0"/>
              <w:spacing w:line="480" w:lineRule="exact"/>
              <w:jc w:val="center"/>
              <w:rPr>
                <w:rFonts w:eastAsia="黑体"/>
                <w:color w:val="000000"/>
                <w:sz w:val="24"/>
                <w:szCs w:val="24"/>
              </w:rPr>
            </w:pPr>
            <w:r>
              <w:rPr>
                <w:rFonts w:eastAsia="黑体"/>
                <w:color w:val="000000"/>
                <w:sz w:val="24"/>
                <w:szCs w:val="24"/>
              </w:rPr>
              <w:t>表</w:t>
            </w:r>
            <w:r>
              <w:rPr>
                <w:rFonts w:hint="eastAsia" w:eastAsia="黑体"/>
                <w:color w:val="000000"/>
                <w:sz w:val="24"/>
                <w:szCs w:val="24"/>
              </w:rPr>
              <w:t xml:space="preserve">22 </w:t>
            </w:r>
            <w:r>
              <w:rPr>
                <w:rFonts w:eastAsia="黑体"/>
                <w:color w:val="000000"/>
                <w:sz w:val="24"/>
                <w:szCs w:val="24"/>
              </w:rPr>
              <w:t>项目污水排放情况表</w:t>
            </w:r>
          </w:p>
          <w:tbl>
            <w:tblPr>
              <w:tblStyle w:val="26"/>
              <w:tblW w:w="8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51"/>
              <w:gridCol w:w="2428"/>
              <w:gridCol w:w="2565"/>
              <w:gridCol w:w="15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051" w:type="dxa"/>
                  <w:vAlign w:val="center"/>
                </w:tcPr>
                <w:p>
                  <w:pPr>
                    <w:adjustRightInd w:val="0"/>
                    <w:jc w:val="center"/>
                    <w:rPr>
                      <w:color w:val="000000"/>
                      <w:sz w:val="21"/>
                      <w:szCs w:val="21"/>
                    </w:rPr>
                  </w:pPr>
                  <w:r>
                    <w:rPr>
                      <w:rFonts w:hint="eastAsia"/>
                      <w:color w:val="000000"/>
                      <w:sz w:val="21"/>
                      <w:szCs w:val="21"/>
                    </w:rPr>
                    <w:t>污水排放量</w:t>
                  </w:r>
                </w:p>
                <w:p>
                  <w:pPr>
                    <w:adjustRightInd w:val="0"/>
                    <w:jc w:val="center"/>
                    <w:rPr>
                      <w:color w:val="000000"/>
                      <w:sz w:val="21"/>
                      <w:szCs w:val="21"/>
                    </w:rPr>
                  </w:pPr>
                  <w:r>
                    <w:rPr>
                      <w:rFonts w:hint="eastAsia"/>
                      <w:color w:val="000000"/>
                      <w:sz w:val="21"/>
                      <w:szCs w:val="21"/>
                    </w:rPr>
                    <w:t>（纳管量）</w:t>
                  </w:r>
                </w:p>
              </w:tc>
              <w:tc>
                <w:tcPr>
                  <w:tcW w:w="6573" w:type="dxa"/>
                  <w:gridSpan w:val="3"/>
                  <w:vAlign w:val="center"/>
                </w:tcPr>
                <w:p>
                  <w:pPr>
                    <w:adjustRightInd w:val="0"/>
                    <w:jc w:val="center"/>
                    <w:rPr>
                      <w:color w:val="000000"/>
                      <w:sz w:val="21"/>
                      <w:szCs w:val="21"/>
                    </w:rPr>
                  </w:pPr>
                  <w:r>
                    <w:rPr>
                      <w:rFonts w:hint="eastAsia"/>
                      <w:color w:val="000000"/>
                      <w:sz w:val="21"/>
                      <w:szCs w:val="21"/>
                    </w:rPr>
                    <w:t>污水排放浓度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2051" w:type="dxa"/>
                  <w:vMerge w:val="restart"/>
                  <w:vAlign w:val="center"/>
                </w:tcPr>
                <w:p>
                  <w:pPr>
                    <w:adjustRightInd w:val="0"/>
                    <w:jc w:val="center"/>
                    <w:rPr>
                      <w:color w:val="000000"/>
                      <w:sz w:val="21"/>
                      <w:szCs w:val="21"/>
                    </w:rPr>
                  </w:pPr>
                  <w:r>
                    <w:rPr>
                      <w:rFonts w:hint="eastAsia"/>
                      <w:color w:val="000000"/>
                      <w:sz w:val="21"/>
                      <w:szCs w:val="21"/>
                    </w:rPr>
                    <w:t>612t/a</w:t>
                  </w:r>
                </w:p>
              </w:tc>
              <w:tc>
                <w:tcPr>
                  <w:tcW w:w="2428" w:type="dxa"/>
                  <w:vAlign w:val="center"/>
                </w:tcPr>
                <w:p>
                  <w:pPr>
                    <w:adjustRightInd w:val="0"/>
                    <w:jc w:val="center"/>
                    <w:rPr>
                      <w:color w:val="000000"/>
                      <w:sz w:val="21"/>
                      <w:szCs w:val="21"/>
                    </w:rPr>
                  </w:pPr>
                  <w:r>
                    <w:rPr>
                      <w:rFonts w:hint="eastAsia"/>
                      <w:color w:val="000000"/>
                      <w:sz w:val="21"/>
                      <w:szCs w:val="21"/>
                    </w:rPr>
                    <w:t>COD</w:t>
                  </w:r>
                </w:p>
              </w:tc>
              <w:tc>
                <w:tcPr>
                  <w:tcW w:w="2565" w:type="dxa"/>
                  <w:vAlign w:val="center"/>
                </w:tcPr>
                <w:p>
                  <w:pPr>
                    <w:adjustRightInd w:val="0"/>
                    <w:jc w:val="center"/>
                    <w:rPr>
                      <w:color w:val="000000"/>
                      <w:sz w:val="21"/>
                      <w:szCs w:val="21"/>
                    </w:rPr>
                  </w:pPr>
                  <w:r>
                    <w:rPr>
                      <w:rFonts w:hint="eastAsia"/>
                      <w:color w:val="000000"/>
                      <w:sz w:val="21"/>
                      <w:szCs w:val="21"/>
                    </w:rPr>
                    <w:t>氨氮</w:t>
                  </w:r>
                </w:p>
              </w:tc>
              <w:tc>
                <w:tcPr>
                  <w:tcW w:w="1580" w:type="dxa"/>
                  <w:vAlign w:val="center"/>
                </w:tcPr>
                <w:p>
                  <w:pPr>
                    <w:adjustRightInd w:val="0"/>
                    <w:jc w:val="center"/>
                    <w:rPr>
                      <w:color w:val="000000"/>
                      <w:sz w:val="21"/>
                      <w:szCs w:val="21"/>
                    </w:rPr>
                  </w:pPr>
                  <w:r>
                    <w:rPr>
                      <w:rFonts w:hint="eastAsia"/>
                      <w:color w:val="000000"/>
                      <w:sz w:val="21"/>
                      <w:szCs w:val="21"/>
                    </w:rPr>
                    <w:t>pH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2051" w:type="dxa"/>
                  <w:vMerge w:val="continue"/>
                  <w:vAlign w:val="center"/>
                </w:tcPr>
                <w:p>
                  <w:pPr>
                    <w:adjustRightInd w:val="0"/>
                    <w:jc w:val="center"/>
                    <w:rPr>
                      <w:color w:val="000000"/>
                      <w:sz w:val="21"/>
                      <w:szCs w:val="21"/>
                    </w:rPr>
                  </w:pPr>
                </w:p>
              </w:tc>
              <w:tc>
                <w:tcPr>
                  <w:tcW w:w="2428" w:type="dxa"/>
                  <w:vAlign w:val="center"/>
                </w:tcPr>
                <w:p>
                  <w:pPr>
                    <w:adjustRightInd w:val="0"/>
                    <w:jc w:val="center"/>
                    <w:rPr>
                      <w:color w:val="000000"/>
                      <w:sz w:val="21"/>
                      <w:szCs w:val="21"/>
                    </w:rPr>
                  </w:pPr>
                  <w:r>
                    <w:rPr>
                      <w:rFonts w:hint="eastAsia"/>
                      <w:color w:val="000000"/>
                      <w:sz w:val="21"/>
                      <w:szCs w:val="21"/>
                    </w:rPr>
                    <w:t>200mg/l</w:t>
                  </w:r>
                </w:p>
              </w:tc>
              <w:tc>
                <w:tcPr>
                  <w:tcW w:w="2565" w:type="dxa"/>
                  <w:vAlign w:val="center"/>
                </w:tcPr>
                <w:p>
                  <w:pPr>
                    <w:adjustRightInd w:val="0"/>
                    <w:jc w:val="center"/>
                    <w:rPr>
                      <w:color w:val="000000"/>
                      <w:sz w:val="21"/>
                      <w:szCs w:val="21"/>
                    </w:rPr>
                  </w:pPr>
                  <w:r>
                    <w:rPr>
                      <w:rFonts w:hint="eastAsia"/>
                      <w:color w:val="000000"/>
                      <w:sz w:val="21"/>
                      <w:szCs w:val="21"/>
                    </w:rPr>
                    <w:t>15mg/l</w:t>
                  </w:r>
                </w:p>
              </w:tc>
              <w:tc>
                <w:tcPr>
                  <w:tcW w:w="1580" w:type="dxa"/>
                  <w:vMerge w:val="restart"/>
                  <w:vAlign w:val="center"/>
                </w:tcPr>
                <w:p>
                  <w:pPr>
                    <w:adjustRightInd w:val="0"/>
                    <w:jc w:val="center"/>
                    <w:rPr>
                      <w:color w:val="000000"/>
                      <w:sz w:val="21"/>
                      <w:szCs w:val="21"/>
                    </w:rPr>
                  </w:pPr>
                  <w:r>
                    <w:rPr>
                      <w:rFonts w:hint="eastAsia"/>
                      <w:color w:val="000000"/>
                      <w:sz w:val="21"/>
                      <w:szCs w:val="21"/>
                    </w:rPr>
                    <w:t>6.5~9.5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2051" w:type="dxa"/>
                  <w:vMerge w:val="continue"/>
                  <w:vAlign w:val="center"/>
                </w:tcPr>
                <w:p>
                  <w:pPr>
                    <w:adjustRightInd w:val="0"/>
                    <w:jc w:val="center"/>
                    <w:rPr>
                      <w:color w:val="000000"/>
                      <w:sz w:val="21"/>
                      <w:szCs w:val="21"/>
                    </w:rPr>
                  </w:pPr>
                </w:p>
              </w:tc>
              <w:tc>
                <w:tcPr>
                  <w:tcW w:w="2428" w:type="dxa"/>
                  <w:vAlign w:val="center"/>
                </w:tcPr>
                <w:p>
                  <w:pPr>
                    <w:adjustRightInd w:val="0"/>
                    <w:jc w:val="center"/>
                    <w:rPr>
                      <w:color w:val="000000"/>
                      <w:sz w:val="21"/>
                      <w:szCs w:val="21"/>
                    </w:rPr>
                  </w:pPr>
                  <w:r>
                    <w:rPr>
                      <w:rFonts w:hint="eastAsia"/>
                      <w:color w:val="000000"/>
                      <w:sz w:val="21"/>
                      <w:szCs w:val="21"/>
                    </w:rPr>
                    <w:t>0.12t/a</w:t>
                  </w:r>
                </w:p>
              </w:tc>
              <w:tc>
                <w:tcPr>
                  <w:tcW w:w="2565" w:type="dxa"/>
                  <w:vAlign w:val="center"/>
                </w:tcPr>
                <w:p>
                  <w:pPr>
                    <w:adjustRightInd w:val="0"/>
                    <w:jc w:val="center"/>
                    <w:rPr>
                      <w:color w:val="000000"/>
                      <w:sz w:val="21"/>
                      <w:szCs w:val="21"/>
                    </w:rPr>
                  </w:pPr>
                  <w:r>
                    <w:rPr>
                      <w:rFonts w:hint="eastAsia"/>
                      <w:color w:val="000000"/>
                      <w:sz w:val="21"/>
                      <w:szCs w:val="21"/>
                    </w:rPr>
                    <w:t>0.01t/a</w:t>
                  </w:r>
                </w:p>
              </w:tc>
              <w:tc>
                <w:tcPr>
                  <w:tcW w:w="1580" w:type="dxa"/>
                  <w:vMerge w:val="continue"/>
                  <w:vAlign w:val="center"/>
                </w:tcPr>
                <w:p>
                  <w:pPr>
                    <w:adjustRightInd w:val="0"/>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051" w:type="dxa"/>
                  <w:vAlign w:val="center"/>
                </w:tcPr>
                <w:p>
                  <w:pPr>
                    <w:adjustRightInd w:val="0"/>
                    <w:jc w:val="center"/>
                    <w:rPr>
                      <w:color w:val="000000"/>
                      <w:sz w:val="21"/>
                      <w:szCs w:val="21"/>
                    </w:rPr>
                  </w:pPr>
                  <w:r>
                    <w:rPr>
                      <w:rFonts w:hint="eastAsia"/>
                      <w:color w:val="000000"/>
                      <w:sz w:val="21"/>
                      <w:szCs w:val="21"/>
                    </w:rPr>
                    <w:t>污水排放量</w:t>
                  </w:r>
                </w:p>
                <w:p>
                  <w:pPr>
                    <w:adjustRightInd w:val="0"/>
                    <w:jc w:val="center"/>
                    <w:rPr>
                      <w:color w:val="000000"/>
                      <w:sz w:val="21"/>
                      <w:szCs w:val="21"/>
                    </w:rPr>
                  </w:pPr>
                  <w:r>
                    <w:rPr>
                      <w:rFonts w:hint="eastAsia"/>
                      <w:color w:val="000000"/>
                      <w:sz w:val="21"/>
                      <w:szCs w:val="21"/>
                    </w:rPr>
                    <w:t>（污水处理厂外排）</w:t>
                  </w:r>
                </w:p>
              </w:tc>
              <w:tc>
                <w:tcPr>
                  <w:tcW w:w="6573" w:type="dxa"/>
                  <w:gridSpan w:val="3"/>
                  <w:vAlign w:val="center"/>
                </w:tcPr>
                <w:p>
                  <w:pPr>
                    <w:adjustRightInd w:val="0"/>
                    <w:jc w:val="center"/>
                    <w:rPr>
                      <w:color w:val="000000"/>
                      <w:sz w:val="21"/>
                      <w:szCs w:val="21"/>
                    </w:rPr>
                  </w:pPr>
                  <w:r>
                    <w:rPr>
                      <w:rFonts w:hint="eastAsia"/>
                      <w:color w:val="000000"/>
                      <w:sz w:val="21"/>
                      <w:szCs w:val="21"/>
                    </w:rPr>
                    <w:t>污水排放浓度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2051" w:type="dxa"/>
                  <w:vMerge w:val="restart"/>
                  <w:vAlign w:val="center"/>
                </w:tcPr>
                <w:p>
                  <w:pPr>
                    <w:adjustRightInd w:val="0"/>
                    <w:jc w:val="center"/>
                    <w:rPr>
                      <w:color w:val="000000"/>
                      <w:sz w:val="21"/>
                      <w:szCs w:val="21"/>
                    </w:rPr>
                  </w:pPr>
                  <w:r>
                    <w:rPr>
                      <w:rFonts w:hint="eastAsia"/>
                      <w:color w:val="000000"/>
                      <w:sz w:val="21"/>
                      <w:szCs w:val="21"/>
                    </w:rPr>
                    <w:t>612t/a</w:t>
                  </w:r>
                </w:p>
              </w:tc>
              <w:tc>
                <w:tcPr>
                  <w:tcW w:w="2428" w:type="dxa"/>
                  <w:vAlign w:val="center"/>
                </w:tcPr>
                <w:p>
                  <w:pPr>
                    <w:adjustRightInd w:val="0"/>
                    <w:jc w:val="center"/>
                    <w:rPr>
                      <w:color w:val="000000"/>
                      <w:sz w:val="21"/>
                      <w:szCs w:val="21"/>
                    </w:rPr>
                  </w:pPr>
                  <w:r>
                    <w:rPr>
                      <w:rFonts w:hint="eastAsia"/>
                      <w:color w:val="000000"/>
                      <w:sz w:val="21"/>
                      <w:szCs w:val="21"/>
                    </w:rPr>
                    <w:t>COD</w:t>
                  </w:r>
                </w:p>
              </w:tc>
              <w:tc>
                <w:tcPr>
                  <w:tcW w:w="2565" w:type="dxa"/>
                  <w:vAlign w:val="center"/>
                </w:tcPr>
                <w:p>
                  <w:pPr>
                    <w:adjustRightInd w:val="0"/>
                    <w:jc w:val="center"/>
                    <w:rPr>
                      <w:color w:val="000000"/>
                      <w:sz w:val="21"/>
                      <w:szCs w:val="21"/>
                    </w:rPr>
                  </w:pPr>
                  <w:r>
                    <w:rPr>
                      <w:rFonts w:hint="eastAsia"/>
                      <w:color w:val="000000"/>
                      <w:sz w:val="21"/>
                      <w:szCs w:val="21"/>
                    </w:rPr>
                    <w:t>氨氮</w:t>
                  </w:r>
                </w:p>
              </w:tc>
              <w:tc>
                <w:tcPr>
                  <w:tcW w:w="1580" w:type="dxa"/>
                  <w:vAlign w:val="center"/>
                </w:tcPr>
                <w:p>
                  <w:pPr>
                    <w:adjustRightInd w:val="0"/>
                    <w:jc w:val="center"/>
                    <w:rPr>
                      <w:color w:val="000000"/>
                      <w:sz w:val="21"/>
                      <w:szCs w:val="21"/>
                    </w:rPr>
                  </w:pPr>
                  <w:r>
                    <w:rPr>
                      <w:rFonts w:hint="eastAsia"/>
                      <w:color w:val="000000"/>
                      <w:sz w:val="21"/>
                      <w:szCs w:val="21"/>
                    </w:rPr>
                    <w:t>pH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2051" w:type="dxa"/>
                  <w:vMerge w:val="continue"/>
                  <w:vAlign w:val="center"/>
                </w:tcPr>
                <w:p>
                  <w:pPr>
                    <w:adjustRightInd w:val="0"/>
                    <w:jc w:val="center"/>
                    <w:rPr>
                      <w:color w:val="000000"/>
                      <w:sz w:val="21"/>
                      <w:szCs w:val="21"/>
                    </w:rPr>
                  </w:pPr>
                </w:p>
              </w:tc>
              <w:tc>
                <w:tcPr>
                  <w:tcW w:w="2428" w:type="dxa"/>
                  <w:vAlign w:val="center"/>
                </w:tcPr>
                <w:p>
                  <w:pPr>
                    <w:adjustRightInd w:val="0"/>
                    <w:jc w:val="center"/>
                    <w:rPr>
                      <w:color w:val="000000"/>
                      <w:sz w:val="21"/>
                      <w:szCs w:val="21"/>
                    </w:rPr>
                  </w:pPr>
                  <w:r>
                    <w:rPr>
                      <w:rFonts w:hint="eastAsia"/>
                      <w:color w:val="000000"/>
                      <w:sz w:val="21"/>
                      <w:szCs w:val="21"/>
                    </w:rPr>
                    <w:t>50mg/l</w:t>
                  </w:r>
                </w:p>
              </w:tc>
              <w:tc>
                <w:tcPr>
                  <w:tcW w:w="2565" w:type="dxa"/>
                  <w:vAlign w:val="center"/>
                </w:tcPr>
                <w:p>
                  <w:pPr>
                    <w:adjustRightInd w:val="0"/>
                    <w:jc w:val="center"/>
                    <w:rPr>
                      <w:color w:val="000000"/>
                      <w:sz w:val="21"/>
                      <w:szCs w:val="21"/>
                    </w:rPr>
                  </w:pPr>
                  <w:r>
                    <w:rPr>
                      <w:rFonts w:hint="eastAsia"/>
                      <w:color w:val="000000"/>
                      <w:sz w:val="21"/>
                      <w:szCs w:val="21"/>
                    </w:rPr>
                    <w:t>5（8）mg/l</w:t>
                  </w:r>
                </w:p>
              </w:tc>
              <w:tc>
                <w:tcPr>
                  <w:tcW w:w="1580" w:type="dxa"/>
                  <w:vMerge w:val="restart"/>
                  <w:vAlign w:val="center"/>
                </w:tcPr>
                <w:p>
                  <w:pPr>
                    <w:adjustRightInd w:val="0"/>
                    <w:jc w:val="center"/>
                    <w:rPr>
                      <w:color w:val="000000"/>
                      <w:sz w:val="21"/>
                      <w:szCs w:val="21"/>
                    </w:rPr>
                  </w:pPr>
                  <w:r>
                    <w:rPr>
                      <w:rFonts w:hint="eastAsia"/>
                      <w:color w:val="000000"/>
                      <w:sz w:val="21"/>
                      <w:szCs w:val="21"/>
                    </w:rPr>
                    <w:t>6.5~9.5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2051" w:type="dxa"/>
                  <w:vMerge w:val="continue"/>
                  <w:vAlign w:val="center"/>
                </w:tcPr>
                <w:p>
                  <w:pPr>
                    <w:adjustRightInd w:val="0"/>
                    <w:jc w:val="center"/>
                    <w:rPr>
                      <w:color w:val="000000"/>
                      <w:sz w:val="21"/>
                      <w:szCs w:val="21"/>
                    </w:rPr>
                  </w:pPr>
                </w:p>
              </w:tc>
              <w:tc>
                <w:tcPr>
                  <w:tcW w:w="2428" w:type="dxa"/>
                  <w:vAlign w:val="center"/>
                </w:tcPr>
                <w:p>
                  <w:pPr>
                    <w:adjustRightInd w:val="0"/>
                    <w:jc w:val="center"/>
                    <w:rPr>
                      <w:color w:val="000000"/>
                      <w:sz w:val="21"/>
                      <w:szCs w:val="21"/>
                    </w:rPr>
                  </w:pPr>
                  <w:r>
                    <w:rPr>
                      <w:rFonts w:hint="eastAsia"/>
                      <w:color w:val="000000"/>
                      <w:sz w:val="21"/>
                      <w:szCs w:val="21"/>
                    </w:rPr>
                    <w:t>0.03t/a</w:t>
                  </w:r>
                </w:p>
              </w:tc>
              <w:tc>
                <w:tcPr>
                  <w:tcW w:w="2565" w:type="dxa"/>
                  <w:vAlign w:val="center"/>
                </w:tcPr>
                <w:p>
                  <w:pPr>
                    <w:adjustRightInd w:val="0"/>
                    <w:jc w:val="center"/>
                    <w:rPr>
                      <w:color w:val="000000"/>
                      <w:sz w:val="21"/>
                      <w:szCs w:val="21"/>
                    </w:rPr>
                  </w:pPr>
                  <w:r>
                    <w:rPr>
                      <w:rFonts w:hint="eastAsia"/>
                      <w:color w:val="000000"/>
                      <w:sz w:val="21"/>
                      <w:szCs w:val="21"/>
                    </w:rPr>
                    <w:t>0.004t/a</w:t>
                  </w:r>
                </w:p>
              </w:tc>
              <w:tc>
                <w:tcPr>
                  <w:tcW w:w="1580" w:type="dxa"/>
                  <w:vMerge w:val="continue"/>
                  <w:vAlign w:val="center"/>
                </w:tcPr>
                <w:p>
                  <w:pPr>
                    <w:adjustRightInd w:val="0"/>
                    <w:jc w:val="center"/>
                    <w:rPr>
                      <w:color w:val="000000"/>
                      <w:sz w:val="21"/>
                      <w:szCs w:val="21"/>
                    </w:rPr>
                  </w:pPr>
                </w:p>
              </w:tc>
            </w:tr>
          </w:tbl>
          <w:p>
            <w:pPr>
              <w:spacing w:line="360" w:lineRule="auto"/>
              <w:ind w:firstLine="480" w:firstLineChars="200"/>
              <w:jc w:val="left"/>
              <w:rPr>
                <w:rFonts w:eastAsia="黑体"/>
                <w:sz w:val="24"/>
              </w:rPr>
            </w:pPr>
            <w:r>
              <w:rPr>
                <w:rFonts w:eastAsia="黑体"/>
                <w:sz w:val="24"/>
              </w:rPr>
              <w:t>3、噪声</w:t>
            </w:r>
          </w:p>
          <w:p>
            <w:pPr>
              <w:spacing w:line="360" w:lineRule="auto"/>
              <w:ind w:firstLine="480" w:firstLineChars="200"/>
              <w:rPr>
                <w:sz w:val="24"/>
              </w:rPr>
            </w:pPr>
            <w:r>
              <w:rPr>
                <w:rFonts w:hint="eastAsia"/>
                <w:sz w:val="24"/>
              </w:rPr>
              <w:t>本项目噪声源主要是各种生产设备、废气处理风机等运行噪声，产生的噪声声源强度一般在70~85dB(A)。</w:t>
            </w:r>
          </w:p>
          <w:p>
            <w:pPr>
              <w:spacing w:line="360" w:lineRule="auto"/>
              <w:ind w:firstLine="480" w:firstLineChars="200"/>
              <w:rPr>
                <w:sz w:val="24"/>
              </w:rPr>
            </w:pPr>
            <w:r>
              <w:rPr>
                <w:rFonts w:hint="eastAsia"/>
                <w:sz w:val="24"/>
              </w:rPr>
              <w:t>项目在合理布局的基础上，经消声、隔声、车间阻隔后，厂界噪声能够满足</w:t>
            </w:r>
            <w:r>
              <w:rPr>
                <w:sz w:val="24"/>
              </w:rPr>
              <w:t>《工业企业厂界环境噪声排放标准》（GB12348-2008）中的</w:t>
            </w:r>
            <w:r>
              <w:rPr>
                <w:rFonts w:hint="eastAsia"/>
                <w:sz w:val="24"/>
              </w:rPr>
              <w:t>3</w:t>
            </w:r>
            <w:r>
              <w:rPr>
                <w:sz w:val="24"/>
              </w:rPr>
              <w:t>类标准</w:t>
            </w:r>
            <w:r>
              <w:rPr>
                <w:rFonts w:hint="eastAsia"/>
                <w:sz w:val="24"/>
              </w:rPr>
              <w:t>。</w:t>
            </w:r>
          </w:p>
          <w:p>
            <w:pPr>
              <w:spacing w:line="360" w:lineRule="auto"/>
              <w:ind w:firstLine="480" w:firstLineChars="200"/>
              <w:jc w:val="left"/>
              <w:rPr>
                <w:rFonts w:eastAsia="黑体"/>
                <w:sz w:val="24"/>
              </w:rPr>
            </w:pPr>
            <w:r>
              <w:rPr>
                <w:rFonts w:eastAsia="黑体"/>
                <w:sz w:val="24"/>
              </w:rPr>
              <w:t>4、固体废物</w:t>
            </w:r>
          </w:p>
          <w:p>
            <w:pPr>
              <w:spacing w:line="360" w:lineRule="auto"/>
              <w:ind w:firstLine="480" w:firstLineChars="200"/>
              <w:textAlignment w:val="baseline"/>
              <w:rPr>
                <w:snapToGrid w:val="0"/>
                <w:kern w:val="0"/>
                <w:sz w:val="24"/>
              </w:rPr>
            </w:pPr>
            <w:r>
              <w:rPr>
                <w:snapToGrid w:val="0"/>
                <w:kern w:val="0"/>
                <w:sz w:val="24"/>
              </w:rPr>
              <w:t>项目固体废物</w:t>
            </w:r>
            <w:r>
              <w:rPr>
                <w:rFonts w:hint="eastAsia"/>
                <w:snapToGrid w:val="0"/>
                <w:kern w:val="0"/>
                <w:sz w:val="24"/>
              </w:rPr>
              <w:t>主要为</w:t>
            </w:r>
            <w:r>
              <w:rPr>
                <w:snapToGrid w:val="0"/>
                <w:kern w:val="0"/>
                <w:sz w:val="24"/>
              </w:rPr>
              <w:t>一般工业固体废物</w:t>
            </w:r>
            <w:r>
              <w:rPr>
                <w:rFonts w:hint="eastAsia"/>
                <w:snapToGrid w:val="0"/>
                <w:kern w:val="0"/>
                <w:sz w:val="24"/>
              </w:rPr>
              <w:t>、</w:t>
            </w:r>
            <w:r>
              <w:rPr>
                <w:snapToGrid w:val="0"/>
                <w:kern w:val="0"/>
                <w:sz w:val="24"/>
              </w:rPr>
              <w:t>危险废物</w:t>
            </w:r>
            <w:r>
              <w:rPr>
                <w:rFonts w:hint="eastAsia"/>
                <w:snapToGrid w:val="0"/>
                <w:kern w:val="0"/>
                <w:sz w:val="24"/>
              </w:rPr>
              <w:t>和生活垃圾</w:t>
            </w:r>
            <w:r>
              <w:rPr>
                <w:snapToGrid w:val="0"/>
                <w:kern w:val="0"/>
                <w:sz w:val="24"/>
              </w:rPr>
              <w:t>。</w:t>
            </w:r>
          </w:p>
          <w:p>
            <w:pPr>
              <w:adjustRightInd w:val="0"/>
              <w:spacing w:line="360" w:lineRule="auto"/>
              <w:ind w:firstLine="480" w:firstLineChars="200"/>
              <w:rPr>
                <w:snapToGrid w:val="0"/>
                <w:kern w:val="0"/>
                <w:sz w:val="24"/>
              </w:rPr>
            </w:pPr>
            <w:r>
              <w:rPr>
                <w:snapToGrid w:val="0"/>
                <w:kern w:val="0"/>
                <w:sz w:val="24"/>
              </w:rPr>
              <w:t>（1）一般工业固废</w:t>
            </w:r>
          </w:p>
          <w:p>
            <w:pPr>
              <w:adjustRightInd w:val="0"/>
              <w:spacing w:line="360" w:lineRule="auto"/>
              <w:ind w:firstLine="480" w:firstLineChars="200"/>
              <w:rPr>
                <w:snapToGrid w:val="0"/>
                <w:kern w:val="0"/>
                <w:sz w:val="24"/>
              </w:rPr>
            </w:pPr>
            <w:r>
              <w:rPr>
                <w:snapToGrid w:val="0"/>
                <w:kern w:val="0"/>
                <w:sz w:val="24"/>
              </w:rPr>
              <w:t>一般工业固废</w:t>
            </w:r>
            <w:r>
              <w:rPr>
                <w:rFonts w:hint="eastAsia"/>
                <w:snapToGrid w:val="0"/>
                <w:kern w:val="0"/>
                <w:sz w:val="24"/>
              </w:rPr>
              <w:t>主要为玻璃边角料、玻璃渣、铝条边角料、底泥和不合格品等。</w:t>
            </w:r>
          </w:p>
          <w:p>
            <w:pPr>
              <w:adjustRightInd w:val="0"/>
              <w:spacing w:line="360" w:lineRule="auto"/>
              <w:ind w:firstLine="480" w:firstLineChars="200"/>
              <w:rPr>
                <w:snapToGrid w:val="0"/>
                <w:kern w:val="0"/>
                <w:sz w:val="24"/>
              </w:rPr>
            </w:pPr>
            <w:r>
              <w:rPr>
                <w:rFonts w:hint="eastAsia"/>
                <w:sz w:val="24"/>
              </w:rPr>
              <w:t>①玻璃边角料和玻璃渣：玻璃深加工生产过程中会产生一定量的废边角料和玻璃渣，通过类比同类企业及根据企业提供的资料，在本项目生产规模条件下，玻璃废边角料产生量约为10.0</w:t>
            </w:r>
            <w:r>
              <w:rPr>
                <w:sz w:val="24"/>
              </w:rPr>
              <w:t>t/a</w:t>
            </w:r>
            <w:r>
              <w:rPr>
                <w:rFonts w:hint="eastAsia"/>
                <w:sz w:val="24"/>
              </w:rPr>
              <w:t>，属于一般固废，集中收集后外售。</w:t>
            </w:r>
          </w:p>
          <w:p>
            <w:pPr>
              <w:spacing w:line="360" w:lineRule="auto"/>
              <w:ind w:firstLine="480" w:firstLineChars="200"/>
              <w:textAlignment w:val="baseline"/>
              <w:rPr>
                <w:sz w:val="24"/>
              </w:rPr>
            </w:pPr>
            <w:r>
              <w:rPr>
                <w:rFonts w:hint="eastAsia"/>
                <w:sz w:val="24"/>
              </w:rPr>
              <w:t>②铝条边角料：项目中空玻璃制框过程会产生少量铝条边角料，制框时会先根据玻璃外形尺寸及胶深计算铝框长度，通过类比同类企业及根据企业提供的资料，每生产</w:t>
            </w:r>
            <w:r>
              <w:rPr>
                <w:sz w:val="24"/>
              </w:rPr>
              <w:t>1m</w:t>
            </w:r>
            <w:r>
              <w:rPr>
                <w:sz w:val="24"/>
                <w:vertAlign w:val="superscript"/>
              </w:rPr>
              <w:t xml:space="preserve">2 </w:t>
            </w:r>
            <w:r>
              <w:rPr>
                <w:rFonts w:hint="eastAsia"/>
                <w:sz w:val="24"/>
              </w:rPr>
              <w:t>的中空玻璃，铝条边角料产生量</w:t>
            </w:r>
            <w:r>
              <w:rPr>
                <w:sz w:val="24"/>
              </w:rPr>
              <w:t>1</w:t>
            </w:r>
            <w:r>
              <w:rPr>
                <w:rFonts w:hint="eastAsia"/>
                <w:sz w:val="24"/>
              </w:rPr>
              <w:t>.0</w:t>
            </w:r>
            <w:r>
              <w:rPr>
                <w:sz w:val="24"/>
              </w:rPr>
              <w:t>g</w:t>
            </w:r>
            <w:r>
              <w:rPr>
                <w:rFonts w:hint="eastAsia"/>
                <w:sz w:val="24"/>
              </w:rPr>
              <w:t>，本项目年产3万</w:t>
            </w:r>
            <w:r>
              <w:rPr>
                <w:sz w:val="24"/>
              </w:rPr>
              <w:t>m</w:t>
            </w:r>
            <w:r>
              <w:rPr>
                <w:sz w:val="24"/>
                <w:vertAlign w:val="superscript"/>
              </w:rPr>
              <w:t xml:space="preserve">2 </w:t>
            </w:r>
            <w:r>
              <w:rPr>
                <w:rFonts w:hint="eastAsia"/>
                <w:sz w:val="24"/>
              </w:rPr>
              <w:t>的中空玻璃，因此铝条边角料产生量为</w:t>
            </w:r>
            <w:r>
              <w:rPr>
                <w:sz w:val="24"/>
              </w:rPr>
              <w:t>0.</w:t>
            </w:r>
            <w:r>
              <w:rPr>
                <w:rFonts w:hint="eastAsia"/>
                <w:sz w:val="24"/>
              </w:rPr>
              <w:t>03</w:t>
            </w:r>
            <w:r>
              <w:rPr>
                <w:sz w:val="24"/>
              </w:rPr>
              <w:t>t/a</w:t>
            </w:r>
            <w:r>
              <w:rPr>
                <w:rFonts w:hint="eastAsia"/>
                <w:sz w:val="24"/>
              </w:rPr>
              <w:t>，外售给回收公司。</w:t>
            </w:r>
          </w:p>
          <w:p>
            <w:pPr>
              <w:spacing w:line="360" w:lineRule="auto"/>
              <w:ind w:firstLine="480" w:firstLineChars="200"/>
              <w:textAlignment w:val="baseline"/>
              <w:rPr>
                <w:sz w:val="24"/>
              </w:rPr>
            </w:pPr>
            <w:r>
              <w:rPr>
                <w:rFonts w:hint="eastAsia"/>
                <w:sz w:val="24"/>
              </w:rPr>
              <w:t>③项目清洗工序循环水箱会有少量淤泥产生，主要成分为粉尘杂质，需定期清淤，属于一般固废。通过类比同类企业及根据企业提供的资料，底泥产生量约为</w:t>
            </w:r>
            <w:r>
              <w:rPr>
                <w:sz w:val="24"/>
              </w:rPr>
              <w:t>0.</w:t>
            </w:r>
            <w:r>
              <w:rPr>
                <w:rFonts w:hint="eastAsia"/>
                <w:sz w:val="24"/>
              </w:rPr>
              <w:t>02</w:t>
            </w:r>
            <w:r>
              <w:rPr>
                <w:sz w:val="24"/>
              </w:rPr>
              <w:t>t/a</w:t>
            </w:r>
            <w:r>
              <w:rPr>
                <w:rFonts w:hint="eastAsia"/>
                <w:sz w:val="24"/>
              </w:rPr>
              <w:t>，由环卫部门定期清运。</w:t>
            </w:r>
          </w:p>
          <w:p>
            <w:pPr>
              <w:spacing w:line="360" w:lineRule="auto"/>
              <w:ind w:firstLine="480" w:firstLineChars="200"/>
              <w:jc w:val="left"/>
              <w:rPr>
                <w:sz w:val="24"/>
              </w:rPr>
            </w:pPr>
            <w:r>
              <w:rPr>
                <w:rFonts w:hint="eastAsia"/>
                <w:sz w:val="24"/>
              </w:rPr>
              <w:t>④不合格品：项目生产过程检验工序会产生不合格品，根据企业提供的资料，在本项目的生产规模下，项目不合格品产生量为1.0</w:t>
            </w:r>
            <w:r>
              <w:rPr>
                <w:sz w:val="24"/>
              </w:rPr>
              <w:t>t/a</w:t>
            </w:r>
            <w:r>
              <w:rPr>
                <w:rFonts w:hint="eastAsia"/>
                <w:sz w:val="24"/>
              </w:rPr>
              <w:t>，属于一般固废，集中收集后外售。</w:t>
            </w:r>
          </w:p>
          <w:p>
            <w:pPr>
              <w:adjustRightInd w:val="0"/>
              <w:spacing w:line="360" w:lineRule="auto"/>
              <w:ind w:firstLine="480" w:firstLineChars="200"/>
              <w:rPr>
                <w:snapToGrid w:val="0"/>
                <w:kern w:val="0"/>
                <w:sz w:val="24"/>
              </w:rPr>
            </w:pPr>
            <w:r>
              <w:rPr>
                <w:snapToGrid w:val="0"/>
                <w:kern w:val="0"/>
                <w:sz w:val="24"/>
              </w:rPr>
              <w:t>（</w:t>
            </w:r>
            <w:r>
              <w:rPr>
                <w:rFonts w:hint="eastAsia"/>
                <w:snapToGrid w:val="0"/>
                <w:kern w:val="0"/>
                <w:sz w:val="24"/>
              </w:rPr>
              <w:t>2</w:t>
            </w:r>
            <w:r>
              <w:rPr>
                <w:snapToGrid w:val="0"/>
                <w:kern w:val="0"/>
                <w:sz w:val="24"/>
              </w:rPr>
              <w:t>）</w:t>
            </w:r>
            <w:r>
              <w:rPr>
                <w:rFonts w:hint="eastAsia"/>
                <w:snapToGrid w:val="0"/>
                <w:kern w:val="0"/>
                <w:sz w:val="24"/>
              </w:rPr>
              <w:t>危险废物</w:t>
            </w:r>
          </w:p>
          <w:p>
            <w:pPr>
              <w:autoSpaceDE w:val="0"/>
              <w:autoSpaceDN w:val="0"/>
              <w:adjustRightInd w:val="0"/>
              <w:snapToGrid w:val="0"/>
              <w:spacing w:line="360" w:lineRule="auto"/>
              <w:ind w:firstLine="480" w:firstLineChars="200"/>
              <w:jc w:val="left"/>
              <w:rPr>
                <w:snapToGrid w:val="0"/>
                <w:kern w:val="0"/>
                <w:sz w:val="24"/>
              </w:rPr>
            </w:pPr>
            <w:r>
              <w:rPr>
                <w:rFonts w:hint="eastAsia"/>
                <w:snapToGrid w:val="0"/>
                <w:color w:val="000000"/>
                <w:sz w:val="24"/>
                <w:szCs w:val="24"/>
              </w:rPr>
              <w:t>本项目硅酮胶包装桶由厂家回收，不需要修复和加工用于原始用途；丁基胶为固态，其包装物为纸壳，废包装用于玻璃成品垫装使用；因此，本项目</w:t>
            </w:r>
            <w:r>
              <w:rPr>
                <w:rFonts w:hint="eastAsia"/>
                <w:snapToGrid w:val="0"/>
                <w:kern w:val="0"/>
                <w:sz w:val="24"/>
              </w:rPr>
              <w:t>危险废物主要为废活性炭等。</w:t>
            </w:r>
          </w:p>
          <w:p>
            <w:pPr>
              <w:spacing w:line="360" w:lineRule="auto"/>
              <w:ind w:firstLine="480" w:firstLineChars="200"/>
              <w:jc w:val="left"/>
              <w:rPr>
                <w:sz w:val="24"/>
              </w:rPr>
            </w:pPr>
            <w:r>
              <w:rPr>
                <w:rFonts w:hint="eastAsia"/>
                <w:sz w:val="24"/>
              </w:rPr>
              <w:t>废活性炭：根据工程分析，项目产生的工艺废气在处理过程中被活性炭吸附装置处理的</w:t>
            </w:r>
            <w:r>
              <w:rPr>
                <w:sz w:val="24"/>
              </w:rPr>
              <w:t xml:space="preserve">VOCs </w:t>
            </w:r>
            <w:r>
              <w:rPr>
                <w:rFonts w:hint="eastAsia"/>
                <w:sz w:val="24"/>
              </w:rPr>
              <w:t>0.119</w:t>
            </w:r>
            <w:r>
              <w:rPr>
                <w:sz w:val="24"/>
              </w:rPr>
              <w:t>t/a</w:t>
            </w:r>
            <w:r>
              <w:rPr>
                <w:rFonts w:hint="eastAsia"/>
                <w:sz w:val="24"/>
              </w:rPr>
              <w:t>。根据《简明通风设计手册》，活性炭有效吸附量区</w:t>
            </w:r>
            <w:r>
              <w:rPr>
                <w:sz w:val="24"/>
              </w:rPr>
              <w:t xml:space="preserve">qe=0.33kg/kg </w:t>
            </w:r>
            <w:r>
              <w:rPr>
                <w:rFonts w:hint="eastAsia"/>
                <w:sz w:val="24"/>
              </w:rPr>
              <w:t>活性炭，由此计算出活性炭使用量为0.361</w:t>
            </w:r>
            <w:r>
              <w:rPr>
                <w:sz w:val="24"/>
              </w:rPr>
              <w:t>t /a</w:t>
            </w:r>
            <w:r>
              <w:rPr>
                <w:rFonts w:hint="eastAsia"/>
                <w:sz w:val="24"/>
              </w:rPr>
              <w:t>，活性炭吸附饱和后重量约为0.48</w:t>
            </w:r>
            <w:r>
              <w:rPr>
                <w:sz w:val="24"/>
              </w:rPr>
              <w:t>t/a</w:t>
            </w:r>
            <w:r>
              <w:rPr>
                <w:rFonts w:hint="eastAsia"/>
                <w:sz w:val="24"/>
              </w:rPr>
              <w:t>，即本项目废活性炭产生量约为0.48</w:t>
            </w:r>
            <w:r>
              <w:rPr>
                <w:sz w:val="24"/>
              </w:rPr>
              <w:t>t/a</w:t>
            </w:r>
            <w:r>
              <w:rPr>
                <w:rFonts w:hint="eastAsia"/>
                <w:sz w:val="24"/>
              </w:rPr>
              <w:t>。根据《国家危险废物名录》，废活性炭属于危险废物，危废类别为</w:t>
            </w:r>
            <w:r>
              <w:rPr>
                <w:sz w:val="24"/>
              </w:rPr>
              <w:t>HW49</w:t>
            </w:r>
            <w:r>
              <w:rPr>
                <w:rFonts w:hint="eastAsia"/>
                <w:sz w:val="24"/>
              </w:rPr>
              <w:t>，危废代码为</w:t>
            </w:r>
            <w:r>
              <w:rPr>
                <w:sz w:val="24"/>
              </w:rPr>
              <w:t>900-041-49</w:t>
            </w:r>
            <w:r>
              <w:rPr>
                <w:rFonts w:hint="eastAsia"/>
                <w:sz w:val="24"/>
              </w:rPr>
              <w:t>，收集后交由有资质单位回收处理。</w:t>
            </w:r>
          </w:p>
          <w:p>
            <w:pPr>
              <w:spacing w:line="360" w:lineRule="auto"/>
              <w:ind w:firstLine="480" w:firstLineChars="200"/>
              <w:jc w:val="left"/>
              <w:rPr>
                <w:sz w:val="24"/>
              </w:rPr>
            </w:pPr>
            <w:r>
              <w:rPr>
                <w:rFonts w:hint="eastAsia"/>
                <w:sz w:val="24"/>
              </w:rPr>
              <w:t>（3）生活垃圾</w:t>
            </w:r>
          </w:p>
          <w:p>
            <w:pPr>
              <w:spacing w:line="360" w:lineRule="auto"/>
              <w:ind w:firstLine="480" w:firstLineChars="200"/>
              <w:jc w:val="left"/>
              <w:rPr>
                <w:sz w:val="24"/>
              </w:rPr>
            </w:pPr>
            <w:r>
              <w:rPr>
                <w:rFonts w:hint="eastAsia"/>
                <w:color w:val="000000" w:themeColor="text1"/>
                <w:sz w:val="24"/>
              </w:rPr>
              <w:t>项目</w:t>
            </w:r>
            <w:r>
              <w:rPr>
                <w:color w:val="000000" w:themeColor="text1"/>
                <w:sz w:val="24"/>
              </w:rPr>
              <w:t>职工日常生活产生生活垃圾，</w:t>
            </w:r>
            <w:r>
              <w:rPr>
                <w:rFonts w:hint="eastAsia"/>
                <w:color w:val="000000" w:themeColor="text1"/>
                <w:sz w:val="24"/>
              </w:rPr>
              <w:t>按</w:t>
            </w:r>
            <w:r>
              <w:rPr>
                <w:color w:val="000000" w:themeColor="text1"/>
                <w:sz w:val="24"/>
              </w:rPr>
              <w:t>每人每天</w:t>
            </w:r>
            <w:r>
              <w:rPr>
                <w:rFonts w:hint="eastAsia"/>
                <w:color w:val="000000" w:themeColor="text1"/>
                <w:sz w:val="24"/>
              </w:rPr>
              <w:t>0.5</w:t>
            </w:r>
            <w:r>
              <w:rPr>
                <w:color w:val="000000" w:themeColor="text1"/>
                <w:sz w:val="24"/>
              </w:rPr>
              <w:t>kg计算</w:t>
            </w:r>
            <w:r>
              <w:rPr>
                <w:rFonts w:hint="eastAsia"/>
                <w:color w:val="000000" w:themeColor="text1"/>
                <w:sz w:val="24"/>
              </w:rPr>
              <w:t>，生活垃圾产生量为3.0t/a。生活垃圾</w:t>
            </w:r>
            <w:r>
              <w:rPr>
                <w:color w:val="000000"/>
                <w:sz w:val="24"/>
              </w:rPr>
              <w:t>集中收集后由环卫部门集中送</w:t>
            </w:r>
            <w:r>
              <w:rPr>
                <w:rFonts w:hint="eastAsia"/>
                <w:color w:val="000000"/>
                <w:sz w:val="24"/>
              </w:rPr>
              <w:t>威海市</w:t>
            </w:r>
            <w:r>
              <w:rPr>
                <w:color w:val="000000"/>
                <w:sz w:val="24"/>
              </w:rPr>
              <w:t>垃圾</w:t>
            </w:r>
            <w:r>
              <w:rPr>
                <w:rFonts w:hint="eastAsia"/>
                <w:color w:val="000000"/>
                <w:sz w:val="24"/>
              </w:rPr>
              <w:t>厂</w:t>
            </w:r>
            <w:r>
              <w:rPr>
                <w:color w:val="000000"/>
                <w:sz w:val="24"/>
              </w:rPr>
              <w:t>处理。</w:t>
            </w:r>
          </w:p>
          <w:p>
            <w:pPr>
              <w:spacing w:line="360" w:lineRule="auto"/>
              <w:ind w:firstLine="480" w:firstLineChars="200"/>
              <w:jc w:val="left"/>
              <w:rPr>
                <w:rFonts w:eastAsia="黑体"/>
                <w:sz w:val="24"/>
                <w:szCs w:val="24"/>
              </w:rPr>
            </w:pPr>
            <w:r>
              <w:rPr>
                <w:rFonts w:hint="eastAsia"/>
                <w:sz w:val="24"/>
              </w:rPr>
              <w:t>本项目固体废物产生及处置情况见表23。</w:t>
            </w:r>
          </w:p>
          <w:p>
            <w:pPr>
              <w:jc w:val="center"/>
              <w:rPr>
                <w:rFonts w:eastAsia="黑体"/>
                <w:sz w:val="24"/>
                <w:szCs w:val="24"/>
              </w:rPr>
            </w:pPr>
            <w:r>
              <w:rPr>
                <w:rFonts w:eastAsia="黑体"/>
                <w:sz w:val="24"/>
                <w:szCs w:val="24"/>
              </w:rPr>
              <w:t>表</w:t>
            </w:r>
            <w:r>
              <w:rPr>
                <w:rFonts w:hint="eastAsia" w:eastAsia="黑体"/>
                <w:sz w:val="24"/>
                <w:szCs w:val="24"/>
              </w:rPr>
              <w:t>23 固体废物产生及处置</w:t>
            </w:r>
            <w:r>
              <w:rPr>
                <w:rFonts w:eastAsia="黑体"/>
                <w:sz w:val="24"/>
                <w:szCs w:val="24"/>
              </w:rPr>
              <w:t>情况</w:t>
            </w:r>
          </w:p>
          <w:tbl>
            <w:tblPr>
              <w:tblStyle w:val="27"/>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2"/>
              <w:gridCol w:w="1281"/>
              <w:gridCol w:w="1112"/>
              <w:gridCol w:w="1196"/>
              <w:gridCol w:w="1039"/>
              <w:gridCol w:w="1129"/>
              <w:gridCol w:w="22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2" w:type="dxa"/>
                  <w:vAlign w:val="center"/>
                </w:tcPr>
                <w:p>
                  <w:pPr>
                    <w:jc w:val="center"/>
                    <w:rPr>
                      <w:sz w:val="21"/>
                      <w:szCs w:val="21"/>
                    </w:rPr>
                  </w:pPr>
                  <w:r>
                    <w:rPr>
                      <w:rFonts w:hint="eastAsia"/>
                      <w:sz w:val="21"/>
                      <w:szCs w:val="21"/>
                    </w:rPr>
                    <w:t>序号</w:t>
                  </w:r>
                </w:p>
              </w:tc>
              <w:tc>
                <w:tcPr>
                  <w:tcW w:w="1281" w:type="dxa"/>
                  <w:vAlign w:val="center"/>
                </w:tcPr>
                <w:p>
                  <w:pPr>
                    <w:jc w:val="center"/>
                    <w:rPr>
                      <w:sz w:val="21"/>
                      <w:szCs w:val="21"/>
                    </w:rPr>
                  </w:pPr>
                  <w:r>
                    <w:rPr>
                      <w:rFonts w:hint="eastAsia"/>
                      <w:sz w:val="21"/>
                      <w:szCs w:val="21"/>
                    </w:rPr>
                    <w:t>名称</w:t>
                  </w:r>
                </w:p>
              </w:tc>
              <w:tc>
                <w:tcPr>
                  <w:tcW w:w="1112" w:type="dxa"/>
                  <w:vAlign w:val="center"/>
                </w:tcPr>
                <w:p>
                  <w:pPr>
                    <w:jc w:val="center"/>
                    <w:rPr>
                      <w:sz w:val="21"/>
                      <w:szCs w:val="21"/>
                    </w:rPr>
                  </w:pPr>
                  <w:r>
                    <w:rPr>
                      <w:rFonts w:hint="eastAsia"/>
                      <w:sz w:val="21"/>
                      <w:szCs w:val="21"/>
                    </w:rPr>
                    <w:t>废物类别</w:t>
                  </w:r>
                </w:p>
              </w:tc>
              <w:tc>
                <w:tcPr>
                  <w:tcW w:w="1196" w:type="dxa"/>
                  <w:vAlign w:val="center"/>
                </w:tcPr>
                <w:p>
                  <w:pPr>
                    <w:jc w:val="center"/>
                    <w:rPr>
                      <w:sz w:val="21"/>
                      <w:szCs w:val="21"/>
                    </w:rPr>
                  </w:pPr>
                  <w:r>
                    <w:rPr>
                      <w:rFonts w:hint="eastAsia"/>
                      <w:sz w:val="21"/>
                      <w:szCs w:val="21"/>
                    </w:rPr>
                    <w:t>废物代码</w:t>
                  </w:r>
                </w:p>
              </w:tc>
              <w:tc>
                <w:tcPr>
                  <w:tcW w:w="1039" w:type="dxa"/>
                  <w:vAlign w:val="center"/>
                </w:tcPr>
                <w:p>
                  <w:pPr>
                    <w:jc w:val="center"/>
                    <w:rPr>
                      <w:sz w:val="21"/>
                      <w:szCs w:val="21"/>
                    </w:rPr>
                  </w:pPr>
                  <w:r>
                    <w:rPr>
                      <w:rFonts w:hint="eastAsia"/>
                      <w:sz w:val="21"/>
                      <w:szCs w:val="21"/>
                    </w:rPr>
                    <w:t>产生量</w:t>
                  </w:r>
                </w:p>
                <w:p>
                  <w:pPr>
                    <w:jc w:val="center"/>
                    <w:rPr>
                      <w:sz w:val="21"/>
                      <w:szCs w:val="21"/>
                    </w:rPr>
                  </w:pPr>
                  <w:r>
                    <w:rPr>
                      <w:rFonts w:hint="eastAsia"/>
                      <w:sz w:val="21"/>
                      <w:szCs w:val="21"/>
                    </w:rPr>
                    <w:t>（t/a）</w:t>
                  </w:r>
                </w:p>
              </w:tc>
              <w:tc>
                <w:tcPr>
                  <w:tcW w:w="1129" w:type="dxa"/>
                  <w:vAlign w:val="center"/>
                </w:tcPr>
                <w:p>
                  <w:pPr>
                    <w:jc w:val="center"/>
                    <w:rPr>
                      <w:sz w:val="21"/>
                      <w:szCs w:val="21"/>
                    </w:rPr>
                  </w:pPr>
                  <w:r>
                    <w:rPr>
                      <w:rFonts w:hint="eastAsia"/>
                      <w:sz w:val="21"/>
                      <w:szCs w:val="21"/>
                    </w:rPr>
                    <w:t>处置量（t/a）</w:t>
                  </w:r>
                </w:p>
              </w:tc>
              <w:tc>
                <w:tcPr>
                  <w:tcW w:w="2219" w:type="dxa"/>
                  <w:vAlign w:val="center"/>
                </w:tcPr>
                <w:p>
                  <w:pPr>
                    <w:jc w:val="center"/>
                    <w:rPr>
                      <w:sz w:val="21"/>
                      <w:szCs w:val="21"/>
                    </w:rPr>
                  </w:pPr>
                  <w:r>
                    <w:rPr>
                      <w:rFonts w:hint="eastAsia"/>
                      <w:sz w:val="21"/>
                      <w:szCs w:val="21"/>
                    </w:rPr>
                    <w:t>拟采取处置方式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8618" w:type="dxa"/>
                  <w:gridSpan w:val="7"/>
                  <w:vAlign w:val="center"/>
                </w:tcPr>
                <w:p>
                  <w:pPr>
                    <w:jc w:val="center"/>
                    <w:rPr>
                      <w:sz w:val="21"/>
                      <w:szCs w:val="21"/>
                    </w:rPr>
                  </w:pPr>
                  <w:r>
                    <w:rPr>
                      <w:rFonts w:hint="eastAsia"/>
                      <w:sz w:val="21"/>
                      <w:szCs w:val="21"/>
                    </w:rPr>
                    <w:t>一般固体废物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1</w:t>
                  </w:r>
                </w:p>
              </w:tc>
              <w:tc>
                <w:tcPr>
                  <w:tcW w:w="1281" w:type="dxa"/>
                  <w:vAlign w:val="center"/>
                </w:tcPr>
                <w:p>
                  <w:pPr>
                    <w:jc w:val="center"/>
                    <w:rPr>
                      <w:sz w:val="21"/>
                      <w:szCs w:val="21"/>
                    </w:rPr>
                  </w:pPr>
                  <w:r>
                    <w:rPr>
                      <w:rFonts w:hint="eastAsia"/>
                      <w:sz w:val="21"/>
                      <w:szCs w:val="21"/>
                    </w:rPr>
                    <w:t>玻璃边角料和玻璃渣</w:t>
                  </w:r>
                </w:p>
              </w:tc>
              <w:tc>
                <w:tcPr>
                  <w:tcW w:w="1112" w:type="dxa"/>
                  <w:vMerge w:val="restart"/>
                  <w:vAlign w:val="center"/>
                </w:tcPr>
                <w:p>
                  <w:pPr>
                    <w:jc w:val="center"/>
                    <w:rPr>
                      <w:sz w:val="21"/>
                      <w:szCs w:val="21"/>
                    </w:rPr>
                  </w:pPr>
                  <w:r>
                    <w:rPr>
                      <w:rFonts w:hint="eastAsia"/>
                      <w:sz w:val="21"/>
                      <w:szCs w:val="21"/>
                    </w:rPr>
                    <w:t>一般固废</w:t>
                  </w:r>
                </w:p>
              </w:tc>
              <w:tc>
                <w:tcPr>
                  <w:tcW w:w="1196" w:type="dxa"/>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10.0</w:t>
                  </w:r>
                </w:p>
              </w:tc>
              <w:tc>
                <w:tcPr>
                  <w:tcW w:w="1129" w:type="dxa"/>
                  <w:vAlign w:val="center"/>
                </w:tcPr>
                <w:p>
                  <w:pPr>
                    <w:jc w:val="center"/>
                    <w:rPr>
                      <w:sz w:val="21"/>
                      <w:szCs w:val="21"/>
                    </w:rPr>
                  </w:pPr>
                  <w:r>
                    <w:rPr>
                      <w:rFonts w:hint="eastAsia"/>
                      <w:sz w:val="21"/>
                      <w:szCs w:val="21"/>
                    </w:rPr>
                    <w:t>10.0</w:t>
                  </w:r>
                </w:p>
              </w:tc>
              <w:tc>
                <w:tcPr>
                  <w:tcW w:w="2219" w:type="dxa"/>
                  <w:vAlign w:val="center"/>
                </w:tcPr>
                <w:p>
                  <w:pPr>
                    <w:jc w:val="center"/>
                    <w:rPr>
                      <w:sz w:val="21"/>
                      <w:szCs w:val="21"/>
                    </w:rPr>
                  </w:pPr>
                  <w:r>
                    <w:rPr>
                      <w:rFonts w:hint="eastAsia"/>
                      <w:sz w:val="21"/>
                      <w:szCs w:val="21"/>
                    </w:rPr>
                    <w:t>收集外售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2</w:t>
                  </w:r>
                </w:p>
              </w:tc>
              <w:tc>
                <w:tcPr>
                  <w:tcW w:w="1281" w:type="dxa"/>
                  <w:vAlign w:val="center"/>
                </w:tcPr>
                <w:p>
                  <w:pPr>
                    <w:jc w:val="center"/>
                    <w:rPr>
                      <w:sz w:val="21"/>
                      <w:szCs w:val="21"/>
                    </w:rPr>
                  </w:pPr>
                  <w:r>
                    <w:rPr>
                      <w:rFonts w:hint="eastAsia"/>
                      <w:sz w:val="21"/>
                      <w:szCs w:val="21"/>
                    </w:rPr>
                    <w:t>铝条边角料</w:t>
                  </w:r>
                </w:p>
              </w:tc>
              <w:tc>
                <w:tcPr>
                  <w:tcW w:w="1112" w:type="dxa"/>
                  <w:vMerge w:val="continue"/>
                  <w:vAlign w:val="center"/>
                </w:tcPr>
                <w:p>
                  <w:pPr>
                    <w:jc w:val="center"/>
                    <w:rPr>
                      <w:sz w:val="21"/>
                      <w:szCs w:val="21"/>
                    </w:rPr>
                  </w:pPr>
                </w:p>
              </w:tc>
              <w:tc>
                <w:tcPr>
                  <w:tcW w:w="1196" w:type="dxa"/>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0.03</w:t>
                  </w:r>
                </w:p>
              </w:tc>
              <w:tc>
                <w:tcPr>
                  <w:tcW w:w="1129" w:type="dxa"/>
                  <w:vAlign w:val="center"/>
                </w:tcPr>
                <w:p>
                  <w:pPr>
                    <w:jc w:val="center"/>
                    <w:rPr>
                      <w:sz w:val="21"/>
                      <w:szCs w:val="21"/>
                    </w:rPr>
                  </w:pPr>
                  <w:r>
                    <w:rPr>
                      <w:rFonts w:hint="eastAsia"/>
                      <w:sz w:val="21"/>
                      <w:szCs w:val="21"/>
                    </w:rPr>
                    <w:t>0.03</w:t>
                  </w:r>
                </w:p>
              </w:tc>
              <w:tc>
                <w:tcPr>
                  <w:tcW w:w="2219" w:type="dxa"/>
                  <w:vAlign w:val="center"/>
                </w:tcPr>
                <w:p>
                  <w:pPr>
                    <w:jc w:val="center"/>
                    <w:rPr>
                      <w:sz w:val="21"/>
                      <w:szCs w:val="21"/>
                    </w:rPr>
                  </w:pPr>
                  <w:r>
                    <w:rPr>
                      <w:rFonts w:hint="eastAsia"/>
                      <w:sz w:val="21"/>
                      <w:szCs w:val="21"/>
                    </w:rPr>
                    <w:t>回收公司回收利用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3</w:t>
                  </w:r>
                </w:p>
              </w:tc>
              <w:tc>
                <w:tcPr>
                  <w:tcW w:w="1281" w:type="dxa"/>
                  <w:vAlign w:val="center"/>
                </w:tcPr>
                <w:p>
                  <w:pPr>
                    <w:jc w:val="center"/>
                    <w:rPr>
                      <w:sz w:val="21"/>
                      <w:szCs w:val="21"/>
                    </w:rPr>
                  </w:pPr>
                  <w:r>
                    <w:rPr>
                      <w:rFonts w:hint="eastAsia"/>
                      <w:sz w:val="21"/>
                      <w:szCs w:val="21"/>
                    </w:rPr>
                    <w:t>污泥</w:t>
                  </w:r>
                </w:p>
              </w:tc>
              <w:tc>
                <w:tcPr>
                  <w:tcW w:w="1112" w:type="dxa"/>
                  <w:vMerge w:val="continue"/>
                  <w:vAlign w:val="center"/>
                </w:tcPr>
                <w:p>
                  <w:pPr>
                    <w:jc w:val="center"/>
                    <w:rPr>
                      <w:sz w:val="21"/>
                      <w:szCs w:val="21"/>
                    </w:rPr>
                  </w:pPr>
                </w:p>
              </w:tc>
              <w:tc>
                <w:tcPr>
                  <w:tcW w:w="1196" w:type="dxa"/>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0.02</w:t>
                  </w:r>
                </w:p>
              </w:tc>
              <w:tc>
                <w:tcPr>
                  <w:tcW w:w="1129" w:type="dxa"/>
                  <w:vAlign w:val="center"/>
                </w:tcPr>
                <w:p>
                  <w:pPr>
                    <w:jc w:val="center"/>
                    <w:rPr>
                      <w:sz w:val="21"/>
                      <w:szCs w:val="21"/>
                    </w:rPr>
                  </w:pPr>
                  <w:r>
                    <w:rPr>
                      <w:rFonts w:hint="eastAsia"/>
                      <w:sz w:val="21"/>
                      <w:szCs w:val="21"/>
                    </w:rPr>
                    <w:t>0.02</w:t>
                  </w:r>
                </w:p>
              </w:tc>
              <w:tc>
                <w:tcPr>
                  <w:tcW w:w="2219" w:type="dxa"/>
                  <w:vAlign w:val="center"/>
                </w:tcPr>
                <w:p>
                  <w:pPr>
                    <w:jc w:val="center"/>
                    <w:rPr>
                      <w:sz w:val="21"/>
                      <w:szCs w:val="21"/>
                    </w:rPr>
                  </w:pPr>
                  <w:r>
                    <w:rPr>
                      <w:rFonts w:hint="eastAsia"/>
                      <w:sz w:val="21"/>
                      <w:szCs w:val="21"/>
                    </w:rPr>
                    <w:t>环卫部门定期清运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4</w:t>
                  </w:r>
                </w:p>
              </w:tc>
              <w:tc>
                <w:tcPr>
                  <w:tcW w:w="1281" w:type="dxa"/>
                  <w:vAlign w:val="center"/>
                </w:tcPr>
                <w:p>
                  <w:pPr>
                    <w:jc w:val="center"/>
                    <w:rPr>
                      <w:sz w:val="21"/>
                      <w:szCs w:val="21"/>
                    </w:rPr>
                  </w:pPr>
                  <w:r>
                    <w:rPr>
                      <w:rFonts w:hint="eastAsia"/>
                      <w:sz w:val="21"/>
                      <w:szCs w:val="21"/>
                    </w:rPr>
                    <w:t>不合格品</w:t>
                  </w:r>
                </w:p>
              </w:tc>
              <w:tc>
                <w:tcPr>
                  <w:tcW w:w="1112" w:type="dxa"/>
                  <w:vMerge w:val="continue"/>
                  <w:vAlign w:val="center"/>
                </w:tcPr>
                <w:p>
                  <w:pPr>
                    <w:jc w:val="center"/>
                    <w:rPr>
                      <w:sz w:val="21"/>
                      <w:szCs w:val="21"/>
                    </w:rPr>
                  </w:pPr>
                </w:p>
              </w:tc>
              <w:tc>
                <w:tcPr>
                  <w:tcW w:w="1196" w:type="dxa"/>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1.0</w:t>
                  </w:r>
                </w:p>
              </w:tc>
              <w:tc>
                <w:tcPr>
                  <w:tcW w:w="1129" w:type="dxa"/>
                  <w:vAlign w:val="center"/>
                </w:tcPr>
                <w:p>
                  <w:pPr>
                    <w:jc w:val="center"/>
                    <w:rPr>
                      <w:sz w:val="21"/>
                      <w:szCs w:val="21"/>
                    </w:rPr>
                  </w:pPr>
                  <w:r>
                    <w:rPr>
                      <w:rFonts w:hint="eastAsia"/>
                      <w:sz w:val="21"/>
                      <w:szCs w:val="21"/>
                    </w:rPr>
                    <w:t>1.0</w:t>
                  </w:r>
                </w:p>
              </w:tc>
              <w:tc>
                <w:tcPr>
                  <w:tcW w:w="2219" w:type="dxa"/>
                  <w:vAlign w:val="center"/>
                </w:tcPr>
                <w:p>
                  <w:pPr>
                    <w:jc w:val="center"/>
                    <w:rPr>
                      <w:sz w:val="21"/>
                      <w:szCs w:val="21"/>
                    </w:rPr>
                  </w:pPr>
                  <w:r>
                    <w:rPr>
                      <w:rFonts w:hint="eastAsia"/>
                      <w:sz w:val="21"/>
                      <w:szCs w:val="21"/>
                    </w:rPr>
                    <w:t>收集外售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5</w:t>
                  </w:r>
                </w:p>
              </w:tc>
              <w:tc>
                <w:tcPr>
                  <w:tcW w:w="1281" w:type="dxa"/>
                  <w:vAlign w:val="center"/>
                </w:tcPr>
                <w:p>
                  <w:pPr>
                    <w:jc w:val="center"/>
                    <w:rPr>
                      <w:sz w:val="21"/>
                      <w:szCs w:val="21"/>
                    </w:rPr>
                  </w:pPr>
                  <w:r>
                    <w:rPr>
                      <w:rFonts w:hint="eastAsia"/>
                      <w:sz w:val="21"/>
                      <w:szCs w:val="21"/>
                    </w:rPr>
                    <w:t>合计</w:t>
                  </w:r>
                </w:p>
              </w:tc>
              <w:tc>
                <w:tcPr>
                  <w:tcW w:w="1112" w:type="dxa"/>
                  <w:vAlign w:val="center"/>
                </w:tcPr>
                <w:p>
                  <w:pPr>
                    <w:jc w:val="center"/>
                    <w:rPr>
                      <w:sz w:val="21"/>
                      <w:szCs w:val="21"/>
                    </w:rPr>
                  </w:pPr>
                  <w:r>
                    <w:rPr>
                      <w:rFonts w:hint="eastAsia"/>
                      <w:sz w:val="21"/>
                      <w:szCs w:val="21"/>
                    </w:rPr>
                    <w:t>一般固废</w:t>
                  </w:r>
                </w:p>
              </w:tc>
              <w:tc>
                <w:tcPr>
                  <w:tcW w:w="1196" w:type="dxa"/>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11.05</w:t>
                  </w:r>
                </w:p>
              </w:tc>
              <w:tc>
                <w:tcPr>
                  <w:tcW w:w="1129" w:type="dxa"/>
                  <w:vAlign w:val="center"/>
                </w:tcPr>
                <w:p>
                  <w:pPr>
                    <w:jc w:val="center"/>
                    <w:rPr>
                      <w:sz w:val="21"/>
                      <w:szCs w:val="21"/>
                    </w:rPr>
                  </w:pPr>
                  <w:r>
                    <w:rPr>
                      <w:sz w:val="21"/>
                      <w:szCs w:val="21"/>
                    </w:rPr>
                    <w:fldChar w:fldCharType="begin"/>
                  </w:r>
                  <w:r>
                    <w:rPr>
                      <w:sz w:val="21"/>
                      <w:szCs w:val="21"/>
                    </w:rPr>
                    <w:instrText xml:space="preserve"> =SUM(ABOVE) </w:instrText>
                  </w:r>
                  <w:r>
                    <w:rPr>
                      <w:sz w:val="21"/>
                      <w:szCs w:val="21"/>
                    </w:rPr>
                    <w:fldChar w:fldCharType="separate"/>
                  </w:r>
                  <w:r>
                    <w:rPr>
                      <w:sz w:val="21"/>
                      <w:szCs w:val="21"/>
                    </w:rPr>
                    <w:t>11.05</w:t>
                  </w:r>
                  <w:r>
                    <w:rPr>
                      <w:sz w:val="21"/>
                      <w:szCs w:val="21"/>
                    </w:rPr>
                    <w:fldChar w:fldCharType="end"/>
                  </w:r>
                </w:p>
              </w:tc>
              <w:tc>
                <w:tcPr>
                  <w:tcW w:w="2219" w:type="dxa"/>
                  <w:vAlign w:val="center"/>
                </w:tcPr>
                <w:p>
                  <w:pPr>
                    <w:jc w:val="center"/>
                    <w:rPr>
                      <w:sz w:val="21"/>
                      <w:szCs w:val="21"/>
                    </w:rPr>
                  </w:pP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8618" w:type="dxa"/>
                  <w:gridSpan w:val="7"/>
                  <w:vAlign w:val="center"/>
                </w:tcPr>
                <w:p>
                  <w:pPr>
                    <w:jc w:val="center"/>
                    <w:rPr>
                      <w:sz w:val="21"/>
                      <w:szCs w:val="21"/>
                    </w:rPr>
                  </w:pPr>
                  <w:r>
                    <w:rPr>
                      <w:rFonts w:hint="eastAsia"/>
                      <w:sz w:val="21"/>
                      <w:szCs w:val="21"/>
                    </w:rPr>
                    <w:t>危险废物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1</w:t>
                  </w:r>
                </w:p>
              </w:tc>
              <w:tc>
                <w:tcPr>
                  <w:tcW w:w="1281" w:type="dxa"/>
                  <w:vAlign w:val="center"/>
                </w:tcPr>
                <w:p>
                  <w:pPr>
                    <w:jc w:val="center"/>
                    <w:rPr>
                      <w:sz w:val="21"/>
                      <w:szCs w:val="21"/>
                    </w:rPr>
                  </w:pPr>
                  <w:r>
                    <w:rPr>
                      <w:rFonts w:hint="eastAsia"/>
                      <w:sz w:val="21"/>
                      <w:szCs w:val="21"/>
                    </w:rPr>
                    <w:t>废活性炭</w:t>
                  </w:r>
                </w:p>
              </w:tc>
              <w:tc>
                <w:tcPr>
                  <w:tcW w:w="1112" w:type="dxa"/>
                  <w:vAlign w:val="center"/>
                </w:tcPr>
                <w:p>
                  <w:pPr>
                    <w:jc w:val="center"/>
                    <w:rPr>
                      <w:sz w:val="21"/>
                      <w:szCs w:val="21"/>
                    </w:rPr>
                  </w:pPr>
                  <w:r>
                    <w:rPr>
                      <w:rFonts w:hint="eastAsia"/>
                      <w:sz w:val="21"/>
                      <w:szCs w:val="21"/>
                    </w:rPr>
                    <w:t>HW49</w:t>
                  </w:r>
                </w:p>
              </w:tc>
              <w:tc>
                <w:tcPr>
                  <w:tcW w:w="1196" w:type="dxa"/>
                  <w:vAlign w:val="center"/>
                </w:tcPr>
                <w:p>
                  <w:pPr>
                    <w:jc w:val="center"/>
                    <w:rPr>
                      <w:sz w:val="21"/>
                      <w:szCs w:val="21"/>
                    </w:rPr>
                  </w:pPr>
                  <w:r>
                    <w:rPr>
                      <w:rFonts w:hint="eastAsia"/>
                      <w:sz w:val="21"/>
                      <w:szCs w:val="21"/>
                    </w:rPr>
                    <w:t>900-041-49</w:t>
                  </w:r>
                </w:p>
              </w:tc>
              <w:tc>
                <w:tcPr>
                  <w:tcW w:w="1039" w:type="dxa"/>
                  <w:vAlign w:val="center"/>
                </w:tcPr>
                <w:p>
                  <w:pPr>
                    <w:jc w:val="center"/>
                    <w:rPr>
                      <w:sz w:val="21"/>
                      <w:szCs w:val="21"/>
                    </w:rPr>
                  </w:pPr>
                  <w:r>
                    <w:rPr>
                      <w:rFonts w:hint="eastAsia"/>
                      <w:sz w:val="21"/>
                      <w:szCs w:val="21"/>
                    </w:rPr>
                    <w:t>0.48</w:t>
                  </w:r>
                </w:p>
              </w:tc>
              <w:tc>
                <w:tcPr>
                  <w:tcW w:w="1129" w:type="dxa"/>
                  <w:vAlign w:val="center"/>
                </w:tcPr>
                <w:p>
                  <w:pPr>
                    <w:jc w:val="center"/>
                    <w:rPr>
                      <w:sz w:val="21"/>
                      <w:szCs w:val="21"/>
                    </w:rPr>
                  </w:pPr>
                  <w:r>
                    <w:rPr>
                      <w:rFonts w:hint="eastAsia"/>
                      <w:sz w:val="21"/>
                      <w:szCs w:val="21"/>
                    </w:rPr>
                    <w:t>0.48</w:t>
                  </w:r>
                </w:p>
              </w:tc>
              <w:tc>
                <w:tcPr>
                  <w:tcW w:w="2219" w:type="dxa"/>
                  <w:vAlign w:val="center"/>
                </w:tcPr>
                <w:p>
                  <w:pPr>
                    <w:jc w:val="center"/>
                    <w:rPr>
                      <w:sz w:val="21"/>
                      <w:szCs w:val="21"/>
                    </w:rPr>
                  </w:pPr>
                  <w:r>
                    <w:rPr>
                      <w:rFonts w:hint="eastAsia"/>
                      <w:sz w:val="21"/>
                      <w:szCs w:val="21"/>
                    </w:rPr>
                    <w:t>委托有资质单位处置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8618" w:type="dxa"/>
                  <w:gridSpan w:val="7"/>
                  <w:vAlign w:val="center"/>
                </w:tcPr>
                <w:p>
                  <w:pPr>
                    <w:jc w:val="center"/>
                    <w:rPr>
                      <w:sz w:val="21"/>
                      <w:szCs w:val="21"/>
                    </w:rPr>
                  </w:pPr>
                  <w:r>
                    <w:rPr>
                      <w:rFonts w:hint="eastAsia"/>
                      <w:sz w:val="21"/>
                      <w:szCs w:val="21"/>
                    </w:rPr>
                    <w:t>生活垃圾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42" w:type="dxa"/>
                  <w:vAlign w:val="center"/>
                </w:tcPr>
                <w:p>
                  <w:pPr>
                    <w:jc w:val="center"/>
                    <w:rPr>
                      <w:sz w:val="21"/>
                      <w:szCs w:val="21"/>
                    </w:rPr>
                  </w:pPr>
                  <w:r>
                    <w:rPr>
                      <w:rFonts w:hint="eastAsia"/>
                      <w:sz w:val="21"/>
                      <w:szCs w:val="21"/>
                    </w:rPr>
                    <w:t>1</w:t>
                  </w:r>
                </w:p>
              </w:tc>
              <w:tc>
                <w:tcPr>
                  <w:tcW w:w="1281" w:type="dxa"/>
                  <w:vAlign w:val="center"/>
                </w:tcPr>
                <w:p>
                  <w:pPr>
                    <w:jc w:val="center"/>
                    <w:rPr>
                      <w:sz w:val="21"/>
                      <w:szCs w:val="21"/>
                    </w:rPr>
                  </w:pPr>
                  <w:r>
                    <w:rPr>
                      <w:rFonts w:hint="eastAsia"/>
                      <w:sz w:val="21"/>
                      <w:szCs w:val="21"/>
                    </w:rPr>
                    <w:t>生活垃圾</w:t>
                  </w:r>
                </w:p>
              </w:tc>
              <w:tc>
                <w:tcPr>
                  <w:tcW w:w="2308" w:type="dxa"/>
                  <w:gridSpan w:val="2"/>
                  <w:vAlign w:val="center"/>
                </w:tcPr>
                <w:p>
                  <w:pPr>
                    <w:jc w:val="center"/>
                    <w:rPr>
                      <w:sz w:val="21"/>
                      <w:szCs w:val="21"/>
                    </w:rPr>
                  </w:pPr>
                  <w:r>
                    <w:rPr>
                      <w:rFonts w:hint="eastAsia"/>
                      <w:sz w:val="21"/>
                      <w:szCs w:val="21"/>
                    </w:rPr>
                    <w:t>—</w:t>
                  </w:r>
                </w:p>
              </w:tc>
              <w:tc>
                <w:tcPr>
                  <w:tcW w:w="1039" w:type="dxa"/>
                  <w:vAlign w:val="center"/>
                </w:tcPr>
                <w:p>
                  <w:pPr>
                    <w:jc w:val="center"/>
                    <w:rPr>
                      <w:sz w:val="21"/>
                      <w:szCs w:val="21"/>
                    </w:rPr>
                  </w:pPr>
                  <w:r>
                    <w:rPr>
                      <w:rFonts w:hint="eastAsia"/>
                      <w:sz w:val="21"/>
                      <w:szCs w:val="21"/>
                    </w:rPr>
                    <w:t>3.0</w:t>
                  </w:r>
                </w:p>
              </w:tc>
              <w:tc>
                <w:tcPr>
                  <w:tcW w:w="1129" w:type="dxa"/>
                  <w:vAlign w:val="center"/>
                </w:tcPr>
                <w:p>
                  <w:pPr>
                    <w:jc w:val="center"/>
                    <w:rPr>
                      <w:sz w:val="21"/>
                      <w:szCs w:val="21"/>
                    </w:rPr>
                  </w:pPr>
                  <w:r>
                    <w:rPr>
                      <w:rFonts w:hint="eastAsia"/>
                      <w:sz w:val="21"/>
                      <w:szCs w:val="21"/>
                    </w:rPr>
                    <w:t>3.0</w:t>
                  </w:r>
                </w:p>
              </w:tc>
              <w:tc>
                <w:tcPr>
                  <w:tcW w:w="2219" w:type="dxa"/>
                  <w:vAlign w:val="center"/>
                </w:tcPr>
                <w:p>
                  <w:pPr>
                    <w:jc w:val="center"/>
                    <w:rPr>
                      <w:sz w:val="21"/>
                      <w:szCs w:val="21"/>
                    </w:rPr>
                  </w:pPr>
                  <w:r>
                    <w:rPr>
                      <w:rFonts w:hint="eastAsia"/>
                      <w:sz w:val="21"/>
                      <w:szCs w:val="21"/>
                    </w:rPr>
                    <w:t>环卫部门定期清运</w:t>
                  </w:r>
                </w:p>
              </w:tc>
            </w:tr>
          </w:tbl>
          <w:p>
            <w:pPr>
              <w:spacing w:line="360" w:lineRule="auto"/>
              <w:ind w:firstLine="480" w:firstLineChars="200"/>
              <w:jc w:val="left"/>
              <w:rPr>
                <w:rFonts w:eastAsia="黑体"/>
                <w:sz w:val="24"/>
              </w:rPr>
            </w:pPr>
            <w:r>
              <w:rPr>
                <w:rFonts w:eastAsia="黑体"/>
                <w:sz w:val="24"/>
              </w:rPr>
              <w:t>5、风险事故</w:t>
            </w:r>
          </w:p>
          <w:p>
            <w:pPr>
              <w:spacing w:line="360" w:lineRule="auto"/>
              <w:ind w:firstLine="480" w:firstLineChars="200"/>
              <w:rPr>
                <w:color w:val="000000"/>
                <w:sz w:val="24"/>
                <w:szCs w:val="24"/>
              </w:rPr>
            </w:pPr>
            <w:r>
              <w:rPr>
                <w:rFonts w:hint="eastAsia"/>
                <w:color w:val="000000"/>
                <w:sz w:val="24"/>
                <w:szCs w:val="24"/>
              </w:rPr>
              <w:t>按照《建设项目环境风险评价技术导则》（</w:t>
            </w:r>
            <w:r>
              <w:rPr>
                <w:color w:val="000000"/>
                <w:sz w:val="24"/>
                <w:szCs w:val="24"/>
              </w:rPr>
              <w:t>HJ169-2018</w:t>
            </w:r>
            <w:r>
              <w:rPr>
                <w:rFonts w:hint="eastAsia"/>
                <w:color w:val="000000"/>
                <w:sz w:val="24"/>
                <w:szCs w:val="24"/>
              </w:rPr>
              <w:t>）和《关于进一步加强环境影响评价管理防范环境风险的通知》（环发</w:t>
            </w:r>
            <w:r>
              <w:rPr>
                <w:color w:val="000000"/>
                <w:sz w:val="24"/>
                <w:szCs w:val="24"/>
              </w:rPr>
              <w:t>[2012]77</w:t>
            </w:r>
            <w:r>
              <w:rPr>
                <w:rFonts w:hint="eastAsia"/>
                <w:color w:val="000000"/>
                <w:sz w:val="24"/>
                <w:szCs w:val="24"/>
              </w:rPr>
              <w:t>号）的规定，对项目的环境风险进行识别，本项目不构成重大危险源，不存在重大的环境风险。</w:t>
            </w:r>
          </w:p>
          <w:p>
            <w:pPr>
              <w:pStyle w:val="83"/>
              <w:widowControl/>
              <w:spacing w:line="360" w:lineRule="auto"/>
              <w:ind w:firstLine="480" w:firstLineChars="200"/>
              <w:jc w:val="left"/>
              <w:rPr>
                <w:rFonts w:eastAsia="宋体"/>
                <w:snapToGrid w:val="0"/>
                <w:spacing w:val="0"/>
                <w:kern w:val="0"/>
              </w:rPr>
            </w:pPr>
          </w:p>
          <w:p>
            <w:pPr>
              <w:pStyle w:val="83"/>
              <w:widowControl/>
              <w:spacing w:line="360" w:lineRule="auto"/>
              <w:ind w:firstLine="480" w:firstLineChars="200"/>
              <w:jc w:val="left"/>
              <w:rPr>
                <w:rFonts w:eastAsia="宋体"/>
                <w:snapToGrid w:val="0"/>
                <w:spacing w:val="0"/>
                <w:kern w:val="0"/>
              </w:rPr>
            </w:pPr>
          </w:p>
          <w:p>
            <w:pPr>
              <w:pStyle w:val="83"/>
              <w:widowControl/>
              <w:spacing w:line="360" w:lineRule="auto"/>
              <w:ind w:firstLine="480" w:firstLineChars="200"/>
              <w:jc w:val="left"/>
              <w:rPr>
                <w:rFonts w:eastAsia="宋体"/>
                <w:snapToGrid w:val="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p>
            <w:pPr>
              <w:pStyle w:val="83"/>
              <w:widowControl/>
              <w:spacing w:line="240" w:lineRule="auto"/>
              <w:ind w:firstLine="480" w:firstLineChars="200"/>
              <w:jc w:val="left"/>
              <w:rPr>
                <w:rFonts w:eastAsia="宋体"/>
                <w:snapToGrid w:val="0"/>
                <w:color w:val="0070C0"/>
                <w:spacing w:val="0"/>
                <w:kern w:val="0"/>
              </w:rPr>
            </w:pPr>
          </w:p>
        </w:tc>
      </w:tr>
    </w:tbl>
    <w:p>
      <w:pPr>
        <w:snapToGrid w:val="0"/>
        <w:rPr>
          <w:rFonts w:eastAsia="黑体"/>
          <w:sz w:val="32"/>
          <w:szCs w:val="32"/>
        </w:rPr>
      </w:pPr>
      <w:r>
        <w:rPr>
          <w:rFonts w:eastAsia="黑体"/>
          <w:sz w:val="32"/>
          <w:szCs w:val="32"/>
        </w:rPr>
        <w:t>项目主要污染物产生及预计排放情况</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1"/>
        <w:gridCol w:w="1211"/>
        <w:gridCol w:w="1276"/>
        <w:gridCol w:w="1134"/>
        <w:gridCol w:w="2271"/>
        <w:gridCol w:w="2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1" w:type="dxa"/>
            <w:tcBorders>
              <w:tl2br w:val="single" w:color="auto" w:sz="4" w:space="0"/>
            </w:tcBorders>
            <w:vAlign w:val="center"/>
          </w:tcPr>
          <w:p>
            <w:pPr>
              <w:snapToGrid w:val="0"/>
              <w:ind w:firstLine="510"/>
              <w:jc w:val="right"/>
              <w:rPr>
                <w:rFonts w:ascii="华文中宋" w:hAnsi="华文中宋" w:eastAsia="华文中宋"/>
                <w:sz w:val="28"/>
              </w:rPr>
            </w:pPr>
            <w:r>
              <w:rPr>
                <w:rFonts w:ascii="华文中宋" w:hAnsi="华文中宋" w:eastAsia="华文中宋"/>
                <w:sz w:val="28"/>
              </w:rPr>
              <w:t>内容</w:t>
            </w:r>
          </w:p>
          <w:p>
            <w:pPr>
              <w:snapToGrid w:val="0"/>
              <w:rPr>
                <w:rFonts w:ascii="华文中宋" w:hAnsi="华文中宋" w:eastAsia="华文中宋"/>
                <w:sz w:val="28"/>
              </w:rPr>
            </w:pPr>
            <w:r>
              <w:rPr>
                <w:rFonts w:ascii="华文中宋" w:hAnsi="华文中宋" w:eastAsia="华文中宋"/>
                <w:sz w:val="28"/>
              </w:rPr>
              <w:t>类型</w:t>
            </w:r>
          </w:p>
        </w:tc>
        <w:tc>
          <w:tcPr>
            <w:tcW w:w="1211" w:type="dxa"/>
            <w:vAlign w:val="center"/>
          </w:tcPr>
          <w:p>
            <w:pPr>
              <w:snapToGrid w:val="0"/>
              <w:jc w:val="center"/>
              <w:rPr>
                <w:rFonts w:ascii="华文中宋" w:hAnsi="华文中宋" w:eastAsia="华文中宋"/>
                <w:sz w:val="28"/>
              </w:rPr>
            </w:pPr>
            <w:r>
              <w:rPr>
                <w:rFonts w:ascii="华文中宋" w:hAnsi="华文中宋" w:eastAsia="华文中宋"/>
                <w:sz w:val="28"/>
              </w:rPr>
              <w:t>排放源</w:t>
            </w:r>
          </w:p>
          <w:p>
            <w:pPr>
              <w:snapToGrid w:val="0"/>
              <w:jc w:val="center"/>
              <w:rPr>
                <w:rFonts w:ascii="华文中宋" w:hAnsi="华文中宋" w:eastAsia="华文中宋"/>
                <w:sz w:val="28"/>
              </w:rPr>
            </w:pPr>
            <w:r>
              <w:rPr>
                <w:rFonts w:ascii="华文中宋" w:hAnsi="华文中宋" w:eastAsia="华文中宋"/>
                <w:sz w:val="28"/>
              </w:rPr>
              <w:t>（编号）</w:t>
            </w:r>
          </w:p>
        </w:tc>
        <w:tc>
          <w:tcPr>
            <w:tcW w:w="2410" w:type="dxa"/>
            <w:gridSpan w:val="2"/>
            <w:vAlign w:val="center"/>
          </w:tcPr>
          <w:p>
            <w:pPr>
              <w:snapToGrid w:val="0"/>
              <w:jc w:val="center"/>
              <w:rPr>
                <w:rFonts w:ascii="华文中宋" w:hAnsi="华文中宋" w:eastAsia="华文中宋"/>
                <w:sz w:val="28"/>
              </w:rPr>
            </w:pPr>
            <w:r>
              <w:rPr>
                <w:rFonts w:ascii="华文中宋" w:hAnsi="华文中宋" w:eastAsia="华文中宋"/>
                <w:sz w:val="28"/>
              </w:rPr>
              <w:t>污染物名称</w:t>
            </w:r>
          </w:p>
        </w:tc>
        <w:tc>
          <w:tcPr>
            <w:tcW w:w="2271" w:type="dxa"/>
            <w:vAlign w:val="center"/>
          </w:tcPr>
          <w:p>
            <w:pPr>
              <w:snapToGrid w:val="0"/>
              <w:rPr>
                <w:rFonts w:ascii="华文中宋" w:hAnsi="华文中宋" w:eastAsia="华文中宋"/>
                <w:sz w:val="28"/>
              </w:rPr>
            </w:pPr>
            <w:r>
              <w:rPr>
                <w:rFonts w:ascii="华文中宋" w:hAnsi="华文中宋" w:eastAsia="华文中宋"/>
                <w:sz w:val="28"/>
              </w:rPr>
              <w:t>处理前产生浓度</w:t>
            </w:r>
          </w:p>
          <w:p>
            <w:pPr>
              <w:snapToGrid w:val="0"/>
              <w:rPr>
                <w:rFonts w:ascii="华文中宋" w:hAnsi="华文中宋" w:eastAsia="华文中宋"/>
                <w:sz w:val="28"/>
              </w:rPr>
            </w:pPr>
            <w:r>
              <w:rPr>
                <w:rFonts w:ascii="华文中宋" w:hAnsi="华文中宋" w:eastAsia="华文中宋"/>
                <w:sz w:val="28"/>
              </w:rPr>
              <w:t>及产生量（单位）</w:t>
            </w:r>
          </w:p>
        </w:tc>
        <w:tc>
          <w:tcPr>
            <w:tcW w:w="2361" w:type="dxa"/>
            <w:vAlign w:val="center"/>
          </w:tcPr>
          <w:p>
            <w:pPr>
              <w:snapToGrid w:val="0"/>
              <w:rPr>
                <w:rFonts w:ascii="华文中宋" w:hAnsi="华文中宋" w:eastAsia="华文中宋"/>
                <w:sz w:val="28"/>
              </w:rPr>
            </w:pPr>
            <w:r>
              <w:rPr>
                <w:rFonts w:ascii="华文中宋" w:hAnsi="华文中宋" w:eastAsia="华文中宋"/>
                <w:sz w:val="28"/>
              </w:rPr>
              <w:t>排放浓度及排放量（单位）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5" w:hRule="atLeast"/>
          <w:jc w:val="center"/>
        </w:trPr>
        <w:tc>
          <w:tcPr>
            <w:tcW w:w="1341" w:type="dxa"/>
            <w:vMerge w:val="restart"/>
            <w:vAlign w:val="center"/>
          </w:tcPr>
          <w:p>
            <w:pPr>
              <w:snapToGrid w:val="0"/>
              <w:ind w:left="140" w:hanging="140" w:hangingChars="50"/>
              <w:jc w:val="center"/>
              <w:rPr>
                <w:rFonts w:ascii="华文中宋" w:hAnsi="华文中宋" w:eastAsia="华文中宋"/>
                <w:sz w:val="28"/>
              </w:rPr>
            </w:pPr>
            <w:r>
              <w:rPr>
                <w:rFonts w:ascii="华文中宋" w:hAnsi="华文中宋" w:eastAsia="华文中宋"/>
                <w:sz w:val="28"/>
              </w:rPr>
              <w:t>大</w:t>
            </w:r>
          </w:p>
          <w:p>
            <w:pPr>
              <w:snapToGrid w:val="0"/>
              <w:ind w:left="140" w:hanging="140" w:hangingChars="50"/>
              <w:jc w:val="center"/>
              <w:rPr>
                <w:rFonts w:ascii="华文中宋" w:hAnsi="华文中宋" w:eastAsia="华文中宋"/>
                <w:sz w:val="28"/>
              </w:rPr>
            </w:pPr>
            <w:r>
              <w:rPr>
                <w:rFonts w:ascii="华文中宋" w:hAnsi="华文中宋" w:eastAsia="华文中宋"/>
                <w:sz w:val="28"/>
              </w:rPr>
              <w:t>气</w:t>
            </w:r>
          </w:p>
          <w:p>
            <w:pPr>
              <w:snapToGrid w:val="0"/>
              <w:ind w:left="140" w:hanging="140" w:hangingChars="50"/>
              <w:jc w:val="center"/>
              <w:rPr>
                <w:rFonts w:ascii="华文中宋" w:hAnsi="华文中宋" w:eastAsia="华文中宋"/>
                <w:sz w:val="28"/>
              </w:rPr>
            </w:pPr>
            <w:r>
              <w:rPr>
                <w:rFonts w:ascii="华文中宋" w:hAnsi="华文中宋" w:eastAsia="华文中宋"/>
                <w:sz w:val="28"/>
              </w:rPr>
              <w:t>污</w:t>
            </w:r>
          </w:p>
          <w:p>
            <w:pPr>
              <w:snapToGrid w:val="0"/>
              <w:ind w:left="140" w:hanging="140" w:hangingChars="50"/>
              <w:jc w:val="center"/>
              <w:rPr>
                <w:rFonts w:ascii="华文中宋" w:hAnsi="华文中宋" w:eastAsia="华文中宋"/>
                <w:sz w:val="28"/>
              </w:rPr>
            </w:pPr>
            <w:r>
              <w:rPr>
                <w:rFonts w:ascii="华文中宋" w:hAnsi="华文中宋" w:eastAsia="华文中宋"/>
                <w:sz w:val="28"/>
              </w:rPr>
              <w:t>染</w:t>
            </w:r>
          </w:p>
          <w:p>
            <w:pPr>
              <w:snapToGrid w:val="0"/>
              <w:ind w:left="140" w:hanging="140" w:hangingChars="50"/>
              <w:jc w:val="center"/>
              <w:rPr>
                <w:rFonts w:ascii="华文中宋" w:hAnsi="华文中宋" w:eastAsia="华文中宋"/>
                <w:b/>
                <w:sz w:val="28"/>
              </w:rPr>
            </w:pPr>
            <w:r>
              <w:rPr>
                <w:rFonts w:ascii="华文中宋" w:hAnsi="华文中宋" w:eastAsia="华文中宋"/>
                <w:sz w:val="28"/>
              </w:rPr>
              <w:t>物</w:t>
            </w:r>
          </w:p>
        </w:tc>
        <w:tc>
          <w:tcPr>
            <w:tcW w:w="1211" w:type="dxa"/>
            <w:vMerge w:val="restart"/>
            <w:vAlign w:val="center"/>
          </w:tcPr>
          <w:p>
            <w:pPr>
              <w:adjustRightInd w:val="0"/>
              <w:snapToGrid w:val="0"/>
              <w:jc w:val="center"/>
              <w:rPr>
                <w:sz w:val="24"/>
                <w:szCs w:val="24"/>
              </w:rPr>
            </w:pPr>
            <w:r>
              <w:rPr>
                <w:rFonts w:hint="eastAsia"/>
                <w:sz w:val="24"/>
                <w:szCs w:val="24"/>
              </w:rPr>
              <w:t>生产</w:t>
            </w:r>
          </w:p>
        </w:tc>
        <w:tc>
          <w:tcPr>
            <w:tcW w:w="1276" w:type="dxa"/>
            <w:vAlign w:val="center"/>
          </w:tcPr>
          <w:p>
            <w:pPr>
              <w:adjustRightInd w:val="0"/>
              <w:snapToGrid w:val="0"/>
              <w:jc w:val="center"/>
              <w:rPr>
                <w:sz w:val="24"/>
                <w:szCs w:val="24"/>
              </w:rPr>
            </w:pPr>
            <w:r>
              <w:rPr>
                <w:rFonts w:hint="eastAsia"/>
                <w:sz w:val="24"/>
                <w:szCs w:val="24"/>
              </w:rPr>
              <w:t>有组织</w:t>
            </w:r>
          </w:p>
        </w:tc>
        <w:tc>
          <w:tcPr>
            <w:tcW w:w="1134" w:type="dxa"/>
            <w:vAlign w:val="center"/>
          </w:tcPr>
          <w:p>
            <w:pPr>
              <w:adjustRightInd w:val="0"/>
              <w:snapToGrid w:val="0"/>
              <w:jc w:val="center"/>
              <w:rPr>
                <w:sz w:val="24"/>
                <w:szCs w:val="24"/>
              </w:rPr>
            </w:pPr>
            <w:r>
              <w:rPr>
                <w:rFonts w:hint="eastAsia"/>
                <w:sz w:val="24"/>
                <w:szCs w:val="24"/>
              </w:rPr>
              <w:t>VOCs</w:t>
            </w:r>
          </w:p>
        </w:tc>
        <w:tc>
          <w:tcPr>
            <w:tcW w:w="2271" w:type="dxa"/>
            <w:vAlign w:val="center"/>
          </w:tcPr>
          <w:p>
            <w:pPr>
              <w:adjustRightInd w:val="0"/>
              <w:snapToGrid w:val="0"/>
              <w:jc w:val="center"/>
              <w:rPr>
                <w:sz w:val="24"/>
                <w:szCs w:val="24"/>
              </w:rPr>
            </w:pPr>
            <w:r>
              <w:rPr>
                <w:rFonts w:hint="eastAsia"/>
                <w:sz w:val="24"/>
                <w:szCs w:val="24"/>
              </w:rPr>
              <w:t>65.0mg/m</w:t>
            </w:r>
            <w:r>
              <w:rPr>
                <w:rFonts w:hint="eastAsia"/>
                <w:sz w:val="24"/>
                <w:szCs w:val="24"/>
                <w:vertAlign w:val="superscript"/>
              </w:rPr>
              <w:t>3</w:t>
            </w:r>
            <w:r>
              <w:rPr>
                <w:rFonts w:hint="eastAsia"/>
                <w:sz w:val="24"/>
                <w:szCs w:val="24"/>
              </w:rPr>
              <w:t xml:space="preserve">、0.132t/a </w:t>
            </w:r>
          </w:p>
        </w:tc>
        <w:tc>
          <w:tcPr>
            <w:tcW w:w="2361" w:type="dxa"/>
            <w:shd w:val="clear" w:color="auto" w:fill="auto"/>
            <w:vAlign w:val="center"/>
          </w:tcPr>
          <w:p>
            <w:pPr>
              <w:adjustRightInd w:val="0"/>
              <w:snapToGrid w:val="0"/>
              <w:jc w:val="center"/>
              <w:rPr>
                <w:sz w:val="24"/>
                <w:szCs w:val="24"/>
              </w:rPr>
            </w:pPr>
            <w:r>
              <w:rPr>
                <w:rFonts w:hint="eastAsia"/>
                <w:sz w:val="24"/>
                <w:szCs w:val="24"/>
              </w:rPr>
              <w:t>6.50mg/m</w:t>
            </w:r>
            <w:r>
              <w:rPr>
                <w:rFonts w:hint="eastAsia"/>
                <w:sz w:val="24"/>
                <w:szCs w:val="24"/>
                <w:vertAlign w:val="superscript"/>
              </w:rPr>
              <w:t>3</w:t>
            </w:r>
            <w:r>
              <w:rPr>
                <w:rFonts w:hint="eastAsia"/>
                <w:sz w:val="24"/>
                <w:szCs w:val="24"/>
              </w:rPr>
              <w:t>、0.013t/a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jc w:val="center"/>
        </w:trPr>
        <w:tc>
          <w:tcPr>
            <w:tcW w:w="1341" w:type="dxa"/>
            <w:vMerge w:val="continue"/>
            <w:vAlign w:val="center"/>
          </w:tcPr>
          <w:p>
            <w:pPr>
              <w:snapToGrid w:val="0"/>
              <w:ind w:left="140" w:hanging="140" w:hangingChars="50"/>
              <w:jc w:val="center"/>
              <w:rPr>
                <w:rFonts w:ascii="华文中宋" w:hAnsi="华文中宋" w:eastAsia="华文中宋"/>
                <w:sz w:val="28"/>
              </w:rPr>
            </w:pPr>
          </w:p>
        </w:tc>
        <w:tc>
          <w:tcPr>
            <w:tcW w:w="1211" w:type="dxa"/>
            <w:vMerge w:val="continue"/>
            <w:vAlign w:val="center"/>
          </w:tcPr>
          <w:p>
            <w:pPr>
              <w:adjustRightInd w:val="0"/>
              <w:snapToGrid w:val="0"/>
              <w:jc w:val="center"/>
              <w:rPr>
                <w:sz w:val="24"/>
                <w:szCs w:val="24"/>
              </w:rPr>
            </w:pPr>
          </w:p>
        </w:tc>
        <w:tc>
          <w:tcPr>
            <w:tcW w:w="1276" w:type="dxa"/>
            <w:vAlign w:val="center"/>
          </w:tcPr>
          <w:p>
            <w:pPr>
              <w:adjustRightInd w:val="0"/>
              <w:snapToGrid w:val="0"/>
              <w:jc w:val="center"/>
              <w:rPr>
                <w:sz w:val="24"/>
                <w:szCs w:val="24"/>
              </w:rPr>
            </w:pPr>
            <w:r>
              <w:rPr>
                <w:rFonts w:hint="eastAsia"/>
                <w:sz w:val="24"/>
                <w:szCs w:val="24"/>
              </w:rPr>
              <w:t>无组织</w:t>
            </w:r>
          </w:p>
        </w:tc>
        <w:tc>
          <w:tcPr>
            <w:tcW w:w="1134" w:type="dxa"/>
            <w:vAlign w:val="center"/>
          </w:tcPr>
          <w:p>
            <w:pPr>
              <w:adjustRightInd w:val="0"/>
              <w:snapToGrid w:val="0"/>
              <w:jc w:val="center"/>
              <w:rPr>
                <w:sz w:val="24"/>
                <w:szCs w:val="24"/>
              </w:rPr>
            </w:pPr>
            <w:r>
              <w:rPr>
                <w:rFonts w:hint="eastAsia"/>
                <w:sz w:val="24"/>
                <w:szCs w:val="24"/>
              </w:rPr>
              <w:t>VOCs</w:t>
            </w:r>
          </w:p>
        </w:tc>
        <w:tc>
          <w:tcPr>
            <w:tcW w:w="2271" w:type="dxa"/>
            <w:vAlign w:val="center"/>
          </w:tcPr>
          <w:p>
            <w:pPr>
              <w:adjustRightInd w:val="0"/>
              <w:snapToGrid w:val="0"/>
              <w:jc w:val="center"/>
              <w:rPr>
                <w:sz w:val="24"/>
                <w:szCs w:val="24"/>
              </w:rPr>
            </w:pPr>
            <w:r>
              <w:rPr>
                <w:rFonts w:hint="eastAsia"/>
                <w:sz w:val="24"/>
                <w:szCs w:val="24"/>
              </w:rPr>
              <w:t>0.015t/a</w:t>
            </w:r>
          </w:p>
        </w:tc>
        <w:tc>
          <w:tcPr>
            <w:tcW w:w="2361" w:type="dxa"/>
            <w:shd w:val="clear" w:color="auto" w:fill="auto"/>
            <w:vAlign w:val="center"/>
          </w:tcPr>
          <w:p>
            <w:pPr>
              <w:adjustRightInd w:val="0"/>
              <w:snapToGrid w:val="0"/>
              <w:jc w:val="center"/>
              <w:rPr>
                <w:sz w:val="24"/>
                <w:szCs w:val="24"/>
              </w:rPr>
            </w:pPr>
            <w:r>
              <w:rPr>
                <w:rFonts w:hint="eastAsia"/>
                <w:sz w:val="24"/>
                <w:szCs w:val="24"/>
              </w:rPr>
              <w:t>0.015t/a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341" w:type="dxa"/>
            <w:vMerge w:val="restart"/>
            <w:vAlign w:val="center"/>
          </w:tcPr>
          <w:p>
            <w:pPr>
              <w:snapToGrid w:val="0"/>
              <w:ind w:left="140" w:hanging="140" w:hangingChars="50"/>
              <w:jc w:val="center"/>
              <w:rPr>
                <w:rFonts w:ascii="华文中宋" w:hAnsi="华文中宋" w:eastAsia="华文中宋"/>
                <w:sz w:val="28"/>
              </w:rPr>
            </w:pPr>
            <w:r>
              <w:rPr>
                <w:rFonts w:hint="eastAsia" w:ascii="华文中宋" w:hAnsi="华文中宋" w:eastAsia="华文中宋"/>
                <w:sz w:val="28"/>
              </w:rPr>
              <w:t>水</w:t>
            </w:r>
          </w:p>
          <w:p>
            <w:pPr>
              <w:snapToGrid w:val="0"/>
              <w:ind w:left="140" w:hanging="140" w:hangingChars="50"/>
              <w:jc w:val="center"/>
              <w:rPr>
                <w:rFonts w:ascii="华文中宋" w:hAnsi="华文中宋" w:eastAsia="华文中宋"/>
                <w:sz w:val="28"/>
              </w:rPr>
            </w:pPr>
            <w:r>
              <w:rPr>
                <w:rFonts w:ascii="华文中宋" w:hAnsi="华文中宋" w:eastAsia="华文中宋"/>
                <w:sz w:val="28"/>
              </w:rPr>
              <w:t>污</w:t>
            </w:r>
          </w:p>
          <w:p>
            <w:pPr>
              <w:snapToGrid w:val="0"/>
              <w:ind w:left="140" w:hanging="140" w:hangingChars="50"/>
              <w:jc w:val="center"/>
              <w:rPr>
                <w:rFonts w:ascii="华文中宋" w:hAnsi="华文中宋" w:eastAsia="华文中宋"/>
                <w:sz w:val="28"/>
              </w:rPr>
            </w:pPr>
            <w:r>
              <w:rPr>
                <w:rFonts w:ascii="华文中宋" w:hAnsi="华文中宋" w:eastAsia="华文中宋"/>
                <w:sz w:val="28"/>
              </w:rPr>
              <w:t>染</w:t>
            </w:r>
          </w:p>
          <w:p>
            <w:pPr>
              <w:snapToGrid w:val="0"/>
              <w:jc w:val="center"/>
              <w:rPr>
                <w:rFonts w:ascii="华文中宋" w:hAnsi="华文中宋" w:eastAsia="华文中宋"/>
                <w:b/>
                <w:sz w:val="28"/>
              </w:rPr>
            </w:pPr>
            <w:r>
              <w:rPr>
                <w:rFonts w:ascii="华文中宋" w:hAnsi="华文中宋" w:eastAsia="华文中宋"/>
                <w:sz w:val="28"/>
              </w:rPr>
              <w:t>物</w:t>
            </w:r>
          </w:p>
        </w:tc>
        <w:tc>
          <w:tcPr>
            <w:tcW w:w="1211" w:type="dxa"/>
            <w:vMerge w:val="restart"/>
            <w:tcMar>
              <w:top w:w="57" w:type="dxa"/>
            </w:tcMar>
            <w:vAlign w:val="center"/>
          </w:tcPr>
          <w:p>
            <w:pPr>
              <w:adjustRightInd w:val="0"/>
              <w:snapToGrid w:val="0"/>
              <w:jc w:val="center"/>
              <w:rPr>
                <w:color w:val="000000"/>
                <w:sz w:val="24"/>
              </w:rPr>
            </w:pPr>
            <w:r>
              <w:rPr>
                <w:rFonts w:hint="eastAsia"/>
                <w:color w:val="000000"/>
                <w:sz w:val="24"/>
              </w:rPr>
              <w:t>运营期</w:t>
            </w:r>
          </w:p>
          <w:p>
            <w:pPr>
              <w:adjustRightInd w:val="0"/>
              <w:snapToGrid w:val="0"/>
              <w:jc w:val="center"/>
              <w:rPr>
                <w:sz w:val="24"/>
              </w:rPr>
            </w:pPr>
            <w:r>
              <w:rPr>
                <w:rFonts w:hint="eastAsia"/>
                <w:color w:val="000000"/>
                <w:sz w:val="24"/>
              </w:rPr>
              <w:t>总排放口</w:t>
            </w:r>
          </w:p>
        </w:tc>
        <w:tc>
          <w:tcPr>
            <w:tcW w:w="2410" w:type="dxa"/>
            <w:gridSpan w:val="2"/>
            <w:tcMar>
              <w:top w:w="57" w:type="dxa"/>
            </w:tcMar>
            <w:vAlign w:val="center"/>
          </w:tcPr>
          <w:p>
            <w:pPr>
              <w:adjustRightInd w:val="0"/>
              <w:snapToGrid w:val="0"/>
              <w:jc w:val="center"/>
              <w:rPr>
                <w:color w:val="000000" w:themeColor="text1"/>
                <w:sz w:val="24"/>
                <w:szCs w:val="24"/>
              </w:rPr>
            </w:pPr>
            <w:r>
              <w:rPr>
                <w:rFonts w:hint="eastAsia"/>
                <w:color w:val="000000" w:themeColor="text1"/>
                <w:sz w:val="24"/>
                <w:szCs w:val="24"/>
              </w:rPr>
              <w:t>废水量</w:t>
            </w:r>
          </w:p>
        </w:tc>
        <w:tc>
          <w:tcPr>
            <w:tcW w:w="2271" w:type="dxa"/>
            <w:vAlign w:val="center"/>
          </w:tcPr>
          <w:p>
            <w:pPr>
              <w:adjustRightInd w:val="0"/>
              <w:snapToGrid w:val="0"/>
              <w:jc w:val="center"/>
              <w:rPr>
                <w:color w:val="000000" w:themeColor="text1"/>
                <w:sz w:val="24"/>
                <w:szCs w:val="24"/>
              </w:rPr>
            </w:pPr>
            <w:r>
              <w:rPr>
                <w:rFonts w:hint="eastAsia"/>
                <w:color w:val="000000" w:themeColor="text1"/>
                <w:sz w:val="24"/>
                <w:szCs w:val="24"/>
              </w:rPr>
              <w:t>612m</w:t>
            </w:r>
            <w:r>
              <w:rPr>
                <w:rFonts w:hint="eastAsia"/>
                <w:color w:val="000000" w:themeColor="text1"/>
                <w:sz w:val="24"/>
                <w:szCs w:val="24"/>
                <w:vertAlign w:val="superscript"/>
              </w:rPr>
              <w:t>3</w:t>
            </w:r>
            <w:r>
              <w:rPr>
                <w:rFonts w:hint="eastAsia"/>
                <w:color w:val="000000" w:themeColor="text1"/>
                <w:sz w:val="24"/>
                <w:szCs w:val="24"/>
              </w:rPr>
              <w:t>/a</w:t>
            </w:r>
          </w:p>
        </w:tc>
        <w:tc>
          <w:tcPr>
            <w:tcW w:w="2361" w:type="dxa"/>
            <w:shd w:val="clear" w:color="auto" w:fill="auto"/>
            <w:vAlign w:val="center"/>
          </w:tcPr>
          <w:p>
            <w:pPr>
              <w:adjustRightInd w:val="0"/>
              <w:snapToGrid w:val="0"/>
              <w:jc w:val="center"/>
              <w:rPr>
                <w:color w:val="000000" w:themeColor="text1"/>
                <w:sz w:val="24"/>
                <w:szCs w:val="24"/>
              </w:rPr>
            </w:pPr>
            <w:r>
              <w:rPr>
                <w:rFonts w:hint="eastAsia"/>
                <w:color w:val="000000" w:themeColor="text1"/>
                <w:sz w:val="24"/>
                <w:szCs w:val="24"/>
              </w:rPr>
              <w:t>612m</w:t>
            </w:r>
            <w:r>
              <w:rPr>
                <w:rFonts w:hint="eastAsia"/>
                <w:color w:val="000000" w:themeColor="text1"/>
                <w:sz w:val="24"/>
                <w:szCs w:val="24"/>
                <w:vertAlign w:val="superscript"/>
              </w:rPr>
              <w:t>3</w:t>
            </w:r>
            <w:r>
              <w:rPr>
                <w:rFonts w:hint="eastAsia"/>
                <w:color w:val="000000" w:themeColor="text1"/>
                <w:sz w:val="24"/>
                <w:szCs w:val="24"/>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341" w:type="dxa"/>
            <w:vMerge w:val="continue"/>
            <w:vAlign w:val="center"/>
          </w:tcPr>
          <w:p>
            <w:pPr>
              <w:snapToGrid w:val="0"/>
              <w:ind w:left="140" w:hanging="140" w:hangingChars="50"/>
              <w:jc w:val="center"/>
              <w:rPr>
                <w:rFonts w:ascii="华文中宋" w:hAnsi="华文中宋" w:eastAsia="华文中宋"/>
                <w:sz w:val="28"/>
              </w:rPr>
            </w:pPr>
          </w:p>
        </w:tc>
        <w:tc>
          <w:tcPr>
            <w:tcW w:w="1211" w:type="dxa"/>
            <w:vMerge w:val="continue"/>
            <w:tcMar>
              <w:top w:w="57" w:type="dxa"/>
            </w:tcMar>
            <w:vAlign w:val="center"/>
          </w:tcPr>
          <w:p>
            <w:pPr>
              <w:adjustRightInd w:val="0"/>
              <w:snapToGrid w:val="0"/>
              <w:jc w:val="center"/>
              <w:rPr>
                <w:color w:val="000000"/>
                <w:sz w:val="24"/>
              </w:rPr>
            </w:pPr>
          </w:p>
        </w:tc>
        <w:tc>
          <w:tcPr>
            <w:tcW w:w="2410" w:type="dxa"/>
            <w:gridSpan w:val="2"/>
            <w:tcMar>
              <w:top w:w="57" w:type="dxa"/>
            </w:tcMar>
            <w:vAlign w:val="center"/>
          </w:tcPr>
          <w:p>
            <w:pPr>
              <w:adjustRightInd w:val="0"/>
              <w:snapToGrid w:val="0"/>
              <w:jc w:val="center"/>
              <w:rPr>
                <w:color w:val="000000" w:themeColor="text1"/>
                <w:sz w:val="24"/>
                <w:szCs w:val="24"/>
              </w:rPr>
            </w:pPr>
            <w:r>
              <w:rPr>
                <w:rFonts w:hint="eastAsia"/>
                <w:color w:val="000000" w:themeColor="text1"/>
                <w:sz w:val="24"/>
                <w:szCs w:val="24"/>
              </w:rPr>
              <w:t>COD</w:t>
            </w:r>
          </w:p>
        </w:tc>
        <w:tc>
          <w:tcPr>
            <w:tcW w:w="2271" w:type="dxa"/>
            <w:vAlign w:val="center"/>
          </w:tcPr>
          <w:p>
            <w:pPr>
              <w:adjustRightInd w:val="0"/>
              <w:snapToGrid w:val="0"/>
              <w:jc w:val="center"/>
              <w:rPr>
                <w:color w:val="000000" w:themeColor="text1"/>
                <w:sz w:val="24"/>
                <w:szCs w:val="24"/>
              </w:rPr>
            </w:pPr>
            <w:r>
              <w:rPr>
                <w:rFonts w:hint="eastAsia"/>
                <w:color w:val="000000" w:themeColor="text1"/>
                <w:sz w:val="24"/>
                <w:szCs w:val="24"/>
              </w:rPr>
              <w:t>200mg/l、0.12t/a</w:t>
            </w:r>
          </w:p>
        </w:tc>
        <w:tc>
          <w:tcPr>
            <w:tcW w:w="2361" w:type="dxa"/>
            <w:shd w:val="clear" w:color="auto" w:fill="auto"/>
            <w:vAlign w:val="center"/>
          </w:tcPr>
          <w:p>
            <w:pPr>
              <w:adjustRightInd w:val="0"/>
              <w:snapToGrid w:val="0"/>
              <w:jc w:val="center"/>
              <w:rPr>
                <w:color w:val="000000" w:themeColor="text1"/>
                <w:sz w:val="24"/>
                <w:szCs w:val="24"/>
              </w:rPr>
            </w:pPr>
            <w:r>
              <w:rPr>
                <w:rFonts w:hint="eastAsia"/>
                <w:color w:val="000000" w:themeColor="text1"/>
                <w:sz w:val="24"/>
                <w:szCs w:val="24"/>
              </w:rPr>
              <w:t>200mg/l、0.12t/a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341" w:type="dxa"/>
            <w:vMerge w:val="continue"/>
            <w:tcBorders>
              <w:bottom w:val="single" w:color="auto" w:sz="4" w:space="0"/>
            </w:tcBorders>
            <w:vAlign w:val="center"/>
          </w:tcPr>
          <w:p>
            <w:pPr>
              <w:snapToGrid w:val="0"/>
              <w:ind w:left="140" w:hanging="140" w:hangingChars="50"/>
              <w:jc w:val="center"/>
              <w:rPr>
                <w:rFonts w:ascii="华文中宋" w:hAnsi="华文中宋" w:eastAsia="华文中宋"/>
                <w:sz w:val="28"/>
              </w:rPr>
            </w:pPr>
          </w:p>
        </w:tc>
        <w:tc>
          <w:tcPr>
            <w:tcW w:w="1211" w:type="dxa"/>
            <w:vMerge w:val="continue"/>
            <w:tcBorders>
              <w:bottom w:val="single" w:color="auto" w:sz="4" w:space="0"/>
            </w:tcBorders>
            <w:tcMar>
              <w:top w:w="57" w:type="dxa"/>
            </w:tcMar>
            <w:vAlign w:val="center"/>
          </w:tcPr>
          <w:p>
            <w:pPr>
              <w:adjustRightInd w:val="0"/>
              <w:snapToGrid w:val="0"/>
              <w:jc w:val="center"/>
              <w:rPr>
                <w:color w:val="000000"/>
                <w:sz w:val="24"/>
              </w:rPr>
            </w:pPr>
          </w:p>
        </w:tc>
        <w:tc>
          <w:tcPr>
            <w:tcW w:w="2410" w:type="dxa"/>
            <w:gridSpan w:val="2"/>
            <w:tcMar>
              <w:top w:w="57" w:type="dxa"/>
            </w:tcMar>
            <w:vAlign w:val="center"/>
          </w:tcPr>
          <w:p>
            <w:pPr>
              <w:adjustRightInd w:val="0"/>
              <w:snapToGrid w:val="0"/>
              <w:jc w:val="center"/>
              <w:rPr>
                <w:color w:val="000000" w:themeColor="text1"/>
                <w:sz w:val="24"/>
                <w:szCs w:val="24"/>
              </w:rPr>
            </w:pPr>
            <w:r>
              <w:rPr>
                <w:rFonts w:hint="eastAsia"/>
                <w:color w:val="000000" w:themeColor="text1"/>
                <w:sz w:val="24"/>
                <w:szCs w:val="24"/>
              </w:rPr>
              <w:t>氨氮</w:t>
            </w:r>
          </w:p>
        </w:tc>
        <w:tc>
          <w:tcPr>
            <w:tcW w:w="2271" w:type="dxa"/>
            <w:tcBorders>
              <w:bottom w:val="single" w:color="auto" w:sz="4" w:space="0"/>
            </w:tcBorders>
            <w:vAlign w:val="center"/>
          </w:tcPr>
          <w:p>
            <w:pPr>
              <w:adjustRightInd w:val="0"/>
              <w:snapToGrid w:val="0"/>
              <w:jc w:val="center"/>
              <w:rPr>
                <w:color w:val="000000" w:themeColor="text1"/>
                <w:sz w:val="24"/>
                <w:szCs w:val="24"/>
              </w:rPr>
            </w:pPr>
            <w:r>
              <w:rPr>
                <w:rFonts w:hint="eastAsia"/>
                <w:color w:val="000000" w:themeColor="text1"/>
                <w:sz w:val="24"/>
                <w:szCs w:val="24"/>
              </w:rPr>
              <w:t>20mg/l、0.01t/a</w:t>
            </w:r>
          </w:p>
        </w:tc>
        <w:tc>
          <w:tcPr>
            <w:tcW w:w="2361" w:type="dxa"/>
            <w:tcBorders>
              <w:bottom w:val="single" w:color="auto" w:sz="4" w:space="0"/>
            </w:tcBorders>
            <w:shd w:val="clear" w:color="auto" w:fill="auto"/>
            <w:vAlign w:val="center"/>
          </w:tcPr>
          <w:p>
            <w:pPr>
              <w:adjustRightInd w:val="0"/>
              <w:snapToGrid w:val="0"/>
              <w:jc w:val="center"/>
              <w:rPr>
                <w:color w:val="000000" w:themeColor="text1"/>
                <w:sz w:val="24"/>
                <w:szCs w:val="24"/>
              </w:rPr>
            </w:pPr>
            <w:r>
              <w:rPr>
                <w:rFonts w:hint="eastAsia"/>
                <w:color w:val="000000" w:themeColor="text1"/>
                <w:sz w:val="24"/>
                <w:szCs w:val="24"/>
              </w:rPr>
              <w:t>20mg/l、0.01t/a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1341" w:type="dxa"/>
            <w:vMerge w:val="restart"/>
            <w:vAlign w:val="center"/>
          </w:tcPr>
          <w:p>
            <w:pPr>
              <w:snapToGrid w:val="0"/>
              <w:jc w:val="center"/>
              <w:rPr>
                <w:rFonts w:ascii="华文中宋" w:hAnsi="华文中宋" w:eastAsia="华文中宋"/>
                <w:sz w:val="28"/>
              </w:rPr>
            </w:pPr>
            <w:r>
              <w:rPr>
                <w:rFonts w:ascii="华文中宋" w:hAnsi="华文中宋" w:eastAsia="华文中宋"/>
                <w:sz w:val="28"/>
              </w:rPr>
              <w:t>固体</w:t>
            </w:r>
          </w:p>
          <w:p>
            <w:pPr>
              <w:snapToGrid w:val="0"/>
              <w:jc w:val="center"/>
              <w:rPr>
                <w:rFonts w:ascii="华文中宋" w:hAnsi="华文中宋" w:eastAsia="华文中宋"/>
                <w:b/>
                <w:sz w:val="28"/>
              </w:rPr>
            </w:pPr>
            <w:r>
              <w:rPr>
                <w:rFonts w:hint="eastAsia" w:ascii="华文中宋" w:hAnsi="华文中宋" w:eastAsia="华文中宋"/>
                <w:sz w:val="28"/>
              </w:rPr>
              <w:t>废</w:t>
            </w:r>
            <w:r>
              <w:rPr>
                <w:rFonts w:ascii="华文中宋" w:hAnsi="华文中宋" w:eastAsia="华文中宋"/>
                <w:sz w:val="28"/>
              </w:rPr>
              <w:t>物</w:t>
            </w:r>
          </w:p>
        </w:tc>
        <w:tc>
          <w:tcPr>
            <w:tcW w:w="1211" w:type="dxa"/>
            <w:vMerge w:val="restart"/>
            <w:vAlign w:val="center"/>
          </w:tcPr>
          <w:p>
            <w:pPr>
              <w:adjustRightInd w:val="0"/>
              <w:snapToGrid w:val="0"/>
              <w:jc w:val="center"/>
              <w:rPr>
                <w:sz w:val="24"/>
                <w:szCs w:val="24"/>
              </w:rPr>
            </w:pPr>
            <w:r>
              <w:rPr>
                <w:rFonts w:hint="eastAsia"/>
                <w:sz w:val="24"/>
                <w:szCs w:val="24"/>
              </w:rPr>
              <w:t>生产</w:t>
            </w:r>
          </w:p>
        </w:tc>
        <w:tc>
          <w:tcPr>
            <w:tcW w:w="2410" w:type="dxa"/>
            <w:gridSpan w:val="2"/>
            <w:vAlign w:val="center"/>
          </w:tcPr>
          <w:p>
            <w:pPr>
              <w:adjustRightInd w:val="0"/>
              <w:snapToGrid w:val="0"/>
              <w:jc w:val="center"/>
              <w:rPr>
                <w:sz w:val="24"/>
                <w:szCs w:val="24"/>
              </w:rPr>
            </w:pPr>
            <w:r>
              <w:rPr>
                <w:rFonts w:hint="eastAsia"/>
                <w:sz w:val="24"/>
                <w:szCs w:val="24"/>
              </w:rPr>
              <w:t>玻璃边角料和玻璃渣</w:t>
            </w:r>
          </w:p>
        </w:tc>
        <w:tc>
          <w:tcPr>
            <w:tcW w:w="2271" w:type="dxa"/>
            <w:vAlign w:val="center"/>
          </w:tcPr>
          <w:p>
            <w:pPr>
              <w:tabs>
                <w:tab w:val="left" w:pos="1686"/>
              </w:tabs>
              <w:adjustRightInd w:val="0"/>
              <w:snapToGrid w:val="0"/>
              <w:jc w:val="center"/>
              <w:rPr>
                <w:sz w:val="24"/>
                <w:szCs w:val="24"/>
              </w:rPr>
            </w:pPr>
            <w:r>
              <w:rPr>
                <w:rFonts w:hint="eastAsia"/>
                <w:sz w:val="24"/>
                <w:szCs w:val="24"/>
              </w:rPr>
              <w:t>10.0t/a</w:t>
            </w:r>
          </w:p>
        </w:tc>
        <w:tc>
          <w:tcPr>
            <w:tcW w:w="2361" w:type="dxa"/>
            <w:vAlign w:val="center"/>
          </w:tcPr>
          <w:p>
            <w:pPr>
              <w:adjustRightInd w:val="0"/>
              <w:snapToGrid w:val="0"/>
              <w:jc w:val="center"/>
              <w:rPr>
                <w:sz w:val="24"/>
                <w:szCs w:val="24"/>
              </w:rPr>
            </w:pPr>
            <w:r>
              <w:rPr>
                <w:rFonts w:hint="eastAsia"/>
                <w:sz w:val="24"/>
                <w:szCs w:val="24"/>
              </w:rPr>
              <w:t>收集外售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1" w:type="dxa"/>
            <w:vMerge w:val="continue"/>
            <w:vAlign w:val="center"/>
          </w:tcPr>
          <w:p>
            <w:pPr>
              <w:snapToGrid w:val="0"/>
              <w:jc w:val="center"/>
              <w:rPr>
                <w:rFonts w:ascii="华文中宋" w:hAnsi="华文中宋" w:eastAsia="华文中宋"/>
                <w:sz w:val="28"/>
              </w:rPr>
            </w:pPr>
          </w:p>
        </w:tc>
        <w:tc>
          <w:tcPr>
            <w:tcW w:w="1211" w:type="dxa"/>
            <w:vMerge w:val="continue"/>
            <w:vAlign w:val="center"/>
          </w:tcPr>
          <w:p>
            <w:pPr>
              <w:adjustRightInd w:val="0"/>
              <w:snapToGrid w:val="0"/>
              <w:jc w:val="center"/>
              <w:rPr>
                <w:sz w:val="24"/>
                <w:szCs w:val="24"/>
              </w:rPr>
            </w:pPr>
          </w:p>
        </w:tc>
        <w:tc>
          <w:tcPr>
            <w:tcW w:w="2410" w:type="dxa"/>
            <w:gridSpan w:val="2"/>
            <w:vAlign w:val="center"/>
          </w:tcPr>
          <w:p>
            <w:pPr>
              <w:adjustRightInd w:val="0"/>
              <w:snapToGrid w:val="0"/>
              <w:jc w:val="center"/>
              <w:rPr>
                <w:sz w:val="24"/>
                <w:szCs w:val="24"/>
              </w:rPr>
            </w:pPr>
            <w:r>
              <w:rPr>
                <w:rFonts w:hint="eastAsia"/>
                <w:sz w:val="24"/>
                <w:szCs w:val="24"/>
              </w:rPr>
              <w:t>铝条边角料</w:t>
            </w:r>
          </w:p>
        </w:tc>
        <w:tc>
          <w:tcPr>
            <w:tcW w:w="2271" w:type="dxa"/>
            <w:vAlign w:val="center"/>
          </w:tcPr>
          <w:p>
            <w:pPr>
              <w:adjustRightInd w:val="0"/>
              <w:snapToGrid w:val="0"/>
              <w:jc w:val="center"/>
              <w:rPr>
                <w:sz w:val="24"/>
                <w:szCs w:val="24"/>
              </w:rPr>
            </w:pPr>
            <w:r>
              <w:rPr>
                <w:rFonts w:hint="eastAsia"/>
                <w:sz w:val="24"/>
                <w:szCs w:val="24"/>
              </w:rPr>
              <w:t>0.03 t/a</w:t>
            </w:r>
          </w:p>
        </w:tc>
        <w:tc>
          <w:tcPr>
            <w:tcW w:w="2361" w:type="dxa"/>
            <w:vAlign w:val="center"/>
          </w:tcPr>
          <w:p>
            <w:pPr>
              <w:adjustRightInd w:val="0"/>
              <w:snapToGrid w:val="0"/>
              <w:jc w:val="center"/>
              <w:rPr>
                <w:sz w:val="24"/>
                <w:szCs w:val="24"/>
              </w:rPr>
            </w:pPr>
            <w:r>
              <w:rPr>
                <w:rFonts w:hint="eastAsia"/>
                <w:sz w:val="24"/>
                <w:szCs w:val="24"/>
              </w:rPr>
              <w:t>回收公司回收利用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1" w:type="dxa"/>
            <w:vMerge w:val="continue"/>
            <w:vAlign w:val="center"/>
          </w:tcPr>
          <w:p>
            <w:pPr>
              <w:snapToGrid w:val="0"/>
              <w:jc w:val="center"/>
              <w:rPr>
                <w:rFonts w:ascii="华文中宋" w:hAnsi="华文中宋" w:eastAsia="华文中宋"/>
                <w:sz w:val="28"/>
              </w:rPr>
            </w:pPr>
          </w:p>
        </w:tc>
        <w:tc>
          <w:tcPr>
            <w:tcW w:w="1211" w:type="dxa"/>
            <w:vMerge w:val="continue"/>
            <w:vAlign w:val="center"/>
          </w:tcPr>
          <w:p>
            <w:pPr>
              <w:adjustRightInd w:val="0"/>
              <w:snapToGrid w:val="0"/>
              <w:jc w:val="center"/>
              <w:rPr>
                <w:sz w:val="24"/>
                <w:szCs w:val="24"/>
              </w:rPr>
            </w:pPr>
          </w:p>
        </w:tc>
        <w:tc>
          <w:tcPr>
            <w:tcW w:w="2410" w:type="dxa"/>
            <w:gridSpan w:val="2"/>
            <w:vAlign w:val="center"/>
          </w:tcPr>
          <w:p>
            <w:pPr>
              <w:adjustRightInd w:val="0"/>
              <w:snapToGrid w:val="0"/>
              <w:jc w:val="center"/>
              <w:rPr>
                <w:sz w:val="24"/>
                <w:szCs w:val="24"/>
              </w:rPr>
            </w:pPr>
            <w:r>
              <w:rPr>
                <w:rFonts w:hint="eastAsia"/>
                <w:sz w:val="24"/>
                <w:szCs w:val="24"/>
              </w:rPr>
              <w:t>底泥</w:t>
            </w:r>
          </w:p>
        </w:tc>
        <w:tc>
          <w:tcPr>
            <w:tcW w:w="2271" w:type="dxa"/>
            <w:vAlign w:val="center"/>
          </w:tcPr>
          <w:p>
            <w:pPr>
              <w:adjustRightInd w:val="0"/>
              <w:snapToGrid w:val="0"/>
              <w:jc w:val="center"/>
              <w:rPr>
                <w:sz w:val="24"/>
                <w:szCs w:val="24"/>
              </w:rPr>
            </w:pPr>
            <w:r>
              <w:rPr>
                <w:rFonts w:hint="eastAsia"/>
                <w:sz w:val="24"/>
                <w:szCs w:val="24"/>
              </w:rPr>
              <w:t>0.02 t/a</w:t>
            </w:r>
          </w:p>
        </w:tc>
        <w:tc>
          <w:tcPr>
            <w:tcW w:w="2361" w:type="dxa"/>
            <w:vAlign w:val="center"/>
          </w:tcPr>
          <w:p>
            <w:pPr>
              <w:adjustRightInd w:val="0"/>
              <w:snapToGrid w:val="0"/>
              <w:jc w:val="center"/>
              <w:rPr>
                <w:sz w:val="24"/>
                <w:szCs w:val="24"/>
              </w:rPr>
            </w:pPr>
            <w:r>
              <w:rPr>
                <w:rFonts w:hint="eastAsia"/>
                <w:sz w:val="24"/>
                <w:szCs w:val="24"/>
              </w:rPr>
              <w:t>环卫部门定期清运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1" w:type="dxa"/>
            <w:vMerge w:val="continue"/>
            <w:vAlign w:val="center"/>
          </w:tcPr>
          <w:p>
            <w:pPr>
              <w:snapToGrid w:val="0"/>
              <w:jc w:val="center"/>
              <w:rPr>
                <w:rFonts w:ascii="华文中宋" w:hAnsi="华文中宋" w:eastAsia="华文中宋"/>
                <w:sz w:val="28"/>
              </w:rPr>
            </w:pPr>
          </w:p>
        </w:tc>
        <w:tc>
          <w:tcPr>
            <w:tcW w:w="1211" w:type="dxa"/>
            <w:vMerge w:val="continue"/>
            <w:vAlign w:val="center"/>
          </w:tcPr>
          <w:p>
            <w:pPr>
              <w:adjustRightInd w:val="0"/>
              <w:snapToGrid w:val="0"/>
              <w:jc w:val="center"/>
              <w:rPr>
                <w:sz w:val="24"/>
                <w:szCs w:val="24"/>
              </w:rPr>
            </w:pPr>
          </w:p>
        </w:tc>
        <w:tc>
          <w:tcPr>
            <w:tcW w:w="2410" w:type="dxa"/>
            <w:gridSpan w:val="2"/>
            <w:vAlign w:val="center"/>
          </w:tcPr>
          <w:p>
            <w:pPr>
              <w:adjustRightInd w:val="0"/>
              <w:snapToGrid w:val="0"/>
              <w:jc w:val="center"/>
              <w:rPr>
                <w:sz w:val="24"/>
                <w:szCs w:val="24"/>
              </w:rPr>
            </w:pPr>
            <w:r>
              <w:rPr>
                <w:rFonts w:hint="eastAsia"/>
                <w:sz w:val="24"/>
                <w:szCs w:val="24"/>
              </w:rPr>
              <w:t>不合格品</w:t>
            </w:r>
          </w:p>
        </w:tc>
        <w:tc>
          <w:tcPr>
            <w:tcW w:w="2271" w:type="dxa"/>
            <w:vAlign w:val="center"/>
          </w:tcPr>
          <w:p>
            <w:pPr>
              <w:adjustRightInd w:val="0"/>
              <w:snapToGrid w:val="0"/>
              <w:jc w:val="center"/>
              <w:rPr>
                <w:sz w:val="24"/>
                <w:szCs w:val="24"/>
              </w:rPr>
            </w:pPr>
            <w:r>
              <w:rPr>
                <w:rFonts w:hint="eastAsia"/>
                <w:sz w:val="24"/>
                <w:szCs w:val="24"/>
              </w:rPr>
              <w:t>1.0 t/a</w:t>
            </w:r>
          </w:p>
        </w:tc>
        <w:tc>
          <w:tcPr>
            <w:tcW w:w="2361" w:type="dxa"/>
            <w:vAlign w:val="center"/>
          </w:tcPr>
          <w:p>
            <w:pPr>
              <w:adjustRightInd w:val="0"/>
              <w:snapToGrid w:val="0"/>
              <w:jc w:val="center"/>
              <w:rPr>
                <w:sz w:val="24"/>
                <w:szCs w:val="24"/>
              </w:rPr>
            </w:pPr>
            <w:r>
              <w:rPr>
                <w:rFonts w:hint="eastAsia"/>
                <w:sz w:val="24"/>
                <w:szCs w:val="24"/>
              </w:rPr>
              <w:t>收集外售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1" w:type="dxa"/>
            <w:vMerge w:val="continue"/>
            <w:vAlign w:val="center"/>
          </w:tcPr>
          <w:p>
            <w:pPr>
              <w:snapToGrid w:val="0"/>
              <w:jc w:val="center"/>
              <w:rPr>
                <w:rFonts w:ascii="华文中宋" w:hAnsi="华文中宋" w:eastAsia="华文中宋"/>
                <w:sz w:val="28"/>
              </w:rPr>
            </w:pPr>
          </w:p>
        </w:tc>
        <w:tc>
          <w:tcPr>
            <w:tcW w:w="1211" w:type="dxa"/>
            <w:vMerge w:val="continue"/>
            <w:vAlign w:val="center"/>
          </w:tcPr>
          <w:p>
            <w:pPr>
              <w:adjustRightInd w:val="0"/>
              <w:snapToGrid w:val="0"/>
              <w:jc w:val="center"/>
              <w:rPr>
                <w:sz w:val="24"/>
                <w:szCs w:val="24"/>
              </w:rPr>
            </w:pPr>
          </w:p>
        </w:tc>
        <w:tc>
          <w:tcPr>
            <w:tcW w:w="2410" w:type="dxa"/>
            <w:gridSpan w:val="2"/>
            <w:vAlign w:val="center"/>
          </w:tcPr>
          <w:p>
            <w:pPr>
              <w:jc w:val="center"/>
              <w:rPr>
                <w:sz w:val="24"/>
                <w:szCs w:val="24"/>
              </w:rPr>
            </w:pPr>
            <w:r>
              <w:rPr>
                <w:rFonts w:hint="eastAsia"/>
                <w:sz w:val="24"/>
                <w:szCs w:val="24"/>
              </w:rPr>
              <w:t>废活性炭</w:t>
            </w:r>
          </w:p>
        </w:tc>
        <w:tc>
          <w:tcPr>
            <w:tcW w:w="2271" w:type="dxa"/>
            <w:vAlign w:val="center"/>
          </w:tcPr>
          <w:p>
            <w:pPr>
              <w:jc w:val="center"/>
              <w:rPr>
                <w:sz w:val="24"/>
                <w:szCs w:val="24"/>
              </w:rPr>
            </w:pPr>
            <w:r>
              <w:rPr>
                <w:rFonts w:hint="eastAsia"/>
                <w:sz w:val="24"/>
                <w:szCs w:val="24"/>
              </w:rPr>
              <w:t>0.48t/a</w:t>
            </w:r>
          </w:p>
        </w:tc>
        <w:tc>
          <w:tcPr>
            <w:tcW w:w="2361" w:type="dxa"/>
            <w:vAlign w:val="center"/>
          </w:tcPr>
          <w:p>
            <w:pPr>
              <w:adjustRightInd w:val="0"/>
              <w:snapToGrid w:val="0"/>
              <w:jc w:val="center"/>
              <w:rPr>
                <w:sz w:val="24"/>
                <w:szCs w:val="24"/>
              </w:rPr>
            </w:pPr>
            <w:r>
              <w:rPr>
                <w:rFonts w:hint="eastAsia"/>
                <w:sz w:val="24"/>
                <w:szCs w:val="24"/>
              </w:rPr>
              <w:t>委托有资质</w:t>
            </w:r>
          </w:p>
          <w:p>
            <w:pPr>
              <w:adjustRightInd w:val="0"/>
              <w:snapToGrid w:val="0"/>
              <w:jc w:val="center"/>
              <w:rPr>
                <w:sz w:val="24"/>
                <w:szCs w:val="24"/>
              </w:rPr>
            </w:pPr>
            <w:r>
              <w:rPr>
                <w:rFonts w:hint="eastAsia"/>
                <w:sz w:val="24"/>
                <w:szCs w:val="24"/>
              </w:rPr>
              <w:t>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1341" w:type="dxa"/>
            <w:vAlign w:val="center"/>
          </w:tcPr>
          <w:p>
            <w:pPr>
              <w:snapToGrid w:val="0"/>
              <w:jc w:val="center"/>
              <w:rPr>
                <w:rFonts w:ascii="华文中宋" w:hAnsi="华文中宋" w:eastAsia="华文中宋"/>
                <w:sz w:val="28"/>
              </w:rPr>
            </w:pPr>
            <w:r>
              <w:rPr>
                <w:rFonts w:ascii="华文中宋" w:hAnsi="华文中宋" w:eastAsia="华文中宋"/>
                <w:sz w:val="28"/>
              </w:rPr>
              <w:t>噪声</w:t>
            </w:r>
          </w:p>
        </w:tc>
        <w:tc>
          <w:tcPr>
            <w:tcW w:w="8253" w:type="dxa"/>
            <w:gridSpan w:val="5"/>
            <w:vAlign w:val="center"/>
          </w:tcPr>
          <w:p>
            <w:pPr>
              <w:adjustRightInd w:val="0"/>
              <w:spacing w:line="360" w:lineRule="auto"/>
              <w:rPr>
                <w:sz w:val="24"/>
              </w:rPr>
            </w:pPr>
            <w:r>
              <w:rPr>
                <w:rFonts w:hAnsi="宋体"/>
                <w:kern w:val="24"/>
                <w:sz w:val="24"/>
                <w:szCs w:val="24"/>
              </w:rPr>
              <w:t>项目主要噪</w:t>
            </w:r>
            <w:r>
              <w:rPr>
                <w:color w:val="000000" w:themeColor="text1"/>
                <w:sz w:val="24"/>
              </w:rPr>
              <w:t>声为</w:t>
            </w:r>
            <w:r>
              <w:rPr>
                <w:rFonts w:hint="eastAsia"/>
                <w:color w:val="000000" w:themeColor="text1"/>
                <w:sz w:val="24"/>
              </w:rPr>
              <w:t>设备运行过程</w:t>
            </w:r>
            <w:r>
              <w:rPr>
                <w:color w:val="000000" w:themeColor="text1"/>
                <w:sz w:val="24"/>
              </w:rPr>
              <w:t>产生的噪声等，噪声级约</w:t>
            </w:r>
            <w:r>
              <w:rPr>
                <w:rFonts w:hint="eastAsia"/>
                <w:color w:val="000000" w:themeColor="text1"/>
                <w:sz w:val="24"/>
              </w:rPr>
              <w:t>70～85dB</w:t>
            </w:r>
            <w:r>
              <w:rPr>
                <w:color w:val="000000" w:themeColor="text1"/>
                <w:sz w:val="24"/>
              </w:rPr>
              <w:t>(A)</w:t>
            </w:r>
            <w:r>
              <w:rPr>
                <w:rFonts w:hAnsi="宋体"/>
                <w:kern w:val="24"/>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341" w:type="dxa"/>
            <w:vAlign w:val="center"/>
          </w:tcPr>
          <w:p>
            <w:pPr>
              <w:jc w:val="center"/>
              <w:rPr>
                <w:rFonts w:ascii="华文中宋" w:hAnsi="华文中宋" w:eastAsia="华文中宋"/>
                <w:sz w:val="28"/>
              </w:rPr>
            </w:pPr>
            <w:r>
              <w:rPr>
                <w:rFonts w:ascii="华文中宋" w:hAnsi="华文中宋" w:eastAsia="华文中宋"/>
                <w:sz w:val="28"/>
              </w:rPr>
              <w:t>其他</w:t>
            </w:r>
          </w:p>
        </w:tc>
        <w:tc>
          <w:tcPr>
            <w:tcW w:w="8253" w:type="dxa"/>
            <w:gridSpan w:val="5"/>
            <w:vAlign w:val="center"/>
          </w:tcPr>
          <w:p>
            <w:pPr>
              <w:adjustRightInd w:val="0"/>
              <w:snapToGrid w:val="0"/>
              <w:ind w:firstLine="480" w:firstLineChars="200"/>
              <w:rPr>
                <w:sz w:val="24"/>
              </w:rPr>
            </w:pPr>
            <w:r>
              <w:rPr>
                <w:rFonts w:hint="eastAsia"/>
                <w:snapToGrid w:val="0"/>
                <w:kern w:val="0"/>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4" w:type="dxa"/>
            <w:gridSpan w:val="6"/>
            <w:tcBorders>
              <w:bottom w:val="single" w:color="auto" w:sz="4" w:space="0"/>
            </w:tcBorders>
          </w:tcPr>
          <w:p>
            <w:pPr>
              <w:spacing w:line="360" w:lineRule="auto"/>
              <w:jc w:val="left"/>
              <w:rPr>
                <w:rFonts w:eastAsia="黑体"/>
                <w:sz w:val="28"/>
                <w:szCs w:val="28"/>
              </w:rPr>
            </w:pPr>
            <w:r>
              <w:rPr>
                <w:rFonts w:eastAsia="黑体"/>
                <w:sz w:val="28"/>
                <w:szCs w:val="28"/>
              </w:rPr>
              <w:t>主要生态影响（不够时可附另页）</w:t>
            </w:r>
          </w:p>
          <w:p>
            <w:pPr>
              <w:spacing w:line="360" w:lineRule="auto"/>
              <w:ind w:firstLine="480" w:firstLineChars="200"/>
              <w:jc w:val="left"/>
              <w:rPr>
                <w:sz w:val="24"/>
              </w:rPr>
            </w:pPr>
            <w:r>
              <w:rPr>
                <w:color w:val="000000" w:themeColor="text1"/>
                <w:sz w:val="24"/>
              </w:rPr>
              <w:t>项目</w:t>
            </w:r>
            <w:r>
              <w:rPr>
                <w:rFonts w:hint="eastAsia"/>
                <w:color w:val="000000" w:themeColor="text1"/>
                <w:sz w:val="24"/>
              </w:rPr>
              <w:t>不在水源地一级、二级保护区范围内，无古迹、不压矿。</w:t>
            </w:r>
            <w:r>
              <w:rPr>
                <w:rFonts w:hint="eastAsia"/>
                <w:sz w:val="24"/>
              </w:rPr>
              <w:t>项目通过利用已建成设施进行生产，无施工期建设，对生态环境影响较小。</w:t>
            </w: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p>
            <w:pPr>
              <w:spacing w:line="360" w:lineRule="auto"/>
              <w:ind w:firstLine="480" w:firstLineChars="200"/>
              <w:jc w:val="left"/>
              <w:rPr>
                <w:sz w:val="24"/>
              </w:rPr>
            </w:pPr>
          </w:p>
        </w:tc>
      </w:tr>
    </w:tbl>
    <w:p>
      <w:pPr>
        <w:snapToGrid w:val="0"/>
        <w:rPr>
          <w:rFonts w:eastAsia="黑体"/>
          <w:sz w:val="32"/>
          <w:szCs w:val="32"/>
        </w:rPr>
      </w:pPr>
      <w:r>
        <w:rPr>
          <w:rFonts w:eastAsia="黑体"/>
          <w:sz w:val="32"/>
          <w:szCs w:val="32"/>
        </w:rPr>
        <w:t>环境影响分析</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9356" w:type="dxa"/>
          </w:tcPr>
          <w:p>
            <w:pPr>
              <w:spacing w:line="360" w:lineRule="auto"/>
              <w:rPr>
                <w:rFonts w:eastAsia="黑体"/>
                <w:sz w:val="28"/>
                <w:szCs w:val="30"/>
              </w:rPr>
            </w:pPr>
            <w:r>
              <w:rPr>
                <w:rFonts w:eastAsia="黑体"/>
                <w:sz w:val="28"/>
                <w:szCs w:val="30"/>
              </w:rPr>
              <w:t>施工期环境影响分析：</w:t>
            </w:r>
          </w:p>
          <w:p>
            <w:pPr>
              <w:pStyle w:val="61"/>
              <w:shd w:val="clear" w:color="auto" w:fill="auto"/>
              <w:spacing w:before="0" w:line="350" w:lineRule="auto"/>
              <w:ind w:left="20" w:right="40" w:firstLine="480" w:firstLineChars="200"/>
              <w:jc w:val="left"/>
              <w:rPr>
                <w:rFonts w:ascii="Times New Roman" w:hAnsi="Times New Roman" w:eastAsia="宋体" w:cs="Times New Roman"/>
                <w:spacing w:val="0"/>
                <w:kern w:val="2"/>
                <w:sz w:val="24"/>
                <w:szCs w:val="20"/>
              </w:rPr>
            </w:pPr>
            <w:r>
              <w:rPr>
                <w:rFonts w:hint="eastAsia" w:ascii="Times New Roman" w:hAnsi="Times New Roman" w:eastAsia="宋体" w:cs="Times New Roman"/>
                <w:spacing w:val="0"/>
                <w:kern w:val="2"/>
                <w:sz w:val="24"/>
                <w:szCs w:val="20"/>
              </w:rPr>
              <w:t>由于拟建项目利用的设施已建成，因此，本次环评不作施工期环境影响分析。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6" w:type="dxa"/>
          </w:tcPr>
          <w:p>
            <w:pPr>
              <w:spacing w:line="360" w:lineRule="auto"/>
              <w:rPr>
                <w:rFonts w:eastAsia="黑体"/>
                <w:sz w:val="28"/>
                <w:szCs w:val="30"/>
              </w:rPr>
            </w:pPr>
            <w:r>
              <w:rPr>
                <w:rFonts w:eastAsia="黑体"/>
                <w:sz w:val="28"/>
                <w:szCs w:val="30"/>
              </w:rPr>
              <w:t>营运期环境影响分析：</w:t>
            </w:r>
          </w:p>
          <w:p>
            <w:pPr>
              <w:widowControl/>
              <w:tabs>
                <w:tab w:val="left" w:pos="0"/>
              </w:tabs>
              <w:spacing w:line="360" w:lineRule="auto"/>
              <w:ind w:firstLine="480" w:firstLineChars="200"/>
              <w:rPr>
                <w:rFonts w:ascii="黑体" w:hAnsi="黑体" w:eastAsia="黑体"/>
                <w:bCs/>
                <w:sz w:val="24"/>
                <w:szCs w:val="24"/>
              </w:rPr>
            </w:pPr>
            <w:r>
              <w:rPr>
                <w:rFonts w:hint="eastAsia" w:ascii="黑体" w:hAnsi="黑体" w:eastAsia="黑体"/>
                <w:bCs/>
                <w:sz w:val="24"/>
                <w:szCs w:val="24"/>
              </w:rPr>
              <w:t>一、环境空气影响分析</w:t>
            </w:r>
          </w:p>
          <w:p>
            <w:pPr>
              <w:pStyle w:val="20"/>
              <w:spacing w:line="360" w:lineRule="auto"/>
              <w:ind w:firstLine="480"/>
              <w:rPr>
                <w:bCs/>
                <w:kern w:val="0"/>
              </w:rPr>
            </w:pPr>
            <w:r>
              <w:rPr>
                <w:rFonts w:hint="eastAsia"/>
                <w:bCs/>
                <w:kern w:val="0"/>
              </w:rPr>
              <w:t>1、废气达标排放及影响分析</w:t>
            </w:r>
          </w:p>
          <w:p>
            <w:pPr>
              <w:pStyle w:val="20"/>
              <w:spacing w:line="360" w:lineRule="auto"/>
              <w:ind w:firstLine="480"/>
              <w:rPr>
                <w:bCs/>
                <w:spacing w:val="0"/>
                <w:kern w:val="0"/>
              </w:rPr>
            </w:pPr>
            <w:r>
              <w:rPr>
                <w:rFonts w:hint="eastAsia"/>
                <w:bCs/>
                <w:spacing w:val="0"/>
                <w:kern w:val="0"/>
              </w:rPr>
              <w:t>（1）废气达标分析</w:t>
            </w:r>
          </w:p>
          <w:p>
            <w:pPr>
              <w:pStyle w:val="20"/>
              <w:spacing w:line="360" w:lineRule="auto"/>
              <w:ind w:firstLine="480"/>
              <w:rPr>
                <w:bCs/>
                <w:spacing w:val="0"/>
                <w:kern w:val="0"/>
              </w:rPr>
            </w:pPr>
            <w:r>
              <w:rPr>
                <w:rFonts w:hint="eastAsia"/>
                <w:bCs/>
                <w:spacing w:val="0"/>
                <w:kern w:val="0"/>
              </w:rPr>
              <w:t>项目运营期产生的工艺废气主要为夹中空玻璃生产过程产生的涂胶和封边固化废气。</w:t>
            </w:r>
          </w:p>
          <w:p>
            <w:pPr>
              <w:pStyle w:val="20"/>
              <w:spacing w:line="360" w:lineRule="auto"/>
              <w:ind w:firstLine="480"/>
              <w:rPr>
                <w:bCs/>
                <w:spacing w:val="0"/>
                <w:kern w:val="0"/>
              </w:rPr>
            </w:pPr>
            <w:r>
              <w:rPr>
                <w:rFonts w:hint="eastAsia"/>
                <w:bCs/>
                <w:spacing w:val="0"/>
                <w:kern w:val="0"/>
              </w:rPr>
              <w:t>本项目产生的有机废气通过集气罩收集后通过配套的活性炭吸附装置处理后通过15m高排气筒排放。</w:t>
            </w:r>
          </w:p>
          <w:p>
            <w:pPr>
              <w:pStyle w:val="20"/>
              <w:spacing w:line="360" w:lineRule="auto"/>
              <w:ind w:firstLine="480"/>
              <w:rPr>
                <w:spacing w:val="0"/>
              </w:rPr>
            </w:pPr>
            <w:r>
              <w:rPr>
                <w:rFonts w:hint="eastAsia"/>
                <w:bCs/>
                <w:spacing w:val="0"/>
                <w:kern w:val="0"/>
              </w:rPr>
              <w:t>集气罩收集效率按</w:t>
            </w:r>
            <w:r>
              <w:rPr>
                <w:bCs/>
                <w:spacing w:val="0"/>
                <w:kern w:val="0"/>
              </w:rPr>
              <w:t>90%</w:t>
            </w:r>
            <w:r>
              <w:rPr>
                <w:rFonts w:hint="eastAsia"/>
                <w:bCs/>
                <w:spacing w:val="0"/>
                <w:kern w:val="0"/>
              </w:rPr>
              <w:t>计算，活性炭吸附处理装置对有机废气的去除率按</w:t>
            </w:r>
            <w:r>
              <w:rPr>
                <w:bCs/>
                <w:spacing w:val="0"/>
                <w:kern w:val="0"/>
              </w:rPr>
              <w:t>90%</w:t>
            </w:r>
            <w:r>
              <w:rPr>
                <w:rFonts w:hint="eastAsia"/>
                <w:bCs/>
                <w:spacing w:val="0"/>
                <w:kern w:val="0"/>
              </w:rPr>
              <w:t>计算，通过计算，本项目有机废气排放浓度和排放速率均满足</w:t>
            </w:r>
            <w:r>
              <w:rPr>
                <w:rFonts w:hint="eastAsia"/>
                <w:spacing w:val="0"/>
                <w:szCs w:val="24"/>
              </w:rPr>
              <w:t>《挥发性有机物排放标准第7部分：其他行业》</w:t>
            </w:r>
            <w:r>
              <w:rPr>
                <w:rFonts w:hint="eastAsia"/>
                <w:spacing w:val="0"/>
              </w:rPr>
              <w:t>（DB37/2801.7-2019）表1标准限值要求（排放浓度20mg/m</w:t>
            </w:r>
            <w:r>
              <w:rPr>
                <w:rFonts w:hint="eastAsia"/>
                <w:spacing w:val="0"/>
                <w:vertAlign w:val="superscript"/>
              </w:rPr>
              <w:t>3</w:t>
            </w:r>
            <w:r>
              <w:rPr>
                <w:rFonts w:hint="eastAsia"/>
                <w:spacing w:val="0"/>
              </w:rPr>
              <w:t>、排放速率3.0kg/h）</w:t>
            </w:r>
          </w:p>
          <w:p>
            <w:pPr>
              <w:pStyle w:val="20"/>
              <w:spacing w:line="360" w:lineRule="auto"/>
              <w:ind w:firstLine="480" w:firstLineChars="200"/>
              <w:rPr>
                <w:rFonts w:eastAsiaTheme="minorEastAsia"/>
                <w:color w:val="000000" w:themeColor="text1"/>
              </w:rPr>
            </w:pPr>
            <w:r>
              <w:rPr>
                <w:rFonts w:hint="eastAsia"/>
                <w:color w:val="000000" w:themeColor="text1"/>
                <w:spacing w:val="0"/>
                <w:szCs w:val="24"/>
              </w:rPr>
              <w:t>本环评依据工程分析和计算所得的污染物源强，采用导则推荐的</w:t>
            </w:r>
            <w:r>
              <w:rPr>
                <w:color w:val="000000" w:themeColor="text1"/>
                <w:spacing w:val="0"/>
                <w:szCs w:val="24"/>
              </w:rPr>
              <w:t>ARESCREEN</w:t>
            </w:r>
            <w:r>
              <w:rPr>
                <w:rFonts w:hint="eastAsia"/>
                <w:color w:val="000000" w:themeColor="text1"/>
                <w:spacing w:val="0"/>
                <w:szCs w:val="24"/>
              </w:rPr>
              <w:t>估算模式预测分析其对周边环境的影响。</w:t>
            </w:r>
            <w:r>
              <w:rPr>
                <w:rFonts w:hint="eastAsia" w:eastAsiaTheme="minorEastAsia"/>
                <w:color w:val="000000" w:themeColor="text1"/>
              </w:rPr>
              <w:t>废气最大占标率均小于</w:t>
            </w:r>
            <w:r>
              <w:rPr>
                <w:rFonts w:eastAsiaTheme="minorEastAsia"/>
                <w:color w:val="000000" w:themeColor="text1"/>
              </w:rPr>
              <w:t>1%</w:t>
            </w:r>
            <w:r>
              <w:rPr>
                <w:rFonts w:hint="eastAsia" w:eastAsiaTheme="minorEastAsia"/>
                <w:color w:val="000000" w:themeColor="text1"/>
              </w:rPr>
              <w:t>，为三级评价，因此不进行进一步评价。</w:t>
            </w:r>
          </w:p>
          <w:p>
            <w:pPr>
              <w:pStyle w:val="20"/>
              <w:spacing w:line="360" w:lineRule="auto"/>
              <w:ind w:firstLine="480"/>
              <w:rPr>
                <w:bCs/>
                <w:spacing w:val="0"/>
                <w:kern w:val="0"/>
              </w:rPr>
            </w:pPr>
            <w:r>
              <w:rPr>
                <w:rFonts w:hint="eastAsia"/>
                <w:bCs/>
                <w:spacing w:val="0"/>
                <w:kern w:val="0"/>
              </w:rPr>
              <w:t>（2）活性炭吸附处理装置工作原理</w:t>
            </w:r>
          </w:p>
          <w:p>
            <w:pPr>
              <w:pStyle w:val="20"/>
              <w:spacing w:line="360" w:lineRule="auto"/>
              <w:ind w:firstLine="480"/>
              <w:rPr>
                <w:bCs/>
                <w:spacing w:val="0"/>
                <w:kern w:val="0"/>
              </w:rPr>
            </w:pPr>
            <w:r>
              <w:rPr>
                <w:rFonts w:hint="eastAsia"/>
                <w:bCs/>
                <w:spacing w:val="0"/>
                <w:kern w:val="0"/>
              </w:rPr>
              <w:t>活性炭吸附处理有机废气的原理是在一定的温度和压力下，当活性炭与有机废气接触时，有机废气吸附于活性炭的细孔中。气、固相开始接触时，对有机废气中的轻质烃等物质的吸附是主要过程，在活性炭的众多微孔中分为大中小三种，只有微小孔是吸附的主力军，活性炭具有微晶结构，微晶排列完全不规则，晶体中有微孔（半径小于</w:t>
            </w:r>
            <w:r>
              <w:rPr>
                <w:bCs/>
                <w:spacing w:val="0"/>
                <w:kern w:val="0"/>
              </w:rPr>
              <w:t>20[</w:t>
            </w:r>
            <w:r>
              <w:rPr>
                <w:rFonts w:hint="eastAsia"/>
                <w:bCs/>
                <w:spacing w:val="0"/>
                <w:kern w:val="0"/>
              </w:rPr>
              <w:t>埃</w:t>
            </w:r>
            <w:r>
              <w:rPr>
                <w:bCs/>
                <w:spacing w:val="0"/>
                <w:kern w:val="0"/>
              </w:rPr>
              <w:t xml:space="preserve">] =10-10 </w:t>
            </w:r>
            <w:r>
              <w:rPr>
                <w:rFonts w:hint="eastAsia"/>
                <w:bCs/>
                <w:spacing w:val="0"/>
                <w:kern w:val="0"/>
              </w:rPr>
              <w:t>米）、过渡孔（半径</w:t>
            </w:r>
            <w:r>
              <w:rPr>
                <w:bCs/>
                <w:spacing w:val="0"/>
                <w:kern w:val="0"/>
              </w:rPr>
              <w:t>20~1000</w:t>
            </w:r>
            <w:r>
              <w:rPr>
                <w:rFonts w:hint="eastAsia"/>
                <w:bCs/>
                <w:spacing w:val="0"/>
                <w:kern w:val="0"/>
              </w:rPr>
              <w:t>）、大孔（半径</w:t>
            </w:r>
            <w:r>
              <w:rPr>
                <w:bCs/>
                <w:spacing w:val="0"/>
                <w:kern w:val="0"/>
              </w:rPr>
              <w:t>1000~100000</w:t>
            </w:r>
            <w:r>
              <w:rPr>
                <w:rFonts w:hint="eastAsia"/>
                <w:bCs/>
                <w:spacing w:val="0"/>
                <w:kern w:val="0"/>
              </w:rPr>
              <w:t>），使它具有很大的内表面，比表面积为</w:t>
            </w:r>
            <w:r>
              <w:rPr>
                <w:bCs/>
                <w:spacing w:val="0"/>
                <w:kern w:val="0"/>
              </w:rPr>
              <w:t>500~1700m</w:t>
            </w:r>
            <w:r>
              <w:rPr>
                <w:bCs/>
                <w:spacing w:val="0"/>
                <w:kern w:val="0"/>
                <w:vertAlign w:val="superscript"/>
              </w:rPr>
              <w:t>2</w:t>
            </w:r>
            <w:r>
              <w:rPr>
                <w:bCs/>
                <w:spacing w:val="0"/>
                <w:kern w:val="0"/>
              </w:rPr>
              <w:t>/g</w:t>
            </w:r>
            <w:r>
              <w:rPr>
                <w:rFonts w:hint="eastAsia"/>
                <w:bCs/>
                <w:spacing w:val="0"/>
                <w:kern w:val="0"/>
              </w:rPr>
              <w:t>。这决定了活性炭具有良好的吸附性，可以吸附废水和废气中的金属离子、有害气体、有机污染物、色素等。工业上应用活性炭还要求机械强度大、耐磨性能好，它的结构力求稳定，吸附所需能量小，以有利于再生。活性炭用于油脂、饮料、食品、饮用水的脱色、脱味，气体分离、溶剂回收和空气调节，用作催化剂载体和防毒面具的吸附剂。随着时间的延长，活性炭细孔中吸附质浓度的不断增大，吸附速度会不断减慢，直到活性炭达到饱和状态。此时，吸附速度和解吸速度达到动态平衡，气、固相之间的传递相等。</w:t>
            </w:r>
          </w:p>
          <w:p>
            <w:pPr>
              <w:pStyle w:val="20"/>
              <w:spacing w:line="360" w:lineRule="auto"/>
              <w:ind w:firstLine="480" w:firstLineChars="200"/>
              <w:rPr>
                <w:bCs/>
                <w:spacing w:val="0"/>
                <w:kern w:val="0"/>
              </w:rPr>
            </w:pPr>
            <w:r>
              <w:rPr>
                <w:rFonts w:hint="eastAsia"/>
                <w:bCs/>
                <w:spacing w:val="0"/>
                <w:kern w:val="0"/>
              </w:rPr>
              <w:t>为了保证活性炭的吸附效率，环评要求活性炭定期更换，并有更换记录。</w:t>
            </w:r>
          </w:p>
          <w:p>
            <w:pPr>
              <w:pStyle w:val="20"/>
              <w:spacing w:line="360" w:lineRule="auto"/>
              <w:ind w:firstLine="480"/>
              <w:rPr>
                <w:rFonts w:ascii="黑体" w:hAnsi="黑体" w:eastAsia="黑体"/>
                <w:bCs/>
                <w:spacing w:val="0"/>
                <w:szCs w:val="24"/>
              </w:rPr>
            </w:pPr>
            <w:r>
              <w:rPr>
                <w:rFonts w:hint="eastAsia" w:ascii="黑体" w:hAnsi="黑体" w:eastAsia="黑体"/>
                <w:bCs/>
                <w:spacing w:val="0"/>
                <w:szCs w:val="24"/>
              </w:rPr>
              <w:t>二、水环境影响分析</w:t>
            </w:r>
          </w:p>
          <w:p>
            <w:pPr>
              <w:spacing w:line="360" w:lineRule="auto"/>
              <w:ind w:firstLine="480" w:firstLineChars="200"/>
              <w:rPr>
                <w:sz w:val="24"/>
                <w:szCs w:val="24"/>
              </w:rPr>
            </w:pPr>
            <w:r>
              <w:rPr>
                <w:rFonts w:hint="eastAsia"/>
                <w:sz w:val="24"/>
                <w:szCs w:val="24"/>
              </w:rPr>
              <w:t>项目玻璃清洗废水、</w:t>
            </w:r>
            <w:r>
              <w:rPr>
                <w:sz w:val="24"/>
                <w:szCs w:val="24"/>
              </w:rPr>
              <w:t>生活污水</w:t>
            </w:r>
            <w:r>
              <w:rPr>
                <w:rFonts w:hint="eastAsia"/>
                <w:sz w:val="24"/>
                <w:szCs w:val="24"/>
              </w:rPr>
              <w:t>和制纯水浓水均排入市政管网，在厂区口混合形成的综合废水</w:t>
            </w:r>
            <w:r>
              <w:rPr>
                <w:sz w:val="24"/>
                <w:szCs w:val="24"/>
              </w:rPr>
              <w:t>，</w:t>
            </w:r>
            <w:r>
              <w:rPr>
                <w:rFonts w:hint="eastAsia"/>
                <w:sz w:val="24"/>
                <w:szCs w:val="24"/>
              </w:rPr>
              <w:t>总排放量为612t/a。</w:t>
            </w:r>
            <w:r>
              <w:rPr>
                <w:sz w:val="24"/>
                <w:szCs w:val="24"/>
              </w:rPr>
              <w:t>主要污染物为COD、NH</w:t>
            </w:r>
            <w:r>
              <w:rPr>
                <w:sz w:val="24"/>
                <w:szCs w:val="24"/>
                <w:vertAlign w:val="subscript"/>
              </w:rPr>
              <w:t>3</w:t>
            </w:r>
            <w:r>
              <w:rPr>
                <w:sz w:val="24"/>
                <w:szCs w:val="24"/>
              </w:rPr>
              <w:t>-N，</w:t>
            </w:r>
            <w:r>
              <w:rPr>
                <w:sz w:val="24"/>
              </w:rPr>
              <w:t>排放浓度为</w:t>
            </w:r>
            <w:r>
              <w:rPr>
                <w:rFonts w:hint="eastAsia"/>
                <w:sz w:val="24"/>
              </w:rPr>
              <w:t>200</w:t>
            </w:r>
            <w:r>
              <w:rPr>
                <w:sz w:val="24"/>
              </w:rPr>
              <w:t>mg/L、</w:t>
            </w:r>
            <w:r>
              <w:rPr>
                <w:rFonts w:hint="eastAsia"/>
                <w:sz w:val="24"/>
              </w:rPr>
              <w:t>20</w:t>
            </w:r>
            <w:r>
              <w:rPr>
                <w:sz w:val="24"/>
              </w:rPr>
              <w:t>mg/L，达到《污水排入城镇下水道水质标准》（</w:t>
            </w:r>
            <w:r>
              <w:rPr>
                <w:sz w:val="24"/>
                <w:szCs w:val="24"/>
              </w:rPr>
              <w:t>GB/T 31962-2015</w:t>
            </w:r>
            <w:r>
              <w:rPr>
                <w:sz w:val="24"/>
              </w:rPr>
              <w:t>）表 1 中 B 等级标准</w:t>
            </w:r>
            <w:r>
              <w:rPr>
                <w:rFonts w:hint="eastAsia"/>
                <w:sz w:val="24"/>
              </w:rPr>
              <w:t>，</w:t>
            </w:r>
            <w:r>
              <w:rPr>
                <w:sz w:val="24"/>
                <w:szCs w:val="24"/>
              </w:rPr>
              <w:t>经市政污水管网输送至威海水务投资有限责任公司</w:t>
            </w:r>
            <w:r>
              <w:rPr>
                <w:rFonts w:hint="eastAsia"/>
                <w:sz w:val="24"/>
                <w:szCs w:val="24"/>
              </w:rPr>
              <w:t>临港</w:t>
            </w:r>
            <w:r>
              <w:rPr>
                <w:sz w:val="24"/>
                <w:szCs w:val="24"/>
              </w:rPr>
              <w:t>区污水处理厂集中处理。</w:t>
            </w:r>
          </w:p>
          <w:p>
            <w:pPr>
              <w:pStyle w:val="61"/>
              <w:shd w:val="clear" w:color="auto" w:fill="auto"/>
              <w:spacing w:before="0" w:line="360" w:lineRule="auto"/>
              <w:ind w:left="23" w:firstLine="499"/>
              <w:jc w:val="both"/>
              <w:rPr>
                <w:rFonts w:ascii="Times New Roman" w:hAnsi="Times New Roman" w:eastAsia="宋体" w:cs="Times New Roman"/>
                <w:color w:val="000000" w:themeColor="text1"/>
                <w:spacing w:val="0"/>
                <w:kern w:val="2"/>
                <w:sz w:val="24"/>
                <w:szCs w:val="20"/>
              </w:rPr>
            </w:pPr>
            <w:r>
              <w:rPr>
                <w:rFonts w:hint="eastAsia" w:ascii="Times New Roman" w:hAnsi="Times New Roman" w:eastAsia="宋体" w:cs="Times New Roman"/>
                <w:color w:val="000000" w:themeColor="text1"/>
                <w:spacing w:val="0"/>
                <w:kern w:val="2"/>
                <w:sz w:val="24"/>
                <w:szCs w:val="20"/>
              </w:rPr>
              <w:t>威海临港区污水处理厂，前身为威海工业新区污水处理厂，位于临港经济技术开发区南端曹格庄村西南，占地面积</w:t>
            </w:r>
            <w:r>
              <w:rPr>
                <w:rFonts w:ascii="Times New Roman" w:hAnsi="Times New Roman" w:eastAsia="宋体" w:cs="Times New Roman"/>
                <w:color w:val="000000" w:themeColor="text1"/>
                <w:spacing w:val="0"/>
                <w:kern w:val="2"/>
                <w:sz w:val="24"/>
                <w:szCs w:val="20"/>
              </w:rPr>
              <w:t>33333.50m</w:t>
            </w:r>
            <w:r>
              <w:rPr>
                <w:rFonts w:ascii="Times New Roman" w:hAnsi="Times New Roman" w:eastAsia="宋体" w:cs="Times New Roman"/>
                <w:color w:val="000000" w:themeColor="text1"/>
                <w:spacing w:val="0"/>
                <w:kern w:val="2"/>
                <w:sz w:val="24"/>
                <w:szCs w:val="20"/>
                <w:vertAlign w:val="superscript"/>
              </w:rPr>
              <w:t>2</w:t>
            </w:r>
            <w:r>
              <w:rPr>
                <w:rFonts w:hint="eastAsia" w:ascii="Times New Roman" w:hAnsi="Times New Roman" w:eastAsia="宋体" w:cs="Times New Roman"/>
                <w:color w:val="000000" w:themeColor="text1"/>
                <w:spacing w:val="0"/>
                <w:kern w:val="2"/>
                <w:sz w:val="24"/>
                <w:szCs w:val="20"/>
              </w:rPr>
              <w:t>，工程投资</w:t>
            </w:r>
            <w:r>
              <w:rPr>
                <w:rFonts w:ascii="Times New Roman" w:hAnsi="Times New Roman" w:eastAsia="宋体" w:cs="Times New Roman"/>
                <w:color w:val="000000" w:themeColor="text1"/>
                <w:spacing w:val="0"/>
                <w:kern w:val="2"/>
                <w:sz w:val="24"/>
                <w:szCs w:val="20"/>
              </w:rPr>
              <w:t>3559.30</w:t>
            </w:r>
            <w:r>
              <w:rPr>
                <w:rFonts w:hint="eastAsia" w:ascii="Times New Roman" w:hAnsi="Times New Roman" w:eastAsia="宋体" w:cs="Times New Roman"/>
                <w:color w:val="000000" w:themeColor="text1"/>
                <w:spacing w:val="0"/>
                <w:kern w:val="2"/>
                <w:sz w:val="24"/>
                <w:szCs w:val="20"/>
              </w:rPr>
              <w:t>万元。项目始建于</w:t>
            </w:r>
            <w:r>
              <w:rPr>
                <w:rFonts w:ascii="Times New Roman" w:hAnsi="Times New Roman" w:eastAsia="宋体" w:cs="Times New Roman"/>
                <w:color w:val="000000" w:themeColor="text1"/>
                <w:spacing w:val="0"/>
                <w:kern w:val="2"/>
                <w:sz w:val="24"/>
                <w:szCs w:val="20"/>
              </w:rPr>
              <w:t>2007</w:t>
            </w:r>
            <w:r>
              <w:rPr>
                <w:rFonts w:hint="eastAsia" w:ascii="Times New Roman" w:hAnsi="Times New Roman" w:eastAsia="宋体" w:cs="Times New Roman"/>
                <w:color w:val="000000" w:themeColor="text1"/>
                <w:spacing w:val="0"/>
                <w:kern w:val="2"/>
                <w:sz w:val="24"/>
                <w:szCs w:val="20"/>
              </w:rPr>
              <w:t>年</w:t>
            </w:r>
            <w:r>
              <w:rPr>
                <w:rFonts w:ascii="Times New Roman" w:hAnsi="Times New Roman" w:eastAsia="宋体" w:cs="Times New Roman"/>
                <w:color w:val="000000" w:themeColor="text1"/>
                <w:spacing w:val="0"/>
                <w:kern w:val="2"/>
                <w:sz w:val="24"/>
                <w:szCs w:val="20"/>
              </w:rPr>
              <w:t>10</w:t>
            </w:r>
            <w:r>
              <w:rPr>
                <w:rFonts w:hint="eastAsia" w:ascii="Times New Roman" w:hAnsi="Times New Roman" w:eastAsia="宋体" w:cs="Times New Roman"/>
                <w:color w:val="000000" w:themeColor="text1"/>
                <w:spacing w:val="0"/>
                <w:kern w:val="2"/>
                <w:sz w:val="24"/>
                <w:szCs w:val="20"/>
              </w:rPr>
              <w:t>月，主要用于处理威海市临港经济技术开发区区内工业和生活污水，主体采用改良的</w:t>
            </w:r>
            <w:r>
              <w:rPr>
                <w:rFonts w:ascii="Times New Roman" w:hAnsi="Times New Roman" w:eastAsia="宋体" w:cs="Times New Roman"/>
                <w:color w:val="000000" w:themeColor="text1"/>
                <w:spacing w:val="0"/>
                <w:kern w:val="2"/>
                <w:sz w:val="24"/>
                <w:szCs w:val="20"/>
              </w:rPr>
              <w:t>Bardenpho</w:t>
            </w:r>
            <w:r>
              <w:rPr>
                <w:rFonts w:hint="eastAsia" w:ascii="Times New Roman" w:hAnsi="Times New Roman" w:eastAsia="宋体" w:cs="Times New Roman"/>
                <w:color w:val="000000" w:themeColor="text1"/>
                <w:spacing w:val="0"/>
                <w:kern w:val="2"/>
                <w:sz w:val="24"/>
                <w:szCs w:val="20"/>
              </w:rPr>
              <w:t>工艺，设计总处理能力</w:t>
            </w:r>
            <w:r>
              <w:rPr>
                <w:rFonts w:ascii="Times New Roman" w:hAnsi="Times New Roman" w:eastAsia="宋体" w:cs="Times New Roman"/>
                <w:color w:val="000000" w:themeColor="text1"/>
                <w:spacing w:val="0"/>
                <w:kern w:val="2"/>
                <w:sz w:val="24"/>
                <w:szCs w:val="20"/>
              </w:rPr>
              <w:t>80000m</w:t>
            </w:r>
            <w:r>
              <w:rPr>
                <w:rFonts w:ascii="Times New Roman" w:hAnsi="Times New Roman" w:eastAsia="宋体" w:cs="Times New Roman"/>
                <w:color w:val="000000" w:themeColor="text1"/>
                <w:spacing w:val="0"/>
                <w:kern w:val="2"/>
                <w:sz w:val="24"/>
                <w:szCs w:val="20"/>
                <w:vertAlign w:val="superscript"/>
              </w:rPr>
              <w:t>3</w:t>
            </w:r>
            <w:r>
              <w:rPr>
                <w:rFonts w:ascii="Times New Roman" w:hAnsi="Times New Roman" w:eastAsia="宋体" w:cs="Times New Roman"/>
                <w:color w:val="000000" w:themeColor="text1"/>
                <w:spacing w:val="0"/>
                <w:kern w:val="2"/>
                <w:sz w:val="24"/>
                <w:szCs w:val="20"/>
              </w:rPr>
              <w:t>/d</w:t>
            </w:r>
            <w:r>
              <w:rPr>
                <w:rFonts w:hint="eastAsia" w:ascii="Times New Roman" w:hAnsi="Times New Roman" w:eastAsia="宋体" w:cs="Times New Roman"/>
                <w:color w:val="000000" w:themeColor="text1"/>
                <w:spacing w:val="0"/>
                <w:kern w:val="2"/>
                <w:sz w:val="24"/>
                <w:szCs w:val="20"/>
              </w:rPr>
              <w:t>，一期工程设计处理规模</w:t>
            </w:r>
            <w:r>
              <w:rPr>
                <w:rFonts w:ascii="Times New Roman" w:hAnsi="Times New Roman" w:eastAsia="宋体" w:cs="Times New Roman"/>
                <w:color w:val="000000" w:themeColor="text1"/>
                <w:spacing w:val="0"/>
                <w:kern w:val="2"/>
                <w:sz w:val="24"/>
                <w:szCs w:val="20"/>
              </w:rPr>
              <w:t>20000t/d</w:t>
            </w:r>
            <w:r>
              <w:rPr>
                <w:rFonts w:hint="eastAsia" w:ascii="Times New Roman" w:hAnsi="Times New Roman" w:eastAsia="宋体" w:cs="Times New Roman"/>
                <w:color w:val="000000" w:themeColor="text1"/>
                <w:spacing w:val="0"/>
                <w:kern w:val="2"/>
                <w:sz w:val="24"/>
                <w:szCs w:val="20"/>
              </w:rPr>
              <w:t>，于</w:t>
            </w:r>
            <w:r>
              <w:rPr>
                <w:rFonts w:ascii="Times New Roman" w:hAnsi="Times New Roman" w:eastAsia="宋体" w:cs="Times New Roman"/>
                <w:color w:val="000000" w:themeColor="text1"/>
                <w:spacing w:val="0"/>
                <w:kern w:val="2"/>
                <w:sz w:val="24"/>
                <w:szCs w:val="20"/>
              </w:rPr>
              <w:t>2009</w:t>
            </w:r>
            <w:r>
              <w:rPr>
                <w:rFonts w:hint="eastAsia" w:ascii="Times New Roman" w:hAnsi="Times New Roman" w:eastAsia="宋体" w:cs="Times New Roman"/>
                <w:color w:val="000000" w:themeColor="text1"/>
                <w:spacing w:val="0"/>
                <w:kern w:val="2"/>
                <w:sz w:val="24"/>
                <w:szCs w:val="20"/>
              </w:rPr>
              <w:t>年</w:t>
            </w:r>
            <w:r>
              <w:rPr>
                <w:rFonts w:ascii="Times New Roman" w:hAnsi="Times New Roman" w:eastAsia="宋体" w:cs="Times New Roman"/>
                <w:color w:val="000000" w:themeColor="text1"/>
                <w:spacing w:val="0"/>
                <w:kern w:val="2"/>
                <w:sz w:val="24"/>
                <w:szCs w:val="20"/>
              </w:rPr>
              <w:t>4</w:t>
            </w:r>
            <w:r>
              <w:rPr>
                <w:rFonts w:hint="eastAsia" w:ascii="Times New Roman" w:hAnsi="Times New Roman" w:eastAsia="宋体" w:cs="Times New Roman"/>
                <w:color w:val="000000" w:themeColor="text1"/>
                <w:spacing w:val="0"/>
                <w:kern w:val="2"/>
                <w:sz w:val="24"/>
                <w:szCs w:val="20"/>
              </w:rPr>
              <w:t>月份投入使用。</w:t>
            </w:r>
          </w:p>
          <w:p>
            <w:pPr>
              <w:pStyle w:val="61"/>
              <w:shd w:val="clear" w:color="auto" w:fill="auto"/>
              <w:spacing w:before="0" w:line="360" w:lineRule="auto"/>
              <w:ind w:left="23" w:firstLine="499"/>
              <w:jc w:val="both"/>
              <w:rPr>
                <w:rFonts w:ascii="Times New Roman" w:hAnsi="Times New Roman" w:eastAsia="宋体" w:cs="Times New Roman"/>
                <w:color w:val="000000" w:themeColor="text1"/>
                <w:spacing w:val="0"/>
                <w:kern w:val="2"/>
                <w:sz w:val="24"/>
                <w:szCs w:val="20"/>
              </w:rPr>
            </w:pPr>
            <w:r>
              <w:rPr>
                <w:rFonts w:hint="eastAsia" w:ascii="Times New Roman" w:hAnsi="Times New Roman" w:eastAsia="宋体" w:cs="Times New Roman"/>
                <w:color w:val="000000" w:themeColor="text1"/>
                <w:spacing w:val="0"/>
                <w:kern w:val="2"/>
                <w:sz w:val="24"/>
                <w:szCs w:val="20"/>
              </w:rPr>
              <w:t>目前，该污水</w:t>
            </w:r>
            <w:r>
              <w:rPr>
                <w:rFonts w:ascii="Times New Roman" w:hAnsi="Times New Roman" w:eastAsia="宋体" w:cs="Times New Roman"/>
                <w:color w:val="000000" w:themeColor="text1"/>
                <w:spacing w:val="0"/>
                <w:kern w:val="2"/>
                <w:sz w:val="24"/>
                <w:szCs w:val="20"/>
              </w:rPr>
              <w:t>处理厂进行扩建改造，</w:t>
            </w:r>
            <w:r>
              <w:rPr>
                <w:rFonts w:ascii="Times New Roman" w:hAnsi="Times New Roman" w:cs="Times New Roman" w:eastAsiaTheme="minorEastAsia"/>
                <w:color w:val="000000" w:themeColor="text1"/>
                <w:spacing w:val="0"/>
                <w:kern w:val="2"/>
                <w:sz w:val="24"/>
                <w:szCs w:val="20"/>
              </w:rPr>
              <w:t>改造的水量为现有污水处理</w:t>
            </w:r>
            <w:r>
              <w:rPr>
                <w:rFonts w:ascii="Times New Roman" w:hAnsi="Times New Roman" w:eastAsia="宋体" w:cs="Times New Roman"/>
                <w:color w:val="000000" w:themeColor="text1"/>
                <w:spacing w:val="0"/>
                <w:kern w:val="2"/>
                <w:sz w:val="24"/>
                <w:szCs w:val="20"/>
              </w:rPr>
              <w:t>厂的设计水量2万m</w:t>
            </w:r>
            <w:r>
              <w:rPr>
                <w:rFonts w:ascii="Times New Roman" w:hAnsi="Times New Roman" w:eastAsia="宋体" w:cs="Times New Roman"/>
                <w:color w:val="000000" w:themeColor="text1"/>
                <w:spacing w:val="0"/>
                <w:kern w:val="2"/>
                <w:sz w:val="24"/>
                <w:szCs w:val="20"/>
                <w:vertAlign w:val="superscript"/>
              </w:rPr>
              <w:t>3</w:t>
            </w:r>
            <w:r>
              <w:rPr>
                <w:rFonts w:ascii="Times New Roman" w:hAnsi="Times New Roman" w:eastAsia="宋体" w:cs="Times New Roman"/>
                <w:color w:val="000000" w:themeColor="text1"/>
                <w:spacing w:val="0"/>
                <w:kern w:val="2"/>
                <w:sz w:val="24"/>
                <w:szCs w:val="20"/>
              </w:rPr>
              <w:t>/d，扩建的规模水量为3万m</w:t>
            </w:r>
            <w:r>
              <w:rPr>
                <w:rFonts w:ascii="Times New Roman" w:hAnsi="Times New Roman" w:eastAsia="宋体" w:cs="Times New Roman"/>
                <w:color w:val="000000" w:themeColor="text1"/>
                <w:spacing w:val="0"/>
                <w:kern w:val="2"/>
                <w:sz w:val="24"/>
                <w:szCs w:val="20"/>
                <w:vertAlign w:val="superscript"/>
              </w:rPr>
              <w:t>3</w:t>
            </w:r>
            <w:r>
              <w:rPr>
                <w:rFonts w:ascii="Times New Roman" w:hAnsi="Times New Roman" w:eastAsia="宋体" w:cs="Times New Roman"/>
                <w:color w:val="000000" w:themeColor="text1"/>
                <w:spacing w:val="0"/>
                <w:kern w:val="2"/>
                <w:sz w:val="24"/>
                <w:szCs w:val="20"/>
              </w:rPr>
              <w:t>/d，</w:t>
            </w:r>
            <w:r>
              <w:rPr>
                <w:rFonts w:ascii="Times New Roman" w:hAnsi="Times New Roman" w:cs="Times New Roman" w:eastAsiaTheme="minorEastAsia"/>
                <w:color w:val="000000" w:themeColor="text1"/>
                <w:spacing w:val="0"/>
                <w:kern w:val="2"/>
                <w:sz w:val="24"/>
                <w:szCs w:val="20"/>
              </w:rPr>
              <w:t>扩建改造工程完成后，近期污水总处理规模</w:t>
            </w:r>
            <w:r>
              <w:rPr>
                <w:rFonts w:ascii="Times New Roman" w:hAnsi="Times New Roman" w:eastAsia="宋体" w:cs="Times New Roman"/>
                <w:color w:val="000000" w:themeColor="text1"/>
                <w:spacing w:val="0"/>
                <w:kern w:val="2"/>
                <w:sz w:val="24"/>
                <w:szCs w:val="20"/>
              </w:rPr>
              <w:t>为5万m</w:t>
            </w:r>
            <w:r>
              <w:rPr>
                <w:rFonts w:ascii="Times New Roman" w:hAnsi="Times New Roman" w:eastAsia="宋体" w:cs="Times New Roman"/>
                <w:color w:val="000000" w:themeColor="text1"/>
                <w:spacing w:val="0"/>
                <w:kern w:val="2"/>
                <w:sz w:val="24"/>
                <w:szCs w:val="20"/>
                <w:vertAlign w:val="superscript"/>
              </w:rPr>
              <w:t>3</w:t>
            </w:r>
            <w:r>
              <w:rPr>
                <w:rFonts w:ascii="Times New Roman" w:hAnsi="Times New Roman" w:eastAsia="宋体" w:cs="Times New Roman"/>
                <w:color w:val="000000" w:themeColor="text1"/>
                <w:spacing w:val="0"/>
                <w:kern w:val="2"/>
                <w:sz w:val="24"/>
                <w:szCs w:val="20"/>
              </w:rPr>
              <w:t>/d、排放量5万m</w:t>
            </w:r>
            <w:r>
              <w:rPr>
                <w:rFonts w:ascii="Times New Roman" w:hAnsi="Times New Roman" w:eastAsia="宋体" w:cs="Times New Roman"/>
                <w:color w:val="000000" w:themeColor="text1"/>
                <w:spacing w:val="0"/>
                <w:kern w:val="2"/>
                <w:sz w:val="24"/>
                <w:szCs w:val="20"/>
                <w:vertAlign w:val="superscript"/>
              </w:rPr>
              <w:t>3</w:t>
            </w:r>
            <w:r>
              <w:rPr>
                <w:rFonts w:ascii="Times New Roman" w:hAnsi="Times New Roman" w:eastAsia="宋体" w:cs="Times New Roman"/>
                <w:color w:val="000000" w:themeColor="text1"/>
                <w:spacing w:val="0"/>
                <w:kern w:val="2"/>
                <w:sz w:val="24"/>
                <w:szCs w:val="20"/>
              </w:rPr>
              <w:t>/d。处理工艺采用“粗格栅+进水泵房+细格栅+精细格栅+曝气沉砂池+A/A/O+MBBR生物反应池+矩形周进周出二沉池+反硝化滤池+高效沉淀池+臭氧催化氧化池+V型滤池及紫外消毒池+次氯酸钠消毒”工艺。</w:t>
            </w:r>
            <w:r>
              <w:rPr>
                <w:rFonts w:hint="eastAsia" w:ascii="Times New Roman" w:hAnsi="Times New Roman" w:eastAsia="宋体" w:cs="Times New Roman"/>
                <w:color w:val="000000" w:themeColor="text1"/>
                <w:spacing w:val="0"/>
                <w:kern w:val="2"/>
                <w:sz w:val="24"/>
                <w:szCs w:val="20"/>
              </w:rPr>
              <w:t>本项目废水水量很小，污水处理厂有能力接纳本项目污水。</w:t>
            </w:r>
          </w:p>
          <w:p>
            <w:pPr>
              <w:adjustRightInd w:val="0"/>
              <w:snapToGrid w:val="0"/>
              <w:spacing w:line="360" w:lineRule="auto"/>
              <w:ind w:firstLine="480" w:firstLineChars="200"/>
              <w:rPr>
                <w:sz w:val="24"/>
              </w:rPr>
            </w:pPr>
            <w:r>
              <w:rPr>
                <w:rFonts w:hint="eastAsia"/>
                <w:sz w:val="24"/>
              </w:rPr>
              <w:t>该</w:t>
            </w:r>
            <w:r>
              <w:rPr>
                <w:sz w:val="24"/>
              </w:rPr>
              <w:t>项目不取地下水，不会对区域地下水水位等造成影响，项目可能对地下水造成影响的方式主要为污染物通过渗透方式进入地下水环境。采取全面防渗处理，可有效防止因污水渗漏引起的地下水污染。</w:t>
            </w:r>
          </w:p>
          <w:p>
            <w:pPr>
              <w:widowControl/>
              <w:tabs>
                <w:tab w:val="left" w:pos="0"/>
              </w:tabs>
              <w:spacing w:line="360" w:lineRule="auto"/>
              <w:ind w:firstLine="480" w:firstLineChars="200"/>
              <w:rPr>
                <w:rFonts w:ascii="黑体" w:hAnsi="黑体" w:eastAsia="黑体"/>
                <w:bCs/>
                <w:sz w:val="24"/>
                <w:szCs w:val="24"/>
              </w:rPr>
            </w:pPr>
            <w:r>
              <w:rPr>
                <w:rFonts w:hint="eastAsia" w:ascii="黑体" w:hAnsi="黑体" w:eastAsia="黑体"/>
                <w:bCs/>
                <w:sz w:val="24"/>
                <w:szCs w:val="24"/>
              </w:rPr>
              <w:t>三、声环境影响分析</w:t>
            </w:r>
          </w:p>
          <w:p>
            <w:pPr>
              <w:spacing w:line="360" w:lineRule="auto"/>
              <w:ind w:right="8" w:firstLine="470" w:firstLineChars="196"/>
              <w:rPr>
                <w:snapToGrid w:val="0"/>
                <w:kern w:val="0"/>
                <w:sz w:val="24"/>
                <w:szCs w:val="24"/>
              </w:rPr>
            </w:pPr>
            <w:r>
              <w:rPr>
                <w:sz w:val="24"/>
              </w:rPr>
              <w:t>项目营运后，</w:t>
            </w:r>
            <w:r>
              <w:rPr>
                <w:rFonts w:hint="eastAsia"/>
                <w:sz w:val="24"/>
              </w:rPr>
              <w:t>生产</w:t>
            </w:r>
            <w:r>
              <w:rPr>
                <w:rFonts w:hint="eastAsia"/>
                <w:snapToGrid w:val="0"/>
                <w:kern w:val="0"/>
                <w:sz w:val="24"/>
                <w:szCs w:val="24"/>
              </w:rPr>
              <w:t>设备均布置于车间内，</w:t>
            </w:r>
            <w:r>
              <w:rPr>
                <w:rFonts w:hint="eastAsia"/>
                <w:sz w:val="24"/>
              </w:rPr>
              <w:t>在合理布局的基础上，经消声、隔声及车间阻隔后，</w:t>
            </w:r>
            <w:r>
              <w:rPr>
                <w:sz w:val="24"/>
                <w:szCs w:val="24"/>
              </w:rPr>
              <w:t>厂界噪声满足</w:t>
            </w:r>
            <w:r>
              <w:rPr>
                <w:spacing w:val="-6"/>
                <w:sz w:val="24"/>
              </w:rPr>
              <w:t>《工业企业厂界环境噪声排放标准》（GB12348-2008）</w:t>
            </w:r>
            <w:r>
              <w:rPr>
                <w:rFonts w:hint="eastAsia"/>
                <w:spacing w:val="-6"/>
                <w:sz w:val="24"/>
              </w:rPr>
              <w:t>3</w:t>
            </w:r>
            <w:r>
              <w:rPr>
                <w:spacing w:val="-6"/>
                <w:sz w:val="24"/>
              </w:rPr>
              <w:t>类功能区标准</w:t>
            </w:r>
            <w:r>
              <w:rPr>
                <w:sz w:val="24"/>
              </w:rPr>
              <w:t>。项目</w:t>
            </w:r>
            <w:r>
              <w:rPr>
                <w:rFonts w:hint="eastAsia"/>
                <w:sz w:val="24"/>
              </w:rPr>
              <w:t>周边200m范围内没有声敏感保护目标，项目</w:t>
            </w:r>
            <w:r>
              <w:rPr>
                <w:sz w:val="24"/>
              </w:rPr>
              <w:t>营运期产生的噪声不会对</w:t>
            </w:r>
            <w:r>
              <w:rPr>
                <w:rFonts w:hint="eastAsia"/>
                <w:sz w:val="24"/>
              </w:rPr>
              <w:t>周边环境产生影响</w:t>
            </w:r>
            <w:r>
              <w:rPr>
                <w:sz w:val="24"/>
              </w:rPr>
              <w:t>。</w:t>
            </w:r>
          </w:p>
          <w:p>
            <w:pPr>
              <w:widowControl/>
              <w:tabs>
                <w:tab w:val="left" w:pos="0"/>
              </w:tabs>
              <w:spacing w:line="360" w:lineRule="auto"/>
              <w:ind w:firstLine="480" w:firstLineChars="200"/>
              <w:rPr>
                <w:rFonts w:ascii="黑体" w:hAnsi="黑体" w:eastAsia="黑体"/>
                <w:bCs/>
                <w:sz w:val="24"/>
                <w:szCs w:val="24"/>
              </w:rPr>
            </w:pPr>
            <w:r>
              <w:rPr>
                <w:rFonts w:hint="eastAsia" w:ascii="黑体" w:hAnsi="黑体" w:eastAsia="黑体"/>
                <w:bCs/>
                <w:sz w:val="24"/>
                <w:szCs w:val="24"/>
              </w:rPr>
              <w:t>四、固体废物环境影响分析</w:t>
            </w:r>
          </w:p>
          <w:p>
            <w:pPr>
              <w:pStyle w:val="83"/>
              <w:spacing w:line="360" w:lineRule="auto"/>
              <w:ind w:firstLine="480" w:firstLineChars="200"/>
              <w:rPr>
                <w:rFonts w:eastAsia="宋体"/>
                <w:spacing w:val="0"/>
                <w:szCs w:val="20"/>
              </w:rPr>
            </w:pPr>
            <w:r>
              <w:rPr>
                <w:rFonts w:eastAsia="宋体"/>
                <w:spacing w:val="0"/>
                <w:szCs w:val="20"/>
              </w:rPr>
              <w:t>项目产生的固体废物主要为</w:t>
            </w:r>
            <w:r>
              <w:rPr>
                <w:rFonts w:hint="eastAsia" w:eastAsia="宋体"/>
                <w:spacing w:val="0"/>
                <w:szCs w:val="20"/>
              </w:rPr>
              <w:t>一般工业固废和危险废物。</w:t>
            </w:r>
          </w:p>
          <w:p>
            <w:pPr>
              <w:pStyle w:val="83"/>
              <w:spacing w:line="360" w:lineRule="auto"/>
              <w:ind w:firstLine="480" w:firstLineChars="200"/>
              <w:rPr>
                <w:rFonts w:eastAsia="宋体"/>
                <w:spacing w:val="0"/>
                <w:szCs w:val="20"/>
              </w:rPr>
            </w:pPr>
            <w:r>
              <w:rPr>
                <w:rFonts w:hint="eastAsia" w:eastAsia="宋体"/>
                <w:spacing w:val="0"/>
                <w:szCs w:val="20"/>
              </w:rPr>
              <w:t>（1）一般工业固废</w:t>
            </w:r>
          </w:p>
          <w:p>
            <w:pPr>
              <w:adjustRightInd w:val="0"/>
              <w:spacing w:line="360" w:lineRule="auto"/>
              <w:ind w:firstLine="480" w:firstLineChars="200"/>
              <w:rPr>
                <w:sz w:val="24"/>
                <w:szCs w:val="24"/>
              </w:rPr>
            </w:pPr>
            <w:r>
              <w:rPr>
                <w:sz w:val="24"/>
                <w:szCs w:val="24"/>
              </w:rPr>
              <w:t>一般工业固废分类收集，临时堆存于车间内设置的专用储存场所</w:t>
            </w:r>
            <w:r>
              <w:rPr>
                <w:rFonts w:hint="eastAsia"/>
                <w:sz w:val="24"/>
                <w:szCs w:val="24"/>
              </w:rPr>
              <w:t>，</w:t>
            </w:r>
            <w:r>
              <w:rPr>
                <w:rFonts w:eastAsiaTheme="minorEastAsia"/>
                <w:sz w:val="24"/>
                <w:szCs w:val="24"/>
              </w:rPr>
              <w:t>由物资回收</w:t>
            </w:r>
            <w:r>
              <w:rPr>
                <w:rFonts w:hint="eastAsia" w:eastAsiaTheme="minorEastAsia"/>
                <w:sz w:val="24"/>
                <w:szCs w:val="24"/>
              </w:rPr>
              <w:t>公司回收</w:t>
            </w:r>
            <w:r>
              <w:rPr>
                <w:rFonts w:eastAsiaTheme="minorEastAsia"/>
                <w:sz w:val="24"/>
                <w:szCs w:val="24"/>
              </w:rPr>
              <w:t>综合利用</w:t>
            </w:r>
            <w:r>
              <w:rPr>
                <w:sz w:val="24"/>
                <w:szCs w:val="24"/>
              </w:rPr>
              <w:t>。</w:t>
            </w:r>
          </w:p>
          <w:p>
            <w:pPr>
              <w:adjustRightInd w:val="0"/>
              <w:spacing w:line="360" w:lineRule="auto"/>
              <w:ind w:firstLine="480" w:firstLineChars="200"/>
              <w:rPr>
                <w:sz w:val="24"/>
                <w:szCs w:val="24"/>
              </w:rPr>
            </w:pPr>
            <w:r>
              <w:rPr>
                <w:rFonts w:hint="eastAsia"/>
                <w:sz w:val="24"/>
                <w:szCs w:val="24"/>
              </w:rPr>
              <w:t>（2）危险废物</w:t>
            </w:r>
          </w:p>
          <w:p>
            <w:pPr>
              <w:adjustRightInd w:val="0"/>
              <w:spacing w:line="360" w:lineRule="auto"/>
              <w:ind w:firstLine="480" w:firstLineChars="200"/>
              <w:rPr>
                <w:sz w:val="24"/>
                <w:szCs w:val="24"/>
              </w:rPr>
            </w:pPr>
            <w:r>
              <w:rPr>
                <w:sz w:val="24"/>
                <w:szCs w:val="24"/>
              </w:rPr>
              <w:t>本项目产生的危险废物在厂内危险废物间暂存，委托有危废处置资质的单位统一清运处置。</w:t>
            </w:r>
          </w:p>
          <w:p>
            <w:pPr>
              <w:pStyle w:val="102"/>
              <w:adjustRightInd w:val="0"/>
              <w:spacing w:before="0" w:line="360" w:lineRule="auto"/>
              <w:ind w:firstLine="480"/>
              <w:rPr>
                <w:rFonts w:ascii="Times New Roman" w:hAnsi="Times New Roman" w:eastAsiaTheme="minorEastAsia"/>
              </w:rPr>
            </w:pPr>
            <w:r>
              <w:rPr>
                <w:rFonts w:ascii="Times New Roman" w:hAnsi="Times New Roman" w:eastAsiaTheme="minorEastAsia"/>
              </w:rPr>
              <w:t>危险废物储存、运输严格按照《危险废物贮存污染控制标准》（GB 18597-2001）和《危险废物污染防治技术政策》要求进行处置。采取的措施：</w:t>
            </w:r>
          </w:p>
          <w:p>
            <w:pPr>
              <w:pStyle w:val="83"/>
              <w:adjustRightInd w:val="0"/>
              <w:spacing w:line="360" w:lineRule="auto"/>
              <w:ind w:firstLine="480" w:firstLineChars="200"/>
              <w:rPr>
                <w:rFonts w:eastAsiaTheme="minorEastAsia"/>
                <w:color w:val="000000" w:themeColor="text1"/>
                <w:spacing w:val="0"/>
              </w:rPr>
            </w:pPr>
            <w:r>
              <w:rPr>
                <w:rFonts w:hint="eastAsia" w:ascii="宋体" w:hAnsi="宋体" w:eastAsia="宋体" w:cs="宋体"/>
                <w:color w:val="000000" w:themeColor="text1"/>
                <w:spacing w:val="0"/>
              </w:rPr>
              <w:t>①</w:t>
            </w:r>
            <w:r>
              <w:rPr>
                <w:rFonts w:eastAsiaTheme="minorEastAsia"/>
                <w:color w:val="000000" w:themeColor="text1"/>
                <w:spacing w:val="0"/>
              </w:rPr>
              <w:t>危险废物的收集和贮存</w:t>
            </w:r>
          </w:p>
          <w:p>
            <w:pPr>
              <w:pStyle w:val="83"/>
              <w:adjustRightInd w:val="0"/>
              <w:spacing w:line="360" w:lineRule="auto"/>
              <w:ind w:firstLine="480" w:firstLineChars="200"/>
              <w:rPr>
                <w:rFonts w:eastAsiaTheme="minorEastAsia"/>
                <w:color w:val="000000" w:themeColor="text1"/>
                <w:spacing w:val="0"/>
              </w:rPr>
            </w:pPr>
            <w:r>
              <w:rPr>
                <w:rFonts w:eastAsiaTheme="minorEastAsia"/>
                <w:color w:val="000000" w:themeColor="text1"/>
                <w:spacing w:val="0"/>
              </w:rPr>
              <w:t>根据危险废物的性质，用符合标准要求，且不易破损、变形、老化，并能有效地防止渗漏、扩散的专门容器分类收集储存。同时在装有危险废物的容器上贴上标签，详细标明危险废物的名称、重量、成分、特性以及发生泄漏、扩散污染事故时的应急措施和补救方法。</w:t>
            </w:r>
          </w:p>
          <w:p>
            <w:pPr>
              <w:pStyle w:val="83"/>
              <w:adjustRightInd w:val="0"/>
              <w:spacing w:line="360" w:lineRule="auto"/>
              <w:ind w:firstLine="480" w:firstLineChars="200"/>
              <w:rPr>
                <w:rFonts w:eastAsiaTheme="minorEastAsia"/>
                <w:color w:val="000000" w:themeColor="text1"/>
                <w:spacing w:val="0"/>
              </w:rPr>
            </w:pPr>
            <w:r>
              <w:rPr>
                <w:rFonts w:hint="eastAsia" w:ascii="宋体" w:hAnsi="宋体" w:eastAsia="宋体" w:cs="宋体"/>
                <w:color w:val="000000" w:themeColor="text1"/>
                <w:spacing w:val="0"/>
              </w:rPr>
              <w:t>②</w:t>
            </w:r>
            <w:r>
              <w:rPr>
                <w:rFonts w:eastAsiaTheme="minorEastAsia"/>
                <w:color w:val="000000" w:themeColor="text1"/>
                <w:spacing w:val="0"/>
              </w:rPr>
              <w:t>危险废物的转移及运输</w:t>
            </w:r>
          </w:p>
          <w:p>
            <w:pPr>
              <w:pStyle w:val="83"/>
              <w:adjustRightInd w:val="0"/>
              <w:spacing w:line="360" w:lineRule="auto"/>
              <w:ind w:firstLine="480" w:firstLineChars="200"/>
              <w:rPr>
                <w:rFonts w:eastAsiaTheme="minorEastAsia"/>
                <w:color w:val="000000" w:themeColor="text1"/>
                <w:spacing w:val="0"/>
              </w:rPr>
            </w:pPr>
            <w:r>
              <w:rPr>
                <w:rFonts w:eastAsiaTheme="minorEastAsia"/>
                <w:color w:val="000000" w:themeColor="text1"/>
                <w:spacing w:val="0"/>
              </w:rPr>
              <w:t>危险废物的转移应遵从《危险废物转移联单管理办法》及其他有关规定的要求，并禁止在转移过程中将危险废物排放至环境中。</w:t>
            </w:r>
          </w:p>
          <w:p>
            <w:pPr>
              <w:pStyle w:val="83"/>
              <w:adjustRightInd w:val="0"/>
              <w:spacing w:line="360" w:lineRule="auto"/>
              <w:ind w:firstLine="480" w:firstLineChars="200"/>
              <w:rPr>
                <w:rFonts w:eastAsiaTheme="minorEastAsia"/>
                <w:color w:val="000000" w:themeColor="text1"/>
                <w:spacing w:val="0"/>
              </w:rPr>
            </w:pPr>
            <w:r>
              <w:rPr>
                <w:rFonts w:eastAsiaTheme="minorEastAsia"/>
                <w:color w:val="000000" w:themeColor="text1"/>
                <w:spacing w:val="0"/>
              </w:rPr>
              <w:t>建设单位可与危废收集处置公司共同研究危险废物运输的有关事宜，确保危险废物的运输安全可靠，减少或避免运输过程中的二次污染和可能造成的环境风险。</w:t>
            </w:r>
          </w:p>
          <w:p>
            <w:pPr>
              <w:pStyle w:val="61"/>
              <w:shd w:val="clear" w:color="auto" w:fill="auto"/>
              <w:spacing w:before="0" w:line="360" w:lineRule="auto"/>
              <w:ind w:left="20" w:firstLine="500"/>
              <w:jc w:val="both"/>
              <w:rPr>
                <w:rFonts w:ascii="Times New Roman" w:hAnsi="Times New Roman" w:eastAsia="宋体" w:cs="Times New Roman"/>
                <w:spacing w:val="0"/>
                <w:kern w:val="2"/>
                <w:sz w:val="24"/>
                <w:szCs w:val="20"/>
              </w:rPr>
            </w:pPr>
            <w:r>
              <w:rPr>
                <w:rFonts w:ascii="Times New Roman" w:hAnsi="Times New Roman" w:eastAsia="宋体" w:cs="Times New Roman"/>
                <w:spacing w:val="0"/>
                <w:kern w:val="2"/>
                <w:sz w:val="24"/>
                <w:szCs w:val="20"/>
              </w:rPr>
              <w:t>因此，</w:t>
            </w:r>
            <w:r>
              <w:rPr>
                <w:rFonts w:hint="eastAsia" w:ascii="Times New Roman" w:hAnsi="Times New Roman" w:eastAsia="宋体" w:cs="Times New Roman"/>
                <w:spacing w:val="0"/>
                <w:kern w:val="2"/>
                <w:sz w:val="24"/>
                <w:szCs w:val="20"/>
              </w:rPr>
              <w:t>通过采取措施</w:t>
            </w:r>
            <w:r>
              <w:rPr>
                <w:rFonts w:ascii="Times New Roman" w:hAnsi="Times New Roman" w:eastAsia="宋体" w:cs="Times New Roman"/>
                <w:spacing w:val="0"/>
                <w:kern w:val="2"/>
                <w:sz w:val="24"/>
                <w:szCs w:val="20"/>
              </w:rPr>
              <w:t>拟建项目固体废物处置方式可行，对周围环境影响较小。</w:t>
            </w:r>
          </w:p>
          <w:p>
            <w:pPr>
              <w:widowControl/>
              <w:tabs>
                <w:tab w:val="left" w:pos="0"/>
              </w:tabs>
              <w:spacing w:line="360" w:lineRule="auto"/>
              <w:ind w:firstLine="480" w:firstLineChars="200"/>
              <w:rPr>
                <w:rFonts w:ascii="黑体" w:hAnsi="黑体" w:eastAsia="黑体"/>
                <w:bCs/>
                <w:sz w:val="24"/>
                <w:szCs w:val="24"/>
              </w:rPr>
            </w:pPr>
            <w:bookmarkStart w:id="3" w:name="bookmark21"/>
            <w:r>
              <w:rPr>
                <w:rFonts w:hint="eastAsia" w:ascii="黑体" w:hAnsi="黑体" w:eastAsia="黑体"/>
                <w:bCs/>
                <w:sz w:val="24"/>
                <w:szCs w:val="24"/>
              </w:rPr>
              <w:t>五、清洁生产</w:t>
            </w:r>
          </w:p>
          <w:p>
            <w:pPr>
              <w:pStyle w:val="61"/>
              <w:shd w:val="clear" w:color="auto" w:fill="auto"/>
              <w:spacing w:before="0" w:line="360" w:lineRule="auto"/>
              <w:ind w:left="20" w:firstLine="500"/>
              <w:jc w:val="both"/>
              <w:rPr>
                <w:rFonts w:ascii="Times New Roman" w:hAnsi="Times New Roman" w:eastAsia="宋体" w:cs="Times New Roman"/>
                <w:spacing w:val="0"/>
                <w:kern w:val="2"/>
                <w:sz w:val="24"/>
                <w:szCs w:val="20"/>
              </w:rPr>
            </w:pPr>
            <w:r>
              <w:rPr>
                <w:rFonts w:hint="eastAsia" w:ascii="Times New Roman" w:hAnsi="Times New Roman" w:eastAsia="宋体" w:cs="Times New Roman"/>
                <w:spacing w:val="0"/>
                <w:kern w:val="2"/>
                <w:sz w:val="24"/>
                <w:szCs w:val="20"/>
              </w:rPr>
              <w:t>项目废气采取“活性炭吸附”处理达标后通过配套15m高排气筒排放；一般工业固废回收综合利用，危险废物</w:t>
            </w:r>
            <w:r>
              <w:rPr>
                <w:rFonts w:hint="eastAsia" w:ascii="Times New Roman" w:hAnsi="Times New Roman" w:eastAsia="宋体" w:cs="Times New Roman"/>
                <w:color w:val="000000" w:themeColor="text1"/>
                <w:spacing w:val="0"/>
                <w:kern w:val="2"/>
                <w:sz w:val="24"/>
                <w:szCs w:val="20"/>
              </w:rPr>
              <w:t>严格按照《危险废物储存污染控制标准》（GB18597-2001）及修改单要求进行处置</w:t>
            </w:r>
            <w:r>
              <w:rPr>
                <w:rFonts w:hint="eastAsia" w:ascii="Times New Roman" w:hAnsi="Times New Roman" w:eastAsia="宋体" w:cs="Times New Roman"/>
                <w:spacing w:val="0"/>
                <w:kern w:val="2"/>
                <w:sz w:val="24"/>
                <w:szCs w:val="20"/>
              </w:rPr>
              <w:t>；</w:t>
            </w:r>
            <w:r>
              <w:rPr>
                <w:rFonts w:hint="eastAsia" w:ascii="Times New Roman" w:hAnsi="Times New Roman" w:eastAsia="宋体" w:cs="Times New Roman"/>
                <w:color w:val="000000" w:themeColor="text1"/>
                <w:spacing w:val="0"/>
                <w:kern w:val="2"/>
                <w:sz w:val="24"/>
                <w:szCs w:val="20"/>
              </w:rPr>
              <w:t>室内设备在合理布局的基础上采取底部减震、隔声、吸声等措施，能满足清洁生产要求</w:t>
            </w:r>
            <w:r>
              <w:rPr>
                <w:rFonts w:hint="eastAsia" w:ascii="Times New Roman" w:hAnsi="Times New Roman" w:eastAsia="宋体" w:cs="Times New Roman"/>
                <w:spacing w:val="0"/>
                <w:kern w:val="2"/>
                <w:sz w:val="24"/>
                <w:szCs w:val="20"/>
              </w:rPr>
              <w:t>。</w:t>
            </w:r>
          </w:p>
          <w:p>
            <w:pPr>
              <w:widowControl/>
              <w:tabs>
                <w:tab w:val="left" w:pos="0"/>
              </w:tabs>
              <w:spacing w:line="360" w:lineRule="auto"/>
              <w:ind w:firstLine="480" w:firstLineChars="200"/>
              <w:rPr>
                <w:rFonts w:ascii="黑体" w:hAnsi="黑体" w:eastAsia="黑体"/>
                <w:bCs/>
                <w:sz w:val="24"/>
                <w:szCs w:val="24"/>
              </w:rPr>
            </w:pPr>
            <w:r>
              <w:rPr>
                <w:rFonts w:hint="eastAsia" w:ascii="黑体" w:hAnsi="黑体" w:eastAsia="黑体"/>
                <w:bCs/>
                <w:sz w:val="24"/>
                <w:szCs w:val="24"/>
              </w:rPr>
              <w:t>六</w:t>
            </w:r>
            <w:r>
              <w:rPr>
                <w:rFonts w:ascii="黑体" w:hAnsi="黑体" w:eastAsia="黑体"/>
                <w:bCs/>
                <w:sz w:val="24"/>
                <w:szCs w:val="24"/>
              </w:rPr>
              <w:t>、环境风险分析</w:t>
            </w:r>
            <w:bookmarkEnd w:id="3"/>
          </w:p>
          <w:p>
            <w:pPr>
              <w:pStyle w:val="61"/>
              <w:shd w:val="clear" w:color="auto" w:fill="auto"/>
              <w:spacing w:before="0" w:line="360" w:lineRule="auto"/>
              <w:ind w:left="20" w:firstLine="500"/>
              <w:jc w:val="both"/>
              <w:rPr>
                <w:rFonts w:ascii="Times New Roman" w:hAnsi="Times New Roman" w:cs="Times New Roman" w:eastAsiaTheme="minorEastAsia"/>
                <w:color w:val="000000" w:themeColor="text1"/>
                <w:spacing w:val="0"/>
                <w:kern w:val="2"/>
                <w:sz w:val="24"/>
                <w:szCs w:val="20"/>
              </w:rPr>
            </w:pPr>
            <w:r>
              <w:rPr>
                <w:rFonts w:ascii="Times New Roman" w:hAnsi="Times New Roman" w:cs="Times New Roman" w:eastAsiaTheme="minorEastAsia"/>
                <w:color w:val="000000" w:themeColor="text1"/>
                <w:spacing w:val="0"/>
                <w:kern w:val="2"/>
                <w:sz w:val="24"/>
                <w:szCs w:val="20"/>
              </w:rPr>
              <w:t>按照</w:t>
            </w:r>
            <w:r>
              <w:rPr>
                <w:rFonts w:hint="eastAsia" w:ascii="Times New Roman" w:hAnsi="Times New Roman" w:cs="Times New Roman" w:eastAsiaTheme="minorEastAsia"/>
                <w:color w:val="000000" w:themeColor="text1"/>
                <w:spacing w:val="0"/>
                <w:kern w:val="2"/>
                <w:sz w:val="24"/>
                <w:szCs w:val="20"/>
              </w:rPr>
              <w:t>《建设项目环境风险评价技术导则》（HJ169-2018）</w:t>
            </w:r>
            <w:r>
              <w:rPr>
                <w:rFonts w:ascii="Times New Roman" w:hAnsi="Times New Roman" w:cs="Times New Roman" w:eastAsiaTheme="minorEastAsia"/>
                <w:color w:val="000000" w:themeColor="text1"/>
                <w:spacing w:val="0"/>
                <w:kern w:val="2"/>
                <w:sz w:val="24"/>
                <w:szCs w:val="20"/>
              </w:rPr>
              <w:t>和《关于进一步加强环境影响评价管理防范环境风险的通知》（环发[2012]77号）的规定，对项目的环境风险源识别、环境风险预测、选址及敏感目标、防范措施等做出评价，项目不存在重大的环境风险。</w:t>
            </w:r>
          </w:p>
          <w:p>
            <w:pPr>
              <w:spacing w:line="360" w:lineRule="auto"/>
              <w:ind w:firstLine="480" w:firstLineChars="200"/>
              <w:rPr>
                <w:rFonts w:eastAsiaTheme="minorEastAsia"/>
                <w:color w:val="000000" w:themeColor="text1"/>
                <w:sz w:val="24"/>
              </w:rPr>
            </w:pPr>
            <w:r>
              <w:rPr>
                <w:rFonts w:eastAsiaTheme="minorEastAsia"/>
                <w:color w:val="000000" w:themeColor="text1"/>
                <w:sz w:val="24"/>
              </w:rPr>
              <w:t>项目</w:t>
            </w:r>
            <w:r>
              <w:rPr>
                <w:rFonts w:hint="eastAsia" w:eastAsiaTheme="minorEastAsia"/>
                <w:color w:val="000000" w:themeColor="text1"/>
                <w:sz w:val="24"/>
              </w:rPr>
              <w:t>拟</w:t>
            </w:r>
            <w:r>
              <w:rPr>
                <w:rFonts w:eastAsiaTheme="minorEastAsia"/>
                <w:color w:val="000000" w:themeColor="text1"/>
                <w:sz w:val="24"/>
              </w:rPr>
              <w:t>采取以下风险事故防范措施：</w:t>
            </w:r>
          </w:p>
          <w:p>
            <w:pPr>
              <w:pStyle w:val="61"/>
              <w:shd w:val="clear" w:color="auto" w:fill="auto"/>
              <w:spacing w:before="0" w:line="360" w:lineRule="auto"/>
              <w:ind w:left="20" w:firstLine="500"/>
              <w:jc w:val="both"/>
              <w:rPr>
                <w:rFonts w:ascii="Times New Roman" w:hAnsi="Times New Roman" w:eastAsia="宋体" w:cs="Times New Roman"/>
                <w:spacing w:val="0"/>
                <w:kern w:val="2"/>
                <w:sz w:val="24"/>
                <w:szCs w:val="20"/>
              </w:rPr>
            </w:pPr>
            <w:r>
              <w:rPr>
                <w:rFonts w:ascii="Times New Roman" w:hAnsi="Times New Roman" w:eastAsia="宋体" w:cs="Times New Roman"/>
                <w:spacing w:val="0"/>
                <w:kern w:val="2"/>
                <w:sz w:val="24"/>
                <w:szCs w:val="20"/>
              </w:rPr>
              <w:t>（1）制定完善的安全、防火制度，严格落实各项防火和用电安全措施</w:t>
            </w:r>
            <w:r>
              <w:rPr>
                <w:rFonts w:hint="eastAsia" w:ascii="Times New Roman" w:hAnsi="Times New Roman" w:eastAsia="宋体" w:cs="Times New Roman"/>
                <w:spacing w:val="0"/>
                <w:kern w:val="2"/>
                <w:sz w:val="24"/>
                <w:szCs w:val="20"/>
              </w:rPr>
              <w:t>；</w:t>
            </w:r>
            <w:r>
              <w:rPr>
                <w:rFonts w:ascii="Times New Roman" w:hAnsi="Times New Roman" w:eastAsia="宋体" w:cs="Times New Roman"/>
                <w:spacing w:val="0"/>
                <w:kern w:val="2"/>
                <w:sz w:val="24"/>
                <w:szCs w:val="20"/>
              </w:rPr>
              <w:t xml:space="preserve"> </w:t>
            </w:r>
          </w:p>
          <w:p>
            <w:pPr>
              <w:pStyle w:val="61"/>
              <w:shd w:val="clear" w:color="auto" w:fill="auto"/>
              <w:spacing w:before="0" w:line="360" w:lineRule="auto"/>
              <w:ind w:left="20" w:firstLine="500"/>
              <w:jc w:val="both"/>
              <w:rPr>
                <w:rFonts w:ascii="Times New Roman" w:hAnsi="Times New Roman" w:eastAsia="宋体" w:cs="Times New Roman"/>
                <w:spacing w:val="0"/>
                <w:kern w:val="2"/>
                <w:sz w:val="24"/>
                <w:szCs w:val="20"/>
              </w:rPr>
            </w:pPr>
            <w:r>
              <w:rPr>
                <w:rFonts w:hint="eastAsia" w:ascii="Times New Roman" w:hAnsi="Times New Roman" w:eastAsia="宋体" w:cs="Times New Roman"/>
                <w:spacing w:val="0"/>
                <w:kern w:val="2"/>
                <w:sz w:val="24"/>
                <w:szCs w:val="20"/>
              </w:rPr>
              <w:t>（2）加强管理，严格各项操作规程及制度，对设备进行定期检查，及时维护、维修，避免事故性排放，避免对周边居民生活环境产生影响。</w:t>
            </w:r>
          </w:p>
          <w:p>
            <w:pPr>
              <w:widowControl/>
              <w:spacing w:line="360" w:lineRule="auto"/>
              <w:ind w:firstLine="480" w:firstLineChars="200"/>
              <w:rPr>
                <w:rFonts w:ascii="黑体" w:hAnsi="黑体" w:eastAsia="黑体"/>
                <w:bCs/>
                <w:sz w:val="24"/>
                <w:szCs w:val="24"/>
              </w:rPr>
            </w:pPr>
            <w:r>
              <w:rPr>
                <w:rFonts w:hint="eastAsia" w:ascii="黑体" w:hAnsi="黑体" w:eastAsia="黑体"/>
                <w:bCs/>
                <w:sz w:val="24"/>
                <w:szCs w:val="24"/>
              </w:rPr>
              <w:t>七、环境监测计划</w:t>
            </w:r>
          </w:p>
          <w:p>
            <w:pPr>
              <w:spacing w:line="360" w:lineRule="auto"/>
              <w:ind w:firstLine="480" w:firstLineChars="200"/>
              <w:rPr>
                <w:rFonts w:hAnsi="宋体"/>
                <w:sz w:val="24"/>
              </w:rPr>
            </w:pPr>
            <w:r>
              <w:rPr>
                <w:rFonts w:hint="eastAsia" w:hAnsi="宋体"/>
                <w:sz w:val="24"/>
              </w:rPr>
              <w:t>环境监测是工业污染源监督管理的重要组成部分，是国家和行业了解并掌握排污状况和排污趋势的手段。监测数据是执行环境保护法规、标准，进行环境管理和污染防治的依据。因此，应建立并完善环境监测制度。</w:t>
            </w:r>
          </w:p>
          <w:p>
            <w:pPr>
              <w:spacing w:line="360" w:lineRule="auto"/>
              <w:ind w:firstLine="480" w:firstLineChars="200"/>
              <w:rPr>
                <w:sz w:val="24"/>
              </w:rPr>
            </w:pPr>
            <w:r>
              <w:rPr>
                <w:rFonts w:hint="eastAsia" w:hAnsi="宋体"/>
                <w:sz w:val="24"/>
              </w:rPr>
              <w:t>按照《</w:t>
            </w:r>
            <w:r>
              <w:rPr>
                <w:rFonts w:hint="eastAsia" w:asciiTheme="minorEastAsia" w:hAnsiTheme="minorEastAsia" w:eastAsiaTheme="minorEastAsia"/>
                <w:bCs/>
                <w:sz w:val="24"/>
                <w:szCs w:val="24"/>
              </w:rPr>
              <w:t>排污单位自行监测技术指南 总则</w:t>
            </w:r>
            <w:r>
              <w:rPr>
                <w:rFonts w:hint="eastAsia" w:hAnsi="宋体"/>
                <w:sz w:val="24"/>
              </w:rPr>
              <w:t>》（</w:t>
            </w:r>
            <w:r>
              <w:rPr>
                <w:rFonts w:hAnsi="宋体"/>
                <w:sz w:val="24"/>
              </w:rPr>
              <w:t>HJ819-2017</w:t>
            </w:r>
            <w:r>
              <w:rPr>
                <w:rFonts w:hint="eastAsia" w:hAnsi="宋体"/>
                <w:sz w:val="24"/>
              </w:rPr>
              <w:t>）等要求，监测内容分别见表</w:t>
            </w:r>
            <w:r>
              <w:rPr>
                <w:rFonts w:hint="eastAsia"/>
                <w:sz w:val="24"/>
              </w:rPr>
              <w:t>24</w:t>
            </w:r>
            <w:r>
              <w:rPr>
                <w:rFonts w:hint="eastAsia" w:hAnsi="宋体"/>
                <w:sz w:val="24"/>
              </w:rPr>
              <w:t>。</w:t>
            </w:r>
          </w:p>
          <w:p>
            <w:pPr>
              <w:widowControl/>
              <w:spacing w:line="276" w:lineRule="auto"/>
              <w:ind w:firstLine="600" w:firstLineChars="200"/>
              <w:jc w:val="center"/>
              <w:rPr>
                <w:rFonts w:eastAsia="黑体" w:cs="黑体"/>
                <w:sz w:val="24"/>
                <w:szCs w:val="24"/>
              </w:rPr>
            </w:pPr>
            <w:r>
              <w:rPr>
                <w:rFonts w:eastAsia="黑体"/>
                <w:bCs/>
              </w:rPr>
              <w:br w:type="page"/>
            </w:r>
            <w:r>
              <w:rPr>
                <w:rFonts w:hint="eastAsia" w:eastAsia="黑体" w:cs="黑体"/>
                <w:sz w:val="24"/>
                <w:szCs w:val="24"/>
              </w:rPr>
              <w:t>表24</w:t>
            </w:r>
            <w:r>
              <w:rPr>
                <w:rFonts w:eastAsia="黑体" w:cs="黑体"/>
                <w:sz w:val="24"/>
                <w:szCs w:val="24"/>
              </w:rPr>
              <w:t xml:space="preserve"> </w:t>
            </w:r>
            <w:r>
              <w:rPr>
                <w:rFonts w:hint="eastAsia" w:eastAsia="黑体" w:cs="黑体"/>
                <w:sz w:val="24"/>
                <w:szCs w:val="24"/>
              </w:rPr>
              <w:t>污染源主要监测计划表</w:t>
            </w:r>
          </w:p>
          <w:tbl>
            <w:tblPr>
              <w:tblStyle w:val="27"/>
              <w:tblW w:w="8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6"/>
              <w:gridCol w:w="1943"/>
              <w:gridCol w:w="3018"/>
              <w:gridCol w:w="2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dxa"/>
                  <w:vAlign w:val="center"/>
                </w:tcPr>
                <w:p>
                  <w:pPr>
                    <w:widowControl/>
                    <w:spacing w:line="276" w:lineRule="auto"/>
                    <w:jc w:val="center"/>
                    <w:rPr>
                      <w:sz w:val="21"/>
                      <w:szCs w:val="21"/>
                    </w:rPr>
                  </w:pPr>
                  <w:r>
                    <w:rPr>
                      <w:rFonts w:hint="eastAsia"/>
                      <w:sz w:val="21"/>
                      <w:szCs w:val="21"/>
                    </w:rPr>
                    <w:t>类别</w:t>
                  </w:r>
                </w:p>
              </w:tc>
              <w:tc>
                <w:tcPr>
                  <w:tcW w:w="1943" w:type="dxa"/>
                  <w:vAlign w:val="center"/>
                </w:tcPr>
                <w:p>
                  <w:pPr>
                    <w:widowControl/>
                    <w:spacing w:line="276" w:lineRule="auto"/>
                    <w:jc w:val="center"/>
                    <w:rPr>
                      <w:sz w:val="21"/>
                      <w:szCs w:val="21"/>
                    </w:rPr>
                  </w:pPr>
                  <w:r>
                    <w:rPr>
                      <w:rFonts w:hint="eastAsia"/>
                      <w:sz w:val="21"/>
                      <w:szCs w:val="21"/>
                    </w:rPr>
                    <w:t>监测点位</w:t>
                  </w:r>
                </w:p>
              </w:tc>
              <w:tc>
                <w:tcPr>
                  <w:tcW w:w="3018" w:type="dxa"/>
                  <w:vAlign w:val="center"/>
                </w:tcPr>
                <w:p>
                  <w:pPr>
                    <w:widowControl/>
                    <w:spacing w:line="276" w:lineRule="auto"/>
                    <w:jc w:val="center"/>
                    <w:rPr>
                      <w:sz w:val="21"/>
                      <w:szCs w:val="21"/>
                    </w:rPr>
                  </w:pPr>
                  <w:r>
                    <w:rPr>
                      <w:rFonts w:hint="eastAsia"/>
                      <w:sz w:val="21"/>
                      <w:szCs w:val="21"/>
                    </w:rPr>
                    <w:t>监测项目</w:t>
                  </w:r>
                </w:p>
              </w:tc>
              <w:tc>
                <w:tcPr>
                  <w:tcW w:w="2301" w:type="dxa"/>
                  <w:vAlign w:val="center"/>
                </w:tcPr>
                <w:p>
                  <w:pPr>
                    <w:widowControl/>
                    <w:spacing w:line="276" w:lineRule="auto"/>
                    <w:jc w:val="center"/>
                    <w:rPr>
                      <w:sz w:val="21"/>
                      <w:szCs w:val="21"/>
                    </w:rPr>
                  </w:pPr>
                  <w:r>
                    <w:rPr>
                      <w:rFonts w:hint="eastAsia"/>
                      <w:sz w:val="21"/>
                      <w:szCs w:val="21"/>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dxa"/>
                  <w:vMerge w:val="restart"/>
                  <w:vAlign w:val="center"/>
                </w:tcPr>
                <w:p>
                  <w:pPr>
                    <w:widowControl/>
                    <w:spacing w:line="276" w:lineRule="auto"/>
                    <w:jc w:val="center"/>
                    <w:rPr>
                      <w:sz w:val="21"/>
                      <w:szCs w:val="21"/>
                    </w:rPr>
                  </w:pPr>
                  <w:r>
                    <w:rPr>
                      <w:rFonts w:hint="eastAsia"/>
                      <w:sz w:val="21"/>
                      <w:szCs w:val="21"/>
                    </w:rPr>
                    <w:t>废气</w:t>
                  </w:r>
                </w:p>
              </w:tc>
              <w:tc>
                <w:tcPr>
                  <w:tcW w:w="1943" w:type="dxa"/>
                  <w:vAlign w:val="center"/>
                </w:tcPr>
                <w:p>
                  <w:pPr>
                    <w:widowControl/>
                    <w:spacing w:line="276" w:lineRule="auto"/>
                    <w:jc w:val="center"/>
                    <w:rPr>
                      <w:sz w:val="21"/>
                      <w:szCs w:val="21"/>
                    </w:rPr>
                  </w:pPr>
                  <w:r>
                    <w:rPr>
                      <w:rFonts w:hint="eastAsia"/>
                      <w:sz w:val="21"/>
                      <w:szCs w:val="21"/>
                    </w:rPr>
                    <w:t>P1</w:t>
                  </w:r>
                </w:p>
              </w:tc>
              <w:tc>
                <w:tcPr>
                  <w:tcW w:w="3018" w:type="dxa"/>
                  <w:vAlign w:val="center"/>
                </w:tcPr>
                <w:p>
                  <w:pPr>
                    <w:widowControl/>
                    <w:spacing w:line="276" w:lineRule="auto"/>
                    <w:jc w:val="center"/>
                    <w:rPr>
                      <w:sz w:val="21"/>
                      <w:szCs w:val="21"/>
                    </w:rPr>
                  </w:pPr>
                  <w:r>
                    <w:rPr>
                      <w:rFonts w:hint="eastAsia"/>
                      <w:sz w:val="21"/>
                      <w:szCs w:val="21"/>
                    </w:rPr>
                    <w:t>VOCs</w:t>
                  </w:r>
                </w:p>
              </w:tc>
              <w:tc>
                <w:tcPr>
                  <w:tcW w:w="2301" w:type="dxa"/>
                  <w:vAlign w:val="center"/>
                </w:tcPr>
                <w:p>
                  <w:pPr>
                    <w:widowControl/>
                    <w:spacing w:line="276" w:lineRule="auto"/>
                    <w:jc w:val="center"/>
                    <w:rPr>
                      <w:sz w:val="21"/>
                      <w:szCs w:val="21"/>
                    </w:rPr>
                  </w:pPr>
                  <w:r>
                    <w:rPr>
                      <w:rFonts w:hint="eastAsia"/>
                      <w:sz w:val="21"/>
                      <w:szCs w:val="21"/>
                    </w:rPr>
                    <w:t>每年一次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dxa"/>
                  <w:vMerge w:val="continue"/>
                  <w:vAlign w:val="center"/>
                </w:tcPr>
                <w:p>
                  <w:pPr>
                    <w:widowControl/>
                    <w:spacing w:line="276" w:lineRule="auto"/>
                    <w:jc w:val="center"/>
                    <w:rPr>
                      <w:sz w:val="21"/>
                      <w:szCs w:val="21"/>
                    </w:rPr>
                  </w:pPr>
                </w:p>
              </w:tc>
              <w:tc>
                <w:tcPr>
                  <w:tcW w:w="1943" w:type="dxa"/>
                  <w:vAlign w:val="center"/>
                </w:tcPr>
                <w:p>
                  <w:pPr>
                    <w:widowControl/>
                    <w:spacing w:line="276" w:lineRule="auto"/>
                    <w:jc w:val="center"/>
                    <w:rPr>
                      <w:sz w:val="21"/>
                      <w:szCs w:val="21"/>
                    </w:rPr>
                  </w:pPr>
                  <w:r>
                    <w:rPr>
                      <w:rFonts w:hint="eastAsia"/>
                      <w:sz w:val="21"/>
                      <w:szCs w:val="21"/>
                    </w:rPr>
                    <w:t>厂界处</w:t>
                  </w:r>
                </w:p>
              </w:tc>
              <w:tc>
                <w:tcPr>
                  <w:tcW w:w="3018" w:type="dxa"/>
                  <w:vAlign w:val="center"/>
                </w:tcPr>
                <w:p>
                  <w:pPr>
                    <w:widowControl/>
                    <w:spacing w:line="276" w:lineRule="auto"/>
                    <w:jc w:val="center"/>
                    <w:rPr>
                      <w:sz w:val="21"/>
                      <w:szCs w:val="21"/>
                    </w:rPr>
                  </w:pPr>
                  <w:r>
                    <w:rPr>
                      <w:rFonts w:hint="eastAsia"/>
                      <w:sz w:val="21"/>
                      <w:szCs w:val="21"/>
                    </w:rPr>
                    <w:t>VOCs</w:t>
                  </w:r>
                </w:p>
              </w:tc>
              <w:tc>
                <w:tcPr>
                  <w:tcW w:w="2301" w:type="dxa"/>
                  <w:vAlign w:val="center"/>
                </w:tcPr>
                <w:p>
                  <w:pPr>
                    <w:widowControl/>
                    <w:spacing w:line="276" w:lineRule="auto"/>
                    <w:jc w:val="center"/>
                    <w:rPr>
                      <w:sz w:val="21"/>
                      <w:szCs w:val="21"/>
                    </w:rPr>
                  </w:pPr>
                  <w:r>
                    <w:rPr>
                      <w:rFonts w:hint="eastAsia"/>
                      <w:sz w:val="21"/>
                      <w:szCs w:val="21"/>
                    </w:rPr>
                    <w:t>每半年一次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dxa"/>
                  <w:vAlign w:val="center"/>
                </w:tcPr>
                <w:p>
                  <w:pPr>
                    <w:widowControl/>
                    <w:spacing w:line="276" w:lineRule="auto"/>
                    <w:jc w:val="center"/>
                    <w:rPr>
                      <w:sz w:val="21"/>
                      <w:szCs w:val="21"/>
                    </w:rPr>
                  </w:pPr>
                  <w:r>
                    <w:rPr>
                      <w:rFonts w:hint="eastAsia"/>
                      <w:sz w:val="21"/>
                      <w:szCs w:val="21"/>
                    </w:rPr>
                    <w:t>噪声</w:t>
                  </w:r>
                </w:p>
              </w:tc>
              <w:tc>
                <w:tcPr>
                  <w:tcW w:w="1943" w:type="dxa"/>
                  <w:vAlign w:val="center"/>
                </w:tcPr>
                <w:p>
                  <w:pPr>
                    <w:widowControl/>
                    <w:spacing w:line="276" w:lineRule="auto"/>
                    <w:jc w:val="center"/>
                    <w:rPr>
                      <w:sz w:val="21"/>
                      <w:szCs w:val="21"/>
                    </w:rPr>
                  </w:pPr>
                  <w:r>
                    <w:rPr>
                      <w:rFonts w:hint="eastAsia"/>
                      <w:sz w:val="21"/>
                      <w:szCs w:val="21"/>
                    </w:rPr>
                    <w:t>厂界外1m处</w:t>
                  </w:r>
                </w:p>
              </w:tc>
              <w:tc>
                <w:tcPr>
                  <w:tcW w:w="3018" w:type="dxa"/>
                  <w:vAlign w:val="center"/>
                </w:tcPr>
                <w:p>
                  <w:pPr>
                    <w:widowControl/>
                    <w:spacing w:line="276" w:lineRule="auto"/>
                    <w:jc w:val="center"/>
                    <w:rPr>
                      <w:sz w:val="21"/>
                      <w:szCs w:val="21"/>
                    </w:rPr>
                  </w:pPr>
                  <w:r>
                    <w:rPr>
                      <w:sz w:val="21"/>
                      <w:szCs w:val="21"/>
                    </w:rPr>
                    <w:t>Leq(A)</w:t>
                  </w:r>
                </w:p>
              </w:tc>
              <w:tc>
                <w:tcPr>
                  <w:tcW w:w="2301" w:type="dxa"/>
                  <w:vAlign w:val="center"/>
                </w:tcPr>
                <w:p>
                  <w:pPr>
                    <w:widowControl/>
                    <w:spacing w:line="276" w:lineRule="auto"/>
                    <w:jc w:val="center"/>
                    <w:rPr>
                      <w:sz w:val="21"/>
                      <w:szCs w:val="21"/>
                    </w:rPr>
                  </w:pPr>
                  <w:r>
                    <w:rPr>
                      <w:rFonts w:hint="eastAsia"/>
                      <w:sz w:val="21"/>
                      <w:szCs w:val="21"/>
                    </w:rPr>
                    <w:t>每季度一次，每天昼夜间各监测一次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dxa"/>
                  <w:vAlign w:val="center"/>
                </w:tcPr>
                <w:p>
                  <w:pPr>
                    <w:widowControl/>
                    <w:spacing w:line="276" w:lineRule="auto"/>
                    <w:jc w:val="center"/>
                    <w:rPr>
                      <w:sz w:val="21"/>
                      <w:szCs w:val="21"/>
                    </w:rPr>
                  </w:pPr>
                  <w:r>
                    <w:rPr>
                      <w:rFonts w:hint="eastAsia"/>
                      <w:sz w:val="21"/>
                      <w:szCs w:val="21"/>
                    </w:rPr>
                    <w:t>固废</w:t>
                  </w:r>
                </w:p>
              </w:tc>
              <w:tc>
                <w:tcPr>
                  <w:tcW w:w="1943" w:type="dxa"/>
                  <w:vAlign w:val="center"/>
                </w:tcPr>
                <w:p>
                  <w:pPr>
                    <w:widowControl/>
                    <w:spacing w:line="276" w:lineRule="auto"/>
                    <w:jc w:val="center"/>
                    <w:rPr>
                      <w:sz w:val="21"/>
                      <w:szCs w:val="21"/>
                    </w:rPr>
                  </w:pPr>
                  <w:r>
                    <w:rPr>
                      <w:rFonts w:hint="eastAsia"/>
                      <w:sz w:val="21"/>
                      <w:szCs w:val="21"/>
                    </w:rPr>
                    <w:t>统计各类固废量</w:t>
                  </w:r>
                </w:p>
              </w:tc>
              <w:tc>
                <w:tcPr>
                  <w:tcW w:w="3018" w:type="dxa"/>
                  <w:vAlign w:val="center"/>
                </w:tcPr>
                <w:p>
                  <w:pPr>
                    <w:widowControl/>
                    <w:spacing w:line="276" w:lineRule="auto"/>
                    <w:jc w:val="center"/>
                    <w:rPr>
                      <w:sz w:val="21"/>
                      <w:szCs w:val="21"/>
                    </w:rPr>
                  </w:pPr>
                  <w:r>
                    <w:rPr>
                      <w:rFonts w:hint="eastAsia"/>
                      <w:sz w:val="21"/>
                      <w:szCs w:val="21"/>
                    </w:rPr>
                    <w:t>产生量、贮存状况、处置去向</w:t>
                  </w:r>
                </w:p>
              </w:tc>
              <w:tc>
                <w:tcPr>
                  <w:tcW w:w="2301" w:type="dxa"/>
                  <w:vAlign w:val="center"/>
                </w:tcPr>
                <w:p>
                  <w:pPr>
                    <w:widowControl/>
                    <w:spacing w:line="276" w:lineRule="auto"/>
                    <w:jc w:val="center"/>
                    <w:rPr>
                      <w:sz w:val="21"/>
                      <w:szCs w:val="21"/>
                    </w:rPr>
                  </w:pPr>
                  <w:r>
                    <w:rPr>
                      <w:rFonts w:hint="eastAsia"/>
                      <w:sz w:val="21"/>
                      <w:szCs w:val="21"/>
                    </w:rPr>
                    <w:t>每月统计一次</w:t>
                  </w:r>
                </w:p>
              </w:tc>
            </w:tr>
          </w:tbl>
          <w:p>
            <w:pPr>
              <w:widowControl/>
              <w:spacing w:line="360" w:lineRule="auto"/>
              <w:ind w:firstLine="480" w:firstLineChars="200"/>
              <w:rPr>
                <w:sz w:val="24"/>
              </w:rPr>
            </w:pPr>
          </w:p>
          <w:p>
            <w:pPr>
              <w:widowControl/>
              <w:spacing w:line="360" w:lineRule="auto"/>
              <w:ind w:firstLine="480" w:firstLineChars="200"/>
              <w:rPr>
                <w:sz w:val="24"/>
              </w:rPr>
            </w:pPr>
          </w:p>
          <w:p>
            <w:pPr>
              <w:widowControl/>
              <w:spacing w:line="360" w:lineRule="auto"/>
              <w:ind w:firstLine="480" w:firstLineChars="200"/>
              <w:rPr>
                <w:sz w:val="24"/>
              </w:rPr>
            </w:pPr>
          </w:p>
          <w:p>
            <w:pPr>
              <w:widowControl/>
              <w:spacing w:line="360" w:lineRule="auto"/>
              <w:ind w:firstLine="480" w:firstLineChars="200"/>
              <w:rPr>
                <w:sz w:val="24"/>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p>
            <w:pPr>
              <w:adjustRightInd w:val="0"/>
              <w:snapToGrid w:val="0"/>
              <w:spacing w:line="360" w:lineRule="auto"/>
              <w:ind w:firstLine="200" w:firstLineChars="200"/>
              <w:rPr>
                <w:sz w:val="10"/>
                <w:szCs w:val="10"/>
              </w:rPr>
            </w:pPr>
          </w:p>
        </w:tc>
      </w:tr>
    </w:tbl>
    <w:p>
      <w:pPr>
        <w:snapToGrid w:val="0"/>
        <w:rPr>
          <w:rFonts w:eastAsia="黑体"/>
          <w:sz w:val="32"/>
          <w:szCs w:val="32"/>
        </w:rPr>
      </w:pPr>
      <w:r>
        <w:rPr>
          <w:rFonts w:eastAsia="黑体"/>
          <w:sz w:val="32"/>
          <w:szCs w:val="32"/>
        </w:rPr>
        <w:t>建设项目拟采取的防治措施及预期治理效果</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8"/>
        <w:gridCol w:w="1586"/>
        <w:gridCol w:w="2068"/>
        <w:gridCol w:w="3344"/>
        <w:gridCol w:w="14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108" w:type="dxa"/>
            <w:tcBorders>
              <w:tl2br w:val="single" w:color="auto" w:sz="4" w:space="0"/>
            </w:tcBorders>
            <w:vAlign w:val="center"/>
          </w:tcPr>
          <w:p>
            <w:pPr>
              <w:adjustRightInd w:val="0"/>
              <w:snapToGrid w:val="0"/>
              <w:jc w:val="right"/>
              <w:rPr>
                <w:rFonts w:ascii="华文中宋" w:hAnsi="华文中宋" w:eastAsia="华文中宋"/>
                <w:b/>
                <w:sz w:val="28"/>
              </w:rPr>
            </w:pPr>
            <w:r>
              <w:rPr>
                <w:rFonts w:ascii="华文中宋" w:hAnsi="华文中宋" w:eastAsia="华文中宋"/>
                <w:b/>
                <w:sz w:val="28"/>
              </w:rPr>
              <w:t xml:space="preserve">  内容</w:t>
            </w:r>
          </w:p>
          <w:p>
            <w:pPr>
              <w:adjustRightInd w:val="0"/>
              <w:snapToGrid w:val="0"/>
              <w:rPr>
                <w:rFonts w:ascii="华文中宋" w:hAnsi="华文中宋" w:eastAsia="华文中宋"/>
                <w:b/>
                <w:sz w:val="28"/>
              </w:rPr>
            </w:pPr>
            <w:r>
              <w:rPr>
                <w:rFonts w:ascii="华文中宋" w:hAnsi="华文中宋" w:eastAsia="华文中宋"/>
                <w:b/>
                <w:sz w:val="28"/>
              </w:rPr>
              <w:t>类型</w:t>
            </w:r>
          </w:p>
        </w:tc>
        <w:tc>
          <w:tcPr>
            <w:tcW w:w="1586" w:type="dxa"/>
            <w:vAlign w:val="center"/>
          </w:tcPr>
          <w:p>
            <w:pPr>
              <w:adjustRightInd w:val="0"/>
              <w:snapToGrid w:val="0"/>
              <w:jc w:val="center"/>
              <w:rPr>
                <w:rFonts w:ascii="华文中宋" w:hAnsi="华文中宋" w:eastAsia="华文中宋"/>
                <w:b/>
                <w:sz w:val="28"/>
              </w:rPr>
            </w:pPr>
            <w:r>
              <w:rPr>
                <w:rFonts w:ascii="华文中宋" w:hAnsi="华文中宋" w:eastAsia="华文中宋"/>
                <w:b/>
                <w:sz w:val="28"/>
              </w:rPr>
              <w:t>排放源</w:t>
            </w:r>
          </w:p>
          <w:p>
            <w:pPr>
              <w:adjustRightInd w:val="0"/>
              <w:snapToGrid w:val="0"/>
              <w:jc w:val="center"/>
              <w:rPr>
                <w:rFonts w:ascii="华文中宋" w:hAnsi="华文中宋" w:eastAsia="华文中宋"/>
                <w:b/>
                <w:sz w:val="28"/>
              </w:rPr>
            </w:pPr>
            <w:r>
              <w:rPr>
                <w:rFonts w:ascii="华文中宋" w:hAnsi="华文中宋" w:eastAsia="华文中宋"/>
                <w:b/>
                <w:sz w:val="28"/>
              </w:rPr>
              <w:t>（编号）</w:t>
            </w:r>
          </w:p>
        </w:tc>
        <w:tc>
          <w:tcPr>
            <w:tcW w:w="2068" w:type="dxa"/>
            <w:vAlign w:val="center"/>
          </w:tcPr>
          <w:p>
            <w:pPr>
              <w:adjustRightInd w:val="0"/>
              <w:snapToGrid w:val="0"/>
              <w:jc w:val="center"/>
              <w:rPr>
                <w:rFonts w:ascii="华文中宋" w:hAnsi="华文中宋" w:eastAsia="华文中宋"/>
                <w:b/>
                <w:sz w:val="28"/>
              </w:rPr>
            </w:pPr>
            <w:r>
              <w:rPr>
                <w:rFonts w:ascii="华文中宋" w:hAnsi="华文中宋" w:eastAsia="华文中宋"/>
                <w:b/>
                <w:sz w:val="28"/>
              </w:rPr>
              <w:t>污染物</w:t>
            </w:r>
          </w:p>
          <w:p>
            <w:pPr>
              <w:adjustRightInd w:val="0"/>
              <w:snapToGrid w:val="0"/>
              <w:jc w:val="center"/>
              <w:rPr>
                <w:rFonts w:ascii="华文中宋" w:hAnsi="华文中宋" w:eastAsia="华文中宋"/>
                <w:b/>
                <w:sz w:val="28"/>
              </w:rPr>
            </w:pPr>
            <w:r>
              <w:rPr>
                <w:rFonts w:ascii="华文中宋" w:hAnsi="华文中宋" w:eastAsia="华文中宋"/>
                <w:b/>
                <w:sz w:val="28"/>
              </w:rPr>
              <w:t>名称</w:t>
            </w:r>
          </w:p>
        </w:tc>
        <w:tc>
          <w:tcPr>
            <w:tcW w:w="3344" w:type="dxa"/>
            <w:vAlign w:val="center"/>
          </w:tcPr>
          <w:p>
            <w:pPr>
              <w:adjustRightInd w:val="0"/>
              <w:snapToGrid w:val="0"/>
              <w:spacing w:before="240"/>
              <w:jc w:val="center"/>
              <w:rPr>
                <w:rFonts w:ascii="华文中宋" w:hAnsi="华文中宋" w:eastAsia="华文中宋"/>
                <w:b/>
                <w:sz w:val="28"/>
              </w:rPr>
            </w:pPr>
            <w:r>
              <w:rPr>
                <w:rFonts w:ascii="华文中宋" w:hAnsi="华文中宋" w:eastAsia="华文中宋"/>
                <w:b/>
                <w:sz w:val="28"/>
              </w:rPr>
              <w:t>防治措施</w:t>
            </w:r>
          </w:p>
        </w:tc>
        <w:tc>
          <w:tcPr>
            <w:tcW w:w="1488" w:type="dxa"/>
            <w:vAlign w:val="center"/>
          </w:tcPr>
          <w:p>
            <w:pPr>
              <w:adjustRightInd w:val="0"/>
              <w:snapToGrid w:val="0"/>
              <w:spacing w:before="240"/>
              <w:jc w:val="center"/>
              <w:rPr>
                <w:rFonts w:ascii="华文中宋" w:hAnsi="华文中宋" w:eastAsia="华文中宋"/>
                <w:b/>
                <w:sz w:val="28"/>
              </w:rPr>
            </w:pPr>
            <w:r>
              <w:rPr>
                <w:rFonts w:ascii="华文中宋" w:hAnsi="华文中宋" w:eastAsia="华文中宋"/>
                <w:b/>
                <w:sz w:val="28"/>
              </w:rPr>
              <w:t>预期治理效果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7" w:hRule="atLeast"/>
          <w:jc w:val="center"/>
        </w:trPr>
        <w:tc>
          <w:tcPr>
            <w:tcW w:w="1108" w:type="dxa"/>
            <w:vAlign w:val="center"/>
          </w:tcPr>
          <w:p>
            <w:pPr>
              <w:jc w:val="center"/>
              <w:rPr>
                <w:rFonts w:ascii="华文中宋" w:hAnsi="华文中宋" w:eastAsia="华文中宋"/>
                <w:b/>
                <w:sz w:val="28"/>
              </w:rPr>
            </w:pPr>
            <w:r>
              <w:rPr>
                <w:rFonts w:ascii="华文中宋" w:hAnsi="华文中宋" w:eastAsia="华文中宋"/>
                <w:b/>
                <w:sz w:val="28"/>
              </w:rPr>
              <w:t>大气</w:t>
            </w:r>
          </w:p>
          <w:p>
            <w:pPr>
              <w:jc w:val="center"/>
              <w:rPr>
                <w:rFonts w:ascii="华文中宋" w:hAnsi="华文中宋" w:eastAsia="华文中宋"/>
                <w:b/>
                <w:sz w:val="28"/>
              </w:rPr>
            </w:pPr>
            <w:r>
              <w:rPr>
                <w:rFonts w:ascii="华文中宋" w:hAnsi="华文中宋" w:eastAsia="华文中宋"/>
                <w:b/>
                <w:sz w:val="28"/>
              </w:rPr>
              <w:t>污染</w:t>
            </w:r>
          </w:p>
          <w:p>
            <w:pPr>
              <w:jc w:val="center"/>
              <w:rPr>
                <w:rFonts w:ascii="华文中宋" w:hAnsi="华文中宋" w:eastAsia="华文中宋"/>
                <w:b/>
                <w:sz w:val="28"/>
              </w:rPr>
            </w:pPr>
            <w:r>
              <w:rPr>
                <w:rFonts w:ascii="华文中宋" w:hAnsi="华文中宋" w:eastAsia="华文中宋"/>
                <w:b/>
                <w:sz w:val="28"/>
              </w:rPr>
              <w:t>物</w:t>
            </w:r>
          </w:p>
        </w:tc>
        <w:tc>
          <w:tcPr>
            <w:tcW w:w="1586" w:type="dxa"/>
            <w:vAlign w:val="center"/>
          </w:tcPr>
          <w:p>
            <w:pPr>
              <w:jc w:val="center"/>
              <w:rPr>
                <w:sz w:val="24"/>
              </w:rPr>
            </w:pPr>
            <w:r>
              <w:rPr>
                <w:rFonts w:hint="eastAsia"/>
                <w:sz w:val="24"/>
              </w:rPr>
              <w:t>生产</w:t>
            </w:r>
          </w:p>
        </w:tc>
        <w:tc>
          <w:tcPr>
            <w:tcW w:w="2068" w:type="dxa"/>
            <w:vAlign w:val="center"/>
          </w:tcPr>
          <w:p>
            <w:pPr>
              <w:jc w:val="center"/>
              <w:rPr>
                <w:sz w:val="24"/>
              </w:rPr>
            </w:pPr>
            <w:r>
              <w:rPr>
                <w:rFonts w:hint="eastAsia"/>
                <w:sz w:val="24"/>
              </w:rPr>
              <w:t>VOCs</w:t>
            </w:r>
          </w:p>
        </w:tc>
        <w:tc>
          <w:tcPr>
            <w:tcW w:w="3344" w:type="dxa"/>
            <w:vAlign w:val="center"/>
          </w:tcPr>
          <w:p>
            <w:pPr>
              <w:jc w:val="center"/>
              <w:rPr>
                <w:rFonts w:hAnsi="Arial"/>
                <w:sz w:val="24"/>
                <w:szCs w:val="24"/>
              </w:rPr>
            </w:pPr>
            <w:r>
              <w:rPr>
                <w:rFonts w:hint="eastAsia" w:hAnsi="Arial"/>
                <w:sz w:val="24"/>
                <w:szCs w:val="24"/>
              </w:rPr>
              <w:t>活性炭吸附</w:t>
            </w:r>
          </w:p>
        </w:tc>
        <w:tc>
          <w:tcPr>
            <w:tcW w:w="1488" w:type="dxa"/>
            <w:vAlign w:val="center"/>
          </w:tcPr>
          <w:p>
            <w:pPr>
              <w:jc w:val="center"/>
              <w:rPr>
                <w:rFonts w:hAnsi="Arial"/>
                <w:sz w:val="24"/>
                <w:szCs w:val="24"/>
              </w:rPr>
            </w:pPr>
            <w:r>
              <w:rPr>
                <w:rFonts w:hAnsi="Arial"/>
                <w:sz w:val="24"/>
                <w:szCs w:val="24"/>
              </w:rPr>
              <w:t>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jc w:val="center"/>
        </w:trPr>
        <w:tc>
          <w:tcPr>
            <w:tcW w:w="1108" w:type="dxa"/>
            <w:vAlign w:val="center"/>
          </w:tcPr>
          <w:p>
            <w:pPr>
              <w:jc w:val="center"/>
              <w:rPr>
                <w:rFonts w:ascii="华文中宋" w:hAnsi="华文中宋" w:eastAsia="华文中宋"/>
                <w:b/>
                <w:sz w:val="28"/>
              </w:rPr>
            </w:pPr>
            <w:r>
              <w:rPr>
                <w:rFonts w:hint="eastAsia" w:ascii="华文中宋" w:hAnsi="华文中宋" w:eastAsia="华文中宋"/>
                <w:b/>
                <w:sz w:val="28"/>
              </w:rPr>
              <w:t>水污</w:t>
            </w:r>
          </w:p>
          <w:p>
            <w:pPr>
              <w:jc w:val="center"/>
              <w:rPr>
                <w:rFonts w:ascii="华文中宋" w:hAnsi="华文中宋" w:eastAsia="华文中宋"/>
                <w:b/>
                <w:sz w:val="28"/>
              </w:rPr>
            </w:pPr>
            <w:r>
              <w:rPr>
                <w:rFonts w:hint="eastAsia" w:ascii="华文中宋" w:hAnsi="华文中宋" w:eastAsia="华文中宋"/>
                <w:b/>
                <w:sz w:val="28"/>
              </w:rPr>
              <w:t>染物</w:t>
            </w:r>
          </w:p>
        </w:tc>
        <w:tc>
          <w:tcPr>
            <w:tcW w:w="1586" w:type="dxa"/>
            <w:vAlign w:val="center"/>
          </w:tcPr>
          <w:p>
            <w:pPr>
              <w:spacing w:line="300" w:lineRule="auto"/>
              <w:jc w:val="center"/>
              <w:rPr>
                <w:sz w:val="24"/>
              </w:rPr>
            </w:pPr>
            <w:r>
              <w:rPr>
                <w:rFonts w:hint="eastAsia"/>
                <w:sz w:val="24"/>
              </w:rPr>
              <w:t>生产</w:t>
            </w:r>
          </w:p>
        </w:tc>
        <w:tc>
          <w:tcPr>
            <w:tcW w:w="2068" w:type="dxa"/>
            <w:vAlign w:val="center"/>
          </w:tcPr>
          <w:p>
            <w:pPr>
              <w:jc w:val="center"/>
              <w:rPr>
                <w:sz w:val="24"/>
              </w:rPr>
            </w:pPr>
            <w:r>
              <w:rPr>
                <w:rFonts w:hint="eastAsia"/>
                <w:sz w:val="24"/>
              </w:rPr>
              <w:t>COD、氨氮</w:t>
            </w:r>
          </w:p>
        </w:tc>
        <w:tc>
          <w:tcPr>
            <w:tcW w:w="3344" w:type="dxa"/>
            <w:vAlign w:val="center"/>
          </w:tcPr>
          <w:p>
            <w:pPr>
              <w:jc w:val="center"/>
              <w:rPr>
                <w:sz w:val="24"/>
              </w:rPr>
            </w:pPr>
            <w:r>
              <w:rPr>
                <w:rFonts w:hint="eastAsia"/>
                <w:sz w:val="24"/>
              </w:rPr>
              <w:t>市政管网+污水处理厂</w:t>
            </w:r>
          </w:p>
        </w:tc>
        <w:tc>
          <w:tcPr>
            <w:tcW w:w="1488" w:type="dxa"/>
            <w:shd w:val="clear" w:color="auto" w:fill="auto"/>
            <w:vAlign w:val="center"/>
          </w:tcPr>
          <w:p>
            <w:pPr>
              <w:ind w:left="-2" w:hanging="7"/>
              <w:jc w:val="center"/>
              <w:rPr>
                <w:sz w:val="24"/>
              </w:rPr>
            </w:pPr>
            <w:r>
              <w:rPr>
                <w:rFonts w:hAnsi="Arial"/>
                <w:sz w:val="24"/>
                <w:szCs w:val="24"/>
              </w:rPr>
              <w:t>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Merge w:val="restart"/>
            <w:vAlign w:val="center"/>
          </w:tcPr>
          <w:p>
            <w:pPr>
              <w:spacing w:before="240"/>
              <w:jc w:val="center"/>
              <w:rPr>
                <w:rFonts w:ascii="华文中宋" w:hAnsi="华文中宋" w:eastAsia="华文中宋"/>
                <w:b/>
                <w:sz w:val="28"/>
              </w:rPr>
            </w:pPr>
            <w:r>
              <w:rPr>
                <w:rFonts w:ascii="华文中宋" w:hAnsi="华文中宋" w:eastAsia="华文中宋"/>
                <w:b/>
                <w:sz w:val="28"/>
              </w:rPr>
              <w:t>固体</w:t>
            </w:r>
          </w:p>
          <w:p>
            <w:pPr>
              <w:spacing w:before="240"/>
              <w:jc w:val="center"/>
              <w:rPr>
                <w:rFonts w:ascii="华文中宋" w:hAnsi="华文中宋" w:eastAsia="华文中宋"/>
                <w:b/>
                <w:sz w:val="28"/>
              </w:rPr>
            </w:pPr>
            <w:r>
              <w:rPr>
                <w:rFonts w:ascii="华文中宋" w:hAnsi="华文中宋" w:eastAsia="华文中宋"/>
                <w:b/>
                <w:sz w:val="28"/>
              </w:rPr>
              <w:t>废物</w:t>
            </w:r>
          </w:p>
        </w:tc>
        <w:tc>
          <w:tcPr>
            <w:tcW w:w="1586" w:type="dxa"/>
            <w:vMerge w:val="restart"/>
            <w:shd w:val="clear" w:color="auto" w:fill="auto"/>
            <w:vAlign w:val="center"/>
          </w:tcPr>
          <w:p>
            <w:pPr>
              <w:adjustRightInd w:val="0"/>
              <w:snapToGrid w:val="0"/>
              <w:jc w:val="center"/>
              <w:rPr>
                <w:sz w:val="24"/>
              </w:rPr>
            </w:pPr>
            <w:r>
              <w:rPr>
                <w:rFonts w:hint="eastAsia"/>
                <w:sz w:val="24"/>
              </w:rPr>
              <w:t>生产</w:t>
            </w:r>
          </w:p>
        </w:tc>
        <w:tc>
          <w:tcPr>
            <w:tcW w:w="2068" w:type="dxa"/>
            <w:vAlign w:val="center"/>
          </w:tcPr>
          <w:p>
            <w:pPr>
              <w:adjustRightInd w:val="0"/>
              <w:snapToGrid w:val="0"/>
              <w:jc w:val="center"/>
              <w:rPr>
                <w:sz w:val="24"/>
                <w:szCs w:val="24"/>
              </w:rPr>
            </w:pPr>
            <w:r>
              <w:rPr>
                <w:rFonts w:hint="eastAsia"/>
                <w:sz w:val="24"/>
                <w:szCs w:val="24"/>
              </w:rPr>
              <w:t>玻璃边角料和玻璃渣</w:t>
            </w:r>
          </w:p>
        </w:tc>
        <w:tc>
          <w:tcPr>
            <w:tcW w:w="3344" w:type="dxa"/>
            <w:vAlign w:val="center"/>
          </w:tcPr>
          <w:p>
            <w:pPr>
              <w:adjustRightInd w:val="0"/>
              <w:snapToGrid w:val="0"/>
              <w:jc w:val="center"/>
              <w:rPr>
                <w:sz w:val="24"/>
                <w:szCs w:val="24"/>
              </w:rPr>
            </w:pPr>
            <w:r>
              <w:rPr>
                <w:rFonts w:hint="eastAsia"/>
                <w:sz w:val="24"/>
                <w:szCs w:val="24"/>
              </w:rPr>
              <w:t>收集外售</w:t>
            </w:r>
          </w:p>
        </w:tc>
        <w:tc>
          <w:tcPr>
            <w:tcW w:w="1488" w:type="dxa"/>
            <w:vMerge w:val="restart"/>
            <w:vAlign w:val="center"/>
          </w:tcPr>
          <w:p>
            <w:pPr>
              <w:jc w:val="center"/>
              <w:rPr>
                <w:sz w:val="24"/>
              </w:rPr>
            </w:pPr>
            <w:r>
              <w:rPr>
                <w:rFonts w:hint="eastAsia"/>
                <w:sz w:val="24"/>
              </w:rPr>
              <w:t>有效合理处置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Merge w:val="continue"/>
            <w:vAlign w:val="center"/>
          </w:tcPr>
          <w:p>
            <w:pPr>
              <w:spacing w:before="240"/>
              <w:jc w:val="center"/>
              <w:rPr>
                <w:rFonts w:ascii="华文中宋" w:hAnsi="华文中宋" w:eastAsia="华文中宋"/>
                <w:b/>
                <w:sz w:val="28"/>
              </w:rPr>
            </w:pPr>
          </w:p>
        </w:tc>
        <w:tc>
          <w:tcPr>
            <w:tcW w:w="1586" w:type="dxa"/>
            <w:vMerge w:val="continue"/>
            <w:shd w:val="clear" w:color="auto" w:fill="auto"/>
            <w:vAlign w:val="center"/>
          </w:tcPr>
          <w:p>
            <w:pPr>
              <w:adjustRightInd w:val="0"/>
              <w:snapToGrid w:val="0"/>
              <w:jc w:val="center"/>
              <w:rPr>
                <w:sz w:val="24"/>
              </w:rPr>
            </w:pPr>
          </w:p>
        </w:tc>
        <w:tc>
          <w:tcPr>
            <w:tcW w:w="2068" w:type="dxa"/>
            <w:vAlign w:val="center"/>
          </w:tcPr>
          <w:p>
            <w:pPr>
              <w:adjustRightInd w:val="0"/>
              <w:snapToGrid w:val="0"/>
              <w:jc w:val="center"/>
              <w:rPr>
                <w:sz w:val="24"/>
                <w:szCs w:val="24"/>
              </w:rPr>
            </w:pPr>
            <w:r>
              <w:rPr>
                <w:rFonts w:hint="eastAsia"/>
                <w:sz w:val="24"/>
                <w:szCs w:val="24"/>
              </w:rPr>
              <w:t>铝条边角料</w:t>
            </w:r>
          </w:p>
        </w:tc>
        <w:tc>
          <w:tcPr>
            <w:tcW w:w="3344" w:type="dxa"/>
            <w:vAlign w:val="center"/>
          </w:tcPr>
          <w:p>
            <w:pPr>
              <w:adjustRightInd w:val="0"/>
              <w:snapToGrid w:val="0"/>
              <w:jc w:val="center"/>
              <w:rPr>
                <w:sz w:val="24"/>
                <w:szCs w:val="24"/>
              </w:rPr>
            </w:pPr>
            <w:r>
              <w:rPr>
                <w:rFonts w:hint="eastAsia"/>
                <w:sz w:val="24"/>
                <w:szCs w:val="24"/>
              </w:rPr>
              <w:t>回收公司回收利用</w:t>
            </w:r>
          </w:p>
        </w:tc>
        <w:tc>
          <w:tcPr>
            <w:tcW w:w="1488" w:type="dxa"/>
            <w:vMerge w:val="continue"/>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Merge w:val="continue"/>
            <w:vAlign w:val="center"/>
          </w:tcPr>
          <w:p>
            <w:pPr>
              <w:spacing w:before="240"/>
              <w:jc w:val="center"/>
              <w:rPr>
                <w:rFonts w:ascii="华文中宋" w:hAnsi="华文中宋" w:eastAsia="华文中宋"/>
                <w:b/>
                <w:sz w:val="28"/>
              </w:rPr>
            </w:pPr>
          </w:p>
        </w:tc>
        <w:tc>
          <w:tcPr>
            <w:tcW w:w="1586" w:type="dxa"/>
            <w:vMerge w:val="continue"/>
            <w:shd w:val="clear" w:color="auto" w:fill="auto"/>
            <w:vAlign w:val="center"/>
          </w:tcPr>
          <w:p>
            <w:pPr>
              <w:adjustRightInd w:val="0"/>
              <w:snapToGrid w:val="0"/>
              <w:jc w:val="center"/>
              <w:rPr>
                <w:sz w:val="24"/>
              </w:rPr>
            </w:pPr>
          </w:p>
        </w:tc>
        <w:tc>
          <w:tcPr>
            <w:tcW w:w="2068" w:type="dxa"/>
            <w:vAlign w:val="center"/>
          </w:tcPr>
          <w:p>
            <w:pPr>
              <w:adjustRightInd w:val="0"/>
              <w:snapToGrid w:val="0"/>
              <w:jc w:val="center"/>
              <w:rPr>
                <w:sz w:val="24"/>
                <w:szCs w:val="24"/>
              </w:rPr>
            </w:pPr>
            <w:r>
              <w:rPr>
                <w:rFonts w:hint="eastAsia"/>
                <w:sz w:val="24"/>
                <w:szCs w:val="24"/>
              </w:rPr>
              <w:t>污泥</w:t>
            </w:r>
          </w:p>
        </w:tc>
        <w:tc>
          <w:tcPr>
            <w:tcW w:w="3344" w:type="dxa"/>
            <w:vAlign w:val="center"/>
          </w:tcPr>
          <w:p>
            <w:pPr>
              <w:adjustRightInd w:val="0"/>
              <w:snapToGrid w:val="0"/>
              <w:jc w:val="center"/>
              <w:rPr>
                <w:sz w:val="24"/>
                <w:szCs w:val="24"/>
              </w:rPr>
            </w:pPr>
            <w:r>
              <w:rPr>
                <w:rFonts w:hint="eastAsia"/>
                <w:sz w:val="24"/>
                <w:szCs w:val="24"/>
              </w:rPr>
              <w:t>环卫部门定期清运</w:t>
            </w:r>
          </w:p>
        </w:tc>
        <w:tc>
          <w:tcPr>
            <w:tcW w:w="1488" w:type="dxa"/>
            <w:vMerge w:val="continue"/>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Merge w:val="continue"/>
            <w:vAlign w:val="center"/>
          </w:tcPr>
          <w:p>
            <w:pPr>
              <w:spacing w:before="240"/>
              <w:jc w:val="center"/>
              <w:rPr>
                <w:rFonts w:ascii="华文中宋" w:hAnsi="华文中宋" w:eastAsia="华文中宋"/>
                <w:b/>
                <w:sz w:val="28"/>
              </w:rPr>
            </w:pPr>
          </w:p>
        </w:tc>
        <w:tc>
          <w:tcPr>
            <w:tcW w:w="1586" w:type="dxa"/>
            <w:vMerge w:val="continue"/>
            <w:shd w:val="clear" w:color="auto" w:fill="auto"/>
            <w:vAlign w:val="center"/>
          </w:tcPr>
          <w:p>
            <w:pPr>
              <w:adjustRightInd w:val="0"/>
              <w:snapToGrid w:val="0"/>
              <w:jc w:val="center"/>
              <w:rPr>
                <w:sz w:val="24"/>
              </w:rPr>
            </w:pPr>
          </w:p>
        </w:tc>
        <w:tc>
          <w:tcPr>
            <w:tcW w:w="2068" w:type="dxa"/>
            <w:vAlign w:val="center"/>
          </w:tcPr>
          <w:p>
            <w:pPr>
              <w:adjustRightInd w:val="0"/>
              <w:snapToGrid w:val="0"/>
              <w:jc w:val="center"/>
              <w:rPr>
                <w:sz w:val="24"/>
                <w:szCs w:val="24"/>
              </w:rPr>
            </w:pPr>
            <w:r>
              <w:rPr>
                <w:rFonts w:hint="eastAsia"/>
                <w:sz w:val="24"/>
                <w:szCs w:val="24"/>
              </w:rPr>
              <w:t>不合格品</w:t>
            </w:r>
          </w:p>
        </w:tc>
        <w:tc>
          <w:tcPr>
            <w:tcW w:w="3344" w:type="dxa"/>
            <w:vAlign w:val="center"/>
          </w:tcPr>
          <w:p>
            <w:pPr>
              <w:adjustRightInd w:val="0"/>
              <w:snapToGrid w:val="0"/>
              <w:jc w:val="center"/>
              <w:rPr>
                <w:sz w:val="24"/>
                <w:szCs w:val="24"/>
              </w:rPr>
            </w:pPr>
            <w:r>
              <w:rPr>
                <w:rFonts w:hint="eastAsia"/>
                <w:sz w:val="24"/>
                <w:szCs w:val="24"/>
              </w:rPr>
              <w:t>收集外售</w:t>
            </w:r>
          </w:p>
        </w:tc>
        <w:tc>
          <w:tcPr>
            <w:tcW w:w="1488" w:type="dxa"/>
            <w:vMerge w:val="continue"/>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Merge w:val="continue"/>
            <w:vAlign w:val="center"/>
          </w:tcPr>
          <w:p>
            <w:pPr>
              <w:spacing w:before="240"/>
              <w:jc w:val="center"/>
              <w:rPr>
                <w:rFonts w:ascii="华文中宋" w:hAnsi="华文中宋" w:eastAsia="华文中宋"/>
                <w:b/>
                <w:sz w:val="28"/>
              </w:rPr>
            </w:pPr>
          </w:p>
        </w:tc>
        <w:tc>
          <w:tcPr>
            <w:tcW w:w="1586" w:type="dxa"/>
            <w:vMerge w:val="continue"/>
            <w:shd w:val="clear" w:color="auto" w:fill="auto"/>
            <w:vAlign w:val="center"/>
          </w:tcPr>
          <w:p>
            <w:pPr>
              <w:adjustRightInd w:val="0"/>
              <w:snapToGrid w:val="0"/>
              <w:jc w:val="center"/>
              <w:rPr>
                <w:sz w:val="24"/>
              </w:rPr>
            </w:pPr>
          </w:p>
        </w:tc>
        <w:tc>
          <w:tcPr>
            <w:tcW w:w="2068" w:type="dxa"/>
            <w:vAlign w:val="center"/>
          </w:tcPr>
          <w:p>
            <w:pPr>
              <w:jc w:val="center"/>
              <w:rPr>
                <w:sz w:val="24"/>
                <w:szCs w:val="24"/>
              </w:rPr>
            </w:pPr>
            <w:r>
              <w:rPr>
                <w:rFonts w:hint="eastAsia"/>
                <w:sz w:val="24"/>
                <w:szCs w:val="24"/>
              </w:rPr>
              <w:t>废活性炭</w:t>
            </w:r>
          </w:p>
        </w:tc>
        <w:tc>
          <w:tcPr>
            <w:tcW w:w="3344" w:type="dxa"/>
            <w:vAlign w:val="center"/>
          </w:tcPr>
          <w:p>
            <w:pPr>
              <w:adjustRightInd w:val="0"/>
              <w:snapToGrid w:val="0"/>
              <w:jc w:val="center"/>
              <w:rPr>
                <w:sz w:val="24"/>
                <w:szCs w:val="24"/>
              </w:rPr>
            </w:pPr>
            <w:r>
              <w:rPr>
                <w:rFonts w:hint="eastAsia"/>
                <w:sz w:val="24"/>
                <w:szCs w:val="24"/>
              </w:rPr>
              <w:t>委托有资质单位处置</w:t>
            </w:r>
          </w:p>
        </w:tc>
        <w:tc>
          <w:tcPr>
            <w:tcW w:w="1488" w:type="dxa"/>
            <w:vMerge w:val="continue"/>
            <w:vAlign w:val="center"/>
          </w:tcPr>
          <w:p>
            <w:pPr>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jc w:val="center"/>
        </w:trPr>
        <w:tc>
          <w:tcPr>
            <w:tcW w:w="1108" w:type="dxa"/>
            <w:tcBorders>
              <w:bottom w:val="single" w:color="auto" w:sz="4" w:space="0"/>
            </w:tcBorders>
            <w:vAlign w:val="center"/>
          </w:tcPr>
          <w:p>
            <w:pPr>
              <w:spacing w:before="240"/>
              <w:jc w:val="center"/>
              <w:rPr>
                <w:rFonts w:ascii="华文中宋" w:hAnsi="华文中宋" w:eastAsia="华文中宋"/>
                <w:b/>
                <w:sz w:val="28"/>
              </w:rPr>
            </w:pPr>
            <w:r>
              <w:rPr>
                <w:rFonts w:ascii="华文中宋" w:hAnsi="华文中宋" w:eastAsia="华文中宋"/>
                <w:b/>
                <w:sz w:val="28"/>
              </w:rPr>
              <w:t>噪声</w:t>
            </w:r>
          </w:p>
        </w:tc>
        <w:tc>
          <w:tcPr>
            <w:tcW w:w="8486" w:type="dxa"/>
            <w:gridSpan w:val="4"/>
            <w:tcBorders>
              <w:bottom w:val="single" w:color="auto" w:sz="4" w:space="0"/>
            </w:tcBorders>
            <w:vAlign w:val="center"/>
          </w:tcPr>
          <w:p>
            <w:pPr>
              <w:adjustRightInd w:val="0"/>
              <w:snapToGrid w:val="0"/>
              <w:spacing w:line="360" w:lineRule="auto"/>
              <w:ind w:firstLine="480" w:firstLineChars="200"/>
              <w:rPr>
                <w:sz w:val="24"/>
              </w:rPr>
            </w:pPr>
            <w:r>
              <w:rPr>
                <w:rFonts w:hint="eastAsia"/>
                <w:sz w:val="24"/>
              </w:rPr>
              <w:t>在合理布局的基础上，经消声、隔声及车间阻隔后，</w:t>
            </w:r>
            <w:r>
              <w:rPr>
                <w:sz w:val="24"/>
                <w:szCs w:val="24"/>
              </w:rPr>
              <w:t>厂界噪声满足</w:t>
            </w:r>
            <w:r>
              <w:rPr>
                <w:spacing w:val="-6"/>
                <w:sz w:val="24"/>
              </w:rPr>
              <w:t>《工业企业厂界环境噪声排放标准》（GB12348-2008）</w:t>
            </w:r>
            <w:r>
              <w:rPr>
                <w:rFonts w:hint="eastAsia"/>
                <w:spacing w:val="-6"/>
                <w:sz w:val="24"/>
              </w:rPr>
              <w:t>3</w:t>
            </w:r>
            <w:r>
              <w:rPr>
                <w:spacing w:val="-6"/>
                <w:sz w:val="24"/>
              </w:rPr>
              <w:t>类功能区标准</w:t>
            </w:r>
            <w:r>
              <w:rPr>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108" w:type="dxa"/>
            <w:vAlign w:val="center"/>
          </w:tcPr>
          <w:p>
            <w:pPr>
              <w:adjustRightInd w:val="0"/>
              <w:snapToGrid w:val="0"/>
              <w:jc w:val="center"/>
              <w:rPr>
                <w:rFonts w:ascii="华文中宋" w:hAnsi="华文中宋" w:eastAsia="华文中宋"/>
                <w:b/>
                <w:sz w:val="28"/>
              </w:rPr>
            </w:pPr>
            <w:r>
              <w:rPr>
                <w:rFonts w:ascii="华文中宋" w:hAnsi="华文中宋" w:eastAsia="华文中宋"/>
                <w:b/>
                <w:sz w:val="28"/>
              </w:rPr>
              <w:t>其它</w:t>
            </w:r>
          </w:p>
        </w:tc>
        <w:tc>
          <w:tcPr>
            <w:tcW w:w="8486" w:type="dxa"/>
            <w:gridSpan w:val="4"/>
            <w:vAlign w:val="center"/>
          </w:tcPr>
          <w:p>
            <w:pPr>
              <w:ind w:firstLine="480" w:firstLineChars="200"/>
              <w:rPr>
                <w:sz w:val="24"/>
                <w:szCs w:val="24"/>
              </w:rPr>
            </w:pPr>
            <w:r>
              <w:rPr>
                <w:rFonts w:hint="eastAsia"/>
                <w:sz w:val="24"/>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4" w:type="dxa"/>
            <w:gridSpan w:val="5"/>
            <w:vAlign w:val="center"/>
          </w:tcPr>
          <w:p>
            <w:pPr>
              <w:snapToGrid w:val="0"/>
              <w:spacing w:line="360" w:lineRule="auto"/>
              <w:jc w:val="left"/>
              <w:rPr>
                <w:rFonts w:eastAsia="黑体"/>
                <w:sz w:val="28"/>
                <w:szCs w:val="28"/>
              </w:rPr>
            </w:pPr>
            <w:r>
              <w:rPr>
                <w:rFonts w:eastAsia="黑体"/>
                <w:sz w:val="28"/>
                <w:szCs w:val="28"/>
              </w:rPr>
              <w:t>生态保护措施及预期效果</w:t>
            </w:r>
          </w:p>
          <w:p>
            <w:pPr>
              <w:spacing w:line="480" w:lineRule="exact"/>
              <w:ind w:firstLine="480" w:firstLineChars="200"/>
              <w:rPr>
                <w:sz w:val="24"/>
                <w:szCs w:val="24"/>
              </w:rPr>
            </w:pPr>
            <w:r>
              <w:rPr>
                <w:rFonts w:hint="eastAsia"/>
                <w:sz w:val="24"/>
                <w:szCs w:val="24"/>
              </w:rPr>
              <w:t>无</w:t>
            </w:r>
          </w:p>
          <w:p>
            <w:pPr>
              <w:spacing w:line="480" w:lineRule="exact"/>
              <w:rPr>
                <w:kern w:val="24"/>
                <w:sz w:val="18"/>
                <w:szCs w:val="18"/>
              </w:rPr>
            </w:pPr>
          </w:p>
          <w:p>
            <w:pPr>
              <w:spacing w:line="480" w:lineRule="exact"/>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p>
            <w:pPr>
              <w:rPr>
                <w:kern w:val="24"/>
                <w:sz w:val="18"/>
                <w:szCs w:val="18"/>
              </w:rPr>
            </w:pPr>
          </w:p>
        </w:tc>
      </w:tr>
    </w:tbl>
    <w:p>
      <w:pPr>
        <w:spacing w:line="0" w:lineRule="atLeast"/>
        <w:rPr>
          <w:rFonts w:eastAsia="黑体"/>
          <w:sz w:val="32"/>
          <w:szCs w:val="32"/>
        </w:rPr>
      </w:pPr>
      <w:r>
        <w:rPr>
          <w:rFonts w:eastAsia="黑体"/>
          <w:sz w:val="32"/>
          <w:szCs w:val="32"/>
        </w:rPr>
        <w:t>结论与建议</w:t>
      </w:r>
    </w:p>
    <w:tbl>
      <w:tblPr>
        <w:tblStyle w:val="26"/>
        <w:tblW w:w="9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3" w:type="dxa"/>
            <w:tcBorders>
              <w:bottom w:val="single" w:color="auto" w:sz="4" w:space="0"/>
            </w:tcBorders>
            <w:vAlign w:val="center"/>
          </w:tcPr>
          <w:p>
            <w:pPr>
              <w:numPr>
                <w:ilvl w:val="0"/>
                <w:numId w:val="1"/>
              </w:numPr>
              <w:spacing w:line="360" w:lineRule="auto"/>
              <w:rPr>
                <w:rFonts w:eastAsia="黑体"/>
                <w:sz w:val="28"/>
              </w:rPr>
            </w:pPr>
            <w:r>
              <w:rPr>
                <w:rFonts w:eastAsia="黑体"/>
                <w:sz w:val="28"/>
              </w:rPr>
              <w:t>结论</w:t>
            </w:r>
          </w:p>
          <w:p>
            <w:pPr>
              <w:widowControl/>
              <w:spacing w:line="360" w:lineRule="auto"/>
              <w:ind w:firstLine="480" w:firstLineChars="200"/>
              <w:jc w:val="left"/>
              <w:rPr>
                <w:rFonts w:ascii="黑体" w:hAnsi="黑体" w:eastAsia="黑体"/>
                <w:sz w:val="24"/>
                <w:szCs w:val="24"/>
              </w:rPr>
            </w:pPr>
            <w:r>
              <w:rPr>
                <w:rFonts w:eastAsia="黑体"/>
                <w:sz w:val="24"/>
                <w:szCs w:val="24"/>
              </w:rPr>
              <w:t>1、</w:t>
            </w:r>
            <w:r>
              <w:rPr>
                <w:rFonts w:hint="eastAsia" w:ascii="黑体" w:hAnsi="黑体" w:eastAsia="黑体"/>
                <w:sz w:val="24"/>
                <w:szCs w:val="24"/>
              </w:rPr>
              <w:t>项目概况</w:t>
            </w:r>
          </w:p>
          <w:p>
            <w:pPr>
              <w:pStyle w:val="61"/>
              <w:shd w:val="clear" w:color="auto" w:fill="auto"/>
              <w:spacing w:before="0" w:line="360" w:lineRule="auto"/>
              <w:ind w:left="20" w:firstLine="480"/>
              <w:jc w:val="both"/>
              <w:rPr>
                <w:rFonts w:ascii="Times New Roman" w:hAnsi="Arial" w:eastAsia="宋体" w:cs="Times New Roman"/>
                <w:color w:val="000000" w:themeColor="text1"/>
                <w:spacing w:val="0"/>
                <w:kern w:val="2"/>
                <w:sz w:val="24"/>
                <w:szCs w:val="24"/>
              </w:rPr>
            </w:pPr>
            <w:r>
              <w:rPr>
                <w:rFonts w:hint="eastAsia" w:ascii="Times New Roman" w:hAnsi="Arial" w:eastAsia="宋体" w:cs="Times New Roman"/>
                <w:color w:val="000000" w:themeColor="text1"/>
                <w:spacing w:val="0"/>
                <w:kern w:val="2"/>
                <w:sz w:val="24"/>
                <w:szCs w:val="24"/>
              </w:rPr>
              <w:t>威海佰特玻璃有限公司玻璃深加工项目</w:t>
            </w:r>
            <w:r>
              <w:rPr>
                <w:rFonts w:ascii="Times New Roman" w:hAnsi="Arial" w:eastAsia="宋体" w:cs="Times New Roman"/>
                <w:color w:val="000000" w:themeColor="text1"/>
                <w:spacing w:val="0"/>
                <w:kern w:val="2"/>
                <w:sz w:val="24"/>
                <w:szCs w:val="24"/>
              </w:rPr>
              <w:t>位于</w:t>
            </w:r>
            <w:r>
              <w:rPr>
                <w:rFonts w:hint="eastAsia" w:ascii="Times New Roman" w:hAnsi="Arial" w:eastAsia="宋体" w:cs="Times New Roman"/>
                <w:color w:val="000000" w:themeColor="text1"/>
                <w:spacing w:val="0"/>
                <w:kern w:val="2"/>
                <w:sz w:val="24"/>
                <w:szCs w:val="24"/>
              </w:rPr>
              <w:t>威海</w:t>
            </w:r>
            <w:r>
              <w:rPr>
                <w:rFonts w:ascii="Times New Roman" w:hAnsi="Arial" w:eastAsia="宋体" w:cs="Times New Roman"/>
                <w:color w:val="000000" w:themeColor="text1"/>
                <w:spacing w:val="0"/>
                <w:kern w:val="2"/>
                <w:sz w:val="24"/>
                <w:szCs w:val="24"/>
              </w:rPr>
              <w:t>临港经济技术开发区</w:t>
            </w:r>
            <w:r>
              <w:rPr>
                <w:rFonts w:ascii="Times New Roman" w:hAnsi="Times New Roman" w:eastAsia="宋体" w:cs="Times New Roman"/>
                <w:color w:val="000000" w:themeColor="text1"/>
                <w:kern w:val="2"/>
                <w:sz w:val="24"/>
                <w:szCs w:val="20"/>
              </w:rPr>
              <w:t>苘山镇苘兴路南、</w:t>
            </w:r>
            <w:r>
              <w:rPr>
                <w:rFonts w:hint="eastAsia" w:ascii="Times New Roman" w:hAnsi="Times New Roman" w:eastAsia="宋体" w:cs="Times New Roman"/>
                <w:color w:val="000000" w:themeColor="text1"/>
                <w:kern w:val="2"/>
                <w:sz w:val="24"/>
                <w:szCs w:val="20"/>
              </w:rPr>
              <w:t>安昌</w:t>
            </w:r>
            <w:r>
              <w:rPr>
                <w:rFonts w:ascii="Times New Roman" w:hAnsi="Times New Roman" w:eastAsia="宋体" w:cs="Times New Roman"/>
                <w:color w:val="000000" w:themeColor="text1"/>
                <w:kern w:val="2"/>
                <w:sz w:val="24"/>
                <w:szCs w:val="20"/>
              </w:rPr>
              <w:t>路西</w:t>
            </w:r>
            <w:r>
              <w:rPr>
                <w:rFonts w:ascii="Times New Roman" w:hAnsi="Arial" w:eastAsia="宋体" w:cs="Times New Roman"/>
                <w:color w:val="000000" w:themeColor="text1"/>
                <w:spacing w:val="0"/>
                <w:kern w:val="2"/>
                <w:sz w:val="24"/>
                <w:szCs w:val="24"/>
              </w:rPr>
              <w:t>，</w:t>
            </w:r>
            <w:r>
              <w:rPr>
                <w:rFonts w:hint="eastAsia" w:ascii="Times New Roman" w:hAnsi="Arial" w:eastAsia="宋体" w:cs="Times New Roman"/>
                <w:color w:val="000000" w:themeColor="text1"/>
                <w:spacing w:val="0"/>
                <w:kern w:val="2"/>
                <w:sz w:val="24"/>
                <w:szCs w:val="24"/>
              </w:rPr>
              <w:t>公司北侧为威海市恒泰塑业有限公司，东侧为安昌路，路东为威海九龙体育用品厂，南侧为威海特尔顿复合材料有限公司，西侧为威海市东威物流有限公司。</w:t>
            </w:r>
          </w:p>
          <w:p>
            <w:pPr>
              <w:pStyle w:val="61"/>
              <w:shd w:val="clear" w:color="auto" w:fill="auto"/>
              <w:spacing w:before="0" w:line="360" w:lineRule="auto"/>
              <w:ind w:left="20" w:firstLine="480"/>
              <w:jc w:val="both"/>
              <w:rPr>
                <w:rFonts w:ascii="Times New Roman" w:hAnsi="Times New Roman" w:eastAsia="宋体" w:cs="Times New Roman"/>
                <w:color w:val="000000" w:themeColor="text1"/>
                <w:spacing w:val="0"/>
                <w:kern w:val="2"/>
                <w:sz w:val="24"/>
                <w:szCs w:val="24"/>
              </w:rPr>
            </w:pPr>
            <w:r>
              <w:rPr>
                <w:rFonts w:ascii="Times New Roman" w:hAnsi="Arial" w:eastAsia="宋体" w:cs="Times New Roman"/>
                <w:color w:val="000000" w:themeColor="text1"/>
                <w:spacing w:val="0"/>
                <w:kern w:val="2"/>
                <w:sz w:val="24"/>
                <w:szCs w:val="24"/>
              </w:rPr>
              <w:t>项目总</w:t>
            </w:r>
            <w:r>
              <w:rPr>
                <w:rFonts w:ascii="Times New Roman" w:hAnsi="Arial" w:eastAsia="宋体" w:cs="Times New Roman"/>
                <w:spacing w:val="0"/>
                <w:kern w:val="2"/>
                <w:sz w:val="24"/>
                <w:szCs w:val="24"/>
              </w:rPr>
              <w:t>投资</w:t>
            </w:r>
            <w:r>
              <w:rPr>
                <w:rFonts w:hint="eastAsia" w:ascii="Times New Roman" w:hAnsi="Arial" w:eastAsia="宋体" w:cs="Times New Roman"/>
                <w:spacing w:val="0"/>
                <w:kern w:val="2"/>
                <w:sz w:val="24"/>
                <w:szCs w:val="24"/>
              </w:rPr>
              <w:t>50</w:t>
            </w:r>
            <w:r>
              <w:rPr>
                <w:rFonts w:ascii="Times New Roman" w:hAnsi="Arial" w:eastAsia="宋体" w:cs="Times New Roman"/>
                <w:spacing w:val="0"/>
                <w:kern w:val="2"/>
                <w:sz w:val="24"/>
                <w:szCs w:val="24"/>
              </w:rPr>
              <w:t>万元，</w:t>
            </w:r>
            <w:r>
              <w:rPr>
                <w:rFonts w:hint="eastAsia" w:ascii="Times New Roman" w:hAnsi="Times New Roman" w:eastAsia="宋体" w:cs="Times New Roman"/>
                <w:color w:val="000000" w:themeColor="text1"/>
                <w:spacing w:val="0"/>
                <w:kern w:val="2"/>
                <w:sz w:val="24"/>
                <w:szCs w:val="24"/>
              </w:rPr>
              <w:t>购置全自动玻璃生产线等生产设备，购买硅酮密封胶、丁基胶、分子筛干燥剂等原辅材料进行玻璃深加工。项目年产3万m</w:t>
            </w:r>
            <w:r>
              <w:rPr>
                <w:rFonts w:hint="eastAsia" w:ascii="Times New Roman" w:hAnsi="Times New Roman" w:eastAsia="宋体" w:cs="Times New Roman"/>
                <w:color w:val="000000" w:themeColor="text1"/>
                <w:spacing w:val="0"/>
                <w:kern w:val="2"/>
                <w:sz w:val="24"/>
                <w:szCs w:val="24"/>
                <w:vertAlign w:val="superscript"/>
              </w:rPr>
              <w:t>2</w:t>
            </w:r>
            <w:r>
              <w:rPr>
                <w:rFonts w:hint="eastAsia" w:ascii="Times New Roman" w:hAnsi="Times New Roman" w:eastAsia="宋体" w:cs="Times New Roman"/>
                <w:color w:val="000000" w:themeColor="text1"/>
                <w:spacing w:val="0"/>
                <w:kern w:val="2"/>
                <w:sz w:val="24"/>
                <w:szCs w:val="24"/>
              </w:rPr>
              <w:t>钢化玻璃和3万m</w:t>
            </w:r>
            <w:r>
              <w:rPr>
                <w:rFonts w:hint="eastAsia" w:ascii="Times New Roman" w:hAnsi="Times New Roman" w:eastAsia="宋体" w:cs="Times New Roman"/>
                <w:color w:val="000000" w:themeColor="text1"/>
                <w:spacing w:val="0"/>
                <w:kern w:val="2"/>
                <w:sz w:val="24"/>
                <w:szCs w:val="24"/>
                <w:vertAlign w:val="superscript"/>
              </w:rPr>
              <w:t>2</w:t>
            </w:r>
            <w:r>
              <w:rPr>
                <w:rFonts w:hint="eastAsia" w:ascii="Times New Roman" w:hAnsi="Times New Roman" w:eastAsia="宋体" w:cs="Times New Roman"/>
                <w:color w:val="000000" w:themeColor="text1"/>
                <w:spacing w:val="0"/>
                <w:kern w:val="2"/>
                <w:sz w:val="24"/>
                <w:szCs w:val="24"/>
              </w:rPr>
              <w:t>中空玻璃，预计2020年10月投产。</w:t>
            </w:r>
          </w:p>
          <w:p>
            <w:pPr>
              <w:widowControl/>
              <w:spacing w:line="360" w:lineRule="auto"/>
              <w:ind w:firstLine="480" w:firstLineChars="200"/>
              <w:jc w:val="left"/>
              <w:rPr>
                <w:rFonts w:eastAsia="黑体"/>
                <w:sz w:val="24"/>
                <w:szCs w:val="24"/>
              </w:rPr>
            </w:pPr>
            <w:r>
              <w:rPr>
                <w:rFonts w:eastAsia="黑体"/>
                <w:sz w:val="24"/>
                <w:szCs w:val="24"/>
              </w:rPr>
              <w:t>2、</w:t>
            </w:r>
            <w:r>
              <w:rPr>
                <w:rFonts w:hint="eastAsia" w:eastAsia="黑体"/>
                <w:sz w:val="24"/>
                <w:szCs w:val="24"/>
              </w:rPr>
              <w:t>环境质量状况</w:t>
            </w:r>
          </w:p>
          <w:p>
            <w:pPr>
              <w:widowControl/>
              <w:spacing w:line="360" w:lineRule="auto"/>
              <w:ind w:firstLine="480" w:firstLineChars="200"/>
              <w:rPr>
                <w:sz w:val="24"/>
                <w:szCs w:val="24"/>
              </w:rPr>
            </w:pPr>
            <w:r>
              <w:rPr>
                <w:rFonts w:hint="eastAsia"/>
                <w:sz w:val="24"/>
                <w:szCs w:val="24"/>
              </w:rPr>
              <w:t>（</w:t>
            </w:r>
            <w:r>
              <w:rPr>
                <w:sz w:val="24"/>
                <w:szCs w:val="24"/>
              </w:rPr>
              <w:t>1</w:t>
            </w:r>
            <w:r>
              <w:rPr>
                <w:rFonts w:hint="eastAsia"/>
                <w:sz w:val="24"/>
                <w:szCs w:val="24"/>
              </w:rPr>
              <w:t>）项目所在区域的环境空气</w:t>
            </w:r>
            <w:r>
              <w:rPr>
                <w:rFonts w:hint="eastAsia"/>
                <w:sz w:val="24"/>
              </w:rPr>
              <w:t>符合《环境空气质量标准》（</w:t>
            </w:r>
            <w:r>
              <w:rPr>
                <w:sz w:val="24"/>
              </w:rPr>
              <w:t>GB3095-2012)</w:t>
            </w:r>
            <w:r>
              <w:rPr>
                <w:rFonts w:hint="eastAsia"/>
                <w:sz w:val="24"/>
              </w:rPr>
              <w:t>中二级标准</w:t>
            </w:r>
            <w:r>
              <w:rPr>
                <w:rFonts w:hint="eastAsia"/>
                <w:sz w:val="24"/>
                <w:szCs w:val="24"/>
              </w:rPr>
              <w:t>；</w:t>
            </w:r>
          </w:p>
          <w:p>
            <w:pPr>
              <w:widowControl/>
              <w:spacing w:line="360" w:lineRule="auto"/>
              <w:ind w:firstLine="480" w:firstLineChars="200"/>
              <w:rPr>
                <w:sz w:val="24"/>
                <w:szCs w:val="24"/>
              </w:rPr>
            </w:pPr>
            <w:r>
              <w:rPr>
                <w:rFonts w:hint="eastAsia"/>
                <w:sz w:val="24"/>
                <w:szCs w:val="24"/>
              </w:rPr>
              <w:t>（2）项目所在区域地表水符合</w:t>
            </w:r>
            <w:r>
              <w:rPr>
                <w:sz w:val="24"/>
                <w:szCs w:val="24"/>
              </w:rPr>
              <w:t>《地表水环境质量标准》（GB3838-2002）中的</w:t>
            </w:r>
            <w:r>
              <w:rPr>
                <w:rFonts w:hint="eastAsia"/>
                <w:sz w:val="24"/>
                <w:szCs w:val="24"/>
              </w:rPr>
              <w:t>Ⅲ类</w:t>
            </w:r>
            <w:r>
              <w:rPr>
                <w:sz w:val="24"/>
                <w:szCs w:val="24"/>
              </w:rPr>
              <w:t>标准</w:t>
            </w:r>
            <w:r>
              <w:rPr>
                <w:rFonts w:hint="eastAsia"/>
                <w:sz w:val="24"/>
                <w:szCs w:val="24"/>
              </w:rPr>
              <w:t>；</w:t>
            </w:r>
          </w:p>
          <w:p>
            <w:pPr>
              <w:widowControl/>
              <w:spacing w:line="360" w:lineRule="auto"/>
              <w:ind w:firstLine="480" w:firstLineChars="200"/>
              <w:rPr>
                <w:sz w:val="24"/>
                <w:szCs w:val="24"/>
              </w:rPr>
            </w:pPr>
            <w:r>
              <w:rPr>
                <w:rFonts w:hint="eastAsia"/>
                <w:sz w:val="24"/>
                <w:szCs w:val="24"/>
              </w:rPr>
              <w:t>（3）项目所在区域地下水符合《地下水质量标准》（</w:t>
            </w:r>
            <w:r>
              <w:rPr>
                <w:sz w:val="24"/>
                <w:szCs w:val="24"/>
              </w:rPr>
              <w:t>GB/T14848-</w:t>
            </w:r>
            <w:r>
              <w:rPr>
                <w:rFonts w:hint="eastAsia"/>
                <w:sz w:val="24"/>
                <w:szCs w:val="24"/>
              </w:rPr>
              <w:t>2017）中Ⅲ类标准的要求；</w:t>
            </w:r>
          </w:p>
          <w:p>
            <w:pPr>
              <w:widowControl/>
              <w:spacing w:line="360" w:lineRule="auto"/>
              <w:ind w:firstLine="480" w:firstLineChars="200"/>
              <w:rPr>
                <w:sz w:val="24"/>
                <w:szCs w:val="24"/>
              </w:rPr>
            </w:pPr>
            <w:r>
              <w:rPr>
                <w:rFonts w:hint="eastAsia"/>
                <w:sz w:val="24"/>
                <w:szCs w:val="24"/>
              </w:rPr>
              <w:t>（4）项目所在区域声环境满足《声环境质量标准》（</w:t>
            </w:r>
            <w:r>
              <w:rPr>
                <w:sz w:val="24"/>
                <w:szCs w:val="24"/>
              </w:rPr>
              <w:t>GB3096-2008</w:t>
            </w:r>
            <w:r>
              <w:rPr>
                <w:rFonts w:hint="eastAsia"/>
                <w:sz w:val="24"/>
                <w:szCs w:val="24"/>
              </w:rPr>
              <w:t>）中的3类标准。</w:t>
            </w:r>
          </w:p>
          <w:p>
            <w:pPr>
              <w:widowControl/>
              <w:spacing w:line="360" w:lineRule="auto"/>
              <w:ind w:firstLine="480" w:firstLineChars="200"/>
              <w:jc w:val="left"/>
              <w:rPr>
                <w:rFonts w:eastAsia="黑体"/>
                <w:sz w:val="24"/>
                <w:szCs w:val="24"/>
              </w:rPr>
            </w:pPr>
            <w:r>
              <w:rPr>
                <w:rFonts w:eastAsia="黑体"/>
                <w:sz w:val="24"/>
                <w:szCs w:val="24"/>
              </w:rPr>
              <w:t>3、</w:t>
            </w:r>
            <w:r>
              <w:rPr>
                <w:rFonts w:hint="eastAsia" w:eastAsia="黑体"/>
                <w:sz w:val="24"/>
                <w:szCs w:val="24"/>
              </w:rPr>
              <w:t>产业政策及城市规划</w:t>
            </w:r>
          </w:p>
          <w:p>
            <w:pPr>
              <w:spacing w:line="360" w:lineRule="auto"/>
              <w:ind w:firstLine="480" w:firstLineChars="200"/>
              <w:rPr>
                <w:sz w:val="24"/>
                <w:szCs w:val="24"/>
              </w:rPr>
            </w:pPr>
            <w:r>
              <w:rPr>
                <w:rFonts w:hint="eastAsia"/>
                <w:color w:val="000000" w:themeColor="text1"/>
                <w:sz w:val="24"/>
                <w:szCs w:val="24"/>
              </w:rPr>
              <w:t>项目的建设符合国家产业政策，项目所使用厂房土地用途为工业用地，项目建设符合环保政策及环保功能区划要求，项目选址合理。</w:t>
            </w:r>
          </w:p>
          <w:p>
            <w:pPr>
              <w:widowControl/>
              <w:spacing w:line="360" w:lineRule="auto"/>
              <w:ind w:firstLine="480" w:firstLineChars="200"/>
              <w:jc w:val="left"/>
              <w:rPr>
                <w:rFonts w:eastAsia="黑体"/>
                <w:sz w:val="24"/>
                <w:szCs w:val="24"/>
              </w:rPr>
            </w:pPr>
            <w:r>
              <w:rPr>
                <w:rFonts w:hint="eastAsia" w:eastAsia="黑体"/>
                <w:sz w:val="24"/>
                <w:szCs w:val="24"/>
              </w:rPr>
              <w:t>4、总量控制</w:t>
            </w:r>
          </w:p>
          <w:p>
            <w:pPr>
              <w:widowControl/>
              <w:spacing w:line="360" w:lineRule="auto"/>
              <w:ind w:firstLine="480" w:firstLineChars="200"/>
              <w:jc w:val="left"/>
              <w:rPr>
                <w:color w:val="000000"/>
                <w:sz w:val="24"/>
                <w:szCs w:val="24"/>
              </w:rPr>
            </w:pPr>
            <w:r>
              <w:rPr>
                <w:color w:val="000000"/>
                <w:sz w:val="24"/>
              </w:rPr>
              <w:t>项目废水</w:t>
            </w:r>
            <w:r>
              <w:rPr>
                <w:rFonts w:hint="eastAsia"/>
                <w:color w:val="000000"/>
                <w:sz w:val="24"/>
                <w:szCs w:val="24"/>
              </w:rPr>
              <w:t>通过市政污水管网达标排入临港区污水处理厂集中处理，废水总量指标纳入该污水处理厂的总量指标管理，经污水处理厂处理后，COD、NH</w:t>
            </w:r>
            <w:r>
              <w:rPr>
                <w:rFonts w:hint="eastAsia"/>
                <w:color w:val="000000"/>
                <w:sz w:val="24"/>
                <w:szCs w:val="24"/>
                <w:vertAlign w:val="subscript"/>
              </w:rPr>
              <w:t>3</w:t>
            </w:r>
            <w:r>
              <w:rPr>
                <w:rFonts w:hint="eastAsia"/>
                <w:color w:val="000000"/>
                <w:sz w:val="24"/>
                <w:szCs w:val="24"/>
              </w:rPr>
              <w:t>-N的排放量分别为0.12t/a、0.01t/a。</w:t>
            </w:r>
          </w:p>
          <w:p>
            <w:pPr>
              <w:tabs>
                <w:tab w:val="left" w:pos="7322"/>
              </w:tabs>
              <w:spacing w:line="360" w:lineRule="auto"/>
              <w:ind w:firstLine="480" w:firstLineChars="200"/>
              <w:rPr>
                <w:color w:val="000000"/>
                <w:sz w:val="24"/>
              </w:rPr>
            </w:pPr>
            <w:r>
              <w:rPr>
                <w:rFonts w:hint="eastAsia"/>
                <w:color w:val="000000"/>
                <w:sz w:val="24"/>
              </w:rPr>
              <w:t>本项目挥发性有机物排放量为0.028</w:t>
            </w:r>
            <w:r>
              <w:rPr>
                <w:color w:val="000000"/>
                <w:sz w:val="24"/>
              </w:rPr>
              <w:t>t/a</w:t>
            </w:r>
            <w:r>
              <w:rPr>
                <w:rFonts w:hint="eastAsia"/>
                <w:color w:val="000000"/>
                <w:sz w:val="24"/>
              </w:rPr>
              <w:t>，从联合金属科技（威海）有限公司减排量中调剂解决</w:t>
            </w:r>
            <w:r>
              <w:rPr>
                <w:sz w:val="24"/>
                <w:szCs w:val="24"/>
              </w:rPr>
              <w:t>，满足《山东省“十三五”挥发性有机物污染防治工作方案》和《威海市十三五挥发性有机物污染防治工作方案》中挥发性有机物实行区域内</w:t>
            </w:r>
            <w:r>
              <w:rPr>
                <w:rFonts w:hint="eastAsia"/>
                <w:sz w:val="24"/>
                <w:szCs w:val="24"/>
              </w:rPr>
              <w:t>等</w:t>
            </w:r>
            <w:r>
              <w:rPr>
                <w:sz w:val="24"/>
                <w:szCs w:val="24"/>
              </w:rPr>
              <w:t>量</w:t>
            </w:r>
            <w:r>
              <w:rPr>
                <w:rFonts w:hint="eastAsia"/>
                <w:sz w:val="24"/>
                <w:szCs w:val="24"/>
              </w:rPr>
              <w:t>或倍量</w:t>
            </w:r>
            <w:r>
              <w:rPr>
                <w:sz w:val="24"/>
                <w:szCs w:val="24"/>
              </w:rPr>
              <w:t>削减替代的要求。</w:t>
            </w:r>
          </w:p>
          <w:p>
            <w:pPr>
              <w:widowControl/>
              <w:spacing w:line="360" w:lineRule="auto"/>
              <w:ind w:firstLine="480" w:firstLineChars="200"/>
              <w:jc w:val="left"/>
              <w:rPr>
                <w:rFonts w:eastAsia="黑体"/>
                <w:sz w:val="24"/>
                <w:szCs w:val="24"/>
              </w:rPr>
            </w:pPr>
            <w:r>
              <w:rPr>
                <w:rFonts w:hint="eastAsia" w:eastAsia="黑体"/>
                <w:sz w:val="24"/>
                <w:szCs w:val="24"/>
              </w:rPr>
              <w:t>5</w:t>
            </w:r>
            <w:r>
              <w:rPr>
                <w:rFonts w:eastAsia="黑体"/>
                <w:sz w:val="24"/>
                <w:szCs w:val="24"/>
              </w:rPr>
              <w:t>、</w:t>
            </w:r>
            <w:r>
              <w:rPr>
                <w:rFonts w:hint="eastAsia" w:eastAsia="黑体"/>
                <w:sz w:val="24"/>
                <w:szCs w:val="24"/>
              </w:rPr>
              <w:t>环保投资</w:t>
            </w:r>
          </w:p>
          <w:p>
            <w:pPr>
              <w:widowControl/>
              <w:spacing w:line="360" w:lineRule="auto"/>
              <w:ind w:firstLine="480" w:firstLineChars="200"/>
              <w:jc w:val="left"/>
              <w:rPr>
                <w:sz w:val="24"/>
                <w:szCs w:val="24"/>
              </w:rPr>
            </w:pPr>
            <w:r>
              <w:rPr>
                <w:rFonts w:hint="eastAsia"/>
                <w:sz w:val="24"/>
                <w:szCs w:val="24"/>
              </w:rPr>
              <w:t>项目环保投资包括废气、噪声、废水等费用。项目环保投资共计约5万元，占本项目总投资的10%。</w:t>
            </w:r>
          </w:p>
          <w:p>
            <w:pPr>
              <w:widowControl/>
              <w:spacing w:line="360" w:lineRule="auto"/>
              <w:ind w:firstLine="480" w:firstLineChars="200"/>
              <w:jc w:val="left"/>
              <w:rPr>
                <w:rFonts w:eastAsia="黑体"/>
                <w:sz w:val="24"/>
                <w:szCs w:val="24"/>
              </w:rPr>
            </w:pPr>
            <w:r>
              <w:rPr>
                <w:rFonts w:hint="eastAsia" w:eastAsia="黑体"/>
                <w:sz w:val="24"/>
                <w:szCs w:val="24"/>
              </w:rPr>
              <w:t>6</w:t>
            </w:r>
            <w:r>
              <w:rPr>
                <w:rFonts w:eastAsia="黑体"/>
                <w:sz w:val="24"/>
                <w:szCs w:val="24"/>
              </w:rPr>
              <w:t>、</w:t>
            </w:r>
            <w:r>
              <w:rPr>
                <w:rFonts w:hint="eastAsia" w:eastAsia="黑体"/>
                <w:sz w:val="24"/>
                <w:szCs w:val="24"/>
              </w:rPr>
              <w:t>环境影响分析结论</w:t>
            </w:r>
          </w:p>
          <w:p>
            <w:pPr>
              <w:pStyle w:val="20"/>
              <w:spacing w:line="360" w:lineRule="auto"/>
              <w:ind w:firstLine="480"/>
              <w:rPr>
                <w:bCs/>
                <w:spacing w:val="0"/>
                <w:kern w:val="0"/>
              </w:rPr>
            </w:pPr>
            <w:r>
              <w:rPr>
                <w:rFonts w:hint="eastAsia"/>
                <w:szCs w:val="24"/>
              </w:rPr>
              <w:t>（1）</w:t>
            </w:r>
            <w:r>
              <w:rPr>
                <w:rFonts w:hint="eastAsia"/>
                <w:bCs/>
                <w:spacing w:val="0"/>
                <w:kern w:val="0"/>
              </w:rPr>
              <w:t>本项目产生的有机废气通过集气罩收集后通过配套的活性炭吸附装置处理后通过15m高排气筒排放。</w:t>
            </w:r>
          </w:p>
          <w:p>
            <w:pPr>
              <w:spacing w:line="360" w:lineRule="auto"/>
              <w:ind w:firstLine="480" w:firstLineChars="200"/>
              <w:jc w:val="left"/>
              <w:rPr>
                <w:bCs/>
                <w:kern w:val="0"/>
                <w:sz w:val="24"/>
              </w:rPr>
            </w:pPr>
            <w:r>
              <w:rPr>
                <w:rFonts w:hint="eastAsia"/>
                <w:bCs/>
                <w:kern w:val="0"/>
                <w:sz w:val="24"/>
              </w:rPr>
              <w:t>集气罩收集效率按</w:t>
            </w:r>
            <w:r>
              <w:rPr>
                <w:bCs/>
                <w:kern w:val="0"/>
                <w:sz w:val="24"/>
              </w:rPr>
              <w:t>90%</w:t>
            </w:r>
            <w:r>
              <w:rPr>
                <w:rFonts w:hint="eastAsia"/>
                <w:bCs/>
                <w:kern w:val="0"/>
                <w:sz w:val="24"/>
              </w:rPr>
              <w:t>计算，活性炭吸附处理装置对有机废气的去除率按</w:t>
            </w:r>
            <w:r>
              <w:rPr>
                <w:bCs/>
                <w:kern w:val="0"/>
                <w:sz w:val="24"/>
              </w:rPr>
              <w:t>90%</w:t>
            </w:r>
            <w:r>
              <w:rPr>
                <w:rFonts w:hint="eastAsia"/>
                <w:bCs/>
                <w:kern w:val="0"/>
                <w:sz w:val="24"/>
              </w:rPr>
              <w:t>计算，通过计算，本项目有机废气排放浓度和排放速率均满足《挥发性有机物排放标准第7部分：其他行业》（DB37/2801.7-2019）表1标准限值要求。</w:t>
            </w:r>
          </w:p>
          <w:p>
            <w:pPr>
              <w:spacing w:line="360" w:lineRule="auto"/>
              <w:ind w:firstLine="480" w:firstLineChars="200"/>
              <w:rPr>
                <w:color w:val="000000"/>
                <w:sz w:val="24"/>
              </w:rPr>
            </w:pPr>
            <w:r>
              <w:rPr>
                <w:rFonts w:hint="eastAsia"/>
                <w:sz w:val="24"/>
                <w:szCs w:val="24"/>
              </w:rPr>
              <w:t>（2）</w:t>
            </w:r>
            <w:r>
              <w:rPr>
                <w:rFonts w:hint="eastAsia"/>
                <w:color w:val="000000"/>
                <w:sz w:val="24"/>
              </w:rPr>
              <w:t>该项目废水达到《污水排入城镇下水道水质标准》（GB/T31962-2015）表1中B等级标准，通过市政污水管网进临港区污水处理厂进行集中处理，达到《城镇污水处理厂污染物排放标准》（</w:t>
            </w:r>
            <w:r>
              <w:rPr>
                <w:color w:val="000000"/>
                <w:sz w:val="24"/>
              </w:rPr>
              <w:t>GB18918-2002</w:t>
            </w:r>
            <w:r>
              <w:rPr>
                <w:rFonts w:hint="eastAsia"/>
                <w:color w:val="000000"/>
                <w:sz w:val="24"/>
              </w:rPr>
              <w:t>）一级</w:t>
            </w:r>
            <w:r>
              <w:rPr>
                <w:color w:val="000000"/>
                <w:sz w:val="24"/>
              </w:rPr>
              <w:t>A</w:t>
            </w:r>
            <w:r>
              <w:rPr>
                <w:rFonts w:hint="eastAsia"/>
                <w:color w:val="000000"/>
                <w:sz w:val="24"/>
              </w:rPr>
              <w:t>标准后排放。</w:t>
            </w:r>
          </w:p>
          <w:p>
            <w:pPr>
              <w:spacing w:line="360" w:lineRule="auto"/>
              <w:ind w:firstLine="480" w:firstLineChars="200"/>
              <w:rPr>
                <w:color w:val="000000"/>
                <w:sz w:val="24"/>
              </w:rPr>
            </w:pPr>
            <w:r>
              <w:rPr>
                <w:rFonts w:hint="eastAsia"/>
                <w:color w:val="000000"/>
                <w:sz w:val="24"/>
              </w:rPr>
              <w:t>该</w:t>
            </w:r>
            <w:r>
              <w:rPr>
                <w:color w:val="000000"/>
                <w:sz w:val="24"/>
              </w:rPr>
              <w:t>项目不取地下水，不会对区域地下水水位等造成影响，项目可能对地下水造成影响的方式主要为污染物通过渗透方式进入地下水环境。加强项目污水收集设施、污水管接口的检查和维护，可有效防止因污水渗漏引起的地下水污染。</w:t>
            </w:r>
          </w:p>
          <w:p>
            <w:pPr>
              <w:spacing w:line="360" w:lineRule="auto"/>
              <w:ind w:firstLine="480" w:firstLineChars="200"/>
              <w:rPr>
                <w:color w:val="000000"/>
                <w:sz w:val="24"/>
                <w:szCs w:val="24"/>
              </w:rPr>
            </w:pPr>
            <w:r>
              <w:rPr>
                <w:rFonts w:hint="eastAsia"/>
                <w:color w:val="000000"/>
                <w:sz w:val="24"/>
              </w:rPr>
              <w:t>通过采取以上措施，项目废水</w:t>
            </w:r>
            <w:r>
              <w:rPr>
                <w:color w:val="000000"/>
                <w:sz w:val="24"/>
              </w:rPr>
              <w:t>对周围水环境影响</w:t>
            </w:r>
            <w:r>
              <w:rPr>
                <w:rFonts w:hint="eastAsia"/>
                <w:color w:val="000000"/>
                <w:sz w:val="24"/>
              </w:rPr>
              <w:t>很</w:t>
            </w:r>
            <w:r>
              <w:rPr>
                <w:color w:val="000000"/>
                <w:sz w:val="24"/>
              </w:rPr>
              <w:t>小。</w:t>
            </w:r>
          </w:p>
          <w:p>
            <w:pPr>
              <w:spacing w:line="360" w:lineRule="auto"/>
              <w:ind w:firstLine="480" w:firstLineChars="200"/>
              <w:rPr>
                <w:sz w:val="24"/>
                <w:szCs w:val="24"/>
              </w:rPr>
            </w:pPr>
            <w:r>
              <w:rPr>
                <w:rFonts w:hint="eastAsia"/>
                <w:sz w:val="24"/>
                <w:szCs w:val="24"/>
              </w:rPr>
              <w:t>（3）项目采取相应噪声防治措施，</w:t>
            </w:r>
            <w:r>
              <w:rPr>
                <w:sz w:val="24"/>
                <w:szCs w:val="24"/>
              </w:rPr>
              <w:t>厂界噪声值能够达到《工业企业厂界环境噪声排放标准》（GB12348-2008）中的</w:t>
            </w:r>
            <w:r>
              <w:rPr>
                <w:rFonts w:hint="eastAsia"/>
                <w:sz w:val="24"/>
                <w:szCs w:val="24"/>
              </w:rPr>
              <w:t>3</w:t>
            </w:r>
            <w:r>
              <w:rPr>
                <w:sz w:val="24"/>
                <w:szCs w:val="24"/>
              </w:rPr>
              <w:t>类标准要求。</w:t>
            </w:r>
            <w:r>
              <w:rPr>
                <w:sz w:val="24"/>
              </w:rPr>
              <w:t>项目</w:t>
            </w:r>
            <w:r>
              <w:rPr>
                <w:rFonts w:hint="eastAsia"/>
                <w:sz w:val="24"/>
              </w:rPr>
              <w:t>周边200m范围内没有声敏感保护目标，</w:t>
            </w:r>
            <w:r>
              <w:rPr>
                <w:sz w:val="24"/>
                <w:szCs w:val="24"/>
              </w:rPr>
              <w:t>项目对周围声环境影响</w:t>
            </w:r>
            <w:r>
              <w:rPr>
                <w:rFonts w:hint="eastAsia"/>
                <w:sz w:val="24"/>
                <w:szCs w:val="24"/>
              </w:rPr>
              <w:t>很</w:t>
            </w:r>
            <w:r>
              <w:rPr>
                <w:sz w:val="24"/>
                <w:szCs w:val="24"/>
              </w:rPr>
              <w:t>小。</w:t>
            </w:r>
          </w:p>
          <w:p>
            <w:pPr>
              <w:spacing w:line="360" w:lineRule="auto"/>
              <w:ind w:firstLine="480" w:firstLineChars="200"/>
              <w:rPr>
                <w:sz w:val="24"/>
                <w:szCs w:val="24"/>
              </w:rPr>
            </w:pPr>
            <w:r>
              <w:rPr>
                <w:rFonts w:hint="eastAsia"/>
                <w:sz w:val="24"/>
                <w:szCs w:val="24"/>
              </w:rPr>
              <w:t>（4）项目一般固废</w:t>
            </w:r>
            <w:r>
              <w:rPr>
                <w:rFonts w:eastAsiaTheme="minorEastAsia"/>
                <w:sz w:val="24"/>
                <w:szCs w:val="24"/>
              </w:rPr>
              <w:t>由物资回收</w:t>
            </w:r>
            <w:r>
              <w:rPr>
                <w:rFonts w:hint="eastAsia" w:eastAsiaTheme="minorEastAsia"/>
                <w:sz w:val="24"/>
                <w:szCs w:val="24"/>
              </w:rPr>
              <w:t>公司回收</w:t>
            </w:r>
            <w:r>
              <w:rPr>
                <w:rFonts w:eastAsiaTheme="minorEastAsia"/>
                <w:sz w:val="24"/>
                <w:szCs w:val="24"/>
              </w:rPr>
              <w:t>综合利用</w:t>
            </w:r>
            <w:r>
              <w:rPr>
                <w:rFonts w:hint="eastAsia" w:eastAsiaTheme="minorEastAsia"/>
                <w:sz w:val="24"/>
                <w:szCs w:val="24"/>
              </w:rPr>
              <w:t>；</w:t>
            </w:r>
            <w:r>
              <w:rPr>
                <w:rFonts w:hint="eastAsia"/>
                <w:sz w:val="24"/>
              </w:rPr>
              <w:t>危险废物委托有资质单位进行合理有效处置</w:t>
            </w:r>
            <w:r>
              <w:rPr>
                <w:rFonts w:hint="eastAsia"/>
                <w:sz w:val="24"/>
                <w:szCs w:val="24"/>
              </w:rPr>
              <w:t>。</w:t>
            </w:r>
          </w:p>
          <w:p>
            <w:pPr>
              <w:spacing w:line="360" w:lineRule="auto"/>
              <w:ind w:firstLine="480" w:firstLineChars="200"/>
              <w:rPr>
                <w:sz w:val="24"/>
                <w:szCs w:val="24"/>
              </w:rPr>
            </w:pPr>
            <w:r>
              <w:rPr>
                <w:rFonts w:hint="eastAsia"/>
                <w:sz w:val="24"/>
                <w:szCs w:val="24"/>
              </w:rPr>
              <w:t>通过采取以上措施，固体废物对周围环境基本无影响。</w:t>
            </w:r>
          </w:p>
          <w:p>
            <w:pPr>
              <w:spacing w:line="360" w:lineRule="auto"/>
              <w:ind w:firstLine="480" w:firstLineChars="200"/>
              <w:rPr>
                <w:sz w:val="24"/>
                <w:szCs w:val="24"/>
              </w:rPr>
            </w:pPr>
            <w:r>
              <w:rPr>
                <w:rFonts w:hint="eastAsia"/>
                <w:sz w:val="24"/>
                <w:szCs w:val="24"/>
              </w:rPr>
              <w:t>（5）对各环境风险因素进行严格要求后，项目的环境风险事故概率较低，处于可接受水平。</w:t>
            </w:r>
          </w:p>
          <w:p>
            <w:pPr>
              <w:widowControl/>
              <w:spacing w:line="360" w:lineRule="auto"/>
              <w:ind w:firstLine="480" w:firstLineChars="200"/>
              <w:jc w:val="left"/>
              <w:rPr>
                <w:rFonts w:eastAsia="黑体"/>
                <w:sz w:val="24"/>
                <w:szCs w:val="24"/>
              </w:rPr>
            </w:pPr>
            <w:r>
              <w:rPr>
                <w:rFonts w:hint="eastAsia" w:eastAsia="黑体"/>
                <w:sz w:val="24"/>
                <w:szCs w:val="24"/>
              </w:rPr>
              <w:t>7、项目环境保护三同时验收一览表</w:t>
            </w:r>
          </w:p>
          <w:p>
            <w:pPr>
              <w:widowControl/>
              <w:spacing w:line="360" w:lineRule="auto"/>
              <w:ind w:firstLine="480" w:firstLineChars="200"/>
              <w:rPr>
                <w:sz w:val="24"/>
                <w:szCs w:val="24"/>
              </w:rPr>
            </w:pPr>
            <w:r>
              <w:rPr>
                <w:rFonts w:hint="eastAsia"/>
                <w:sz w:val="24"/>
                <w:szCs w:val="24"/>
              </w:rPr>
              <w:t>项目三同时验收情况一览表见表25。</w:t>
            </w: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cs="黑体"/>
                <w:sz w:val="24"/>
                <w:szCs w:val="24"/>
              </w:rPr>
            </w:pPr>
          </w:p>
          <w:p>
            <w:pPr>
              <w:widowControl/>
              <w:spacing w:line="276" w:lineRule="auto"/>
              <w:ind w:firstLine="480" w:firstLineChars="200"/>
              <w:jc w:val="center"/>
              <w:rPr>
                <w:rFonts w:eastAsia="黑体"/>
                <w:sz w:val="24"/>
                <w:szCs w:val="24"/>
              </w:rPr>
            </w:pPr>
            <w:r>
              <w:rPr>
                <w:rFonts w:hint="eastAsia" w:eastAsia="黑体" w:cs="黑体"/>
                <w:sz w:val="24"/>
                <w:szCs w:val="24"/>
              </w:rPr>
              <w:t>表</w:t>
            </w:r>
            <w:r>
              <w:rPr>
                <w:rFonts w:hint="eastAsia" w:eastAsia="黑体"/>
                <w:sz w:val="24"/>
                <w:szCs w:val="24"/>
              </w:rPr>
              <w:t>25</w:t>
            </w:r>
            <w:r>
              <w:rPr>
                <w:rFonts w:eastAsia="黑体"/>
                <w:sz w:val="24"/>
                <w:szCs w:val="24"/>
              </w:rPr>
              <w:t xml:space="preserve"> </w:t>
            </w:r>
            <w:r>
              <w:rPr>
                <w:rFonts w:hint="eastAsia" w:eastAsia="黑体" w:cs="黑体"/>
                <w:sz w:val="24"/>
                <w:szCs w:val="24"/>
              </w:rPr>
              <w:t>三同时验收一览表</w:t>
            </w:r>
          </w:p>
          <w:tbl>
            <w:tblPr>
              <w:tblStyle w:val="26"/>
              <w:tblW w:w="86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4"/>
              <w:gridCol w:w="953"/>
              <w:gridCol w:w="1361"/>
              <w:gridCol w:w="1843"/>
              <w:gridCol w:w="2502"/>
              <w:gridCol w:w="758"/>
              <w:gridCol w:w="6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544" w:type="dxa"/>
                  <w:tcBorders>
                    <w:top w:val="single" w:color="000000" w:sz="4" w:space="0"/>
                    <w:left w:val="single" w:color="000000" w:sz="4" w:space="0"/>
                    <w:right w:val="single" w:color="000000" w:sz="4" w:space="0"/>
                  </w:tcBorders>
                  <w:vAlign w:val="center"/>
                </w:tcPr>
                <w:p>
                  <w:pPr>
                    <w:widowControl/>
                    <w:jc w:val="center"/>
                    <w:rPr>
                      <w:sz w:val="21"/>
                      <w:szCs w:val="21"/>
                    </w:rPr>
                  </w:pPr>
                  <w:r>
                    <w:rPr>
                      <w:rFonts w:hint="eastAsia"/>
                      <w:sz w:val="21"/>
                      <w:szCs w:val="21"/>
                    </w:rPr>
                    <w:t>类别</w:t>
                  </w:r>
                </w:p>
              </w:tc>
              <w:tc>
                <w:tcPr>
                  <w:tcW w:w="953" w:type="dxa"/>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污染源</w:t>
                  </w:r>
                </w:p>
              </w:tc>
              <w:tc>
                <w:tcPr>
                  <w:tcW w:w="1361" w:type="dxa"/>
                  <w:tcBorders>
                    <w:top w:val="single" w:color="000000" w:sz="4" w:space="0"/>
                    <w:left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污染物</w:t>
                  </w:r>
                </w:p>
              </w:tc>
              <w:tc>
                <w:tcPr>
                  <w:tcW w:w="1843" w:type="dxa"/>
                  <w:tcBorders>
                    <w:top w:val="single" w:color="000000" w:sz="4" w:space="0"/>
                    <w:left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治理措施</w:t>
                  </w:r>
                </w:p>
              </w:tc>
              <w:tc>
                <w:tcPr>
                  <w:tcW w:w="2502" w:type="dxa"/>
                  <w:tcBorders>
                    <w:top w:val="single" w:color="000000" w:sz="4" w:space="0"/>
                    <w:left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执行标准</w:t>
                  </w:r>
                </w:p>
              </w:tc>
              <w:tc>
                <w:tcPr>
                  <w:tcW w:w="758" w:type="dxa"/>
                  <w:tcBorders>
                    <w:top w:val="single" w:color="000000" w:sz="4" w:space="0"/>
                    <w:left w:val="single" w:color="000000" w:sz="4" w:space="0"/>
                    <w:right w:val="single" w:color="000000" w:sz="4" w:space="0"/>
                  </w:tcBorders>
                  <w:vAlign w:val="center"/>
                </w:tcPr>
                <w:p>
                  <w:pPr>
                    <w:widowControl/>
                    <w:jc w:val="center"/>
                    <w:rPr>
                      <w:sz w:val="21"/>
                      <w:szCs w:val="21"/>
                    </w:rPr>
                  </w:pPr>
                  <w:r>
                    <w:rPr>
                      <w:rFonts w:hint="eastAsia"/>
                      <w:sz w:val="21"/>
                      <w:szCs w:val="21"/>
                    </w:rPr>
                    <w:t>治理</w:t>
                  </w:r>
                </w:p>
                <w:p>
                  <w:pPr>
                    <w:widowControl/>
                    <w:jc w:val="center"/>
                    <w:rPr>
                      <w:sz w:val="21"/>
                      <w:szCs w:val="21"/>
                    </w:rPr>
                  </w:pPr>
                  <w:r>
                    <w:rPr>
                      <w:rFonts w:hint="eastAsia"/>
                      <w:sz w:val="21"/>
                      <w:szCs w:val="21"/>
                    </w:rPr>
                    <w:t>效果</w:t>
                  </w:r>
                </w:p>
              </w:tc>
              <w:tc>
                <w:tcPr>
                  <w:tcW w:w="657" w:type="dxa"/>
                  <w:tcBorders>
                    <w:top w:val="single" w:color="000000" w:sz="4" w:space="0"/>
                    <w:left w:val="single" w:color="000000" w:sz="4" w:space="0"/>
                    <w:right w:val="single" w:color="000000" w:sz="4" w:space="0"/>
                  </w:tcBorders>
                  <w:vAlign w:val="center"/>
                </w:tcPr>
                <w:p>
                  <w:pPr>
                    <w:widowControl/>
                    <w:jc w:val="center"/>
                    <w:rPr>
                      <w:sz w:val="21"/>
                      <w:szCs w:val="21"/>
                    </w:rPr>
                  </w:pPr>
                  <w:r>
                    <w:rPr>
                      <w:rFonts w:hint="eastAsia"/>
                      <w:sz w:val="21"/>
                      <w:szCs w:val="21"/>
                    </w:rPr>
                    <w:t>完成时间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8" w:hRule="atLeast"/>
                <w:jc w:val="center"/>
              </w:trPr>
              <w:tc>
                <w:tcPr>
                  <w:tcW w:w="544" w:type="dxa"/>
                  <w:tcBorders>
                    <w:left w:val="single" w:color="000000" w:sz="4" w:space="0"/>
                    <w:right w:val="single" w:color="000000" w:sz="4" w:space="0"/>
                  </w:tcBorders>
                  <w:vAlign w:val="center"/>
                </w:tcPr>
                <w:p>
                  <w:pPr>
                    <w:jc w:val="center"/>
                    <w:rPr>
                      <w:sz w:val="21"/>
                      <w:szCs w:val="21"/>
                    </w:rPr>
                  </w:pPr>
                  <w:r>
                    <w:rPr>
                      <w:rFonts w:hint="eastAsia"/>
                      <w:sz w:val="21"/>
                      <w:szCs w:val="21"/>
                    </w:rPr>
                    <w:t>废气</w:t>
                  </w:r>
                </w:p>
              </w:tc>
              <w:tc>
                <w:tcPr>
                  <w:tcW w:w="953" w:type="dxa"/>
                  <w:tcBorders>
                    <w:top w:val="single" w:color="000000" w:sz="4" w:space="0"/>
                    <w:left w:val="single" w:color="000000" w:sz="4" w:space="0"/>
                    <w:right w:val="single" w:color="000000" w:sz="4" w:space="0"/>
                  </w:tcBorders>
                  <w:vAlign w:val="center"/>
                </w:tcPr>
                <w:p>
                  <w:pPr>
                    <w:spacing w:line="480" w:lineRule="exact"/>
                    <w:jc w:val="center"/>
                    <w:rPr>
                      <w:sz w:val="21"/>
                      <w:szCs w:val="21"/>
                    </w:rPr>
                  </w:pPr>
                  <w:r>
                    <w:rPr>
                      <w:rFonts w:hint="eastAsia"/>
                      <w:sz w:val="21"/>
                      <w:szCs w:val="21"/>
                    </w:rPr>
                    <w:t>生产</w:t>
                  </w:r>
                </w:p>
              </w:tc>
              <w:tc>
                <w:tcPr>
                  <w:tcW w:w="1361" w:type="dxa"/>
                  <w:tcBorders>
                    <w:top w:val="single" w:color="000000" w:sz="4" w:space="0"/>
                    <w:left w:val="single" w:color="000000" w:sz="4" w:space="0"/>
                    <w:right w:val="single" w:color="000000" w:sz="4" w:space="0"/>
                  </w:tcBorders>
                  <w:vAlign w:val="center"/>
                </w:tcPr>
                <w:p>
                  <w:pPr>
                    <w:jc w:val="center"/>
                    <w:rPr>
                      <w:sz w:val="21"/>
                      <w:szCs w:val="21"/>
                    </w:rPr>
                  </w:pPr>
                  <w:r>
                    <w:rPr>
                      <w:rFonts w:hint="eastAsia"/>
                      <w:sz w:val="21"/>
                      <w:szCs w:val="21"/>
                    </w:rPr>
                    <w:t>VOCs</w:t>
                  </w:r>
                </w:p>
              </w:tc>
              <w:tc>
                <w:tcPr>
                  <w:tcW w:w="1843" w:type="dxa"/>
                  <w:tcBorders>
                    <w:top w:val="single" w:color="000000" w:sz="4" w:space="0"/>
                    <w:left w:val="single" w:color="000000" w:sz="4" w:space="0"/>
                    <w:right w:val="single" w:color="000000" w:sz="4" w:space="0"/>
                  </w:tcBorders>
                  <w:vAlign w:val="center"/>
                </w:tcPr>
                <w:p>
                  <w:pPr>
                    <w:jc w:val="center"/>
                    <w:rPr>
                      <w:sz w:val="21"/>
                      <w:szCs w:val="21"/>
                    </w:rPr>
                  </w:pPr>
                  <w:r>
                    <w:rPr>
                      <w:rFonts w:hint="eastAsia"/>
                      <w:sz w:val="21"/>
                      <w:szCs w:val="21"/>
                    </w:rPr>
                    <w:t>活性炭吸附</w:t>
                  </w:r>
                </w:p>
              </w:tc>
              <w:tc>
                <w:tcPr>
                  <w:tcW w:w="2502" w:type="dxa"/>
                  <w:tcBorders>
                    <w:top w:val="single" w:color="000000" w:sz="4" w:space="0"/>
                    <w:left w:val="single" w:color="000000" w:sz="4" w:space="0"/>
                    <w:right w:val="single" w:color="000000" w:sz="4" w:space="0"/>
                  </w:tcBorders>
                  <w:vAlign w:val="center"/>
                </w:tcPr>
                <w:p>
                  <w:pPr>
                    <w:jc w:val="left"/>
                    <w:rPr>
                      <w:snapToGrid w:val="0"/>
                      <w:kern w:val="0"/>
                      <w:sz w:val="21"/>
                      <w:szCs w:val="21"/>
                    </w:rPr>
                  </w:pPr>
                  <w:r>
                    <w:rPr>
                      <w:snapToGrid w:val="0"/>
                      <w:kern w:val="0"/>
                      <w:sz w:val="21"/>
                      <w:szCs w:val="21"/>
                    </w:rPr>
                    <w:t>《</w:t>
                  </w:r>
                  <w:r>
                    <w:rPr>
                      <w:rFonts w:hint="eastAsia"/>
                      <w:snapToGrid w:val="0"/>
                      <w:kern w:val="0"/>
                      <w:sz w:val="21"/>
                      <w:szCs w:val="21"/>
                    </w:rPr>
                    <w:t>挥发性有机物</w:t>
                  </w:r>
                  <w:r>
                    <w:rPr>
                      <w:snapToGrid w:val="0"/>
                      <w:kern w:val="0"/>
                      <w:sz w:val="21"/>
                      <w:szCs w:val="21"/>
                    </w:rPr>
                    <w:t>排放标准</w:t>
                  </w:r>
                  <w:r>
                    <w:rPr>
                      <w:rFonts w:hint="eastAsia"/>
                      <w:snapToGrid w:val="0"/>
                      <w:kern w:val="0"/>
                      <w:sz w:val="21"/>
                      <w:szCs w:val="21"/>
                    </w:rPr>
                    <w:t xml:space="preserve"> 第7部分：其他行业</w:t>
                  </w:r>
                  <w:r>
                    <w:rPr>
                      <w:snapToGrid w:val="0"/>
                      <w:kern w:val="0"/>
                      <w:sz w:val="21"/>
                      <w:szCs w:val="21"/>
                    </w:rPr>
                    <w:t>》（</w:t>
                  </w:r>
                  <w:r>
                    <w:rPr>
                      <w:rFonts w:hint="eastAsia"/>
                      <w:snapToGrid w:val="0"/>
                      <w:kern w:val="0"/>
                      <w:sz w:val="21"/>
                      <w:szCs w:val="21"/>
                    </w:rPr>
                    <w:t>DB37/2801.7-2019</w:t>
                  </w:r>
                  <w:r>
                    <w:rPr>
                      <w:snapToGrid w:val="0"/>
                      <w:kern w:val="0"/>
                      <w:sz w:val="21"/>
                      <w:szCs w:val="21"/>
                    </w:rPr>
                    <w:t>）</w:t>
                  </w:r>
                  <w:r>
                    <w:rPr>
                      <w:rFonts w:hint="eastAsia"/>
                      <w:snapToGrid w:val="0"/>
                      <w:kern w:val="0"/>
                      <w:sz w:val="21"/>
                      <w:szCs w:val="21"/>
                    </w:rPr>
                    <w:t>表1、表2标准限值。</w:t>
                  </w:r>
                </w:p>
              </w:tc>
              <w:tc>
                <w:tcPr>
                  <w:tcW w:w="758" w:type="dxa"/>
                  <w:tcBorders>
                    <w:top w:val="single" w:color="000000" w:sz="4" w:space="0"/>
                    <w:left w:val="single" w:color="000000" w:sz="4" w:space="0"/>
                    <w:right w:val="single" w:color="000000" w:sz="4" w:space="0"/>
                  </w:tcBorders>
                  <w:vAlign w:val="center"/>
                </w:tcPr>
                <w:p>
                  <w:pPr>
                    <w:widowControl/>
                    <w:jc w:val="center"/>
                    <w:rPr>
                      <w:sz w:val="21"/>
                      <w:szCs w:val="21"/>
                    </w:rPr>
                  </w:pPr>
                  <w:r>
                    <w:rPr>
                      <w:rFonts w:hint="eastAsia"/>
                      <w:sz w:val="21"/>
                      <w:szCs w:val="21"/>
                    </w:rPr>
                    <w:t>达标</w:t>
                  </w:r>
                </w:p>
                <w:p>
                  <w:pPr>
                    <w:jc w:val="center"/>
                    <w:rPr>
                      <w:sz w:val="21"/>
                      <w:szCs w:val="21"/>
                    </w:rPr>
                  </w:pPr>
                  <w:r>
                    <w:rPr>
                      <w:rFonts w:hint="eastAsia"/>
                      <w:sz w:val="21"/>
                      <w:szCs w:val="21"/>
                    </w:rPr>
                    <w:t>排放</w:t>
                  </w:r>
                </w:p>
              </w:tc>
              <w:tc>
                <w:tcPr>
                  <w:tcW w:w="657" w:type="dxa"/>
                  <w:vMerge w:val="restart"/>
                  <w:tcBorders>
                    <w:left w:val="single" w:color="000000" w:sz="4" w:space="0"/>
                    <w:right w:val="single" w:color="000000" w:sz="4" w:space="0"/>
                  </w:tcBorders>
                  <w:vAlign w:val="center"/>
                </w:tcPr>
                <w:p>
                  <w:pPr>
                    <w:widowControl/>
                    <w:jc w:val="center"/>
                    <w:rPr>
                      <w:sz w:val="21"/>
                      <w:szCs w:val="21"/>
                    </w:rPr>
                  </w:pPr>
                  <w:r>
                    <w:rPr>
                      <w:rFonts w:hint="eastAsia"/>
                      <w:sz w:val="21"/>
                      <w:szCs w:val="21"/>
                    </w:rPr>
                    <w:t>与主体工程同时设计、同时施工、同时投入运行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8" w:hRule="atLeast"/>
                <w:jc w:val="center"/>
              </w:trPr>
              <w:tc>
                <w:tcPr>
                  <w:tcW w:w="544" w:type="dxa"/>
                  <w:tcBorders>
                    <w:left w:val="single" w:color="000000" w:sz="4" w:space="0"/>
                    <w:right w:val="single" w:color="000000" w:sz="4" w:space="0"/>
                  </w:tcBorders>
                  <w:vAlign w:val="center"/>
                </w:tcPr>
                <w:p>
                  <w:pPr>
                    <w:jc w:val="center"/>
                    <w:rPr>
                      <w:sz w:val="21"/>
                      <w:szCs w:val="21"/>
                    </w:rPr>
                  </w:pPr>
                  <w:r>
                    <w:rPr>
                      <w:rFonts w:hint="eastAsia"/>
                      <w:sz w:val="21"/>
                      <w:szCs w:val="21"/>
                    </w:rPr>
                    <w:t>废水</w:t>
                  </w:r>
                </w:p>
              </w:tc>
              <w:tc>
                <w:tcPr>
                  <w:tcW w:w="953" w:type="dxa"/>
                  <w:tcBorders>
                    <w:top w:val="single" w:color="000000" w:sz="4" w:space="0"/>
                    <w:left w:val="single" w:color="000000" w:sz="4" w:space="0"/>
                    <w:right w:val="single" w:color="000000" w:sz="4" w:space="0"/>
                  </w:tcBorders>
                  <w:vAlign w:val="center"/>
                </w:tcPr>
                <w:p>
                  <w:pPr>
                    <w:spacing w:line="480" w:lineRule="exact"/>
                    <w:jc w:val="center"/>
                    <w:rPr>
                      <w:sz w:val="21"/>
                      <w:szCs w:val="21"/>
                    </w:rPr>
                  </w:pPr>
                  <w:r>
                    <w:rPr>
                      <w:rFonts w:hint="eastAsia"/>
                      <w:sz w:val="21"/>
                      <w:szCs w:val="21"/>
                    </w:rPr>
                    <w:t>生产、生活</w:t>
                  </w:r>
                </w:p>
              </w:tc>
              <w:tc>
                <w:tcPr>
                  <w:tcW w:w="1361" w:type="dxa"/>
                  <w:tcBorders>
                    <w:top w:val="single" w:color="000000" w:sz="4" w:space="0"/>
                    <w:left w:val="single" w:color="000000" w:sz="4" w:space="0"/>
                    <w:right w:val="single" w:color="000000" w:sz="4" w:space="0"/>
                  </w:tcBorders>
                  <w:vAlign w:val="center"/>
                </w:tcPr>
                <w:p>
                  <w:pPr>
                    <w:jc w:val="center"/>
                    <w:rPr>
                      <w:sz w:val="21"/>
                      <w:szCs w:val="21"/>
                    </w:rPr>
                  </w:pPr>
                  <w:r>
                    <w:rPr>
                      <w:rFonts w:hint="eastAsia"/>
                      <w:sz w:val="21"/>
                      <w:szCs w:val="21"/>
                    </w:rPr>
                    <w:t>——</w:t>
                  </w:r>
                </w:p>
              </w:tc>
              <w:tc>
                <w:tcPr>
                  <w:tcW w:w="1843" w:type="dxa"/>
                  <w:tcBorders>
                    <w:top w:val="single" w:color="000000" w:sz="4" w:space="0"/>
                    <w:left w:val="single" w:color="000000" w:sz="4" w:space="0"/>
                    <w:right w:val="single" w:color="000000" w:sz="4" w:space="0"/>
                  </w:tcBorders>
                  <w:vAlign w:val="center"/>
                </w:tcPr>
                <w:p>
                  <w:pPr>
                    <w:jc w:val="center"/>
                    <w:rPr>
                      <w:sz w:val="21"/>
                      <w:szCs w:val="21"/>
                    </w:rPr>
                  </w:pPr>
                  <w:r>
                    <w:rPr>
                      <w:rFonts w:hint="eastAsia"/>
                      <w:kern w:val="0"/>
                      <w:sz w:val="21"/>
                      <w:szCs w:val="21"/>
                      <w:lang w:val="zh-CN"/>
                    </w:rPr>
                    <w:t>市政管网+污水处理厂</w:t>
                  </w:r>
                </w:p>
              </w:tc>
              <w:tc>
                <w:tcPr>
                  <w:tcW w:w="2502" w:type="dxa"/>
                  <w:tcBorders>
                    <w:top w:val="single" w:color="000000" w:sz="4" w:space="0"/>
                    <w:left w:val="single" w:color="000000" w:sz="4" w:space="0"/>
                    <w:right w:val="single" w:color="000000" w:sz="4" w:space="0"/>
                  </w:tcBorders>
                  <w:vAlign w:val="center"/>
                </w:tcPr>
                <w:p>
                  <w:pPr>
                    <w:jc w:val="center"/>
                    <w:rPr>
                      <w:sz w:val="21"/>
                      <w:szCs w:val="21"/>
                    </w:rPr>
                  </w:pPr>
                  <w:r>
                    <w:rPr>
                      <w:rFonts w:hint="eastAsia"/>
                      <w:kern w:val="0"/>
                      <w:sz w:val="21"/>
                      <w:szCs w:val="21"/>
                      <w:lang w:val="zh-CN"/>
                    </w:rPr>
                    <w:t>——</w:t>
                  </w:r>
                </w:p>
              </w:tc>
              <w:tc>
                <w:tcPr>
                  <w:tcW w:w="758" w:type="dxa"/>
                  <w:tcBorders>
                    <w:top w:val="single" w:color="000000" w:sz="4" w:space="0"/>
                    <w:left w:val="single" w:color="000000" w:sz="4" w:space="0"/>
                    <w:right w:val="single" w:color="000000" w:sz="4" w:space="0"/>
                  </w:tcBorders>
                  <w:vAlign w:val="center"/>
                </w:tcPr>
                <w:p>
                  <w:pPr>
                    <w:widowControl/>
                    <w:jc w:val="center"/>
                    <w:rPr>
                      <w:sz w:val="21"/>
                      <w:szCs w:val="21"/>
                    </w:rPr>
                  </w:pPr>
                  <w:r>
                    <w:rPr>
                      <w:rFonts w:hint="eastAsia"/>
                      <w:sz w:val="21"/>
                      <w:szCs w:val="21"/>
                    </w:rPr>
                    <w:t>达标</w:t>
                  </w:r>
                </w:p>
                <w:p>
                  <w:pPr>
                    <w:jc w:val="center"/>
                    <w:rPr>
                      <w:sz w:val="21"/>
                      <w:szCs w:val="21"/>
                    </w:rPr>
                  </w:pPr>
                  <w:r>
                    <w:rPr>
                      <w:rFonts w:hint="eastAsia"/>
                      <w:sz w:val="21"/>
                      <w:szCs w:val="21"/>
                    </w:rPr>
                    <w:t>排放</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5" w:hRule="atLeast"/>
                <w:jc w:val="center"/>
              </w:trPr>
              <w:tc>
                <w:tcPr>
                  <w:tcW w:w="544" w:type="dxa"/>
                  <w:vMerge w:val="restart"/>
                  <w:tcBorders>
                    <w:left w:val="single" w:color="000000" w:sz="4" w:space="0"/>
                    <w:right w:val="single" w:color="000000" w:sz="4" w:space="0"/>
                  </w:tcBorders>
                  <w:vAlign w:val="center"/>
                </w:tcPr>
                <w:p>
                  <w:pPr>
                    <w:rPr>
                      <w:sz w:val="21"/>
                      <w:szCs w:val="21"/>
                    </w:rPr>
                  </w:pPr>
                  <w:r>
                    <w:rPr>
                      <w:rFonts w:hint="eastAsia"/>
                      <w:sz w:val="21"/>
                      <w:szCs w:val="21"/>
                    </w:rPr>
                    <w:t>固废</w:t>
                  </w:r>
                </w:p>
              </w:tc>
              <w:tc>
                <w:tcPr>
                  <w:tcW w:w="953" w:type="dxa"/>
                  <w:vMerge w:val="restart"/>
                  <w:tcBorders>
                    <w:left w:val="single" w:color="000000" w:sz="4" w:space="0"/>
                    <w:right w:val="single" w:color="000000" w:sz="4" w:space="0"/>
                  </w:tcBorders>
                  <w:vAlign w:val="center"/>
                </w:tcPr>
                <w:p>
                  <w:pPr>
                    <w:spacing w:line="480" w:lineRule="exact"/>
                    <w:jc w:val="center"/>
                    <w:rPr>
                      <w:sz w:val="21"/>
                      <w:szCs w:val="21"/>
                    </w:rPr>
                  </w:pPr>
                  <w:r>
                    <w:rPr>
                      <w:rFonts w:hint="eastAsia"/>
                      <w:sz w:val="21"/>
                      <w:szCs w:val="21"/>
                    </w:rPr>
                    <w:t>生产</w:t>
                  </w:r>
                </w:p>
              </w:tc>
              <w:tc>
                <w:tcPr>
                  <w:tcW w:w="1361" w:type="dxa"/>
                  <w:tcBorders>
                    <w:top w:val="single" w:color="000000" w:sz="4" w:space="0"/>
                    <w:left w:val="single" w:color="000000" w:sz="4" w:space="0"/>
                    <w:right w:val="single" w:color="000000" w:sz="4" w:space="0"/>
                  </w:tcBorders>
                  <w:vAlign w:val="center"/>
                </w:tcPr>
                <w:p>
                  <w:pPr>
                    <w:adjustRightInd w:val="0"/>
                    <w:snapToGrid w:val="0"/>
                    <w:jc w:val="center"/>
                    <w:rPr>
                      <w:sz w:val="21"/>
                      <w:szCs w:val="21"/>
                    </w:rPr>
                  </w:pPr>
                  <w:r>
                    <w:rPr>
                      <w:rFonts w:hint="eastAsia"/>
                      <w:sz w:val="21"/>
                      <w:szCs w:val="21"/>
                    </w:rPr>
                    <w:t>边角料等一般固废</w:t>
                  </w:r>
                </w:p>
              </w:tc>
              <w:tc>
                <w:tcPr>
                  <w:tcW w:w="4345" w:type="dxa"/>
                  <w:gridSpan w:val="2"/>
                  <w:tcBorders>
                    <w:left w:val="single" w:color="000000" w:sz="4" w:space="0"/>
                    <w:right w:val="single" w:color="000000" w:sz="4" w:space="0"/>
                  </w:tcBorders>
                  <w:vAlign w:val="center"/>
                </w:tcPr>
                <w:p>
                  <w:pPr>
                    <w:jc w:val="center"/>
                    <w:rPr>
                      <w:sz w:val="21"/>
                      <w:szCs w:val="21"/>
                    </w:rPr>
                  </w:pPr>
                  <w:r>
                    <w:rPr>
                      <w:rFonts w:hint="eastAsia"/>
                      <w:color w:val="000000" w:themeColor="text1"/>
                      <w:sz w:val="21"/>
                      <w:szCs w:val="21"/>
                    </w:rPr>
                    <w:t>回收利用</w:t>
                  </w:r>
                </w:p>
              </w:tc>
              <w:tc>
                <w:tcPr>
                  <w:tcW w:w="758" w:type="dxa"/>
                  <w:vMerge w:val="restart"/>
                  <w:tcBorders>
                    <w:left w:val="single" w:color="000000" w:sz="4" w:space="0"/>
                    <w:right w:val="single" w:color="000000" w:sz="4" w:space="0"/>
                  </w:tcBorders>
                  <w:vAlign w:val="center"/>
                </w:tcPr>
                <w:p>
                  <w:pPr>
                    <w:widowControl/>
                    <w:jc w:val="center"/>
                    <w:rPr>
                      <w:sz w:val="21"/>
                      <w:szCs w:val="21"/>
                    </w:rPr>
                  </w:pPr>
                  <w:r>
                    <w:rPr>
                      <w:rFonts w:hint="eastAsia"/>
                      <w:sz w:val="21"/>
                      <w:szCs w:val="21"/>
                    </w:rPr>
                    <w:t>有效处置</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jc w:val="center"/>
              </w:trPr>
              <w:tc>
                <w:tcPr>
                  <w:tcW w:w="544" w:type="dxa"/>
                  <w:vMerge w:val="continue"/>
                  <w:tcBorders>
                    <w:left w:val="single" w:color="000000" w:sz="4" w:space="0"/>
                    <w:right w:val="single" w:color="000000" w:sz="4" w:space="0"/>
                  </w:tcBorders>
                  <w:vAlign w:val="center"/>
                </w:tcPr>
                <w:p>
                  <w:pPr>
                    <w:rPr>
                      <w:sz w:val="21"/>
                      <w:szCs w:val="21"/>
                    </w:rPr>
                  </w:pPr>
                </w:p>
              </w:tc>
              <w:tc>
                <w:tcPr>
                  <w:tcW w:w="953" w:type="dxa"/>
                  <w:vMerge w:val="continue"/>
                  <w:tcBorders>
                    <w:left w:val="single" w:color="000000" w:sz="4" w:space="0"/>
                    <w:right w:val="single" w:color="000000" w:sz="4" w:space="0"/>
                  </w:tcBorders>
                  <w:vAlign w:val="center"/>
                </w:tcPr>
                <w:p>
                  <w:pPr>
                    <w:spacing w:line="480" w:lineRule="exact"/>
                    <w:jc w:val="center"/>
                    <w:rPr>
                      <w:sz w:val="21"/>
                      <w:szCs w:val="21"/>
                    </w:rPr>
                  </w:pPr>
                </w:p>
              </w:tc>
              <w:tc>
                <w:tcPr>
                  <w:tcW w:w="1361" w:type="dxa"/>
                  <w:tcBorders>
                    <w:top w:val="single" w:color="000000" w:sz="4" w:space="0"/>
                    <w:left w:val="single" w:color="000000" w:sz="4" w:space="0"/>
                    <w:right w:val="single" w:color="000000" w:sz="4" w:space="0"/>
                  </w:tcBorders>
                  <w:vAlign w:val="center"/>
                </w:tcPr>
                <w:p>
                  <w:pPr>
                    <w:adjustRightInd w:val="0"/>
                    <w:snapToGrid w:val="0"/>
                    <w:jc w:val="center"/>
                    <w:rPr>
                      <w:sz w:val="21"/>
                      <w:szCs w:val="21"/>
                    </w:rPr>
                  </w:pPr>
                  <w:r>
                    <w:rPr>
                      <w:rFonts w:hint="eastAsia"/>
                      <w:sz w:val="21"/>
                      <w:szCs w:val="21"/>
                    </w:rPr>
                    <w:t>废活性炭等危险废物</w:t>
                  </w:r>
                </w:p>
              </w:tc>
              <w:tc>
                <w:tcPr>
                  <w:tcW w:w="4345" w:type="dxa"/>
                  <w:gridSpan w:val="2"/>
                  <w:tcBorders>
                    <w:left w:val="single" w:color="000000" w:sz="4" w:space="0"/>
                    <w:right w:val="single" w:color="000000" w:sz="4" w:space="0"/>
                  </w:tcBorders>
                  <w:vAlign w:val="center"/>
                </w:tcPr>
                <w:p>
                  <w:pPr>
                    <w:jc w:val="center"/>
                    <w:rPr>
                      <w:sz w:val="21"/>
                      <w:szCs w:val="21"/>
                    </w:rPr>
                  </w:pPr>
                  <w:r>
                    <w:rPr>
                      <w:rFonts w:hint="eastAsia"/>
                      <w:color w:val="000000" w:themeColor="text1"/>
                      <w:sz w:val="21"/>
                      <w:szCs w:val="21"/>
                    </w:rPr>
                    <w:t>委托有资质单位进行处理</w:t>
                  </w:r>
                </w:p>
              </w:tc>
              <w:tc>
                <w:tcPr>
                  <w:tcW w:w="758" w:type="dxa"/>
                  <w:vMerge w:val="continue"/>
                  <w:tcBorders>
                    <w:left w:val="single" w:color="000000" w:sz="4" w:space="0"/>
                    <w:right w:val="single" w:color="000000" w:sz="4" w:space="0"/>
                  </w:tcBorders>
                  <w:vAlign w:val="center"/>
                </w:tcPr>
                <w:p>
                  <w:pPr>
                    <w:widowControl/>
                    <w:jc w:val="center"/>
                    <w:rPr>
                      <w:sz w:val="21"/>
                      <w:szCs w:val="21"/>
                    </w:rPr>
                  </w:pP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7" w:hRule="atLeast"/>
                <w:jc w:val="center"/>
              </w:trPr>
              <w:tc>
                <w:tcPr>
                  <w:tcW w:w="544" w:type="dxa"/>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噪声</w:t>
                  </w:r>
                </w:p>
              </w:tc>
              <w:tc>
                <w:tcPr>
                  <w:tcW w:w="953" w:type="dxa"/>
                  <w:tcBorders>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设备</w:t>
                  </w:r>
                </w:p>
                <w:p>
                  <w:pPr>
                    <w:widowControl/>
                    <w:jc w:val="center"/>
                    <w:rPr>
                      <w:sz w:val="21"/>
                      <w:szCs w:val="21"/>
                    </w:rPr>
                  </w:pPr>
                  <w:r>
                    <w:rPr>
                      <w:rFonts w:hint="eastAsia"/>
                      <w:sz w:val="21"/>
                      <w:szCs w:val="21"/>
                    </w:rPr>
                    <w:t>运行</w:t>
                  </w:r>
                </w:p>
              </w:tc>
              <w:tc>
                <w:tcPr>
                  <w:tcW w:w="1361" w:type="dxa"/>
                  <w:tcBorders>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sz w:val="21"/>
                      <w:szCs w:val="21"/>
                    </w:rPr>
                    <w:t>——</w:t>
                  </w:r>
                </w:p>
              </w:tc>
              <w:tc>
                <w:tcPr>
                  <w:tcW w:w="1843" w:type="dxa"/>
                  <w:tcBorders>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消声、隔声</w:t>
                  </w:r>
                </w:p>
                <w:p>
                  <w:pPr>
                    <w:widowControl/>
                    <w:jc w:val="center"/>
                    <w:rPr>
                      <w:sz w:val="21"/>
                      <w:szCs w:val="21"/>
                    </w:rPr>
                  </w:pPr>
                  <w:r>
                    <w:rPr>
                      <w:rFonts w:hint="eastAsia"/>
                      <w:sz w:val="21"/>
                      <w:szCs w:val="21"/>
                    </w:rPr>
                    <w:t>车间阻隔</w:t>
                  </w:r>
                </w:p>
              </w:tc>
              <w:tc>
                <w:tcPr>
                  <w:tcW w:w="2502" w:type="dxa"/>
                  <w:tcBorders>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《工业企业厂界环境噪声排放标准》（</w:t>
                  </w:r>
                  <w:r>
                    <w:rPr>
                      <w:sz w:val="21"/>
                      <w:szCs w:val="21"/>
                    </w:rPr>
                    <w:t>GB12348-2008</w:t>
                  </w:r>
                  <w:r>
                    <w:rPr>
                      <w:rFonts w:hint="eastAsia"/>
                      <w:sz w:val="21"/>
                      <w:szCs w:val="21"/>
                    </w:rPr>
                    <w:t>）中的3类标准</w:t>
                  </w:r>
                </w:p>
              </w:tc>
              <w:tc>
                <w:tcPr>
                  <w:tcW w:w="758" w:type="dxa"/>
                  <w:tcBorders>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厂界</w:t>
                  </w:r>
                </w:p>
                <w:p>
                  <w:pPr>
                    <w:widowControl/>
                    <w:spacing w:line="480" w:lineRule="exact"/>
                    <w:jc w:val="center"/>
                    <w:rPr>
                      <w:sz w:val="21"/>
                      <w:szCs w:val="21"/>
                    </w:rPr>
                  </w:pPr>
                  <w:r>
                    <w:rPr>
                      <w:rFonts w:hint="eastAsia"/>
                      <w:sz w:val="21"/>
                      <w:szCs w:val="21"/>
                    </w:rPr>
                    <w:t>达标</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 w:hRule="atLeast"/>
                <w:jc w:val="center"/>
              </w:trPr>
              <w:tc>
                <w:tcPr>
                  <w:tcW w:w="149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环境管理</w:t>
                  </w:r>
                </w:p>
              </w:tc>
              <w:tc>
                <w:tcPr>
                  <w:tcW w:w="6464" w:type="dxa"/>
                  <w:gridSpan w:val="4"/>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专职人员</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9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总量指标平衡方案</w:t>
                  </w:r>
                </w:p>
              </w:tc>
              <w:tc>
                <w:tcPr>
                  <w:tcW w:w="6464"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rPr>
                      <w:sz w:val="21"/>
                      <w:szCs w:val="21"/>
                    </w:rPr>
                  </w:pPr>
                  <w:r>
                    <w:rPr>
                      <w:rFonts w:hint="eastAsia"/>
                      <w:color w:val="000000"/>
                      <w:sz w:val="21"/>
                      <w:szCs w:val="21"/>
                    </w:rPr>
                    <w:t>废水总量纳入临港区污水处理厂总量控制指标；挥发性有机物总量从联合金属科技（威海）有限公司减排量中调剂解决。</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2" w:hRule="atLeast"/>
                <w:jc w:val="center"/>
              </w:trPr>
              <w:tc>
                <w:tcPr>
                  <w:tcW w:w="149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区域解决问题</w:t>
                  </w:r>
                </w:p>
              </w:tc>
              <w:tc>
                <w:tcPr>
                  <w:tcW w:w="6464" w:type="dxa"/>
                  <w:gridSpan w:val="4"/>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sz w:val="21"/>
                      <w:szCs w:val="21"/>
                    </w:rPr>
                    <w:t>——</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5" w:hRule="atLeast"/>
                <w:jc w:val="center"/>
              </w:trPr>
              <w:tc>
                <w:tcPr>
                  <w:tcW w:w="149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噪声防护距离设置</w:t>
                  </w:r>
                </w:p>
              </w:tc>
              <w:tc>
                <w:tcPr>
                  <w:tcW w:w="6464" w:type="dxa"/>
                  <w:gridSpan w:val="4"/>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sz w:val="21"/>
                      <w:szCs w:val="21"/>
                    </w:rPr>
                    <w:t>——</w:t>
                  </w:r>
                </w:p>
              </w:tc>
              <w:tc>
                <w:tcPr>
                  <w:tcW w:w="657" w:type="dxa"/>
                  <w:vMerge w:val="continue"/>
                  <w:tcBorders>
                    <w:left w:val="single" w:color="000000" w:sz="4" w:space="0"/>
                    <w:right w:val="single" w:color="000000" w:sz="4" w:space="0"/>
                  </w:tcBorders>
                  <w:vAlign w:val="center"/>
                </w:tcPr>
                <w:p>
                  <w:pPr>
                    <w:widowControl/>
                    <w:spacing w:line="480" w:lineRule="exact"/>
                    <w:jc w:val="center"/>
                    <w:rPr>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jc w:val="center"/>
              </w:trPr>
              <w:tc>
                <w:tcPr>
                  <w:tcW w:w="149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480" w:lineRule="exact"/>
                    <w:jc w:val="center"/>
                    <w:rPr>
                      <w:sz w:val="21"/>
                      <w:szCs w:val="21"/>
                    </w:rPr>
                  </w:pPr>
                  <w:r>
                    <w:rPr>
                      <w:rFonts w:hint="eastAsia"/>
                      <w:sz w:val="21"/>
                      <w:szCs w:val="21"/>
                    </w:rPr>
                    <w:t>环保投资</w:t>
                  </w:r>
                </w:p>
              </w:tc>
              <w:tc>
                <w:tcPr>
                  <w:tcW w:w="6464"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rPr>
                      <w:sz w:val="21"/>
                      <w:szCs w:val="21"/>
                    </w:rPr>
                  </w:pPr>
                  <w:r>
                    <w:rPr>
                      <w:rFonts w:hint="eastAsia"/>
                      <w:sz w:val="21"/>
                      <w:szCs w:val="21"/>
                    </w:rPr>
                    <w:t>5万元，占总投资的10%</w:t>
                  </w:r>
                </w:p>
              </w:tc>
              <w:tc>
                <w:tcPr>
                  <w:tcW w:w="657" w:type="dxa"/>
                  <w:vMerge w:val="continue"/>
                  <w:tcBorders>
                    <w:left w:val="single" w:color="000000" w:sz="4" w:space="0"/>
                    <w:bottom w:val="single" w:color="000000" w:sz="4" w:space="0"/>
                    <w:right w:val="single" w:color="000000" w:sz="4" w:space="0"/>
                  </w:tcBorders>
                  <w:vAlign w:val="center"/>
                </w:tcPr>
                <w:p>
                  <w:pPr>
                    <w:widowControl/>
                    <w:spacing w:line="480" w:lineRule="exact"/>
                    <w:jc w:val="center"/>
                    <w:rPr>
                      <w:sz w:val="21"/>
                      <w:szCs w:val="21"/>
                    </w:rPr>
                  </w:pPr>
                </w:p>
              </w:tc>
            </w:tr>
          </w:tbl>
          <w:p>
            <w:pPr>
              <w:spacing w:line="360" w:lineRule="auto"/>
              <w:ind w:firstLine="528"/>
              <w:rPr>
                <w:rFonts w:eastAsia="黑体"/>
                <w:sz w:val="24"/>
                <w:szCs w:val="24"/>
              </w:rPr>
            </w:pPr>
            <w:r>
              <w:rPr>
                <w:rFonts w:hint="eastAsia" w:eastAsia="黑体"/>
                <w:sz w:val="24"/>
                <w:szCs w:val="24"/>
              </w:rPr>
              <w:t>8、环境影响评价制度与排污许可制度衔接</w:t>
            </w:r>
          </w:p>
          <w:p>
            <w:pPr>
              <w:spacing w:line="360" w:lineRule="auto"/>
              <w:ind w:firstLine="482"/>
              <w:rPr>
                <w:color w:val="000000" w:themeColor="text1"/>
                <w:sz w:val="24"/>
                <w:szCs w:val="24"/>
              </w:rPr>
            </w:pPr>
            <w:r>
              <w:rPr>
                <w:rFonts w:hint="eastAsia"/>
                <w:color w:val="000000" w:themeColor="text1"/>
                <w:sz w:val="24"/>
                <w:szCs w:val="24"/>
              </w:rPr>
              <w:t xml:space="preserve">根据《关于做好环境影响评价制度与排污许可制衔接相关工作的通知》(环办环评 [2017]84 号)，环境影响评价制度是建设项目的环境准入门槛，是申请排污许可证的前提和重要依据。 </w:t>
            </w:r>
          </w:p>
          <w:p>
            <w:pPr>
              <w:spacing w:line="360" w:lineRule="auto"/>
              <w:ind w:firstLine="482"/>
              <w:rPr>
                <w:color w:val="000000" w:themeColor="text1"/>
                <w:sz w:val="24"/>
                <w:szCs w:val="24"/>
              </w:rPr>
            </w:pPr>
            <w:r>
              <w:rPr>
                <w:rFonts w:hint="eastAsia"/>
                <w:color w:val="000000" w:themeColor="text1"/>
                <w:sz w:val="24"/>
                <w:szCs w:val="24"/>
              </w:rPr>
              <w:t>根据《固定污染源排污许可分类管理名录(2019 年版)》，本项目为“二十五、非金属矿物制品业30 /65其他玻璃制造3049”，根据规定，项目属于实施登记管理的行业。</w:t>
            </w:r>
          </w:p>
          <w:p>
            <w:pPr>
              <w:spacing w:line="360" w:lineRule="auto"/>
              <w:ind w:firstLine="482"/>
              <w:rPr>
                <w:color w:val="000000" w:themeColor="text1"/>
                <w:sz w:val="24"/>
                <w:szCs w:val="24"/>
              </w:rPr>
            </w:pPr>
            <w:r>
              <w:rPr>
                <w:rFonts w:hint="eastAsia"/>
                <w:color w:val="000000" w:themeColor="text1"/>
                <w:sz w:val="24"/>
                <w:szCs w:val="24"/>
              </w:rPr>
              <w:t>（1）根据《关于《印发排污许可证管理暂行规定》的通知》（环水体[2016]186 号）、 《固定污染源排污许可分类管理名录(2019 年版)》等有关规定，建设单位实行排污许可登记管理，企业应当在投入生产或使用并产生实际排污行为之前申请领取排污许可证，不得无证排污或不按证排污。项目无证排污或不按证排污，建设单位不得出具该项目验收合格的意见，验收报告中与污染物排放相关的主要内容应当纳入该项目验收完成当年排污许可证执行年报。</w:t>
            </w:r>
          </w:p>
          <w:p>
            <w:pPr>
              <w:spacing w:line="360" w:lineRule="auto"/>
              <w:ind w:firstLine="482"/>
              <w:rPr>
                <w:color w:val="000000" w:themeColor="text1"/>
                <w:sz w:val="24"/>
                <w:szCs w:val="24"/>
              </w:rPr>
            </w:pPr>
            <w:r>
              <w:rPr>
                <w:rFonts w:hint="eastAsia"/>
                <w:color w:val="000000" w:themeColor="text1"/>
                <w:sz w:val="24"/>
                <w:szCs w:val="24"/>
              </w:rPr>
              <w:t>（2）项目环境影响报告表经批准后，项目的性质、规模、地点、采用的生产工艺或者防治污染、防止生态破坏的措施发生重大变动的，建设单位应当依法重新报批环境影响评价文件，并在申请排污许可时提交重新报批的环评批复(文号)。</w:t>
            </w:r>
          </w:p>
          <w:p>
            <w:pPr>
              <w:spacing w:line="360" w:lineRule="auto"/>
              <w:rPr>
                <w:rFonts w:eastAsia="黑体"/>
                <w:sz w:val="28"/>
              </w:rPr>
            </w:pPr>
            <w:r>
              <w:rPr>
                <w:rFonts w:hint="eastAsia" w:eastAsia="黑体"/>
                <w:sz w:val="28"/>
              </w:rPr>
              <w:t>二</w:t>
            </w:r>
            <w:r>
              <w:rPr>
                <w:rFonts w:eastAsia="黑体"/>
                <w:sz w:val="28"/>
              </w:rPr>
              <w:t>、</w:t>
            </w:r>
            <w:r>
              <w:rPr>
                <w:rFonts w:hint="eastAsia" w:eastAsia="黑体"/>
                <w:sz w:val="28"/>
              </w:rPr>
              <w:t>环评总</w:t>
            </w:r>
            <w:r>
              <w:rPr>
                <w:rFonts w:eastAsia="黑体"/>
                <w:sz w:val="28"/>
              </w:rPr>
              <w:t>结论</w:t>
            </w:r>
          </w:p>
          <w:p>
            <w:pPr>
              <w:widowControl/>
              <w:spacing w:line="360" w:lineRule="auto"/>
              <w:ind w:firstLine="480" w:firstLineChars="200"/>
              <w:rPr>
                <w:sz w:val="24"/>
                <w:szCs w:val="24"/>
              </w:rPr>
            </w:pPr>
            <w:r>
              <w:rPr>
                <w:color w:val="000000" w:themeColor="text1"/>
                <w:sz w:val="24"/>
                <w:szCs w:val="24"/>
              </w:rPr>
              <w:t>综上所述，项目符合</w:t>
            </w:r>
            <w:r>
              <w:rPr>
                <w:rFonts w:hint="eastAsia"/>
                <w:color w:val="000000" w:themeColor="text1"/>
                <w:sz w:val="24"/>
                <w:szCs w:val="24"/>
              </w:rPr>
              <w:t>国家</w:t>
            </w:r>
            <w:r>
              <w:rPr>
                <w:color w:val="000000" w:themeColor="text1"/>
                <w:sz w:val="24"/>
                <w:szCs w:val="24"/>
              </w:rPr>
              <w:t>产业政策</w:t>
            </w:r>
            <w:r>
              <w:rPr>
                <w:rFonts w:hint="eastAsia"/>
                <w:color w:val="000000" w:themeColor="text1"/>
                <w:sz w:val="24"/>
                <w:szCs w:val="24"/>
              </w:rPr>
              <w:t>，选址符合当地</w:t>
            </w:r>
            <w:r>
              <w:rPr>
                <w:color w:val="000000" w:themeColor="text1"/>
                <w:sz w:val="24"/>
                <w:szCs w:val="24"/>
              </w:rPr>
              <w:t>城市规划，</w:t>
            </w:r>
            <w:r>
              <w:rPr>
                <w:rFonts w:hint="eastAsia"/>
                <w:color w:val="000000" w:themeColor="text1"/>
                <w:sz w:val="24"/>
                <w:szCs w:val="24"/>
              </w:rPr>
              <w:t>符合国家土地利用政策，</w:t>
            </w:r>
            <w:r>
              <w:rPr>
                <w:color w:val="000000" w:themeColor="text1"/>
                <w:sz w:val="24"/>
                <w:szCs w:val="24"/>
              </w:rPr>
              <w:t>污染防治措施合理有效，所排污染物均能达标排放；在</w:t>
            </w:r>
            <w:r>
              <w:rPr>
                <w:rFonts w:hint="eastAsia"/>
                <w:color w:val="000000" w:themeColor="text1"/>
                <w:sz w:val="24"/>
                <w:szCs w:val="24"/>
              </w:rPr>
              <w:t>严格执行环保“三同时”制度的基础上、保证</w:t>
            </w:r>
            <w:r>
              <w:rPr>
                <w:color w:val="000000" w:themeColor="text1"/>
                <w:sz w:val="24"/>
                <w:szCs w:val="24"/>
              </w:rPr>
              <w:t>各种治理措施落实良好的前提下</w:t>
            </w:r>
            <w:r>
              <w:rPr>
                <w:rFonts w:hint="eastAsia"/>
                <w:color w:val="000000" w:themeColor="text1"/>
                <w:sz w:val="24"/>
                <w:szCs w:val="24"/>
              </w:rPr>
              <w:t>，</w:t>
            </w:r>
            <w:r>
              <w:rPr>
                <w:color w:val="000000" w:themeColor="text1"/>
                <w:sz w:val="24"/>
                <w:szCs w:val="24"/>
              </w:rPr>
              <w:t>项目产生的污染物对周围环境影响较小。</w:t>
            </w:r>
            <w:r>
              <w:rPr>
                <w:sz w:val="24"/>
                <w:szCs w:val="24"/>
              </w:rPr>
              <w:t>从环保角度而论</w:t>
            </w:r>
            <w:r>
              <w:rPr>
                <w:rFonts w:hint="eastAsia"/>
                <w:spacing w:val="6"/>
                <w:sz w:val="24"/>
              </w:rPr>
              <w:t>威海佰特玻璃有限公司</w:t>
            </w:r>
            <w:r>
              <w:rPr>
                <w:rFonts w:hint="eastAsia"/>
                <w:sz w:val="24"/>
                <w:szCs w:val="24"/>
              </w:rPr>
              <w:t>进行的</w:t>
            </w:r>
            <w:r>
              <w:rPr>
                <w:rFonts w:hint="eastAsia"/>
                <w:spacing w:val="6"/>
                <w:sz w:val="24"/>
              </w:rPr>
              <w:t>玻璃深加工项目</w:t>
            </w:r>
            <w:r>
              <w:rPr>
                <w:sz w:val="24"/>
                <w:szCs w:val="24"/>
              </w:rPr>
              <w:t>是可行的。</w:t>
            </w:r>
          </w:p>
          <w:p>
            <w:pPr>
              <w:spacing w:line="360" w:lineRule="auto"/>
              <w:rPr>
                <w:rFonts w:eastAsia="黑体"/>
                <w:sz w:val="28"/>
              </w:rPr>
            </w:pPr>
            <w:r>
              <w:rPr>
                <w:rFonts w:hint="eastAsia" w:eastAsia="黑体"/>
                <w:sz w:val="28"/>
              </w:rPr>
              <w:t>三</w:t>
            </w:r>
            <w:r>
              <w:rPr>
                <w:rFonts w:eastAsia="黑体"/>
                <w:sz w:val="28"/>
              </w:rPr>
              <w:t>、措施及建议</w:t>
            </w:r>
          </w:p>
          <w:p>
            <w:pPr>
              <w:widowControl/>
              <w:spacing w:line="360" w:lineRule="auto"/>
              <w:ind w:firstLine="482"/>
              <w:rPr>
                <w:color w:val="000000" w:themeColor="text1"/>
                <w:sz w:val="24"/>
                <w:szCs w:val="24"/>
              </w:rPr>
            </w:pPr>
            <w:r>
              <w:rPr>
                <w:color w:val="000000" w:themeColor="text1"/>
                <w:sz w:val="24"/>
                <w:szCs w:val="24"/>
              </w:rPr>
              <w:t>根据以上评价结论，结合有关环保法规和标准要求，提出以下</w:t>
            </w:r>
            <w:r>
              <w:rPr>
                <w:rFonts w:hint="eastAsia"/>
                <w:color w:val="000000" w:themeColor="text1"/>
                <w:sz w:val="24"/>
                <w:szCs w:val="24"/>
              </w:rPr>
              <w:t>措施及建议</w:t>
            </w:r>
            <w:r>
              <w:rPr>
                <w:color w:val="000000" w:themeColor="text1"/>
                <w:sz w:val="24"/>
                <w:szCs w:val="24"/>
              </w:rPr>
              <w:t>：</w:t>
            </w:r>
          </w:p>
          <w:p>
            <w:pPr>
              <w:widowControl/>
              <w:spacing w:line="360" w:lineRule="auto"/>
              <w:ind w:firstLine="482"/>
              <w:rPr>
                <w:color w:val="000000" w:themeColor="text1"/>
                <w:sz w:val="24"/>
                <w:szCs w:val="24"/>
              </w:rPr>
            </w:pPr>
            <w:r>
              <w:rPr>
                <w:color w:val="000000" w:themeColor="text1"/>
                <w:sz w:val="24"/>
                <w:szCs w:val="24"/>
              </w:rPr>
              <w:t>1、</w:t>
            </w:r>
            <w:r>
              <w:rPr>
                <w:rFonts w:hint="eastAsia"/>
                <w:color w:val="000000" w:themeColor="text1"/>
                <w:sz w:val="24"/>
                <w:szCs w:val="24"/>
              </w:rPr>
              <w:t>严格落实各项环保措施，确保各污染物达标排放。设专人负责厂区的环境保护工作，及时掌握各污染治理措施的运转情况，确保污染物达标排放，制定并实施环境监测与管理计划。</w:t>
            </w:r>
          </w:p>
          <w:p>
            <w:pPr>
              <w:widowControl/>
              <w:spacing w:line="360" w:lineRule="auto"/>
              <w:ind w:firstLine="482"/>
              <w:rPr>
                <w:color w:val="000000" w:themeColor="text1"/>
                <w:sz w:val="24"/>
                <w:szCs w:val="24"/>
              </w:rPr>
            </w:pPr>
            <w:r>
              <w:rPr>
                <w:rFonts w:hint="eastAsia"/>
                <w:color w:val="000000" w:themeColor="text1"/>
                <w:sz w:val="24"/>
                <w:szCs w:val="24"/>
              </w:rPr>
              <w:t>2、做好防火宣传和管理，不允许在车间吸烟和使用明火。项目应加大环境风险防范措施，加强风险教育及应急措施演练，避免火灾等环境风险的发生。</w:t>
            </w:r>
          </w:p>
          <w:p>
            <w:pPr>
              <w:widowControl/>
              <w:spacing w:line="360" w:lineRule="auto"/>
              <w:ind w:firstLine="482"/>
              <w:rPr>
                <w:color w:val="000000" w:themeColor="text1"/>
                <w:sz w:val="24"/>
                <w:szCs w:val="24"/>
              </w:rPr>
            </w:pPr>
            <w:r>
              <w:rPr>
                <w:color w:val="000000" w:themeColor="text1"/>
                <w:sz w:val="24"/>
                <w:szCs w:val="24"/>
              </w:rPr>
              <w:t>3、根据《建设项目环境保护管理条例》（国令第682号）建设项目竣工后，建设单位应当按照国务院环境保护行政主管部门规定的标准和程序，对配套建设的环境保护设施进行验收。配套建设的环境保护设施经验收合格，方可投入生产或者使用；未经验收或者验收不合格的，不得投入生产或者使用。</w:t>
            </w:r>
          </w:p>
          <w:p>
            <w:pPr>
              <w:widowControl/>
              <w:spacing w:line="360" w:lineRule="auto"/>
              <w:ind w:firstLine="482"/>
              <w:rPr>
                <w:color w:val="000000" w:themeColor="text1"/>
                <w:sz w:val="24"/>
                <w:szCs w:val="24"/>
              </w:rPr>
            </w:pPr>
            <w:r>
              <w:rPr>
                <w:rFonts w:hint="eastAsia"/>
                <w:color w:val="000000" w:themeColor="text1"/>
                <w:sz w:val="24"/>
                <w:szCs w:val="24"/>
              </w:rPr>
              <w:t>4</w:t>
            </w:r>
            <w:r>
              <w:rPr>
                <w:color w:val="000000" w:themeColor="text1"/>
                <w:sz w:val="24"/>
                <w:szCs w:val="24"/>
              </w:rPr>
              <w:t>、做好原辅材料台账管理，做好危险废物管理，与处置单位进行合理协商，对产生的</w:t>
            </w:r>
            <w:r>
              <w:rPr>
                <w:rFonts w:hint="eastAsia"/>
                <w:color w:val="000000" w:themeColor="text1"/>
                <w:sz w:val="24"/>
                <w:szCs w:val="24"/>
              </w:rPr>
              <w:t>危险废物</w:t>
            </w:r>
            <w:r>
              <w:rPr>
                <w:color w:val="000000" w:themeColor="text1"/>
                <w:sz w:val="24"/>
                <w:szCs w:val="24"/>
              </w:rPr>
              <w:t xml:space="preserve">要及时清运，尽可能减少危险废物在项目危废临时存储区内暂存的时间。 </w:t>
            </w:r>
          </w:p>
          <w:p>
            <w:pPr>
              <w:widowControl/>
              <w:spacing w:line="360" w:lineRule="auto"/>
              <w:ind w:firstLine="480" w:firstLineChars="200"/>
              <w:rPr>
                <w:sz w:val="24"/>
                <w:szCs w:val="24"/>
              </w:rPr>
            </w:pPr>
            <w:r>
              <w:rPr>
                <w:rFonts w:hint="eastAsia"/>
                <w:color w:val="000000" w:themeColor="text1"/>
                <w:sz w:val="24"/>
                <w:szCs w:val="24"/>
              </w:rPr>
              <w:t>5</w:t>
            </w:r>
            <w:r>
              <w:rPr>
                <w:color w:val="000000" w:themeColor="text1"/>
                <w:sz w:val="24"/>
                <w:szCs w:val="24"/>
              </w:rPr>
              <w:t>、建设项目的环境影响评价文件经批准后，建设项目的性质、规模、地点、采用的生产工艺或防治污染的措施发生重大变动的，建设单位应当重新报批建设项目的环境影响评价文件。</w:t>
            </w:r>
          </w:p>
          <w:p>
            <w:pPr>
              <w:widowControl/>
              <w:spacing w:line="480" w:lineRule="exact"/>
              <w:rPr>
                <w:sz w:val="24"/>
                <w:szCs w:val="24"/>
              </w:rPr>
            </w:pPr>
          </w:p>
          <w:p>
            <w:pPr>
              <w:widowControl/>
              <w:rPr>
                <w:sz w:val="24"/>
                <w:szCs w:val="24"/>
              </w:rPr>
            </w:pPr>
          </w:p>
          <w:p>
            <w:pPr>
              <w:widowControl/>
              <w:rPr>
                <w:sz w:val="24"/>
                <w:szCs w:val="24"/>
              </w:rPr>
            </w:pPr>
          </w:p>
          <w:p>
            <w:pPr>
              <w:widowControl/>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3" w:type="dxa"/>
          </w:tcPr>
          <w:p>
            <w:pPr>
              <w:spacing w:before="240"/>
              <w:rPr>
                <w:color w:val="000000" w:themeColor="text1"/>
                <w:spacing w:val="-6"/>
                <w:sz w:val="28"/>
              </w:rPr>
            </w:pPr>
            <w:r>
              <w:rPr>
                <w:color w:val="000000" w:themeColor="text1"/>
                <w:spacing w:val="-6"/>
                <w:sz w:val="28"/>
              </w:rPr>
              <w:t>预审意见：</w:t>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p>
          <w:p>
            <w:pPr>
              <w:spacing w:before="240"/>
              <w:rPr>
                <w:color w:val="000000" w:themeColor="text1"/>
                <w:spacing w:val="-6"/>
                <w:sz w:val="28"/>
              </w:rPr>
            </w:pPr>
          </w:p>
          <w:p>
            <w:pPr>
              <w:spacing w:before="240"/>
              <w:rPr>
                <w:color w:val="000000" w:themeColor="text1"/>
                <w:spacing w:val="-6"/>
                <w:sz w:val="28"/>
              </w:rPr>
            </w:pP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p>
          <w:p>
            <w:pPr>
              <w:jc w:val="left"/>
              <w:rPr>
                <w:color w:val="000000" w:themeColor="text1"/>
                <w:spacing w:val="-6"/>
                <w:sz w:val="28"/>
              </w:rPr>
            </w:pPr>
            <w:r>
              <w:rPr>
                <w:color w:val="000000" w:themeColor="text1"/>
                <w:spacing w:val="-6"/>
                <w:sz w:val="28"/>
              </w:rPr>
              <w:t xml:space="preserve">                                                  公   章</w:t>
            </w:r>
            <w:r>
              <w:rPr>
                <w:color w:val="000000" w:themeColor="text1"/>
                <w:spacing w:val="-6"/>
                <w:sz w:val="28"/>
              </w:rPr>
              <w:br w:type="textWrapping"/>
            </w:r>
            <w:r>
              <w:rPr>
                <w:color w:val="000000" w:themeColor="text1"/>
                <w:spacing w:val="-6"/>
                <w:sz w:val="28"/>
              </w:rPr>
              <w:br w:type="textWrapping"/>
            </w:r>
            <w:r>
              <w:rPr>
                <w:color w:val="000000" w:themeColor="text1"/>
                <w:spacing w:val="-6"/>
                <w:sz w:val="28"/>
              </w:rPr>
              <w:t xml:space="preserve">   经办人：                                    年   月   日</w:t>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3" w:type="dxa"/>
          </w:tcPr>
          <w:p>
            <w:pPr>
              <w:rPr>
                <w:color w:val="000000" w:themeColor="text1"/>
                <w:spacing w:val="-6"/>
              </w:rPr>
            </w:pPr>
          </w:p>
          <w:p>
            <w:pPr>
              <w:tabs>
                <w:tab w:val="left" w:pos="7188"/>
              </w:tabs>
              <w:rPr>
                <w:color w:val="000000" w:themeColor="text1"/>
                <w:spacing w:val="-6"/>
              </w:rPr>
            </w:pPr>
            <w:r>
              <w:rPr>
                <w:color w:val="000000" w:themeColor="text1"/>
                <w:spacing w:val="-6"/>
              </w:rPr>
              <w:t xml:space="preserve">  下一级环境保护行政主管部门审查意见：</w:t>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br w:type="textWrapping"/>
            </w:r>
            <w:r>
              <w:rPr>
                <w:color w:val="000000" w:themeColor="text1"/>
                <w:spacing w:val="-6"/>
              </w:rPr>
              <w:t xml:space="preserve">                                            公   章</w:t>
            </w:r>
            <w:r>
              <w:rPr>
                <w:color w:val="000000" w:themeColor="text1"/>
                <w:spacing w:val="-6"/>
              </w:rPr>
              <w:br w:type="textWrapping"/>
            </w:r>
            <w:r>
              <w:rPr>
                <w:color w:val="000000" w:themeColor="text1"/>
                <w:spacing w:val="-6"/>
              </w:rPr>
              <w:br w:type="textWrapping"/>
            </w:r>
            <w:r>
              <w:rPr>
                <w:color w:val="000000" w:themeColor="text1"/>
                <w:spacing w:val="-6"/>
              </w:rPr>
              <w:t xml:space="preserve">   经办人：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3" w:type="dxa"/>
            <w:tcBorders>
              <w:bottom w:val="single" w:color="auto" w:sz="4" w:space="0"/>
            </w:tcBorders>
          </w:tcPr>
          <w:p>
            <w:pPr>
              <w:jc w:val="left"/>
              <w:rPr>
                <w:color w:val="000000" w:themeColor="text1"/>
                <w:spacing w:val="-6"/>
                <w:sz w:val="28"/>
              </w:rPr>
            </w:pPr>
          </w:p>
          <w:p>
            <w:pPr>
              <w:jc w:val="left"/>
              <w:rPr>
                <w:color w:val="000000" w:themeColor="text1"/>
                <w:spacing w:val="-6"/>
                <w:sz w:val="28"/>
              </w:rPr>
            </w:pPr>
            <w:r>
              <w:rPr>
                <w:color w:val="000000" w:themeColor="text1"/>
                <w:spacing w:val="-6"/>
                <w:sz w:val="28"/>
              </w:rPr>
              <w:t>审批意见：</w:t>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br w:type="textWrapping"/>
            </w:r>
            <w:r>
              <w:rPr>
                <w:color w:val="000000" w:themeColor="text1"/>
                <w:spacing w:val="-6"/>
                <w:sz w:val="28"/>
              </w:rPr>
              <w:t xml:space="preserve">                                             </w:t>
            </w:r>
            <w:r>
              <w:rPr>
                <w:color w:val="000000" w:themeColor="text1"/>
                <w:spacing w:val="-6"/>
              </w:rPr>
              <w:t>公   章</w:t>
            </w:r>
            <w:r>
              <w:rPr>
                <w:color w:val="000000" w:themeColor="text1"/>
                <w:spacing w:val="-6"/>
              </w:rPr>
              <w:br w:type="textWrapping"/>
            </w:r>
            <w:r>
              <w:rPr>
                <w:color w:val="000000" w:themeColor="text1"/>
                <w:spacing w:val="-6"/>
              </w:rPr>
              <w:br w:type="textWrapping"/>
            </w:r>
            <w:r>
              <w:rPr>
                <w:color w:val="000000" w:themeColor="text1"/>
                <w:spacing w:val="-6"/>
              </w:rPr>
              <w:t xml:space="preserve">   经办人：                            年   月   日</w:t>
            </w:r>
            <w:r>
              <w:rPr>
                <w:color w:val="000000" w:themeColor="text1"/>
                <w:spacing w:val="-6"/>
                <w:sz w:val="28"/>
              </w:rPr>
              <w:br w:type="textWrapping"/>
            </w:r>
            <w:r>
              <w:rPr>
                <w:color w:val="000000" w:themeColor="text1"/>
                <w:spacing w:val="-6"/>
                <w:sz w:val="28"/>
              </w:rPr>
              <w:br w:type="textWrapp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03" w:type="dxa"/>
            <w:tcBorders>
              <w:bottom w:val="single" w:color="auto" w:sz="4" w:space="0"/>
            </w:tcBorders>
          </w:tcPr>
          <w:p>
            <w:pPr>
              <w:spacing w:before="840" w:after="600" w:line="360" w:lineRule="auto"/>
              <w:ind w:right="340"/>
              <w:jc w:val="center"/>
              <w:rPr>
                <w:b/>
                <w:color w:val="000000" w:themeColor="text1"/>
                <w:spacing w:val="-6"/>
                <w:sz w:val="44"/>
              </w:rPr>
            </w:pPr>
            <w:r>
              <w:rPr>
                <w:b/>
                <w:color w:val="000000" w:themeColor="text1"/>
                <w:spacing w:val="-6"/>
                <w:sz w:val="44"/>
              </w:rPr>
              <w:t>注           释</w:t>
            </w:r>
          </w:p>
          <w:p>
            <w:pPr>
              <w:spacing w:line="360" w:lineRule="auto"/>
              <w:ind w:right="340"/>
              <w:rPr>
                <w:color w:val="000000" w:themeColor="text1"/>
                <w:spacing w:val="-6"/>
                <w:sz w:val="28"/>
              </w:rPr>
            </w:pPr>
            <w:r>
              <w:rPr>
                <w:color w:val="000000" w:themeColor="text1"/>
                <w:spacing w:val="-6"/>
                <w:sz w:val="28"/>
              </w:rPr>
              <w:t xml:space="preserve">    一、本报告表附以下附件、附图：</w:t>
            </w:r>
          </w:p>
          <w:p>
            <w:pPr>
              <w:spacing w:line="360" w:lineRule="auto"/>
              <w:ind w:right="340"/>
              <w:jc w:val="left"/>
              <w:rPr>
                <w:color w:val="000000" w:themeColor="text1"/>
                <w:spacing w:val="-6"/>
                <w:sz w:val="28"/>
              </w:rPr>
            </w:pPr>
            <w:r>
              <w:rPr>
                <w:color w:val="000000" w:themeColor="text1"/>
                <w:spacing w:val="-6"/>
                <w:sz w:val="28"/>
              </w:rPr>
              <w:t xml:space="preserve">    附件1  立项批准文件</w:t>
            </w:r>
          </w:p>
          <w:p>
            <w:pPr>
              <w:spacing w:line="360" w:lineRule="auto"/>
              <w:ind w:right="340"/>
              <w:jc w:val="left"/>
              <w:rPr>
                <w:color w:val="000000" w:themeColor="text1"/>
                <w:spacing w:val="-6"/>
                <w:sz w:val="28"/>
              </w:rPr>
            </w:pPr>
            <w:r>
              <w:rPr>
                <w:color w:val="000000" w:themeColor="text1"/>
                <w:spacing w:val="-6"/>
                <w:sz w:val="28"/>
              </w:rPr>
              <w:t xml:space="preserve">    附件2  其它与环境影响评价有关的行政管理文件</w:t>
            </w:r>
          </w:p>
          <w:p>
            <w:pPr>
              <w:spacing w:line="360" w:lineRule="auto"/>
              <w:ind w:left="1560" w:right="340" w:hanging="1050"/>
              <w:jc w:val="left"/>
              <w:rPr>
                <w:color w:val="000000" w:themeColor="text1"/>
                <w:spacing w:val="-6"/>
                <w:sz w:val="28"/>
              </w:rPr>
            </w:pPr>
            <w:r>
              <w:rPr>
                <w:color w:val="000000" w:themeColor="text1"/>
                <w:spacing w:val="-6"/>
                <w:sz w:val="28"/>
              </w:rPr>
              <w:t>附图1  项目地理位置图（应反映行政区划、水系、表明纳污口位置和             地形地貌等）</w:t>
            </w:r>
          </w:p>
          <w:p>
            <w:pPr>
              <w:spacing w:after="600" w:line="360" w:lineRule="auto"/>
              <w:ind w:right="340" w:firstLine="510"/>
              <w:jc w:val="left"/>
              <w:rPr>
                <w:color w:val="000000" w:themeColor="text1"/>
                <w:spacing w:val="-6"/>
                <w:sz w:val="28"/>
              </w:rPr>
            </w:pPr>
            <w:r>
              <w:rPr>
                <w:color w:val="000000" w:themeColor="text1"/>
                <w:spacing w:val="-6"/>
                <w:sz w:val="28"/>
              </w:rPr>
              <w:t>附图2  项目平面布置图</w:t>
            </w:r>
          </w:p>
          <w:p>
            <w:pPr>
              <w:spacing w:line="360" w:lineRule="auto"/>
              <w:ind w:left="993" w:right="340" w:hanging="483"/>
              <w:jc w:val="left"/>
              <w:rPr>
                <w:color w:val="000000" w:themeColor="text1"/>
                <w:spacing w:val="-6"/>
                <w:sz w:val="28"/>
              </w:rPr>
            </w:pPr>
            <w:r>
              <w:rPr>
                <w:color w:val="000000" w:themeColor="text1"/>
                <w:spacing w:val="-6"/>
                <w:sz w:val="28"/>
              </w:rPr>
              <w:t>二、</w:t>
            </w:r>
            <w:r>
              <w:rPr>
                <w:color w:val="000000" w:themeColor="text1"/>
                <w:spacing w:val="-2"/>
                <w:sz w:val="28"/>
              </w:rPr>
              <w:t>如果本报告表不能说明项目产生的污染及对环境造成的影响，应进行专项评价。根据建设项目的特点和当地环境特征，应选下列1—2项进行专项评价。</w:t>
            </w:r>
          </w:p>
          <w:p>
            <w:pPr>
              <w:spacing w:line="360" w:lineRule="auto"/>
              <w:ind w:right="340"/>
              <w:jc w:val="left"/>
              <w:rPr>
                <w:color w:val="000000" w:themeColor="text1"/>
                <w:spacing w:val="-6"/>
                <w:sz w:val="28"/>
              </w:rPr>
            </w:pPr>
            <w:r>
              <w:rPr>
                <w:color w:val="000000" w:themeColor="text1"/>
                <w:spacing w:val="-6"/>
                <w:sz w:val="28"/>
              </w:rPr>
              <w:t xml:space="preserve">    1、大气环境影响专项评价</w:t>
            </w:r>
          </w:p>
          <w:p>
            <w:pPr>
              <w:spacing w:line="360" w:lineRule="auto"/>
              <w:ind w:right="340"/>
              <w:jc w:val="left"/>
              <w:rPr>
                <w:color w:val="000000" w:themeColor="text1"/>
                <w:spacing w:val="-6"/>
                <w:sz w:val="28"/>
              </w:rPr>
            </w:pPr>
            <w:r>
              <w:rPr>
                <w:color w:val="000000" w:themeColor="text1"/>
                <w:spacing w:val="-6"/>
                <w:sz w:val="28"/>
              </w:rPr>
              <w:t xml:space="preserve">    2、水环境影响专项评价（包括地表水和地下水）</w:t>
            </w:r>
          </w:p>
          <w:p>
            <w:pPr>
              <w:spacing w:line="360" w:lineRule="auto"/>
              <w:ind w:right="340"/>
              <w:jc w:val="left"/>
              <w:rPr>
                <w:color w:val="000000" w:themeColor="text1"/>
                <w:spacing w:val="-6"/>
                <w:sz w:val="28"/>
              </w:rPr>
            </w:pPr>
            <w:r>
              <w:rPr>
                <w:color w:val="000000" w:themeColor="text1"/>
                <w:spacing w:val="-6"/>
                <w:sz w:val="28"/>
              </w:rPr>
              <w:t xml:space="preserve">    3、生态影响专项评价</w:t>
            </w:r>
          </w:p>
          <w:p>
            <w:pPr>
              <w:spacing w:line="360" w:lineRule="auto"/>
              <w:ind w:right="340"/>
              <w:jc w:val="left"/>
              <w:rPr>
                <w:color w:val="000000" w:themeColor="text1"/>
                <w:spacing w:val="-6"/>
                <w:sz w:val="28"/>
              </w:rPr>
            </w:pPr>
            <w:r>
              <w:rPr>
                <w:color w:val="000000" w:themeColor="text1"/>
                <w:spacing w:val="-6"/>
                <w:sz w:val="28"/>
              </w:rPr>
              <w:t xml:space="preserve">    4、声影响专项评价</w:t>
            </w:r>
          </w:p>
          <w:p>
            <w:pPr>
              <w:spacing w:line="360" w:lineRule="auto"/>
              <w:ind w:right="340"/>
              <w:jc w:val="left"/>
              <w:rPr>
                <w:color w:val="000000" w:themeColor="text1"/>
                <w:spacing w:val="-6"/>
                <w:sz w:val="28"/>
              </w:rPr>
            </w:pPr>
            <w:r>
              <w:rPr>
                <w:color w:val="000000" w:themeColor="text1"/>
                <w:spacing w:val="-6"/>
                <w:sz w:val="28"/>
              </w:rPr>
              <w:t xml:space="preserve">    5、土壤影响专项评价</w:t>
            </w:r>
          </w:p>
          <w:p>
            <w:pPr>
              <w:spacing w:line="360" w:lineRule="auto"/>
              <w:ind w:right="340"/>
              <w:jc w:val="left"/>
              <w:rPr>
                <w:color w:val="000000" w:themeColor="text1"/>
                <w:spacing w:val="-6"/>
                <w:sz w:val="28"/>
              </w:rPr>
            </w:pPr>
            <w:r>
              <w:rPr>
                <w:color w:val="000000" w:themeColor="text1"/>
                <w:spacing w:val="-6"/>
                <w:sz w:val="28"/>
              </w:rPr>
              <w:t xml:space="preserve">    6、固体废弃物影响专项评价</w:t>
            </w:r>
          </w:p>
          <w:p>
            <w:pPr>
              <w:spacing w:line="360" w:lineRule="auto"/>
              <w:ind w:left="567" w:right="340" w:hanging="567"/>
              <w:jc w:val="left"/>
              <w:rPr>
                <w:color w:val="000000" w:themeColor="text1"/>
                <w:spacing w:val="-6"/>
                <w:sz w:val="28"/>
              </w:rPr>
            </w:pPr>
            <w:r>
              <w:rPr>
                <w:color w:val="000000" w:themeColor="text1"/>
                <w:spacing w:val="-6"/>
                <w:sz w:val="28"/>
              </w:rPr>
              <w:t xml:space="preserve">    以上专项评价未包括的可另列专项，专项评价按照《环境影响评价技术导则》中的要求进行。</w:t>
            </w:r>
          </w:p>
        </w:tc>
      </w:tr>
    </w:tbl>
    <w:p>
      <w:pPr>
        <w:rPr>
          <w:color w:val="000000" w:themeColor="text1"/>
          <w:sz w:val="32"/>
        </w:rPr>
      </w:pPr>
      <w:r>
        <w:rPr>
          <w:rFonts w:eastAsia="黑体"/>
          <w:color w:val="000000" w:themeColor="text1"/>
          <w:sz w:val="32"/>
        </w:rPr>
        <w:t xml:space="preserve">                                    </w:t>
      </w:r>
      <w:r>
        <w:rPr>
          <w:color w:val="000000" w:themeColor="text1"/>
          <w:sz w:val="32"/>
        </w:rPr>
        <w:t>山东省环境保护局翻印</w:t>
      </w:r>
    </w:p>
    <w:sectPr>
      <w:headerReference r:id="rId11" w:type="default"/>
      <w:footerReference r:id="rId12" w:type="default"/>
      <w:pgSz w:w="11906" w:h="16838"/>
      <w:pgMar w:top="1797" w:right="1440" w:bottom="1797" w:left="1440" w:header="851" w:footer="907" w:gutter="0"/>
      <w:pgNumType w:start="1"/>
      <w:cols w:space="425" w:num="1"/>
      <w:docGrid w:type="lines" w:linePitch="40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Tms Rmn">
    <w:altName w:val="Segoe Print"/>
    <w:panose1 w:val="02020603040505020304"/>
    <w:charset w:val="00"/>
    <w:family w:val="roman"/>
    <w:pitch w:val="default"/>
    <w:sig w:usb0="00000000" w:usb1="00000000" w:usb2="00000000" w:usb3="00000000" w:csb0="00000001" w:csb1="00000000"/>
  </w:font>
  <w:font w:name="Verdana">
    <w:panose1 w:val="020B0604030504040204"/>
    <w:charset w:val="00"/>
    <w:family w:val="swiss"/>
    <w:pitch w:val="default"/>
    <w:sig w:usb0="A10006FF" w:usb1="4000205B" w:usb2="00000010" w:usb3="00000000" w:csb0="2000019F" w:csb1="00000000"/>
  </w:font>
  <w:font w:name="Courier New">
    <w:panose1 w:val="02070309020205020404"/>
    <w:charset w:val="00"/>
    <w:family w:val="modern"/>
    <w:pitch w:val="default"/>
    <w:sig w:usb0="E0002AFF" w:usb1="C0007843" w:usb2="00000009" w:usb3="00000000" w:csb0="400001FF" w:csb1="FFFF0000"/>
  </w:font>
  <w:font w:name="MingLiU">
    <w:panose1 w:val="02020509000000000000"/>
    <w:charset w:val="88"/>
    <w:family w:val="modern"/>
    <w:pitch w:val="default"/>
    <w:sig w:usb0="A00002FF" w:usb1="28CFFCFA" w:usb2="00000016" w:usb3="00000000" w:csb0="00100001"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华康简宋">
    <w:altName w:val="宋体"/>
    <w:panose1 w:val="00000000000000000000"/>
    <w:charset w:val="86"/>
    <w:family w:val="modern"/>
    <w:pitch w:val="default"/>
    <w:sig w:usb0="00000000" w:usb1="00000000" w:usb2="00000010" w:usb3="00000000" w:csb0="00040000" w:csb1="00000000"/>
  </w:font>
  <w:font w:name="Cambria">
    <w:panose1 w:val="02040503050406030204"/>
    <w:charset w:val="00"/>
    <w:family w:val="roman"/>
    <w:pitch w:val="default"/>
    <w:sig w:usb0="E00002FF" w:usb1="400004FF" w:usb2="00000000" w:usb3="00000000" w:csb0="2000019F" w:csb1="00000000"/>
  </w:font>
  <w:font w:name="Arial">
    <w:panose1 w:val="020B0604020202020204"/>
    <w:charset w:val="00"/>
    <w:family w:val="swiss"/>
    <w:pitch w:val="default"/>
    <w:sig w:usb0="E0002AFF" w:usb1="C0007843" w:usb2="00000009" w:usb3="00000000" w:csb0="400001FF" w:csb1="FFFF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30"/>
      </w:rPr>
    </w:pPr>
    <w:r>
      <w:rPr>
        <w:rStyle w:val="30"/>
      </w:rPr>
      <w:fldChar w:fldCharType="begin"/>
    </w:r>
    <w:r>
      <w:rPr>
        <w:rStyle w:val="30"/>
      </w:rPr>
      <w:instrText xml:space="preserve">PAGE  </w:instrText>
    </w:r>
    <w:r>
      <w:rPr>
        <w:rStyle w:val="30"/>
      </w:rPr>
      <w:fldChar w:fldCharType="separate"/>
    </w:r>
    <w:r>
      <w:rPr>
        <w:rStyle w:val="30"/>
      </w:rPr>
      <w:t>2</w:t>
    </w:r>
    <w:r>
      <w:rPr>
        <w:rStyle w:val="30"/>
      </w:rPr>
      <w:fldChar w:fldCharType="end"/>
    </w:r>
  </w:p>
  <w:p>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30"/>
      </w:rPr>
    </w:pPr>
    <w:r>
      <w:rPr>
        <w:rStyle w:val="30"/>
      </w:rPr>
      <w:fldChar w:fldCharType="begin"/>
    </w:r>
    <w:r>
      <w:rPr>
        <w:rStyle w:val="30"/>
      </w:rPr>
      <w:instrText xml:space="preserve">PAGE  </w:instrText>
    </w:r>
    <w:r>
      <w:rPr>
        <w:rStyle w:val="30"/>
      </w:rPr>
      <w:fldChar w:fldCharType="separate"/>
    </w:r>
    <w:r>
      <w:rPr>
        <w:rStyle w:val="30"/>
      </w:rPr>
      <w:t>1</w:t>
    </w:r>
    <w:r>
      <w:rPr>
        <w:rStyle w:val="30"/>
      </w:rPr>
      <w:fldChar w:fldCharType="end"/>
    </w:r>
  </w:p>
  <w:p>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30"/>
      </w:rPr>
    </w:pPr>
    <w:r>
      <w:rPr>
        <w:rStyle w:val="30"/>
      </w:rPr>
      <w:fldChar w:fldCharType="begin"/>
    </w:r>
    <w:r>
      <w:rPr>
        <w:rStyle w:val="30"/>
      </w:rPr>
      <w:instrText xml:space="preserve">PAGE  </w:instrText>
    </w:r>
    <w:r>
      <w:rPr>
        <w:rStyle w:val="30"/>
      </w:rPr>
      <w:fldChar w:fldCharType="separate"/>
    </w:r>
    <w:r>
      <w:rPr>
        <w:rStyle w:val="30"/>
      </w:rPr>
      <w:t>34</w:t>
    </w:r>
    <w:r>
      <w:rPr>
        <w:rStyle w:val="30"/>
      </w:rPr>
      <w:fldChar w:fldCharType="end"/>
    </w:r>
  </w:p>
  <w:p>
    <w:pPr>
      <w:pStyle w:val="1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0014A3"/>
    <w:multiLevelType w:val="multilevel"/>
    <w:tmpl w:val="610014A3"/>
    <w:lvl w:ilvl="0" w:tentative="0">
      <w:start w:val="1"/>
      <w:numFmt w:val="japaneseCounting"/>
      <w:lvlText w:val="%1、"/>
      <w:lvlJc w:val="left"/>
      <w:pPr>
        <w:ind w:left="596" w:hanging="576"/>
      </w:pPr>
      <w:rPr>
        <w:rFonts w:hint="default"/>
      </w:rPr>
    </w:lvl>
    <w:lvl w:ilvl="1" w:tentative="0">
      <w:start w:val="1"/>
      <w:numFmt w:val="lowerLetter"/>
      <w:lvlText w:val="%2)"/>
      <w:lvlJc w:val="left"/>
      <w:pPr>
        <w:ind w:left="860" w:hanging="420"/>
      </w:pPr>
    </w:lvl>
    <w:lvl w:ilvl="2" w:tentative="0">
      <w:start w:val="1"/>
      <w:numFmt w:val="lowerRoman"/>
      <w:lvlText w:val="%3."/>
      <w:lvlJc w:val="right"/>
      <w:pPr>
        <w:ind w:left="1280" w:hanging="420"/>
      </w:pPr>
    </w:lvl>
    <w:lvl w:ilvl="3" w:tentative="0">
      <w:start w:val="1"/>
      <w:numFmt w:val="decimal"/>
      <w:lvlText w:val="%4."/>
      <w:lvlJc w:val="left"/>
      <w:pPr>
        <w:ind w:left="1700" w:hanging="420"/>
      </w:pPr>
    </w:lvl>
    <w:lvl w:ilvl="4" w:tentative="0">
      <w:start w:val="1"/>
      <w:numFmt w:val="lowerLetter"/>
      <w:lvlText w:val="%5)"/>
      <w:lvlJc w:val="left"/>
      <w:pPr>
        <w:ind w:left="2120" w:hanging="420"/>
      </w:pPr>
    </w:lvl>
    <w:lvl w:ilvl="5" w:tentative="0">
      <w:start w:val="1"/>
      <w:numFmt w:val="lowerRoman"/>
      <w:lvlText w:val="%6."/>
      <w:lvlJc w:val="right"/>
      <w:pPr>
        <w:ind w:left="2540" w:hanging="420"/>
      </w:pPr>
    </w:lvl>
    <w:lvl w:ilvl="6" w:tentative="0">
      <w:start w:val="1"/>
      <w:numFmt w:val="decimal"/>
      <w:lvlText w:val="%7."/>
      <w:lvlJc w:val="left"/>
      <w:pPr>
        <w:ind w:left="2960" w:hanging="420"/>
      </w:pPr>
    </w:lvl>
    <w:lvl w:ilvl="7" w:tentative="0">
      <w:start w:val="1"/>
      <w:numFmt w:val="lowerLetter"/>
      <w:lvlText w:val="%8)"/>
      <w:lvlJc w:val="left"/>
      <w:pPr>
        <w:ind w:left="3380" w:hanging="420"/>
      </w:pPr>
    </w:lvl>
    <w:lvl w:ilvl="8" w:tentative="0">
      <w:start w:val="1"/>
      <w:numFmt w:val="lowerRoman"/>
      <w:lvlText w:val="%9."/>
      <w:lvlJc w:val="right"/>
      <w:pPr>
        <w:ind w:left="38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51"/>
  <w:drawingGridHorizontalSpacing w:val="3"/>
  <w:drawingGridVerticalSpacing w:val="4"/>
  <w:displayHorizontalDrawingGridEvery w:val="0"/>
  <w:characterSpacingControl w:val="compressPunctuation"/>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387"/>
    <w:rsid w:val="000002F3"/>
    <w:rsid w:val="0000087A"/>
    <w:rsid w:val="00000EA4"/>
    <w:rsid w:val="00000F45"/>
    <w:rsid w:val="00001440"/>
    <w:rsid w:val="00001DB0"/>
    <w:rsid w:val="0000216E"/>
    <w:rsid w:val="00002447"/>
    <w:rsid w:val="00002733"/>
    <w:rsid w:val="00002821"/>
    <w:rsid w:val="00002CE2"/>
    <w:rsid w:val="00003393"/>
    <w:rsid w:val="00003B92"/>
    <w:rsid w:val="000041AF"/>
    <w:rsid w:val="000041BE"/>
    <w:rsid w:val="0000452C"/>
    <w:rsid w:val="0000456B"/>
    <w:rsid w:val="000045B7"/>
    <w:rsid w:val="0000512B"/>
    <w:rsid w:val="00005392"/>
    <w:rsid w:val="000057B3"/>
    <w:rsid w:val="00005D9E"/>
    <w:rsid w:val="000060EE"/>
    <w:rsid w:val="000064B7"/>
    <w:rsid w:val="000078AF"/>
    <w:rsid w:val="00007A10"/>
    <w:rsid w:val="00007AFB"/>
    <w:rsid w:val="000105DF"/>
    <w:rsid w:val="00010901"/>
    <w:rsid w:val="00010BF5"/>
    <w:rsid w:val="00010CC2"/>
    <w:rsid w:val="00011226"/>
    <w:rsid w:val="00011351"/>
    <w:rsid w:val="0001181E"/>
    <w:rsid w:val="00011C25"/>
    <w:rsid w:val="00011F8E"/>
    <w:rsid w:val="00012FF2"/>
    <w:rsid w:val="000133EC"/>
    <w:rsid w:val="0001364C"/>
    <w:rsid w:val="000139D3"/>
    <w:rsid w:val="00013B6F"/>
    <w:rsid w:val="00013BDC"/>
    <w:rsid w:val="00013D55"/>
    <w:rsid w:val="00013EB6"/>
    <w:rsid w:val="00013EC1"/>
    <w:rsid w:val="000145E2"/>
    <w:rsid w:val="000149F9"/>
    <w:rsid w:val="00014B46"/>
    <w:rsid w:val="00014D48"/>
    <w:rsid w:val="00014FF3"/>
    <w:rsid w:val="00015579"/>
    <w:rsid w:val="00015690"/>
    <w:rsid w:val="0001575D"/>
    <w:rsid w:val="00015AD7"/>
    <w:rsid w:val="00016210"/>
    <w:rsid w:val="00016593"/>
    <w:rsid w:val="000165D6"/>
    <w:rsid w:val="00016B72"/>
    <w:rsid w:val="00016E99"/>
    <w:rsid w:val="00016F6C"/>
    <w:rsid w:val="00016FB4"/>
    <w:rsid w:val="0001716A"/>
    <w:rsid w:val="00017575"/>
    <w:rsid w:val="000177DE"/>
    <w:rsid w:val="00017A58"/>
    <w:rsid w:val="00017D0F"/>
    <w:rsid w:val="00017D70"/>
    <w:rsid w:val="00020D5E"/>
    <w:rsid w:val="00020F16"/>
    <w:rsid w:val="00020F79"/>
    <w:rsid w:val="00020FE4"/>
    <w:rsid w:val="0002121B"/>
    <w:rsid w:val="0002149E"/>
    <w:rsid w:val="00021D87"/>
    <w:rsid w:val="00021DB2"/>
    <w:rsid w:val="000225D7"/>
    <w:rsid w:val="000229D4"/>
    <w:rsid w:val="00022BA0"/>
    <w:rsid w:val="00022BA9"/>
    <w:rsid w:val="0002368A"/>
    <w:rsid w:val="00023979"/>
    <w:rsid w:val="00023C97"/>
    <w:rsid w:val="00023F95"/>
    <w:rsid w:val="000240D1"/>
    <w:rsid w:val="000243EA"/>
    <w:rsid w:val="00024539"/>
    <w:rsid w:val="00024662"/>
    <w:rsid w:val="00024696"/>
    <w:rsid w:val="000247F6"/>
    <w:rsid w:val="00024983"/>
    <w:rsid w:val="00024D81"/>
    <w:rsid w:val="00024FA2"/>
    <w:rsid w:val="00025821"/>
    <w:rsid w:val="00025D75"/>
    <w:rsid w:val="00026039"/>
    <w:rsid w:val="000261F0"/>
    <w:rsid w:val="000262F7"/>
    <w:rsid w:val="00026533"/>
    <w:rsid w:val="000265A3"/>
    <w:rsid w:val="00026CE6"/>
    <w:rsid w:val="00026E3E"/>
    <w:rsid w:val="00027445"/>
    <w:rsid w:val="000276C3"/>
    <w:rsid w:val="00027A94"/>
    <w:rsid w:val="00027DB0"/>
    <w:rsid w:val="00030B0E"/>
    <w:rsid w:val="00030E2F"/>
    <w:rsid w:val="000313F5"/>
    <w:rsid w:val="0003169A"/>
    <w:rsid w:val="00031C03"/>
    <w:rsid w:val="00031FC6"/>
    <w:rsid w:val="000324B5"/>
    <w:rsid w:val="0003266C"/>
    <w:rsid w:val="000329A8"/>
    <w:rsid w:val="00032AA8"/>
    <w:rsid w:val="00032F36"/>
    <w:rsid w:val="00033068"/>
    <w:rsid w:val="000345F0"/>
    <w:rsid w:val="0003484E"/>
    <w:rsid w:val="00034954"/>
    <w:rsid w:val="0003499A"/>
    <w:rsid w:val="00034C75"/>
    <w:rsid w:val="00034E92"/>
    <w:rsid w:val="00035177"/>
    <w:rsid w:val="00035317"/>
    <w:rsid w:val="00035899"/>
    <w:rsid w:val="0003594B"/>
    <w:rsid w:val="00035EDE"/>
    <w:rsid w:val="00035F27"/>
    <w:rsid w:val="0003649C"/>
    <w:rsid w:val="000364D6"/>
    <w:rsid w:val="000365F4"/>
    <w:rsid w:val="000367C1"/>
    <w:rsid w:val="000370EB"/>
    <w:rsid w:val="00037360"/>
    <w:rsid w:val="0003791C"/>
    <w:rsid w:val="00037AC7"/>
    <w:rsid w:val="00037B95"/>
    <w:rsid w:val="0004004C"/>
    <w:rsid w:val="00040694"/>
    <w:rsid w:val="00040922"/>
    <w:rsid w:val="00040C64"/>
    <w:rsid w:val="00042064"/>
    <w:rsid w:val="000420F1"/>
    <w:rsid w:val="000421F4"/>
    <w:rsid w:val="00042202"/>
    <w:rsid w:val="00042567"/>
    <w:rsid w:val="00042B83"/>
    <w:rsid w:val="00042CB5"/>
    <w:rsid w:val="00042DD4"/>
    <w:rsid w:val="00042FCD"/>
    <w:rsid w:val="000441B2"/>
    <w:rsid w:val="00044409"/>
    <w:rsid w:val="000446AC"/>
    <w:rsid w:val="00044809"/>
    <w:rsid w:val="00044974"/>
    <w:rsid w:val="00044C07"/>
    <w:rsid w:val="00044D0B"/>
    <w:rsid w:val="00044E6E"/>
    <w:rsid w:val="00044FD5"/>
    <w:rsid w:val="0004534C"/>
    <w:rsid w:val="000455D6"/>
    <w:rsid w:val="00045674"/>
    <w:rsid w:val="00045747"/>
    <w:rsid w:val="00045800"/>
    <w:rsid w:val="00045E0B"/>
    <w:rsid w:val="00045ECA"/>
    <w:rsid w:val="00046177"/>
    <w:rsid w:val="0004668B"/>
    <w:rsid w:val="000470FB"/>
    <w:rsid w:val="00047E1B"/>
    <w:rsid w:val="00047F3F"/>
    <w:rsid w:val="0005010F"/>
    <w:rsid w:val="00050338"/>
    <w:rsid w:val="00051391"/>
    <w:rsid w:val="0005139B"/>
    <w:rsid w:val="0005146D"/>
    <w:rsid w:val="0005171C"/>
    <w:rsid w:val="000518AB"/>
    <w:rsid w:val="00051B31"/>
    <w:rsid w:val="00051FF4"/>
    <w:rsid w:val="000521C6"/>
    <w:rsid w:val="000525BA"/>
    <w:rsid w:val="00053474"/>
    <w:rsid w:val="00053529"/>
    <w:rsid w:val="00053558"/>
    <w:rsid w:val="00053614"/>
    <w:rsid w:val="000539FF"/>
    <w:rsid w:val="00053F97"/>
    <w:rsid w:val="00054134"/>
    <w:rsid w:val="0005413C"/>
    <w:rsid w:val="000541D9"/>
    <w:rsid w:val="00054230"/>
    <w:rsid w:val="00055E13"/>
    <w:rsid w:val="000562FA"/>
    <w:rsid w:val="00056470"/>
    <w:rsid w:val="000566FD"/>
    <w:rsid w:val="000569CC"/>
    <w:rsid w:val="00056A79"/>
    <w:rsid w:val="00057750"/>
    <w:rsid w:val="00057774"/>
    <w:rsid w:val="00057827"/>
    <w:rsid w:val="00057879"/>
    <w:rsid w:val="00057946"/>
    <w:rsid w:val="000579AD"/>
    <w:rsid w:val="0006044D"/>
    <w:rsid w:val="00060590"/>
    <w:rsid w:val="0006067F"/>
    <w:rsid w:val="00060878"/>
    <w:rsid w:val="0006103A"/>
    <w:rsid w:val="000610C7"/>
    <w:rsid w:val="00061257"/>
    <w:rsid w:val="00061290"/>
    <w:rsid w:val="0006151A"/>
    <w:rsid w:val="000616B0"/>
    <w:rsid w:val="000616F6"/>
    <w:rsid w:val="000620F2"/>
    <w:rsid w:val="000629FC"/>
    <w:rsid w:val="00062B7C"/>
    <w:rsid w:val="00062B7D"/>
    <w:rsid w:val="00062E7F"/>
    <w:rsid w:val="000634B4"/>
    <w:rsid w:val="00063934"/>
    <w:rsid w:val="00063AB9"/>
    <w:rsid w:val="0006407C"/>
    <w:rsid w:val="000646E7"/>
    <w:rsid w:val="00064F60"/>
    <w:rsid w:val="00064FBA"/>
    <w:rsid w:val="000651A8"/>
    <w:rsid w:val="00065BE7"/>
    <w:rsid w:val="00065D8F"/>
    <w:rsid w:val="00065E7C"/>
    <w:rsid w:val="000661B8"/>
    <w:rsid w:val="000663DF"/>
    <w:rsid w:val="00066F31"/>
    <w:rsid w:val="0006752B"/>
    <w:rsid w:val="000678BC"/>
    <w:rsid w:val="00067983"/>
    <w:rsid w:val="00067CBD"/>
    <w:rsid w:val="000717A9"/>
    <w:rsid w:val="000718D0"/>
    <w:rsid w:val="00071A8E"/>
    <w:rsid w:val="00071C7E"/>
    <w:rsid w:val="00071CBB"/>
    <w:rsid w:val="00071CDC"/>
    <w:rsid w:val="00071D9B"/>
    <w:rsid w:val="00071ED5"/>
    <w:rsid w:val="000721C7"/>
    <w:rsid w:val="0007257B"/>
    <w:rsid w:val="000726DF"/>
    <w:rsid w:val="00072D32"/>
    <w:rsid w:val="00072ED1"/>
    <w:rsid w:val="00073081"/>
    <w:rsid w:val="00073631"/>
    <w:rsid w:val="000738A7"/>
    <w:rsid w:val="000739A4"/>
    <w:rsid w:val="00073AF5"/>
    <w:rsid w:val="00074146"/>
    <w:rsid w:val="00074374"/>
    <w:rsid w:val="0007480B"/>
    <w:rsid w:val="00074A8E"/>
    <w:rsid w:val="00074B05"/>
    <w:rsid w:val="00074F57"/>
    <w:rsid w:val="00075214"/>
    <w:rsid w:val="000758B6"/>
    <w:rsid w:val="00075BC4"/>
    <w:rsid w:val="00075E5C"/>
    <w:rsid w:val="000762FA"/>
    <w:rsid w:val="0007674B"/>
    <w:rsid w:val="00076A7E"/>
    <w:rsid w:val="00077115"/>
    <w:rsid w:val="00077BF2"/>
    <w:rsid w:val="000804C9"/>
    <w:rsid w:val="00080789"/>
    <w:rsid w:val="00081056"/>
    <w:rsid w:val="00081111"/>
    <w:rsid w:val="0008151F"/>
    <w:rsid w:val="000817C2"/>
    <w:rsid w:val="00081928"/>
    <w:rsid w:val="00081B47"/>
    <w:rsid w:val="00081C39"/>
    <w:rsid w:val="00081E08"/>
    <w:rsid w:val="00082249"/>
    <w:rsid w:val="0008236C"/>
    <w:rsid w:val="00082685"/>
    <w:rsid w:val="00082C50"/>
    <w:rsid w:val="00082FB3"/>
    <w:rsid w:val="0008318F"/>
    <w:rsid w:val="00083712"/>
    <w:rsid w:val="00083A70"/>
    <w:rsid w:val="00083C6D"/>
    <w:rsid w:val="00083FE4"/>
    <w:rsid w:val="0008451E"/>
    <w:rsid w:val="00084A09"/>
    <w:rsid w:val="0008510C"/>
    <w:rsid w:val="00085670"/>
    <w:rsid w:val="00085AB3"/>
    <w:rsid w:val="00085F47"/>
    <w:rsid w:val="00085FA0"/>
    <w:rsid w:val="00086193"/>
    <w:rsid w:val="00086555"/>
    <w:rsid w:val="000865E4"/>
    <w:rsid w:val="00086701"/>
    <w:rsid w:val="0008678A"/>
    <w:rsid w:val="00086F5B"/>
    <w:rsid w:val="000870B1"/>
    <w:rsid w:val="0008743E"/>
    <w:rsid w:val="00087F1B"/>
    <w:rsid w:val="0009030A"/>
    <w:rsid w:val="00090336"/>
    <w:rsid w:val="000904BE"/>
    <w:rsid w:val="00090C3F"/>
    <w:rsid w:val="0009162B"/>
    <w:rsid w:val="000919FD"/>
    <w:rsid w:val="00091A7A"/>
    <w:rsid w:val="00091EC7"/>
    <w:rsid w:val="00092026"/>
    <w:rsid w:val="00092467"/>
    <w:rsid w:val="000925DF"/>
    <w:rsid w:val="000927A2"/>
    <w:rsid w:val="0009293B"/>
    <w:rsid w:val="000929DB"/>
    <w:rsid w:val="00092C61"/>
    <w:rsid w:val="00092E22"/>
    <w:rsid w:val="00093074"/>
    <w:rsid w:val="000937E7"/>
    <w:rsid w:val="0009384B"/>
    <w:rsid w:val="000938A0"/>
    <w:rsid w:val="000938CA"/>
    <w:rsid w:val="00093E56"/>
    <w:rsid w:val="0009466A"/>
    <w:rsid w:val="00094793"/>
    <w:rsid w:val="00094955"/>
    <w:rsid w:val="00094C19"/>
    <w:rsid w:val="00094F0F"/>
    <w:rsid w:val="000958E9"/>
    <w:rsid w:val="00095BE5"/>
    <w:rsid w:val="00096105"/>
    <w:rsid w:val="000962FD"/>
    <w:rsid w:val="00096794"/>
    <w:rsid w:val="00096EBD"/>
    <w:rsid w:val="00097B3D"/>
    <w:rsid w:val="00097D14"/>
    <w:rsid w:val="00097DB0"/>
    <w:rsid w:val="00097EC4"/>
    <w:rsid w:val="00097FCF"/>
    <w:rsid w:val="000A02B0"/>
    <w:rsid w:val="000A0511"/>
    <w:rsid w:val="000A0C62"/>
    <w:rsid w:val="000A14AA"/>
    <w:rsid w:val="000A1573"/>
    <w:rsid w:val="000A1939"/>
    <w:rsid w:val="000A20C1"/>
    <w:rsid w:val="000A219B"/>
    <w:rsid w:val="000A235F"/>
    <w:rsid w:val="000A255D"/>
    <w:rsid w:val="000A27C3"/>
    <w:rsid w:val="000A288B"/>
    <w:rsid w:val="000A290D"/>
    <w:rsid w:val="000A294B"/>
    <w:rsid w:val="000A2B4D"/>
    <w:rsid w:val="000A2DFD"/>
    <w:rsid w:val="000A2E0D"/>
    <w:rsid w:val="000A2F85"/>
    <w:rsid w:val="000A32C0"/>
    <w:rsid w:val="000A4302"/>
    <w:rsid w:val="000A4551"/>
    <w:rsid w:val="000A4C44"/>
    <w:rsid w:val="000A4F01"/>
    <w:rsid w:val="000A57EC"/>
    <w:rsid w:val="000A584A"/>
    <w:rsid w:val="000A587D"/>
    <w:rsid w:val="000A610F"/>
    <w:rsid w:val="000A6642"/>
    <w:rsid w:val="000A6647"/>
    <w:rsid w:val="000A6686"/>
    <w:rsid w:val="000A6942"/>
    <w:rsid w:val="000A71C9"/>
    <w:rsid w:val="000A73DA"/>
    <w:rsid w:val="000A7489"/>
    <w:rsid w:val="000A7C9C"/>
    <w:rsid w:val="000A7FA5"/>
    <w:rsid w:val="000B0082"/>
    <w:rsid w:val="000B0083"/>
    <w:rsid w:val="000B00CA"/>
    <w:rsid w:val="000B0268"/>
    <w:rsid w:val="000B0647"/>
    <w:rsid w:val="000B0759"/>
    <w:rsid w:val="000B0F7B"/>
    <w:rsid w:val="000B0FA5"/>
    <w:rsid w:val="000B13C1"/>
    <w:rsid w:val="000B1866"/>
    <w:rsid w:val="000B1A49"/>
    <w:rsid w:val="000B1BB5"/>
    <w:rsid w:val="000B1EDA"/>
    <w:rsid w:val="000B1F8F"/>
    <w:rsid w:val="000B202B"/>
    <w:rsid w:val="000B2227"/>
    <w:rsid w:val="000B2293"/>
    <w:rsid w:val="000B2A2F"/>
    <w:rsid w:val="000B2BAE"/>
    <w:rsid w:val="000B31A4"/>
    <w:rsid w:val="000B31DE"/>
    <w:rsid w:val="000B337D"/>
    <w:rsid w:val="000B3738"/>
    <w:rsid w:val="000B3C70"/>
    <w:rsid w:val="000B41F5"/>
    <w:rsid w:val="000B4275"/>
    <w:rsid w:val="000B430B"/>
    <w:rsid w:val="000B4E28"/>
    <w:rsid w:val="000B4FCC"/>
    <w:rsid w:val="000B5047"/>
    <w:rsid w:val="000B518E"/>
    <w:rsid w:val="000B54D6"/>
    <w:rsid w:val="000B564F"/>
    <w:rsid w:val="000B617C"/>
    <w:rsid w:val="000B63B4"/>
    <w:rsid w:val="000B6921"/>
    <w:rsid w:val="000B6AF1"/>
    <w:rsid w:val="000B71AF"/>
    <w:rsid w:val="000B7423"/>
    <w:rsid w:val="000B744A"/>
    <w:rsid w:val="000B7740"/>
    <w:rsid w:val="000B79A5"/>
    <w:rsid w:val="000B7C3E"/>
    <w:rsid w:val="000B7E83"/>
    <w:rsid w:val="000C0AAD"/>
    <w:rsid w:val="000C1082"/>
    <w:rsid w:val="000C1477"/>
    <w:rsid w:val="000C19FE"/>
    <w:rsid w:val="000C1C5F"/>
    <w:rsid w:val="000C234D"/>
    <w:rsid w:val="000C23EA"/>
    <w:rsid w:val="000C24CF"/>
    <w:rsid w:val="000C2549"/>
    <w:rsid w:val="000C27F7"/>
    <w:rsid w:val="000C34C3"/>
    <w:rsid w:val="000C395D"/>
    <w:rsid w:val="000C3A85"/>
    <w:rsid w:val="000C3F16"/>
    <w:rsid w:val="000C3F7A"/>
    <w:rsid w:val="000C41EE"/>
    <w:rsid w:val="000C4485"/>
    <w:rsid w:val="000C470B"/>
    <w:rsid w:val="000C4730"/>
    <w:rsid w:val="000C48D9"/>
    <w:rsid w:val="000C4B40"/>
    <w:rsid w:val="000C4D80"/>
    <w:rsid w:val="000C524D"/>
    <w:rsid w:val="000C5458"/>
    <w:rsid w:val="000C57EF"/>
    <w:rsid w:val="000C5B67"/>
    <w:rsid w:val="000C5E6B"/>
    <w:rsid w:val="000C6291"/>
    <w:rsid w:val="000C63BF"/>
    <w:rsid w:val="000C6482"/>
    <w:rsid w:val="000C669A"/>
    <w:rsid w:val="000C67FF"/>
    <w:rsid w:val="000C6A92"/>
    <w:rsid w:val="000C6FB6"/>
    <w:rsid w:val="000C7717"/>
    <w:rsid w:val="000C77D8"/>
    <w:rsid w:val="000C7A3F"/>
    <w:rsid w:val="000C7AFD"/>
    <w:rsid w:val="000C7E23"/>
    <w:rsid w:val="000D015B"/>
    <w:rsid w:val="000D01D7"/>
    <w:rsid w:val="000D055C"/>
    <w:rsid w:val="000D0628"/>
    <w:rsid w:val="000D0854"/>
    <w:rsid w:val="000D09A6"/>
    <w:rsid w:val="000D0CFF"/>
    <w:rsid w:val="000D1671"/>
    <w:rsid w:val="000D18A2"/>
    <w:rsid w:val="000D18AF"/>
    <w:rsid w:val="000D1B15"/>
    <w:rsid w:val="000D2608"/>
    <w:rsid w:val="000D2BE3"/>
    <w:rsid w:val="000D2C97"/>
    <w:rsid w:val="000D2F43"/>
    <w:rsid w:val="000D35EC"/>
    <w:rsid w:val="000D3A18"/>
    <w:rsid w:val="000D3C1E"/>
    <w:rsid w:val="000D40B4"/>
    <w:rsid w:val="000D461F"/>
    <w:rsid w:val="000D47FE"/>
    <w:rsid w:val="000D48B1"/>
    <w:rsid w:val="000D4993"/>
    <w:rsid w:val="000D50E6"/>
    <w:rsid w:val="000D575B"/>
    <w:rsid w:val="000D586C"/>
    <w:rsid w:val="000D5ACB"/>
    <w:rsid w:val="000D609A"/>
    <w:rsid w:val="000D63E9"/>
    <w:rsid w:val="000D6471"/>
    <w:rsid w:val="000D64D1"/>
    <w:rsid w:val="000D6AD1"/>
    <w:rsid w:val="000D7053"/>
    <w:rsid w:val="000D71A9"/>
    <w:rsid w:val="000D7328"/>
    <w:rsid w:val="000D7550"/>
    <w:rsid w:val="000D75C3"/>
    <w:rsid w:val="000D779B"/>
    <w:rsid w:val="000D7809"/>
    <w:rsid w:val="000E05BB"/>
    <w:rsid w:val="000E0CE3"/>
    <w:rsid w:val="000E0E78"/>
    <w:rsid w:val="000E0F8D"/>
    <w:rsid w:val="000E120D"/>
    <w:rsid w:val="000E1230"/>
    <w:rsid w:val="000E12B5"/>
    <w:rsid w:val="000E14A5"/>
    <w:rsid w:val="000E1ADB"/>
    <w:rsid w:val="000E1B2C"/>
    <w:rsid w:val="000E1D36"/>
    <w:rsid w:val="000E232C"/>
    <w:rsid w:val="000E2372"/>
    <w:rsid w:val="000E2AE3"/>
    <w:rsid w:val="000E2E92"/>
    <w:rsid w:val="000E37FC"/>
    <w:rsid w:val="000E386A"/>
    <w:rsid w:val="000E3897"/>
    <w:rsid w:val="000E397E"/>
    <w:rsid w:val="000E3B86"/>
    <w:rsid w:val="000E40E0"/>
    <w:rsid w:val="000E4B42"/>
    <w:rsid w:val="000E4C2D"/>
    <w:rsid w:val="000E4F62"/>
    <w:rsid w:val="000E6915"/>
    <w:rsid w:val="000E6BD8"/>
    <w:rsid w:val="000E6C42"/>
    <w:rsid w:val="000E6F8B"/>
    <w:rsid w:val="000E6FC6"/>
    <w:rsid w:val="000E70D8"/>
    <w:rsid w:val="000E70F6"/>
    <w:rsid w:val="000E71E0"/>
    <w:rsid w:val="000E781A"/>
    <w:rsid w:val="000E7923"/>
    <w:rsid w:val="000E7FA4"/>
    <w:rsid w:val="000F0115"/>
    <w:rsid w:val="000F0419"/>
    <w:rsid w:val="000F06E8"/>
    <w:rsid w:val="000F0792"/>
    <w:rsid w:val="000F0D2D"/>
    <w:rsid w:val="000F0EDF"/>
    <w:rsid w:val="000F123E"/>
    <w:rsid w:val="000F191F"/>
    <w:rsid w:val="000F1A28"/>
    <w:rsid w:val="000F1FB3"/>
    <w:rsid w:val="000F20E8"/>
    <w:rsid w:val="000F2141"/>
    <w:rsid w:val="000F2865"/>
    <w:rsid w:val="000F2E27"/>
    <w:rsid w:val="000F31D7"/>
    <w:rsid w:val="000F3729"/>
    <w:rsid w:val="000F3A53"/>
    <w:rsid w:val="000F40A4"/>
    <w:rsid w:val="000F48CE"/>
    <w:rsid w:val="000F491B"/>
    <w:rsid w:val="000F4CC4"/>
    <w:rsid w:val="000F54DA"/>
    <w:rsid w:val="000F566B"/>
    <w:rsid w:val="000F65E2"/>
    <w:rsid w:val="000F65FB"/>
    <w:rsid w:val="000F6747"/>
    <w:rsid w:val="000F6B6E"/>
    <w:rsid w:val="000F7562"/>
    <w:rsid w:val="000F77BE"/>
    <w:rsid w:val="000F78B5"/>
    <w:rsid w:val="000F79A1"/>
    <w:rsid w:val="000F7EBE"/>
    <w:rsid w:val="000F7EFC"/>
    <w:rsid w:val="000F7FCE"/>
    <w:rsid w:val="00100161"/>
    <w:rsid w:val="0010020A"/>
    <w:rsid w:val="00100671"/>
    <w:rsid w:val="001006ED"/>
    <w:rsid w:val="0010091F"/>
    <w:rsid w:val="00100955"/>
    <w:rsid w:val="00100B2B"/>
    <w:rsid w:val="0010112F"/>
    <w:rsid w:val="0010133F"/>
    <w:rsid w:val="00101A4C"/>
    <w:rsid w:val="00101B6E"/>
    <w:rsid w:val="001023F0"/>
    <w:rsid w:val="00102703"/>
    <w:rsid w:val="00103046"/>
    <w:rsid w:val="00103BD9"/>
    <w:rsid w:val="00103F58"/>
    <w:rsid w:val="00103F7A"/>
    <w:rsid w:val="001045F9"/>
    <w:rsid w:val="001048B6"/>
    <w:rsid w:val="00104B04"/>
    <w:rsid w:val="00104F97"/>
    <w:rsid w:val="001051CA"/>
    <w:rsid w:val="00105CFF"/>
    <w:rsid w:val="00107620"/>
    <w:rsid w:val="0010774F"/>
    <w:rsid w:val="00107BB0"/>
    <w:rsid w:val="00107C82"/>
    <w:rsid w:val="001100D2"/>
    <w:rsid w:val="001103FD"/>
    <w:rsid w:val="00110915"/>
    <w:rsid w:val="00110B2D"/>
    <w:rsid w:val="00110BCB"/>
    <w:rsid w:val="00110FE2"/>
    <w:rsid w:val="001110E6"/>
    <w:rsid w:val="001116A9"/>
    <w:rsid w:val="001117D2"/>
    <w:rsid w:val="00111FCD"/>
    <w:rsid w:val="00112993"/>
    <w:rsid w:val="00112A49"/>
    <w:rsid w:val="00112B4F"/>
    <w:rsid w:val="00112F30"/>
    <w:rsid w:val="001132CC"/>
    <w:rsid w:val="00113319"/>
    <w:rsid w:val="00113995"/>
    <w:rsid w:val="00113C2E"/>
    <w:rsid w:val="00113CB2"/>
    <w:rsid w:val="001140CC"/>
    <w:rsid w:val="001145D8"/>
    <w:rsid w:val="00114889"/>
    <w:rsid w:val="00114B06"/>
    <w:rsid w:val="00114F28"/>
    <w:rsid w:val="00114F50"/>
    <w:rsid w:val="00115184"/>
    <w:rsid w:val="001157BC"/>
    <w:rsid w:val="00115CB0"/>
    <w:rsid w:val="00116A6B"/>
    <w:rsid w:val="00116BCA"/>
    <w:rsid w:val="00116D5F"/>
    <w:rsid w:val="00116D68"/>
    <w:rsid w:val="001173C3"/>
    <w:rsid w:val="00117469"/>
    <w:rsid w:val="001175D9"/>
    <w:rsid w:val="00117831"/>
    <w:rsid w:val="001178E0"/>
    <w:rsid w:val="00117FF7"/>
    <w:rsid w:val="00120083"/>
    <w:rsid w:val="00120216"/>
    <w:rsid w:val="00120E8C"/>
    <w:rsid w:val="001212B2"/>
    <w:rsid w:val="00121548"/>
    <w:rsid w:val="00121691"/>
    <w:rsid w:val="00121AE0"/>
    <w:rsid w:val="00121B1C"/>
    <w:rsid w:val="00121C7C"/>
    <w:rsid w:val="00121CAF"/>
    <w:rsid w:val="00121E62"/>
    <w:rsid w:val="001224C7"/>
    <w:rsid w:val="00122C5E"/>
    <w:rsid w:val="001232BE"/>
    <w:rsid w:val="0012341E"/>
    <w:rsid w:val="001239BC"/>
    <w:rsid w:val="00123AAD"/>
    <w:rsid w:val="00124062"/>
    <w:rsid w:val="00124216"/>
    <w:rsid w:val="00124671"/>
    <w:rsid w:val="001249BA"/>
    <w:rsid w:val="001249C1"/>
    <w:rsid w:val="00124DB8"/>
    <w:rsid w:val="00124E20"/>
    <w:rsid w:val="001250DE"/>
    <w:rsid w:val="0012558F"/>
    <w:rsid w:val="00125803"/>
    <w:rsid w:val="00125A6E"/>
    <w:rsid w:val="00125B20"/>
    <w:rsid w:val="00127240"/>
    <w:rsid w:val="00127465"/>
    <w:rsid w:val="0012766D"/>
    <w:rsid w:val="00127867"/>
    <w:rsid w:val="00127FA4"/>
    <w:rsid w:val="00130105"/>
    <w:rsid w:val="001302B2"/>
    <w:rsid w:val="001302E9"/>
    <w:rsid w:val="001306A2"/>
    <w:rsid w:val="0013103D"/>
    <w:rsid w:val="001310A8"/>
    <w:rsid w:val="00131316"/>
    <w:rsid w:val="001315AB"/>
    <w:rsid w:val="00131ECB"/>
    <w:rsid w:val="00131EFB"/>
    <w:rsid w:val="001325A4"/>
    <w:rsid w:val="0013290B"/>
    <w:rsid w:val="00132B5A"/>
    <w:rsid w:val="00132C9C"/>
    <w:rsid w:val="00132F60"/>
    <w:rsid w:val="00133121"/>
    <w:rsid w:val="00133128"/>
    <w:rsid w:val="0013313A"/>
    <w:rsid w:val="00133E2D"/>
    <w:rsid w:val="00134147"/>
    <w:rsid w:val="0013452C"/>
    <w:rsid w:val="00134877"/>
    <w:rsid w:val="00134ED0"/>
    <w:rsid w:val="001351EA"/>
    <w:rsid w:val="0013538B"/>
    <w:rsid w:val="001355D6"/>
    <w:rsid w:val="00135C49"/>
    <w:rsid w:val="00135D68"/>
    <w:rsid w:val="00135E29"/>
    <w:rsid w:val="001361EB"/>
    <w:rsid w:val="0013663F"/>
    <w:rsid w:val="00136A28"/>
    <w:rsid w:val="001371D0"/>
    <w:rsid w:val="00137570"/>
    <w:rsid w:val="00137C0F"/>
    <w:rsid w:val="00137E26"/>
    <w:rsid w:val="00137E8C"/>
    <w:rsid w:val="00137F1B"/>
    <w:rsid w:val="00140A96"/>
    <w:rsid w:val="00140AAE"/>
    <w:rsid w:val="001417FE"/>
    <w:rsid w:val="001421C3"/>
    <w:rsid w:val="001426E9"/>
    <w:rsid w:val="00142D59"/>
    <w:rsid w:val="00142FF6"/>
    <w:rsid w:val="00143608"/>
    <w:rsid w:val="00143776"/>
    <w:rsid w:val="00144374"/>
    <w:rsid w:val="00145366"/>
    <w:rsid w:val="001457B1"/>
    <w:rsid w:val="00145B6B"/>
    <w:rsid w:val="00145C46"/>
    <w:rsid w:val="00145F60"/>
    <w:rsid w:val="001460E1"/>
    <w:rsid w:val="00146285"/>
    <w:rsid w:val="00146354"/>
    <w:rsid w:val="001469F4"/>
    <w:rsid w:val="0014705F"/>
    <w:rsid w:val="00147ACC"/>
    <w:rsid w:val="00147AEF"/>
    <w:rsid w:val="00147B88"/>
    <w:rsid w:val="00150217"/>
    <w:rsid w:val="00150BAF"/>
    <w:rsid w:val="00150EB3"/>
    <w:rsid w:val="00150F5D"/>
    <w:rsid w:val="00151443"/>
    <w:rsid w:val="00151C6C"/>
    <w:rsid w:val="00151F4F"/>
    <w:rsid w:val="00152AE1"/>
    <w:rsid w:val="00152BBB"/>
    <w:rsid w:val="00152E37"/>
    <w:rsid w:val="00153155"/>
    <w:rsid w:val="0015368C"/>
    <w:rsid w:val="00153A15"/>
    <w:rsid w:val="0015427B"/>
    <w:rsid w:val="001545B0"/>
    <w:rsid w:val="00154924"/>
    <w:rsid w:val="00154973"/>
    <w:rsid w:val="0015506B"/>
    <w:rsid w:val="0015526D"/>
    <w:rsid w:val="001559C3"/>
    <w:rsid w:val="00155B77"/>
    <w:rsid w:val="00155CC1"/>
    <w:rsid w:val="00156752"/>
    <w:rsid w:val="00156D25"/>
    <w:rsid w:val="00156F21"/>
    <w:rsid w:val="00157581"/>
    <w:rsid w:val="00157D81"/>
    <w:rsid w:val="00157E25"/>
    <w:rsid w:val="00157E4F"/>
    <w:rsid w:val="00160414"/>
    <w:rsid w:val="0016054F"/>
    <w:rsid w:val="001605B6"/>
    <w:rsid w:val="001607C6"/>
    <w:rsid w:val="0016100C"/>
    <w:rsid w:val="00161757"/>
    <w:rsid w:val="001618CE"/>
    <w:rsid w:val="0016203E"/>
    <w:rsid w:val="00162245"/>
    <w:rsid w:val="00162A50"/>
    <w:rsid w:val="00162C87"/>
    <w:rsid w:val="00162F9A"/>
    <w:rsid w:val="00162FB6"/>
    <w:rsid w:val="001630F1"/>
    <w:rsid w:val="0016317D"/>
    <w:rsid w:val="001633CD"/>
    <w:rsid w:val="001644AF"/>
    <w:rsid w:val="00164A12"/>
    <w:rsid w:val="00164AB5"/>
    <w:rsid w:val="00164E61"/>
    <w:rsid w:val="00165062"/>
    <w:rsid w:val="00165274"/>
    <w:rsid w:val="00165AAC"/>
    <w:rsid w:val="00165BA4"/>
    <w:rsid w:val="00165C6B"/>
    <w:rsid w:val="00165EE0"/>
    <w:rsid w:val="0016618D"/>
    <w:rsid w:val="0016684C"/>
    <w:rsid w:val="00166F21"/>
    <w:rsid w:val="001671B4"/>
    <w:rsid w:val="0016775E"/>
    <w:rsid w:val="001678B8"/>
    <w:rsid w:val="001679C2"/>
    <w:rsid w:val="001705C4"/>
    <w:rsid w:val="0017077F"/>
    <w:rsid w:val="00170AC7"/>
    <w:rsid w:val="00170B67"/>
    <w:rsid w:val="00170BB0"/>
    <w:rsid w:val="00170CD3"/>
    <w:rsid w:val="00170CE9"/>
    <w:rsid w:val="00171535"/>
    <w:rsid w:val="001716A1"/>
    <w:rsid w:val="00171A71"/>
    <w:rsid w:val="00171BC6"/>
    <w:rsid w:val="00171F44"/>
    <w:rsid w:val="00171F4A"/>
    <w:rsid w:val="00172547"/>
    <w:rsid w:val="00172960"/>
    <w:rsid w:val="00172CFF"/>
    <w:rsid w:val="00172E6D"/>
    <w:rsid w:val="00172EC0"/>
    <w:rsid w:val="001731C6"/>
    <w:rsid w:val="00173A0C"/>
    <w:rsid w:val="00173C0B"/>
    <w:rsid w:val="00174303"/>
    <w:rsid w:val="0017441C"/>
    <w:rsid w:val="00174576"/>
    <w:rsid w:val="00174882"/>
    <w:rsid w:val="001749CC"/>
    <w:rsid w:val="00174C31"/>
    <w:rsid w:val="00174E48"/>
    <w:rsid w:val="00174F1E"/>
    <w:rsid w:val="0017501A"/>
    <w:rsid w:val="00175349"/>
    <w:rsid w:val="00175BE6"/>
    <w:rsid w:val="00175E1C"/>
    <w:rsid w:val="00175F93"/>
    <w:rsid w:val="00176380"/>
    <w:rsid w:val="00176F0D"/>
    <w:rsid w:val="001771AE"/>
    <w:rsid w:val="001773EC"/>
    <w:rsid w:val="00177949"/>
    <w:rsid w:val="00177F00"/>
    <w:rsid w:val="00180336"/>
    <w:rsid w:val="00180490"/>
    <w:rsid w:val="00180B1C"/>
    <w:rsid w:val="00181501"/>
    <w:rsid w:val="001815F1"/>
    <w:rsid w:val="001819CC"/>
    <w:rsid w:val="00181D32"/>
    <w:rsid w:val="00181E78"/>
    <w:rsid w:val="00182088"/>
    <w:rsid w:val="001824C2"/>
    <w:rsid w:val="00182516"/>
    <w:rsid w:val="001826A1"/>
    <w:rsid w:val="00182769"/>
    <w:rsid w:val="001828A8"/>
    <w:rsid w:val="00182ACA"/>
    <w:rsid w:val="00182D9A"/>
    <w:rsid w:val="00183736"/>
    <w:rsid w:val="00183E76"/>
    <w:rsid w:val="00184440"/>
    <w:rsid w:val="001844CA"/>
    <w:rsid w:val="0018524E"/>
    <w:rsid w:val="001852BB"/>
    <w:rsid w:val="00185943"/>
    <w:rsid w:val="00185F26"/>
    <w:rsid w:val="0018613A"/>
    <w:rsid w:val="00186143"/>
    <w:rsid w:val="001863E5"/>
    <w:rsid w:val="00186D36"/>
    <w:rsid w:val="00186DAA"/>
    <w:rsid w:val="001873A2"/>
    <w:rsid w:val="001876E4"/>
    <w:rsid w:val="00187C9B"/>
    <w:rsid w:val="00190694"/>
    <w:rsid w:val="00190756"/>
    <w:rsid w:val="00190C2A"/>
    <w:rsid w:val="00190D27"/>
    <w:rsid w:val="00190D28"/>
    <w:rsid w:val="00190F26"/>
    <w:rsid w:val="00191204"/>
    <w:rsid w:val="0019121D"/>
    <w:rsid w:val="00191368"/>
    <w:rsid w:val="00191C00"/>
    <w:rsid w:val="00191CE5"/>
    <w:rsid w:val="00191FC7"/>
    <w:rsid w:val="0019218E"/>
    <w:rsid w:val="001923D9"/>
    <w:rsid w:val="001923F7"/>
    <w:rsid w:val="001927E9"/>
    <w:rsid w:val="0019291A"/>
    <w:rsid w:val="00192D34"/>
    <w:rsid w:val="00192E89"/>
    <w:rsid w:val="00193046"/>
    <w:rsid w:val="00193830"/>
    <w:rsid w:val="00193AF7"/>
    <w:rsid w:val="001943BB"/>
    <w:rsid w:val="00195312"/>
    <w:rsid w:val="001958A3"/>
    <w:rsid w:val="00195C33"/>
    <w:rsid w:val="00195D8B"/>
    <w:rsid w:val="0019636E"/>
    <w:rsid w:val="00196740"/>
    <w:rsid w:val="001969BF"/>
    <w:rsid w:val="00196F01"/>
    <w:rsid w:val="00197366"/>
    <w:rsid w:val="001976D2"/>
    <w:rsid w:val="00197F72"/>
    <w:rsid w:val="001A07EF"/>
    <w:rsid w:val="001A0FA9"/>
    <w:rsid w:val="001A12AE"/>
    <w:rsid w:val="001A1759"/>
    <w:rsid w:val="001A1916"/>
    <w:rsid w:val="001A1E00"/>
    <w:rsid w:val="001A1FE2"/>
    <w:rsid w:val="001A216D"/>
    <w:rsid w:val="001A24D5"/>
    <w:rsid w:val="001A27BF"/>
    <w:rsid w:val="001A2A87"/>
    <w:rsid w:val="001A35AD"/>
    <w:rsid w:val="001A35E6"/>
    <w:rsid w:val="001A3C5A"/>
    <w:rsid w:val="001A3CC4"/>
    <w:rsid w:val="001A41F8"/>
    <w:rsid w:val="001A479A"/>
    <w:rsid w:val="001A4866"/>
    <w:rsid w:val="001A4B73"/>
    <w:rsid w:val="001A4C0C"/>
    <w:rsid w:val="001A4CC6"/>
    <w:rsid w:val="001A4E01"/>
    <w:rsid w:val="001A562F"/>
    <w:rsid w:val="001A610E"/>
    <w:rsid w:val="001A6176"/>
    <w:rsid w:val="001A6503"/>
    <w:rsid w:val="001A6576"/>
    <w:rsid w:val="001A6850"/>
    <w:rsid w:val="001A6C29"/>
    <w:rsid w:val="001A7B8C"/>
    <w:rsid w:val="001A7F06"/>
    <w:rsid w:val="001B031A"/>
    <w:rsid w:val="001B0320"/>
    <w:rsid w:val="001B04BE"/>
    <w:rsid w:val="001B06FB"/>
    <w:rsid w:val="001B07E8"/>
    <w:rsid w:val="001B0974"/>
    <w:rsid w:val="001B0DC7"/>
    <w:rsid w:val="001B1199"/>
    <w:rsid w:val="001B13C2"/>
    <w:rsid w:val="001B1541"/>
    <w:rsid w:val="001B16D8"/>
    <w:rsid w:val="001B1A40"/>
    <w:rsid w:val="001B265C"/>
    <w:rsid w:val="001B286E"/>
    <w:rsid w:val="001B2B1A"/>
    <w:rsid w:val="001B2C59"/>
    <w:rsid w:val="001B2E8E"/>
    <w:rsid w:val="001B3139"/>
    <w:rsid w:val="001B3194"/>
    <w:rsid w:val="001B330B"/>
    <w:rsid w:val="001B34D0"/>
    <w:rsid w:val="001B366A"/>
    <w:rsid w:val="001B386D"/>
    <w:rsid w:val="001B38B6"/>
    <w:rsid w:val="001B3960"/>
    <w:rsid w:val="001B3C07"/>
    <w:rsid w:val="001B3C3A"/>
    <w:rsid w:val="001B3C3F"/>
    <w:rsid w:val="001B3D48"/>
    <w:rsid w:val="001B3EE2"/>
    <w:rsid w:val="001B48A1"/>
    <w:rsid w:val="001B4BC1"/>
    <w:rsid w:val="001B4BDA"/>
    <w:rsid w:val="001B55A3"/>
    <w:rsid w:val="001B5743"/>
    <w:rsid w:val="001B5782"/>
    <w:rsid w:val="001B5785"/>
    <w:rsid w:val="001B58CF"/>
    <w:rsid w:val="001B696A"/>
    <w:rsid w:val="001B6A3E"/>
    <w:rsid w:val="001B6A98"/>
    <w:rsid w:val="001B708E"/>
    <w:rsid w:val="001B711B"/>
    <w:rsid w:val="001B73FA"/>
    <w:rsid w:val="001B768C"/>
    <w:rsid w:val="001B7AB8"/>
    <w:rsid w:val="001B7BBA"/>
    <w:rsid w:val="001B7C98"/>
    <w:rsid w:val="001B7DA2"/>
    <w:rsid w:val="001C01C3"/>
    <w:rsid w:val="001C01CA"/>
    <w:rsid w:val="001C0256"/>
    <w:rsid w:val="001C09D2"/>
    <w:rsid w:val="001C1081"/>
    <w:rsid w:val="001C1209"/>
    <w:rsid w:val="001C12A0"/>
    <w:rsid w:val="001C1399"/>
    <w:rsid w:val="001C1D09"/>
    <w:rsid w:val="001C1D13"/>
    <w:rsid w:val="001C2ABE"/>
    <w:rsid w:val="001C2D3B"/>
    <w:rsid w:val="001C2E85"/>
    <w:rsid w:val="001C3502"/>
    <w:rsid w:val="001C35F5"/>
    <w:rsid w:val="001C3A9F"/>
    <w:rsid w:val="001C3D68"/>
    <w:rsid w:val="001C41E9"/>
    <w:rsid w:val="001C4385"/>
    <w:rsid w:val="001C439F"/>
    <w:rsid w:val="001C45A5"/>
    <w:rsid w:val="001C470C"/>
    <w:rsid w:val="001C4D99"/>
    <w:rsid w:val="001C4EE4"/>
    <w:rsid w:val="001C5102"/>
    <w:rsid w:val="001C5638"/>
    <w:rsid w:val="001C565E"/>
    <w:rsid w:val="001C5683"/>
    <w:rsid w:val="001C56AE"/>
    <w:rsid w:val="001C585C"/>
    <w:rsid w:val="001C5EDB"/>
    <w:rsid w:val="001C6036"/>
    <w:rsid w:val="001C69A2"/>
    <w:rsid w:val="001C6C8B"/>
    <w:rsid w:val="001C6E64"/>
    <w:rsid w:val="001C7096"/>
    <w:rsid w:val="001C70A5"/>
    <w:rsid w:val="001C7D56"/>
    <w:rsid w:val="001D03E0"/>
    <w:rsid w:val="001D0EC6"/>
    <w:rsid w:val="001D1548"/>
    <w:rsid w:val="001D1E32"/>
    <w:rsid w:val="001D1FAB"/>
    <w:rsid w:val="001D298E"/>
    <w:rsid w:val="001D2A42"/>
    <w:rsid w:val="001D3387"/>
    <w:rsid w:val="001D3B92"/>
    <w:rsid w:val="001D46D1"/>
    <w:rsid w:val="001D48CF"/>
    <w:rsid w:val="001D4A9B"/>
    <w:rsid w:val="001D4E11"/>
    <w:rsid w:val="001D4E25"/>
    <w:rsid w:val="001D5111"/>
    <w:rsid w:val="001D5404"/>
    <w:rsid w:val="001D5F8B"/>
    <w:rsid w:val="001D60EE"/>
    <w:rsid w:val="001D6246"/>
    <w:rsid w:val="001D643B"/>
    <w:rsid w:val="001D644C"/>
    <w:rsid w:val="001D6A6E"/>
    <w:rsid w:val="001D6B9E"/>
    <w:rsid w:val="001D6D5C"/>
    <w:rsid w:val="001D7039"/>
    <w:rsid w:val="001D7923"/>
    <w:rsid w:val="001D7C01"/>
    <w:rsid w:val="001D7DD7"/>
    <w:rsid w:val="001D7E73"/>
    <w:rsid w:val="001E0010"/>
    <w:rsid w:val="001E0487"/>
    <w:rsid w:val="001E0B0E"/>
    <w:rsid w:val="001E0C49"/>
    <w:rsid w:val="001E10B3"/>
    <w:rsid w:val="001E11BF"/>
    <w:rsid w:val="001E121E"/>
    <w:rsid w:val="001E1B20"/>
    <w:rsid w:val="001E2A73"/>
    <w:rsid w:val="001E31A0"/>
    <w:rsid w:val="001E37E6"/>
    <w:rsid w:val="001E3A11"/>
    <w:rsid w:val="001E3B73"/>
    <w:rsid w:val="001E3D65"/>
    <w:rsid w:val="001E3D66"/>
    <w:rsid w:val="001E3EFB"/>
    <w:rsid w:val="001E3F6A"/>
    <w:rsid w:val="001E40C4"/>
    <w:rsid w:val="001E418A"/>
    <w:rsid w:val="001E42E7"/>
    <w:rsid w:val="001E4526"/>
    <w:rsid w:val="001E4622"/>
    <w:rsid w:val="001E488A"/>
    <w:rsid w:val="001E488F"/>
    <w:rsid w:val="001E547C"/>
    <w:rsid w:val="001E54F6"/>
    <w:rsid w:val="001E5928"/>
    <w:rsid w:val="001E5DEE"/>
    <w:rsid w:val="001E5E23"/>
    <w:rsid w:val="001E5FE4"/>
    <w:rsid w:val="001E60C8"/>
    <w:rsid w:val="001E61B6"/>
    <w:rsid w:val="001E6781"/>
    <w:rsid w:val="001E6C4B"/>
    <w:rsid w:val="001E6D62"/>
    <w:rsid w:val="001E6F1D"/>
    <w:rsid w:val="001E7001"/>
    <w:rsid w:val="001E7241"/>
    <w:rsid w:val="001E78C6"/>
    <w:rsid w:val="001E7961"/>
    <w:rsid w:val="001F01E6"/>
    <w:rsid w:val="001F06FC"/>
    <w:rsid w:val="001F07FB"/>
    <w:rsid w:val="001F0DBE"/>
    <w:rsid w:val="001F1AC5"/>
    <w:rsid w:val="001F1BC5"/>
    <w:rsid w:val="001F2259"/>
    <w:rsid w:val="001F246B"/>
    <w:rsid w:val="001F25E9"/>
    <w:rsid w:val="001F27D5"/>
    <w:rsid w:val="001F28F1"/>
    <w:rsid w:val="001F2AA6"/>
    <w:rsid w:val="001F2C9A"/>
    <w:rsid w:val="001F32A8"/>
    <w:rsid w:val="001F36C1"/>
    <w:rsid w:val="001F38AD"/>
    <w:rsid w:val="001F3A16"/>
    <w:rsid w:val="001F3AF5"/>
    <w:rsid w:val="001F3C82"/>
    <w:rsid w:val="001F3D93"/>
    <w:rsid w:val="001F3DF2"/>
    <w:rsid w:val="001F40C9"/>
    <w:rsid w:val="001F439B"/>
    <w:rsid w:val="001F490E"/>
    <w:rsid w:val="001F4B85"/>
    <w:rsid w:val="001F4E72"/>
    <w:rsid w:val="001F5098"/>
    <w:rsid w:val="001F51AD"/>
    <w:rsid w:val="001F5551"/>
    <w:rsid w:val="001F55D2"/>
    <w:rsid w:val="001F5803"/>
    <w:rsid w:val="001F5858"/>
    <w:rsid w:val="001F5CBC"/>
    <w:rsid w:val="001F5CD8"/>
    <w:rsid w:val="001F5D41"/>
    <w:rsid w:val="001F5FF4"/>
    <w:rsid w:val="001F609B"/>
    <w:rsid w:val="001F636E"/>
    <w:rsid w:val="001F6753"/>
    <w:rsid w:val="001F6A7B"/>
    <w:rsid w:val="001F7060"/>
    <w:rsid w:val="001F7979"/>
    <w:rsid w:val="001F7AC7"/>
    <w:rsid w:val="001F7E3A"/>
    <w:rsid w:val="002004CD"/>
    <w:rsid w:val="0020060C"/>
    <w:rsid w:val="00200663"/>
    <w:rsid w:val="00200814"/>
    <w:rsid w:val="00200B77"/>
    <w:rsid w:val="002015DD"/>
    <w:rsid w:val="00201A51"/>
    <w:rsid w:val="00202064"/>
    <w:rsid w:val="002020EA"/>
    <w:rsid w:val="00202148"/>
    <w:rsid w:val="002028B4"/>
    <w:rsid w:val="00202E17"/>
    <w:rsid w:val="002032BE"/>
    <w:rsid w:val="0020340E"/>
    <w:rsid w:val="002036CC"/>
    <w:rsid w:val="00203D39"/>
    <w:rsid w:val="002043B0"/>
    <w:rsid w:val="002046B1"/>
    <w:rsid w:val="00204AED"/>
    <w:rsid w:val="00204D8A"/>
    <w:rsid w:val="0020541E"/>
    <w:rsid w:val="0020552D"/>
    <w:rsid w:val="00205C8E"/>
    <w:rsid w:val="00205DCF"/>
    <w:rsid w:val="0020621D"/>
    <w:rsid w:val="002063A3"/>
    <w:rsid w:val="0020648B"/>
    <w:rsid w:val="00206732"/>
    <w:rsid w:val="00206961"/>
    <w:rsid w:val="00206AC6"/>
    <w:rsid w:val="00206F29"/>
    <w:rsid w:val="00206F77"/>
    <w:rsid w:val="0020778D"/>
    <w:rsid w:val="002079C9"/>
    <w:rsid w:val="00207E6A"/>
    <w:rsid w:val="00210106"/>
    <w:rsid w:val="0021013D"/>
    <w:rsid w:val="00210173"/>
    <w:rsid w:val="00210685"/>
    <w:rsid w:val="00210CEB"/>
    <w:rsid w:val="00210D27"/>
    <w:rsid w:val="00210E40"/>
    <w:rsid w:val="0021168F"/>
    <w:rsid w:val="002118BF"/>
    <w:rsid w:val="00211D93"/>
    <w:rsid w:val="00212040"/>
    <w:rsid w:val="002127C2"/>
    <w:rsid w:val="00212AC1"/>
    <w:rsid w:val="00213090"/>
    <w:rsid w:val="002130A4"/>
    <w:rsid w:val="002134AB"/>
    <w:rsid w:val="0021371B"/>
    <w:rsid w:val="00213768"/>
    <w:rsid w:val="00213ABD"/>
    <w:rsid w:val="002143B4"/>
    <w:rsid w:val="00215F1F"/>
    <w:rsid w:val="002169E3"/>
    <w:rsid w:val="00216AEA"/>
    <w:rsid w:val="00216BBD"/>
    <w:rsid w:val="00216DB5"/>
    <w:rsid w:val="00217F7B"/>
    <w:rsid w:val="002200D5"/>
    <w:rsid w:val="00220316"/>
    <w:rsid w:val="00220759"/>
    <w:rsid w:val="00220BD9"/>
    <w:rsid w:val="00220F2D"/>
    <w:rsid w:val="002214AE"/>
    <w:rsid w:val="002214F8"/>
    <w:rsid w:val="002215F9"/>
    <w:rsid w:val="00221666"/>
    <w:rsid w:val="00221725"/>
    <w:rsid w:val="002217AB"/>
    <w:rsid w:val="00221950"/>
    <w:rsid w:val="00221ED4"/>
    <w:rsid w:val="002223B1"/>
    <w:rsid w:val="0022250E"/>
    <w:rsid w:val="002225CF"/>
    <w:rsid w:val="00222990"/>
    <w:rsid w:val="00222ED9"/>
    <w:rsid w:val="00222F3C"/>
    <w:rsid w:val="00223066"/>
    <w:rsid w:val="0022325B"/>
    <w:rsid w:val="00223449"/>
    <w:rsid w:val="00223454"/>
    <w:rsid w:val="002234F0"/>
    <w:rsid w:val="0022352F"/>
    <w:rsid w:val="00223BFD"/>
    <w:rsid w:val="00223DF7"/>
    <w:rsid w:val="00223ED3"/>
    <w:rsid w:val="00224510"/>
    <w:rsid w:val="00224614"/>
    <w:rsid w:val="002249DC"/>
    <w:rsid w:val="00225294"/>
    <w:rsid w:val="00225339"/>
    <w:rsid w:val="0022533D"/>
    <w:rsid w:val="00225A90"/>
    <w:rsid w:val="00225F3D"/>
    <w:rsid w:val="00225FF4"/>
    <w:rsid w:val="002263F4"/>
    <w:rsid w:val="0022667D"/>
    <w:rsid w:val="002266E8"/>
    <w:rsid w:val="0022686B"/>
    <w:rsid w:val="00226BEA"/>
    <w:rsid w:val="00227374"/>
    <w:rsid w:val="002273D3"/>
    <w:rsid w:val="00227977"/>
    <w:rsid w:val="002279AF"/>
    <w:rsid w:val="00230260"/>
    <w:rsid w:val="002302A0"/>
    <w:rsid w:val="00230770"/>
    <w:rsid w:val="002307E4"/>
    <w:rsid w:val="002307FA"/>
    <w:rsid w:val="00230A83"/>
    <w:rsid w:val="00230BA5"/>
    <w:rsid w:val="00230D77"/>
    <w:rsid w:val="0023256F"/>
    <w:rsid w:val="002327E0"/>
    <w:rsid w:val="0023282D"/>
    <w:rsid w:val="002328FA"/>
    <w:rsid w:val="00233247"/>
    <w:rsid w:val="00233345"/>
    <w:rsid w:val="002336FA"/>
    <w:rsid w:val="002338D7"/>
    <w:rsid w:val="00233D15"/>
    <w:rsid w:val="00234BC9"/>
    <w:rsid w:val="00234C0A"/>
    <w:rsid w:val="00235503"/>
    <w:rsid w:val="00235712"/>
    <w:rsid w:val="00236056"/>
    <w:rsid w:val="0023625E"/>
    <w:rsid w:val="00236261"/>
    <w:rsid w:val="0023632D"/>
    <w:rsid w:val="002363D5"/>
    <w:rsid w:val="00236CF7"/>
    <w:rsid w:val="00237465"/>
    <w:rsid w:val="00237522"/>
    <w:rsid w:val="00237662"/>
    <w:rsid w:val="00237985"/>
    <w:rsid w:val="00237AA5"/>
    <w:rsid w:val="00237F5C"/>
    <w:rsid w:val="002400F3"/>
    <w:rsid w:val="00240EA9"/>
    <w:rsid w:val="00240F0A"/>
    <w:rsid w:val="00241234"/>
    <w:rsid w:val="002414E4"/>
    <w:rsid w:val="002415B7"/>
    <w:rsid w:val="00241FA9"/>
    <w:rsid w:val="00242604"/>
    <w:rsid w:val="00242C73"/>
    <w:rsid w:val="00242FC3"/>
    <w:rsid w:val="0024311F"/>
    <w:rsid w:val="002434B8"/>
    <w:rsid w:val="002434CD"/>
    <w:rsid w:val="00243549"/>
    <w:rsid w:val="002435E2"/>
    <w:rsid w:val="002446E0"/>
    <w:rsid w:val="0024482E"/>
    <w:rsid w:val="00244992"/>
    <w:rsid w:val="0024499C"/>
    <w:rsid w:val="00244AD6"/>
    <w:rsid w:val="00245143"/>
    <w:rsid w:val="0024594F"/>
    <w:rsid w:val="00245C5A"/>
    <w:rsid w:val="00245CB8"/>
    <w:rsid w:val="00245E22"/>
    <w:rsid w:val="002461E3"/>
    <w:rsid w:val="002462E6"/>
    <w:rsid w:val="002468F0"/>
    <w:rsid w:val="00246A36"/>
    <w:rsid w:val="00246CF7"/>
    <w:rsid w:val="00246DCC"/>
    <w:rsid w:val="00246F04"/>
    <w:rsid w:val="0024714B"/>
    <w:rsid w:val="00247274"/>
    <w:rsid w:val="00247375"/>
    <w:rsid w:val="00247537"/>
    <w:rsid w:val="0024768E"/>
    <w:rsid w:val="0024775F"/>
    <w:rsid w:val="00247984"/>
    <w:rsid w:val="00247A53"/>
    <w:rsid w:val="00247C37"/>
    <w:rsid w:val="00247CD1"/>
    <w:rsid w:val="00247D2D"/>
    <w:rsid w:val="00247D72"/>
    <w:rsid w:val="00250C55"/>
    <w:rsid w:val="00250F0E"/>
    <w:rsid w:val="002514B5"/>
    <w:rsid w:val="00251784"/>
    <w:rsid w:val="002518C2"/>
    <w:rsid w:val="0025195F"/>
    <w:rsid w:val="00251BE5"/>
    <w:rsid w:val="00251CD4"/>
    <w:rsid w:val="00251E1F"/>
    <w:rsid w:val="002520A7"/>
    <w:rsid w:val="002521D8"/>
    <w:rsid w:val="002526A3"/>
    <w:rsid w:val="00252931"/>
    <w:rsid w:val="00253283"/>
    <w:rsid w:val="002535E3"/>
    <w:rsid w:val="0025360C"/>
    <w:rsid w:val="002538E1"/>
    <w:rsid w:val="00253D37"/>
    <w:rsid w:val="00254AA9"/>
    <w:rsid w:val="00254B34"/>
    <w:rsid w:val="00254B66"/>
    <w:rsid w:val="00254E37"/>
    <w:rsid w:val="00254F47"/>
    <w:rsid w:val="002554F9"/>
    <w:rsid w:val="00255798"/>
    <w:rsid w:val="00255A93"/>
    <w:rsid w:val="00255AD6"/>
    <w:rsid w:val="00255BF2"/>
    <w:rsid w:val="00255C35"/>
    <w:rsid w:val="00255E67"/>
    <w:rsid w:val="00255F4D"/>
    <w:rsid w:val="002561B2"/>
    <w:rsid w:val="0025635A"/>
    <w:rsid w:val="002567BD"/>
    <w:rsid w:val="00256905"/>
    <w:rsid w:val="00256B37"/>
    <w:rsid w:val="00256EF8"/>
    <w:rsid w:val="00257546"/>
    <w:rsid w:val="00257996"/>
    <w:rsid w:val="00257BC3"/>
    <w:rsid w:val="00257C84"/>
    <w:rsid w:val="00257C96"/>
    <w:rsid w:val="00260570"/>
    <w:rsid w:val="00261292"/>
    <w:rsid w:val="0026165E"/>
    <w:rsid w:val="002616CE"/>
    <w:rsid w:val="002616D9"/>
    <w:rsid w:val="00261D91"/>
    <w:rsid w:val="0026235B"/>
    <w:rsid w:val="0026259D"/>
    <w:rsid w:val="00262A27"/>
    <w:rsid w:val="00262C34"/>
    <w:rsid w:val="00263037"/>
    <w:rsid w:val="00263C22"/>
    <w:rsid w:val="0026470C"/>
    <w:rsid w:val="00264B2E"/>
    <w:rsid w:val="00264E29"/>
    <w:rsid w:val="00265322"/>
    <w:rsid w:val="002662F7"/>
    <w:rsid w:val="0026660A"/>
    <w:rsid w:val="00266782"/>
    <w:rsid w:val="002667B3"/>
    <w:rsid w:val="002670E4"/>
    <w:rsid w:val="00267197"/>
    <w:rsid w:val="0026723C"/>
    <w:rsid w:val="002677B9"/>
    <w:rsid w:val="002679DE"/>
    <w:rsid w:val="00267B17"/>
    <w:rsid w:val="00267C3D"/>
    <w:rsid w:val="002704A0"/>
    <w:rsid w:val="0027079B"/>
    <w:rsid w:val="00270EDA"/>
    <w:rsid w:val="00271D1D"/>
    <w:rsid w:val="00272484"/>
    <w:rsid w:val="002726AF"/>
    <w:rsid w:val="002726E2"/>
    <w:rsid w:val="00272AD9"/>
    <w:rsid w:val="00272B08"/>
    <w:rsid w:val="00272C43"/>
    <w:rsid w:val="00273035"/>
    <w:rsid w:val="002732C4"/>
    <w:rsid w:val="00273425"/>
    <w:rsid w:val="00273632"/>
    <w:rsid w:val="002736AE"/>
    <w:rsid w:val="00273AF6"/>
    <w:rsid w:val="00273C3B"/>
    <w:rsid w:val="00274A7F"/>
    <w:rsid w:val="00274B45"/>
    <w:rsid w:val="00274B72"/>
    <w:rsid w:val="002754FB"/>
    <w:rsid w:val="002756FB"/>
    <w:rsid w:val="00275A15"/>
    <w:rsid w:val="00276A93"/>
    <w:rsid w:val="00276FFB"/>
    <w:rsid w:val="00277937"/>
    <w:rsid w:val="00277EA3"/>
    <w:rsid w:val="002800A6"/>
    <w:rsid w:val="0028012D"/>
    <w:rsid w:val="00280614"/>
    <w:rsid w:val="00280703"/>
    <w:rsid w:val="002808CE"/>
    <w:rsid w:val="00280A06"/>
    <w:rsid w:val="00280FF1"/>
    <w:rsid w:val="0028110D"/>
    <w:rsid w:val="0028127C"/>
    <w:rsid w:val="00281A3D"/>
    <w:rsid w:val="00281A88"/>
    <w:rsid w:val="00281C10"/>
    <w:rsid w:val="00281C2E"/>
    <w:rsid w:val="002829EB"/>
    <w:rsid w:val="00282CBA"/>
    <w:rsid w:val="0028303C"/>
    <w:rsid w:val="0028365B"/>
    <w:rsid w:val="0028387C"/>
    <w:rsid w:val="00283E20"/>
    <w:rsid w:val="00284383"/>
    <w:rsid w:val="002843D8"/>
    <w:rsid w:val="00284A49"/>
    <w:rsid w:val="00284A62"/>
    <w:rsid w:val="00284EAD"/>
    <w:rsid w:val="00284EFA"/>
    <w:rsid w:val="00285236"/>
    <w:rsid w:val="00285261"/>
    <w:rsid w:val="002853F3"/>
    <w:rsid w:val="002854AD"/>
    <w:rsid w:val="00285957"/>
    <w:rsid w:val="00285F5C"/>
    <w:rsid w:val="002862AB"/>
    <w:rsid w:val="00286702"/>
    <w:rsid w:val="00286B3A"/>
    <w:rsid w:val="00286BCC"/>
    <w:rsid w:val="00286C34"/>
    <w:rsid w:val="00286DF5"/>
    <w:rsid w:val="00287205"/>
    <w:rsid w:val="00287709"/>
    <w:rsid w:val="002879EF"/>
    <w:rsid w:val="002902C2"/>
    <w:rsid w:val="002905A9"/>
    <w:rsid w:val="00290812"/>
    <w:rsid w:val="0029082F"/>
    <w:rsid w:val="0029090D"/>
    <w:rsid w:val="00290B83"/>
    <w:rsid w:val="00290EAB"/>
    <w:rsid w:val="00290F33"/>
    <w:rsid w:val="00290FAA"/>
    <w:rsid w:val="0029104B"/>
    <w:rsid w:val="002911F3"/>
    <w:rsid w:val="00291CE3"/>
    <w:rsid w:val="00292016"/>
    <w:rsid w:val="00292282"/>
    <w:rsid w:val="002924A1"/>
    <w:rsid w:val="002924C9"/>
    <w:rsid w:val="00292EB3"/>
    <w:rsid w:val="002931E8"/>
    <w:rsid w:val="00293323"/>
    <w:rsid w:val="00293580"/>
    <w:rsid w:val="00293630"/>
    <w:rsid w:val="0029519B"/>
    <w:rsid w:val="00295832"/>
    <w:rsid w:val="00295889"/>
    <w:rsid w:val="00295D3F"/>
    <w:rsid w:val="00295ED7"/>
    <w:rsid w:val="00296069"/>
    <w:rsid w:val="002962E7"/>
    <w:rsid w:val="00296529"/>
    <w:rsid w:val="00296A31"/>
    <w:rsid w:val="0029799A"/>
    <w:rsid w:val="00297B9F"/>
    <w:rsid w:val="00297C3C"/>
    <w:rsid w:val="00297C69"/>
    <w:rsid w:val="002A00E6"/>
    <w:rsid w:val="002A09DD"/>
    <w:rsid w:val="002A0B3E"/>
    <w:rsid w:val="002A0E7A"/>
    <w:rsid w:val="002A1367"/>
    <w:rsid w:val="002A1413"/>
    <w:rsid w:val="002A14B0"/>
    <w:rsid w:val="002A17B7"/>
    <w:rsid w:val="002A1B13"/>
    <w:rsid w:val="002A1BFF"/>
    <w:rsid w:val="002A1C04"/>
    <w:rsid w:val="002A1C08"/>
    <w:rsid w:val="002A28A9"/>
    <w:rsid w:val="002A2C0D"/>
    <w:rsid w:val="002A2D01"/>
    <w:rsid w:val="002A2E66"/>
    <w:rsid w:val="002A3267"/>
    <w:rsid w:val="002A3601"/>
    <w:rsid w:val="002A392A"/>
    <w:rsid w:val="002A3C2B"/>
    <w:rsid w:val="002A3D1C"/>
    <w:rsid w:val="002A3DC7"/>
    <w:rsid w:val="002A4030"/>
    <w:rsid w:val="002A4535"/>
    <w:rsid w:val="002A475A"/>
    <w:rsid w:val="002A47D4"/>
    <w:rsid w:val="002A4A89"/>
    <w:rsid w:val="002A4BAB"/>
    <w:rsid w:val="002A4EA2"/>
    <w:rsid w:val="002A50D4"/>
    <w:rsid w:val="002A5298"/>
    <w:rsid w:val="002A553F"/>
    <w:rsid w:val="002A5541"/>
    <w:rsid w:val="002A55BF"/>
    <w:rsid w:val="002A5827"/>
    <w:rsid w:val="002A61E2"/>
    <w:rsid w:val="002A6260"/>
    <w:rsid w:val="002A66B5"/>
    <w:rsid w:val="002A687B"/>
    <w:rsid w:val="002A6A6E"/>
    <w:rsid w:val="002A6A7D"/>
    <w:rsid w:val="002A73E7"/>
    <w:rsid w:val="002A7695"/>
    <w:rsid w:val="002A7B95"/>
    <w:rsid w:val="002A7E43"/>
    <w:rsid w:val="002B01E0"/>
    <w:rsid w:val="002B0408"/>
    <w:rsid w:val="002B0576"/>
    <w:rsid w:val="002B0AFC"/>
    <w:rsid w:val="002B1BF8"/>
    <w:rsid w:val="002B1E96"/>
    <w:rsid w:val="002B1F0A"/>
    <w:rsid w:val="002B250B"/>
    <w:rsid w:val="002B25C9"/>
    <w:rsid w:val="002B2F3F"/>
    <w:rsid w:val="002B3249"/>
    <w:rsid w:val="002B347C"/>
    <w:rsid w:val="002B3AD6"/>
    <w:rsid w:val="002B436B"/>
    <w:rsid w:val="002B44D3"/>
    <w:rsid w:val="002B45B5"/>
    <w:rsid w:val="002B4B03"/>
    <w:rsid w:val="002B4EC6"/>
    <w:rsid w:val="002B5089"/>
    <w:rsid w:val="002B5143"/>
    <w:rsid w:val="002B53C3"/>
    <w:rsid w:val="002B54F9"/>
    <w:rsid w:val="002B5649"/>
    <w:rsid w:val="002B59F5"/>
    <w:rsid w:val="002B5A4F"/>
    <w:rsid w:val="002B5C94"/>
    <w:rsid w:val="002B5F5A"/>
    <w:rsid w:val="002B6247"/>
    <w:rsid w:val="002B6334"/>
    <w:rsid w:val="002B63E9"/>
    <w:rsid w:val="002B6504"/>
    <w:rsid w:val="002B6BBD"/>
    <w:rsid w:val="002B7256"/>
    <w:rsid w:val="002B73DE"/>
    <w:rsid w:val="002B74BD"/>
    <w:rsid w:val="002B75AA"/>
    <w:rsid w:val="002B77A1"/>
    <w:rsid w:val="002B77D0"/>
    <w:rsid w:val="002B797E"/>
    <w:rsid w:val="002B79B7"/>
    <w:rsid w:val="002B7AF8"/>
    <w:rsid w:val="002B7B89"/>
    <w:rsid w:val="002B7D6C"/>
    <w:rsid w:val="002B7F42"/>
    <w:rsid w:val="002B7FA5"/>
    <w:rsid w:val="002C014F"/>
    <w:rsid w:val="002C0696"/>
    <w:rsid w:val="002C07B5"/>
    <w:rsid w:val="002C0D03"/>
    <w:rsid w:val="002C0E9C"/>
    <w:rsid w:val="002C1299"/>
    <w:rsid w:val="002C1384"/>
    <w:rsid w:val="002C1592"/>
    <w:rsid w:val="002C177D"/>
    <w:rsid w:val="002C1AD6"/>
    <w:rsid w:val="002C1AED"/>
    <w:rsid w:val="002C1BCC"/>
    <w:rsid w:val="002C2192"/>
    <w:rsid w:val="002C26E1"/>
    <w:rsid w:val="002C2C86"/>
    <w:rsid w:val="002C3370"/>
    <w:rsid w:val="002C3396"/>
    <w:rsid w:val="002C3DC2"/>
    <w:rsid w:val="002C444D"/>
    <w:rsid w:val="002C469C"/>
    <w:rsid w:val="002C4850"/>
    <w:rsid w:val="002C4918"/>
    <w:rsid w:val="002C4D2B"/>
    <w:rsid w:val="002C4D77"/>
    <w:rsid w:val="002C5224"/>
    <w:rsid w:val="002C533A"/>
    <w:rsid w:val="002C56CE"/>
    <w:rsid w:val="002C57AC"/>
    <w:rsid w:val="002C57D9"/>
    <w:rsid w:val="002C5D16"/>
    <w:rsid w:val="002C5E1F"/>
    <w:rsid w:val="002C606D"/>
    <w:rsid w:val="002C69F5"/>
    <w:rsid w:val="002C6F09"/>
    <w:rsid w:val="002C7D58"/>
    <w:rsid w:val="002D0112"/>
    <w:rsid w:val="002D026A"/>
    <w:rsid w:val="002D033E"/>
    <w:rsid w:val="002D033F"/>
    <w:rsid w:val="002D03EA"/>
    <w:rsid w:val="002D06BD"/>
    <w:rsid w:val="002D10D4"/>
    <w:rsid w:val="002D1933"/>
    <w:rsid w:val="002D1955"/>
    <w:rsid w:val="002D1BAF"/>
    <w:rsid w:val="002D1C8C"/>
    <w:rsid w:val="002D1D67"/>
    <w:rsid w:val="002D263A"/>
    <w:rsid w:val="002D2771"/>
    <w:rsid w:val="002D2EEB"/>
    <w:rsid w:val="002D32EE"/>
    <w:rsid w:val="002D35D0"/>
    <w:rsid w:val="002D40D0"/>
    <w:rsid w:val="002D4C78"/>
    <w:rsid w:val="002D501D"/>
    <w:rsid w:val="002D522B"/>
    <w:rsid w:val="002D5304"/>
    <w:rsid w:val="002D5546"/>
    <w:rsid w:val="002D5800"/>
    <w:rsid w:val="002D5856"/>
    <w:rsid w:val="002D5B14"/>
    <w:rsid w:val="002D5BA2"/>
    <w:rsid w:val="002D6809"/>
    <w:rsid w:val="002D6C9C"/>
    <w:rsid w:val="002D7376"/>
    <w:rsid w:val="002D754F"/>
    <w:rsid w:val="002D78FA"/>
    <w:rsid w:val="002D7A35"/>
    <w:rsid w:val="002E002F"/>
    <w:rsid w:val="002E0A7D"/>
    <w:rsid w:val="002E0B07"/>
    <w:rsid w:val="002E0DE5"/>
    <w:rsid w:val="002E194D"/>
    <w:rsid w:val="002E19E1"/>
    <w:rsid w:val="002E1B81"/>
    <w:rsid w:val="002E1E7B"/>
    <w:rsid w:val="002E2047"/>
    <w:rsid w:val="002E2118"/>
    <w:rsid w:val="002E22CF"/>
    <w:rsid w:val="002E30C5"/>
    <w:rsid w:val="002E36BA"/>
    <w:rsid w:val="002E374F"/>
    <w:rsid w:val="002E37C3"/>
    <w:rsid w:val="002E398E"/>
    <w:rsid w:val="002E3B66"/>
    <w:rsid w:val="002E3CD4"/>
    <w:rsid w:val="002E3CED"/>
    <w:rsid w:val="002E4645"/>
    <w:rsid w:val="002E4896"/>
    <w:rsid w:val="002E49D0"/>
    <w:rsid w:val="002E4C75"/>
    <w:rsid w:val="002E4E1F"/>
    <w:rsid w:val="002E5BCE"/>
    <w:rsid w:val="002E5D6D"/>
    <w:rsid w:val="002E61BD"/>
    <w:rsid w:val="002E6C60"/>
    <w:rsid w:val="002E6FC5"/>
    <w:rsid w:val="002E7203"/>
    <w:rsid w:val="002E7B40"/>
    <w:rsid w:val="002F0A79"/>
    <w:rsid w:val="002F0CC9"/>
    <w:rsid w:val="002F1716"/>
    <w:rsid w:val="002F17F3"/>
    <w:rsid w:val="002F2234"/>
    <w:rsid w:val="002F2730"/>
    <w:rsid w:val="002F281D"/>
    <w:rsid w:val="002F298C"/>
    <w:rsid w:val="002F2A63"/>
    <w:rsid w:val="002F2ADD"/>
    <w:rsid w:val="002F2BA2"/>
    <w:rsid w:val="002F2EB1"/>
    <w:rsid w:val="002F2EDB"/>
    <w:rsid w:val="002F2F2B"/>
    <w:rsid w:val="002F3074"/>
    <w:rsid w:val="002F314F"/>
    <w:rsid w:val="002F319B"/>
    <w:rsid w:val="002F3B35"/>
    <w:rsid w:val="002F3DCB"/>
    <w:rsid w:val="002F408C"/>
    <w:rsid w:val="002F4198"/>
    <w:rsid w:val="002F41B9"/>
    <w:rsid w:val="002F431E"/>
    <w:rsid w:val="002F4385"/>
    <w:rsid w:val="002F489E"/>
    <w:rsid w:val="002F4962"/>
    <w:rsid w:val="002F4A00"/>
    <w:rsid w:val="002F4A3B"/>
    <w:rsid w:val="002F4B23"/>
    <w:rsid w:val="002F4FF3"/>
    <w:rsid w:val="002F5A8D"/>
    <w:rsid w:val="002F5E4C"/>
    <w:rsid w:val="002F600F"/>
    <w:rsid w:val="002F6350"/>
    <w:rsid w:val="002F639A"/>
    <w:rsid w:val="002F736C"/>
    <w:rsid w:val="002F7512"/>
    <w:rsid w:val="002F7632"/>
    <w:rsid w:val="002F783E"/>
    <w:rsid w:val="002F7BE8"/>
    <w:rsid w:val="002F7F1A"/>
    <w:rsid w:val="00300FAE"/>
    <w:rsid w:val="003011AE"/>
    <w:rsid w:val="00301206"/>
    <w:rsid w:val="003016DD"/>
    <w:rsid w:val="0030173B"/>
    <w:rsid w:val="00301C1C"/>
    <w:rsid w:val="00301C81"/>
    <w:rsid w:val="00301E0A"/>
    <w:rsid w:val="00301E64"/>
    <w:rsid w:val="003021E8"/>
    <w:rsid w:val="00302999"/>
    <w:rsid w:val="003029A5"/>
    <w:rsid w:val="00303065"/>
    <w:rsid w:val="00303099"/>
    <w:rsid w:val="0030330C"/>
    <w:rsid w:val="00303573"/>
    <w:rsid w:val="00303D53"/>
    <w:rsid w:val="00303EF0"/>
    <w:rsid w:val="003043E4"/>
    <w:rsid w:val="003045D0"/>
    <w:rsid w:val="0030479D"/>
    <w:rsid w:val="00304966"/>
    <w:rsid w:val="003049E4"/>
    <w:rsid w:val="00305454"/>
    <w:rsid w:val="003055C9"/>
    <w:rsid w:val="0030561F"/>
    <w:rsid w:val="0030605B"/>
    <w:rsid w:val="00306986"/>
    <w:rsid w:val="00306AAF"/>
    <w:rsid w:val="00306D5C"/>
    <w:rsid w:val="00306FA2"/>
    <w:rsid w:val="003074E3"/>
    <w:rsid w:val="00307D19"/>
    <w:rsid w:val="00307E5B"/>
    <w:rsid w:val="00310038"/>
    <w:rsid w:val="003100A6"/>
    <w:rsid w:val="003100AF"/>
    <w:rsid w:val="003100B1"/>
    <w:rsid w:val="003111A9"/>
    <w:rsid w:val="0031122F"/>
    <w:rsid w:val="00311315"/>
    <w:rsid w:val="003115C2"/>
    <w:rsid w:val="003117AB"/>
    <w:rsid w:val="00311987"/>
    <w:rsid w:val="00311CEF"/>
    <w:rsid w:val="003124B9"/>
    <w:rsid w:val="0031251F"/>
    <w:rsid w:val="003125D4"/>
    <w:rsid w:val="0031267F"/>
    <w:rsid w:val="003126CB"/>
    <w:rsid w:val="003127E7"/>
    <w:rsid w:val="0031343D"/>
    <w:rsid w:val="00313554"/>
    <w:rsid w:val="00313FAF"/>
    <w:rsid w:val="003143E2"/>
    <w:rsid w:val="003144C3"/>
    <w:rsid w:val="0031476F"/>
    <w:rsid w:val="003148DB"/>
    <w:rsid w:val="00314EC0"/>
    <w:rsid w:val="00314F9C"/>
    <w:rsid w:val="003151CE"/>
    <w:rsid w:val="00315338"/>
    <w:rsid w:val="0031534A"/>
    <w:rsid w:val="003154A3"/>
    <w:rsid w:val="00315691"/>
    <w:rsid w:val="00315809"/>
    <w:rsid w:val="00315A60"/>
    <w:rsid w:val="00316A6A"/>
    <w:rsid w:val="0031752A"/>
    <w:rsid w:val="00317618"/>
    <w:rsid w:val="00317622"/>
    <w:rsid w:val="00317DBA"/>
    <w:rsid w:val="00317E2A"/>
    <w:rsid w:val="00317F08"/>
    <w:rsid w:val="0032005F"/>
    <w:rsid w:val="00320796"/>
    <w:rsid w:val="00320D3B"/>
    <w:rsid w:val="003213AE"/>
    <w:rsid w:val="003216F8"/>
    <w:rsid w:val="00321ABA"/>
    <w:rsid w:val="00321C0F"/>
    <w:rsid w:val="00321D09"/>
    <w:rsid w:val="00321D67"/>
    <w:rsid w:val="00321E03"/>
    <w:rsid w:val="00322247"/>
    <w:rsid w:val="003226E1"/>
    <w:rsid w:val="00323435"/>
    <w:rsid w:val="00323998"/>
    <w:rsid w:val="00323F1C"/>
    <w:rsid w:val="00324009"/>
    <w:rsid w:val="0032421A"/>
    <w:rsid w:val="00324278"/>
    <w:rsid w:val="003243A6"/>
    <w:rsid w:val="0032443C"/>
    <w:rsid w:val="003249A3"/>
    <w:rsid w:val="00324B9F"/>
    <w:rsid w:val="00325308"/>
    <w:rsid w:val="00325808"/>
    <w:rsid w:val="00325CBB"/>
    <w:rsid w:val="00325D66"/>
    <w:rsid w:val="0032600A"/>
    <w:rsid w:val="0032606C"/>
    <w:rsid w:val="003262B1"/>
    <w:rsid w:val="003265FB"/>
    <w:rsid w:val="00326669"/>
    <w:rsid w:val="003268A3"/>
    <w:rsid w:val="003271B1"/>
    <w:rsid w:val="003277ED"/>
    <w:rsid w:val="00327923"/>
    <w:rsid w:val="00327BAF"/>
    <w:rsid w:val="00327E52"/>
    <w:rsid w:val="00331118"/>
    <w:rsid w:val="003316DD"/>
    <w:rsid w:val="003319B9"/>
    <w:rsid w:val="00331A56"/>
    <w:rsid w:val="00331AA6"/>
    <w:rsid w:val="00331B84"/>
    <w:rsid w:val="00331C39"/>
    <w:rsid w:val="00331D36"/>
    <w:rsid w:val="00331F49"/>
    <w:rsid w:val="003321C9"/>
    <w:rsid w:val="00332690"/>
    <w:rsid w:val="00332702"/>
    <w:rsid w:val="00332850"/>
    <w:rsid w:val="0033296F"/>
    <w:rsid w:val="00332ABD"/>
    <w:rsid w:val="003331FB"/>
    <w:rsid w:val="00333245"/>
    <w:rsid w:val="003337FD"/>
    <w:rsid w:val="00333931"/>
    <w:rsid w:val="00333A0D"/>
    <w:rsid w:val="00334485"/>
    <w:rsid w:val="00335017"/>
    <w:rsid w:val="00335112"/>
    <w:rsid w:val="003359C1"/>
    <w:rsid w:val="00335CD9"/>
    <w:rsid w:val="00335F00"/>
    <w:rsid w:val="003360A1"/>
    <w:rsid w:val="003366A1"/>
    <w:rsid w:val="003367E1"/>
    <w:rsid w:val="00336943"/>
    <w:rsid w:val="00336BDA"/>
    <w:rsid w:val="00336C90"/>
    <w:rsid w:val="00336F61"/>
    <w:rsid w:val="00337015"/>
    <w:rsid w:val="0033753E"/>
    <w:rsid w:val="0034014C"/>
    <w:rsid w:val="00340808"/>
    <w:rsid w:val="00340C1A"/>
    <w:rsid w:val="00340D0E"/>
    <w:rsid w:val="00341106"/>
    <w:rsid w:val="0034182C"/>
    <w:rsid w:val="00341FF4"/>
    <w:rsid w:val="00342EBA"/>
    <w:rsid w:val="00343270"/>
    <w:rsid w:val="00343428"/>
    <w:rsid w:val="003436FF"/>
    <w:rsid w:val="0034395E"/>
    <w:rsid w:val="00343A79"/>
    <w:rsid w:val="0034407D"/>
    <w:rsid w:val="00344114"/>
    <w:rsid w:val="003443B6"/>
    <w:rsid w:val="00344497"/>
    <w:rsid w:val="00344558"/>
    <w:rsid w:val="00344BB8"/>
    <w:rsid w:val="00344E2A"/>
    <w:rsid w:val="00344ED6"/>
    <w:rsid w:val="0034548C"/>
    <w:rsid w:val="0034562F"/>
    <w:rsid w:val="003457EB"/>
    <w:rsid w:val="003458D8"/>
    <w:rsid w:val="0034593F"/>
    <w:rsid w:val="00345BCD"/>
    <w:rsid w:val="00345DA7"/>
    <w:rsid w:val="00345E74"/>
    <w:rsid w:val="00345F7C"/>
    <w:rsid w:val="0034634B"/>
    <w:rsid w:val="003464A3"/>
    <w:rsid w:val="003464C9"/>
    <w:rsid w:val="00346843"/>
    <w:rsid w:val="003468C6"/>
    <w:rsid w:val="0034691B"/>
    <w:rsid w:val="0034697A"/>
    <w:rsid w:val="00346DE8"/>
    <w:rsid w:val="003471E9"/>
    <w:rsid w:val="00347245"/>
    <w:rsid w:val="00347983"/>
    <w:rsid w:val="00347B48"/>
    <w:rsid w:val="00347C29"/>
    <w:rsid w:val="00347C4A"/>
    <w:rsid w:val="00347ED1"/>
    <w:rsid w:val="00350730"/>
    <w:rsid w:val="003508ED"/>
    <w:rsid w:val="00350B22"/>
    <w:rsid w:val="003516C8"/>
    <w:rsid w:val="00351781"/>
    <w:rsid w:val="00351857"/>
    <w:rsid w:val="003518B2"/>
    <w:rsid w:val="00351C0F"/>
    <w:rsid w:val="00351DB6"/>
    <w:rsid w:val="00352239"/>
    <w:rsid w:val="003526A1"/>
    <w:rsid w:val="003527DC"/>
    <w:rsid w:val="00352967"/>
    <w:rsid w:val="00352ACD"/>
    <w:rsid w:val="00352BAE"/>
    <w:rsid w:val="00352D87"/>
    <w:rsid w:val="00352EAA"/>
    <w:rsid w:val="003534E0"/>
    <w:rsid w:val="003536E0"/>
    <w:rsid w:val="00353712"/>
    <w:rsid w:val="00353BFB"/>
    <w:rsid w:val="00354486"/>
    <w:rsid w:val="003548E1"/>
    <w:rsid w:val="00354FF9"/>
    <w:rsid w:val="00355066"/>
    <w:rsid w:val="003551FD"/>
    <w:rsid w:val="003554FC"/>
    <w:rsid w:val="003555F2"/>
    <w:rsid w:val="00355D87"/>
    <w:rsid w:val="00355EA9"/>
    <w:rsid w:val="00355F60"/>
    <w:rsid w:val="003562BC"/>
    <w:rsid w:val="003564C4"/>
    <w:rsid w:val="0035666E"/>
    <w:rsid w:val="003566D0"/>
    <w:rsid w:val="00356B5D"/>
    <w:rsid w:val="00357635"/>
    <w:rsid w:val="003578C8"/>
    <w:rsid w:val="003578CF"/>
    <w:rsid w:val="00357F70"/>
    <w:rsid w:val="0036001F"/>
    <w:rsid w:val="003600B4"/>
    <w:rsid w:val="00361518"/>
    <w:rsid w:val="0036156C"/>
    <w:rsid w:val="00361B37"/>
    <w:rsid w:val="00361EF5"/>
    <w:rsid w:val="00361FC2"/>
    <w:rsid w:val="00362033"/>
    <w:rsid w:val="003627F0"/>
    <w:rsid w:val="00362928"/>
    <w:rsid w:val="00362D81"/>
    <w:rsid w:val="00362EDE"/>
    <w:rsid w:val="003633D3"/>
    <w:rsid w:val="00363547"/>
    <w:rsid w:val="00363737"/>
    <w:rsid w:val="003637FC"/>
    <w:rsid w:val="00363960"/>
    <w:rsid w:val="00363AEC"/>
    <w:rsid w:val="00363B17"/>
    <w:rsid w:val="00363E67"/>
    <w:rsid w:val="00363EE2"/>
    <w:rsid w:val="00363F64"/>
    <w:rsid w:val="00364418"/>
    <w:rsid w:val="003644B8"/>
    <w:rsid w:val="003646A0"/>
    <w:rsid w:val="00364DBC"/>
    <w:rsid w:val="00365EE7"/>
    <w:rsid w:val="00366B54"/>
    <w:rsid w:val="00367175"/>
    <w:rsid w:val="00367453"/>
    <w:rsid w:val="00367D45"/>
    <w:rsid w:val="00367F6A"/>
    <w:rsid w:val="003702F2"/>
    <w:rsid w:val="003703A7"/>
    <w:rsid w:val="0037065E"/>
    <w:rsid w:val="00370888"/>
    <w:rsid w:val="00370A21"/>
    <w:rsid w:val="00370BB0"/>
    <w:rsid w:val="00370BCA"/>
    <w:rsid w:val="00371063"/>
    <w:rsid w:val="003711CA"/>
    <w:rsid w:val="00371599"/>
    <w:rsid w:val="003717E0"/>
    <w:rsid w:val="00371A06"/>
    <w:rsid w:val="0037238C"/>
    <w:rsid w:val="00372516"/>
    <w:rsid w:val="003725CD"/>
    <w:rsid w:val="003726CB"/>
    <w:rsid w:val="00372745"/>
    <w:rsid w:val="003729A7"/>
    <w:rsid w:val="00372AF9"/>
    <w:rsid w:val="00372E00"/>
    <w:rsid w:val="00372E3D"/>
    <w:rsid w:val="00372FC7"/>
    <w:rsid w:val="00373142"/>
    <w:rsid w:val="003733FC"/>
    <w:rsid w:val="003741EC"/>
    <w:rsid w:val="003742DB"/>
    <w:rsid w:val="00374489"/>
    <w:rsid w:val="00374BFD"/>
    <w:rsid w:val="00374F0D"/>
    <w:rsid w:val="00374F65"/>
    <w:rsid w:val="00374F70"/>
    <w:rsid w:val="00375187"/>
    <w:rsid w:val="00375A92"/>
    <w:rsid w:val="00375BF4"/>
    <w:rsid w:val="00375CED"/>
    <w:rsid w:val="00375DEF"/>
    <w:rsid w:val="003760CA"/>
    <w:rsid w:val="00376262"/>
    <w:rsid w:val="00376362"/>
    <w:rsid w:val="0037639D"/>
    <w:rsid w:val="0037657E"/>
    <w:rsid w:val="0037683F"/>
    <w:rsid w:val="00376DBC"/>
    <w:rsid w:val="00377110"/>
    <w:rsid w:val="0037744B"/>
    <w:rsid w:val="00377486"/>
    <w:rsid w:val="00377BFA"/>
    <w:rsid w:val="00377D5F"/>
    <w:rsid w:val="00377FE2"/>
    <w:rsid w:val="00377FF6"/>
    <w:rsid w:val="003800FF"/>
    <w:rsid w:val="003807B2"/>
    <w:rsid w:val="003809F1"/>
    <w:rsid w:val="00380A63"/>
    <w:rsid w:val="0038175B"/>
    <w:rsid w:val="00381CB4"/>
    <w:rsid w:val="00381DED"/>
    <w:rsid w:val="003824A8"/>
    <w:rsid w:val="0038254D"/>
    <w:rsid w:val="00382552"/>
    <w:rsid w:val="00382F21"/>
    <w:rsid w:val="003831F4"/>
    <w:rsid w:val="00383735"/>
    <w:rsid w:val="0038399D"/>
    <w:rsid w:val="00383BEC"/>
    <w:rsid w:val="00383D5B"/>
    <w:rsid w:val="00383D89"/>
    <w:rsid w:val="003842F0"/>
    <w:rsid w:val="003843A5"/>
    <w:rsid w:val="0038450E"/>
    <w:rsid w:val="003845B3"/>
    <w:rsid w:val="003846FE"/>
    <w:rsid w:val="003848DD"/>
    <w:rsid w:val="00384CB7"/>
    <w:rsid w:val="00384CF0"/>
    <w:rsid w:val="0038573E"/>
    <w:rsid w:val="003859B6"/>
    <w:rsid w:val="00385B70"/>
    <w:rsid w:val="00385C38"/>
    <w:rsid w:val="00385C8C"/>
    <w:rsid w:val="00385E2F"/>
    <w:rsid w:val="00385E56"/>
    <w:rsid w:val="0038655D"/>
    <w:rsid w:val="003865D2"/>
    <w:rsid w:val="00386E13"/>
    <w:rsid w:val="00386EA7"/>
    <w:rsid w:val="00387BD6"/>
    <w:rsid w:val="00390248"/>
    <w:rsid w:val="003905BA"/>
    <w:rsid w:val="00390720"/>
    <w:rsid w:val="00390EE0"/>
    <w:rsid w:val="0039115D"/>
    <w:rsid w:val="003917C6"/>
    <w:rsid w:val="003918F5"/>
    <w:rsid w:val="00391CD9"/>
    <w:rsid w:val="00391D8F"/>
    <w:rsid w:val="003923CF"/>
    <w:rsid w:val="00392940"/>
    <w:rsid w:val="00392FF8"/>
    <w:rsid w:val="00393034"/>
    <w:rsid w:val="0039316D"/>
    <w:rsid w:val="0039383C"/>
    <w:rsid w:val="0039417D"/>
    <w:rsid w:val="003943F0"/>
    <w:rsid w:val="003944E1"/>
    <w:rsid w:val="00394A10"/>
    <w:rsid w:val="00394BF4"/>
    <w:rsid w:val="00395330"/>
    <w:rsid w:val="00395432"/>
    <w:rsid w:val="00395668"/>
    <w:rsid w:val="00395BD3"/>
    <w:rsid w:val="00395C35"/>
    <w:rsid w:val="00395CAA"/>
    <w:rsid w:val="00395F72"/>
    <w:rsid w:val="0039639C"/>
    <w:rsid w:val="003965EC"/>
    <w:rsid w:val="00397121"/>
    <w:rsid w:val="00397282"/>
    <w:rsid w:val="0039772B"/>
    <w:rsid w:val="0039789E"/>
    <w:rsid w:val="0039795A"/>
    <w:rsid w:val="00397B54"/>
    <w:rsid w:val="00397CC9"/>
    <w:rsid w:val="003A04F6"/>
    <w:rsid w:val="003A0507"/>
    <w:rsid w:val="003A065F"/>
    <w:rsid w:val="003A08BC"/>
    <w:rsid w:val="003A0934"/>
    <w:rsid w:val="003A09FB"/>
    <w:rsid w:val="003A0A8C"/>
    <w:rsid w:val="003A1353"/>
    <w:rsid w:val="003A1CF9"/>
    <w:rsid w:val="003A1D63"/>
    <w:rsid w:val="003A1DBB"/>
    <w:rsid w:val="003A1FA7"/>
    <w:rsid w:val="003A2CC5"/>
    <w:rsid w:val="003A32A3"/>
    <w:rsid w:val="003A39E5"/>
    <w:rsid w:val="003A412C"/>
    <w:rsid w:val="003A4370"/>
    <w:rsid w:val="003A4431"/>
    <w:rsid w:val="003A4709"/>
    <w:rsid w:val="003A4DDE"/>
    <w:rsid w:val="003A4E45"/>
    <w:rsid w:val="003A50EA"/>
    <w:rsid w:val="003A515D"/>
    <w:rsid w:val="003A5665"/>
    <w:rsid w:val="003A5A2B"/>
    <w:rsid w:val="003A5B48"/>
    <w:rsid w:val="003A6210"/>
    <w:rsid w:val="003A67B2"/>
    <w:rsid w:val="003A6A96"/>
    <w:rsid w:val="003A6D31"/>
    <w:rsid w:val="003A6DF0"/>
    <w:rsid w:val="003A6DFF"/>
    <w:rsid w:val="003A6F10"/>
    <w:rsid w:val="003A777C"/>
    <w:rsid w:val="003A7A2A"/>
    <w:rsid w:val="003A7AB8"/>
    <w:rsid w:val="003A7F6A"/>
    <w:rsid w:val="003B00A5"/>
    <w:rsid w:val="003B0A99"/>
    <w:rsid w:val="003B0BA8"/>
    <w:rsid w:val="003B0C9C"/>
    <w:rsid w:val="003B0CED"/>
    <w:rsid w:val="003B0EE8"/>
    <w:rsid w:val="003B1046"/>
    <w:rsid w:val="003B1090"/>
    <w:rsid w:val="003B1521"/>
    <w:rsid w:val="003B1BD5"/>
    <w:rsid w:val="003B1E60"/>
    <w:rsid w:val="003B2192"/>
    <w:rsid w:val="003B253F"/>
    <w:rsid w:val="003B255A"/>
    <w:rsid w:val="003B2604"/>
    <w:rsid w:val="003B272A"/>
    <w:rsid w:val="003B273D"/>
    <w:rsid w:val="003B2B2F"/>
    <w:rsid w:val="003B2BF1"/>
    <w:rsid w:val="003B3454"/>
    <w:rsid w:val="003B4098"/>
    <w:rsid w:val="003B433E"/>
    <w:rsid w:val="003B436B"/>
    <w:rsid w:val="003B47D2"/>
    <w:rsid w:val="003B49FA"/>
    <w:rsid w:val="003B4FED"/>
    <w:rsid w:val="003B50A8"/>
    <w:rsid w:val="003B52FF"/>
    <w:rsid w:val="003B5FB7"/>
    <w:rsid w:val="003B6A0B"/>
    <w:rsid w:val="003B6A56"/>
    <w:rsid w:val="003B6ABF"/>
    <w:rsid w:val="003B6C68"/>
    <w:rsid w:val="003B6D69"/>
    <w:rsid w:val="003B7257"/>
    <w:rsid w:val="003B736D"/>
    <w:rsid w:val="003B7675"/>
    <w:rsid w:val="003B7B88"/>
    <w:rsid w:val="003B7F30"/>
    <w:rsid w:val="003C0427"/>
    <w:rsid w:val="003C087F"/>
    <w:rsid w:val="003C0C3C"/>
    <w:rsid w:val="003C101B"/>
    <w:rsid w:val="003C107A"/>
    <w:rsid w:val="003C218D"/>
    <w:rsid w:val="003C28C3"/>
    <w:rsid w:val="003C3833"/>
    <w:rsid w:val="003C39F3"/>
    <w:rsid w:val="003C3D08"/>
    <w:rsid w:val="003C41E4"/>
    <w:rsid w:val="003C44E4"/>
    <w:rsid w:val="003C459C"/>
    <w:rsid w:val="003C4C76"/>
    <w:rsid w:val="003C4CFA"/>
    <w:rsid w:val="003C55E0"/>
    <w:rsid w:val="003C5BF4"/>
    <w:rsid w:val="003C741C"/>
    <w:rsid w:val="003C7E4F"/>
    <w:rsid w:val="003C7F12"/>
    <w:rsid w:val="003D0D25"/>
    <w:rsid w:val="003D0FC2"/>
    <w:rsid w:val="003D130D"/>
    <w:rsid w:val="003D1775"/>
    <w:rsid w:val="003D1C41"/>
    <w:rsid w:val="003D1D4A"/>
    <w:rsid w:val="003D22D1"/>
    <w:rsid w:val="003D2629"/>
    <w:rsid w:val="003D2728"/>
    <w:rsid w:val="003D2794"/>
    <w:rsid w:val="003D2AFF"/>
    <w:rsid w:val="003D2E21"/>
    <w:rsid w:val="003D34B6"/>
    <w:rsid w:val="003D3A1A"/>
    <w:rsid w:val="003D3CB5"/>
    <w:rsid w:val="003D466E"/>
    <w:rsid w:val="003D4B86"/>
    <w:rsid w:val="003D4C7D"/>
    <w:rsid w:val="003D505C"/>
    <w:rsid w:val="003D588B"/>
    <w:rsid w:val="003D5A1E"/>
    <w:rsid w:val="003D5AF5"/>
    <w:rsid w:val="003D624B"/>
    <w:rsid w:val="003D6CA3"/>
    <w:rsid w:val="003D6D25"/>
    <w:rsid w:val="003D6D27"/>
    <w:rsid w:val="003D714B"/>
    <w:rsid w:val="003D7536"/>
    <w:rsid w:val="003D753D"/>
    <w:rsid w:val="003D75F2"/>
    <w:rsid w:val="003D7658"/>
    <w:rsid w:val="003D7907"/>
    <w:rsid w:val="003E04D5"/>
    <w:rsid w:val="003E082A"/>
    <w:rsid w:val="003E0EDF"/>
    <w:rsid w:val="003E13D3"/>
    <w:rsid w:val="003E160B"/>
    <w:rsid w:val="003E18D4"/>
    <w:rsid w:val="003E1B36"/>
    <w:rsid w:val="003E1F22"/>
    <w:rsid w:val="003E2240"/>
    <w:rsid w:val="003E232E"/>
    <w:rsid w:val="003E2364"/>
    <w:rsid w:val="003E25ED"/>
    <w:rsid w:val="003E276C"/>
    <w:rsid w:val="003E2B8F"/>
    <w:rsid w:val="003E3243"/>
    <w:rsid w:val="003E3254"/>
    <w:rsid w:val="003E42CA"/>
    <w:rsid w:val="003E4522"/>
    <w:rsid w:val="003E4638"/>
    <w:rsid w:val="003E49D0"/>
    <w:rsid w:val="003E4BA2"/>
    <w:rsid w:val="003E53E4"/>
    <w:rsid w:val="003E575F"/>
    <w:rsid w:val="003E57EC"/>
    <w:rsid w:val="003E5924"/>
    <w:rsid w:val="003E5C87"/>
    <w:rsid w:val="003E5D1C"/>
    <w:rsid w:val="003E64A2"/>
    <w:rsid w:val="003E6E7E"/>
    <w:rsid w:val="003E722A"/>
    <w:rsid w:val="003E78E3"/>
    <w:rsid w:val="003E79CD"/>
    <w:rsid w:val="003E7AFA"/>
    <w:rsid w:val="003E7DFA"/>
    <w:rsid w:val="003E7F89"/>
    <w:rsid w:val="003F0176"/>
    <w:rsid w:val="003F065F"/>
    <w:rsid w:val="003F0677"/>
    <w:rsid w:val="003F09FA"/>
    <w:rsid w:val="003F0E0C"/>
    <w:rsid w:val="003F1818"/>
    <w:rsid w:val="003F1AC9"/>
    <w:rsid w:val="003F1EAE"/>
    <w:rsid w:val="003F1FA1"/>
    <w:rsid w:val="003F2141"/>
    <w:rsid w:val="003F2850"/>
    <w:rsid w:val="003F2A52"/>
    <w:rsid w:val="003F2AC1"/>
    <w:rsid w:val="003F2ADE"/>
    <w:rsid w:val="003F2D86"/>
    <w:rsid w:val="003F2E71"/>
    <w:rsid w:val="003F3251"/>
    <w:rsid w:val="003F3276"/>
    <w:rsid w:val="003F36C3"/>
    <w:rsid w:val="003F3D0B"/>
    <w:rsid w:val="003F3ED8"/>
    <w:rsid w:val="003F3FB5"/>
    <w:rsid w:val="003F4147"/>
    <w:rsid w:val="003F498F"/>
    <w:rsid w:val="003F5063"/>
    <w:rsid w:val="003F5343"/>
    <w:rsid w:val="003F56A1"/>
    <w:rsid w:val="003F5D9C"/>
    <w:rsid w:val="003F5F78"/>
    <w:rsid w:val="003F6027"/>
    <w:rsid w:val="003F608C"/>
    <w:rsid w:val="003F6206"/>
    <w:rsid w:val="003F660B"/>
    <w:rsid w:val="003F681E"/>
    <w:rsid w:val="003F69B0"/>
    <w:rsid w:val="003F69D6"/>
    <w:rsid w:val="003F77D9"/>
    <w:rsid w:val="003F7EBC"/>
    <w:rsid w:val="004002C3"/>
    <w:rsid w:val="004002FF"/>
    <w:rsid w:val="004003BF"/>
    <w:rsid w:val="0040047F"/>
    <w:rsid w:val="00400766"/>
    <w:rsid w:val="00400F7C"/>
    <w:rsid w:val="00401BCC"/>
    <w:rsid w:val="00401D71"/>
    <w:rsid w:val="004020DE"/>
    <w:rsid w:val="00402391"/>
    <w:rsid w:val="00402ADD"/>
    <w:rsid w:val="00402E1B"/>
    <w:rsid w:val="00402E69"/>
    <w:rsid w:val="0040300C"/>
    <w:rsid w:val="004030F2"/>
    <w:rsid w:val="0040310C"/>
    <w:rsid w:val="00403692"/>
    <w:rsid w:val="004037A9"/>
    <w:rsid w:val="00403845"/>
    <w:rsid w:val="004038D6"/>
    <w:rsid w:val="00403971"/>
    <w:rsid w:val="00403AE9"/>
    <w:rsid w:val="00403AEA"/>
    <w:rsid w:val="004043CC"/>
    <w:rsid w:val="0040484C"/>
    <w:rsid w:val="004048D5"/>
    <w:rsid w:val="00404BFC"/>
    <w:rsid w:val="0040501C"/>
    <w:rsid w:val="004050A1"/>
    <w:rsid w:val="00405288"/>
    <w:rsid w:val="004059B9"/>
    <w:rsid w:val="00405A40"/>
    <w:rsid w:val="00405E0B"/>
    <w:rsid w:val="00405F51"/>
    <w:rsid w:val="004062BE"/>
    <w:rsid w:val="00406616"/>
    <w:rsid w:val="00406D00"/>
    <w:rsid w:val="00406DC0"/>
    <w:rsid w:val="00407021"/>
    <w:rsid w:val="004073F5"/>
    <w:rsid w:val="00407520"/>
    <w:rsid w:val="004076A3"/>
    <w:rsid w:val="00407704"/>
    <w:rsid w:val="00407728"/>
    <w:rsid w:val="00410074"/>
    <w:rsid w:val="004103DB"/>
    <w:rsid w:val="0041044F"/>
    <w:rsid w:val="004107E8"/>
    <w:rsid w:val="00410BFC"/>
    <w:rsid w:val="00410C6B"/>
    <w:rsid w:val="004112B0"/>
    <w:rsid w:val="00411538"/>
    <w:rsid w:val="00411EAD"/>
    <w:rsid w:val="00412003"/>
    <w:rsid w:val="00412302"/>
    <w:rsid w:val="00412A01"/>
    <w:rsid w:val="00412CCE"/>
    <w:rsid w:val="00413188"/>
    <w:rsid w:val="0041337D"/>
    <w:rsid w:val="00413520"/>
    <w:rsid w:val="00413AA5"/>
    <w:rsid w:val="00413CEE"/>
    <w:rsid w:val="00413DE5"/>
    <w:rsid w:val="00413EFF"/>
    <w:rsid w:val="0041423E"/>
    <w:rsid w:val="00414398"/>
    <w:rsid w:val="004144C5"/>
    <w:rsid w:val="00414886"/>
    <w:rsid w:val="00414A22"/>
    <w:rsid w:val="00414B15"/>
    <w:rsid w:val="00414EFA"/>
    <w:rsid w:val="00415041"/>
    <w:rsid w:val="004153A0"/>
    <w:rsid w:val="004158C4"/>
    <w:rsid w:val="004158E3"/>
    <w:rsid w:val="00415910"/>
    <w:rsid w:val="00415C44"/>
    <w:rsid w:val="00415E00"/>
    <w:rsid w:val="0041654A"/>
    <w:rsid w:val="00416577"/>
    <w:rsid w:val="00416CA8"/>
    <w:rsid w:val="00416CBC"/>
    <w:rsid w:val="00416F30"/>
    <w:rsid w:val="004172FE"/>
    <w:rsid w:val="00417B5E"/>
    <w:rsid w:val="00417C67"/>
    <w:rsid w:val="00417E63"/>
    <w:rsid w:val="00417F22"/>
    <w:rsid w:val="00417F95"/>
    <w:rsid w:val="004206FF"/>
    <w:rsid w:val="00420911"/>
    <w:rsid w:val="00420FE6"/>
    <w:rsid w:val="004213D2"/>
    <w:rsid w:val="00421B38"/>
    <w:rsid w:val="00421E61"/>
    <w:rsid w:val="00422138"/>
    <w:rsid w:val="00422355"/>
    <w:rsid w:val="004223A6"/>
    <w:rsid w:val="004223C1"/>
    <w:rsid w:val="004225E8"/>
    <w:rsid w:val="00422882"/>
    <w:rsid w:val="00422DF7"/>
    <w:rsid w:val="00422EDE"/>
    <w:rsid w:val="00423058"/>
    <w:rsid w:val="00423530"/>
    <w:rsid w:val="0042387C"/>
    <w:rsid w:val="004238FB"/>
    <w:rsid w:val="00423ADC"/>
    <w:rsid w:val="00423BDD"/>
    <w:rsid w:val="004247CA"/>
    <w:rsid w:val="00424998"/>
    <w:rsid w:val="00424EE9"/>
    <w:rsid w:val="0042584A"/>
    <w:rsid w:val="00425EB3"/>
    <w:rsid w:val="00426536"/>
    <w:rsid w:val="00426BBF"/>
    <w:rsid w:val="00426D29"/>
    <w:rsid w:val="00426EC3"/>
    <w:rsid w:val="00427169"/>
    <w:rsid w:val="004273DD"/>
    <w:rsid w:val="00427CFF"/>
    <w:rsid w:val="004300FB"/>
    <w:rsid w:val="00431219"/>
    <w:rsid w:val="00431437"/>
    <w:rsid w:val="004315F6"/>
    <w:rsid w:val="004316DD"/>
    <w:rsid w:val="00431D41"/>
    <w:rsid w:val="00431D74"/>
    <w:rsid w:val="00432FE8"/>
    <w:rsid w:val="00434559"/>
    <w:rsid w:val="004346A7"/>
    <w:rsid w:val="00434754"/>
    <w:rsid w:val="004348FF"/>
    <w:rsid w:val="00434CC7"/>
    <w:rsid w:val="00434F03"/>
    <w:rsid w:val="004350D1"/>
    <w:rsid w:val="00435402"/>
    <w:rsid w:val="00435506"/>
    <w:rsid w:val="00435870"/>
    <w:rsid w:val="00435A67"/>
    <w:rsid w:val="00435B81"/>
    <w:rsid w:val="004360D0"/>
    <w:rsid w:val="004363D7"/>
    <w:rsid w:val="00436503"/>
    <w:rsid w:val="004366DC"/>
    <w:rsid w:val="004367D4"/>
    <w:rsid w:val="0043680A"/>
    <w:rsid w:val="00436A26"/>
    <w:rsid w:val="00436A62"/>
    <w:rsid w:val="00436CC1"/>
    <w:rsid w:val="00436F97"/>
    <w:rsid w:val="00437146"/>
    <w:rsid w:val="00437471"/>
    <w:rsid w:val="00437518"/>
    <w:rsid w:val="0043765D"/>
    <w:rsid w:val="00437763"/>
    <w:rsid w:val="004378D3"/>
    <w:rsid w:val="00437C99"/>
    <w:rsid w:val="00437DD9"/>
    <w:rsid w:val="00440160"/>
    <w:rsid w:val="004403A9"/>
    <w:rsid w:val="00440639"/>
    <w:rsid w:val="0044065C"/>
    <w:rsid w:val="00440994"/>
    <w:rsid w:val="00440DDE"/>
    <w:rsid w:val="004410E6"/>
    <w:rsid w:val="00441177"/>
    <w:rsid w:val="004411F1"/>
    <w:rsid w:val="004413CC"/>
    <w:rsid w:val="00441565"/>
    <w:rsid w:val="00441961"/>
    <w:rsid w:val="00441B67"/>
    <w:rsid w:val="00441B8B"/>
    <w:rsid w:val="00441D52"/>
    <w:rsid w:val="00441F2E"/>
    <w:rsid w:val="004420A4"/>
    <w:rsid w:val="004421B9"/>
    <w:rsid w:val="004421F5"/>
    <w:rsid w:val="00442318"/>
    <w:rsid w:val="0044242C"/>
    <w:rsid w:val="00442461"/>
    <w:rsid w:val="004426D8"/>
    <w:rsid w:val="00442945"/>
    <w:rsid w:val="00442C53"/>
    <w:rsid w:val="00442D0F"/>
    <w:rsid w:val="00442D94"/>
    <w:rsid w:val="00443932"/>
    <w:rsid w:val="00443DBD"/>
    <w:rsid w:val="00443F2D"/>
    <w:rsid w:val="00444369"/>
    <w:rsid w:val="00444959"/>
    <w:rsid w:val="00444B98"/>
    <w:rsid w:val="00444F6C"/>
    <w:rsid w:val="00445603"/>
    <w:rsid w:val="004458FF"/>
    <w:rsid w:val="004459BD"/>
    <w:rsid w:val="00445ACC"/>
    <w:rsid w:val="00445F9B"/>
    <w:rsid w:val="004465B9"/>
    <w:rsid w:val="00446CC6"/>
    <w:rsid w:val="00447110"/>
    <w:rsid w:val="004474A7"/>
    <w:rsid w:val="004475B8"/>
    <w:rsid w:val="00447607"/>
    <w:rsid w:val="004476A8"/>
    <w:rsid w:val="00447C53"/>
    <w:rsid w:val="00447D31"/>
    <w:rsid w:val="00447E12"/>
    <w:rsid w:val="004500C6"/>
    <w:rsid w:val="00450218"/>
    <w:rsid w:val="00450BC6"/>
    <w:rsid w:val="00450F9B"/>
    <w:rsid w:val="0045180C"/>
    <w:rsid w:val="00451E2B"/>
    <w:rsid w:val="004520A7"/>
    <w:rsid w:val="004523BE"/>
    <w:rsid w:val="0045261D"/>
    <w:rsid w:val="0045279E"/>
    <w:rsid w:val="00452883"/>
    <w:rsid w:val="00452939"/>
    <w:rsid w:val="00452D31"/>
    <w:rsid w:val="00453044"/>
    <w:rsid w:val="0045380F"/>
    <w:rsid w:val="00453A1A"/>
    <w:rsid w:val="00453F46"/>
    <w:rsid w:val="00454E6D"/>
    <w:rsid w:val="0045506A"/>
    <w:rsid w:val="004550BE"/>
    <w:rsid w:val="0045534E"/>
    <w:rsid w:val="00455C14"/>
    <w:rsid w:val="0045655A"/>
    <w:rsid w:val="00456B3F"/>
    <w:rsid w:val="00456B43"/>
    <w:rsid w:val="00456B51"/>
    <w:rsid w:val="00456E68"/>
    <w:rsid w:val="004571D4"/>
    <w:rsid w:val="00457222"/>
    <w:rsid w:val="00457517"/>
    <w:rsid w:val="0045753A"/>
    <w:rsid w:val="0046044D"/>
    <w:rsid w:val="00460D92"/>
    <w:rsid w:val="00460F08"/>
    <w:rsid w:val="004612D0"/>
    <w:rsid w:val="0046189C"/>
    <w:rsid w:val="00461A21"/>
    <w:rsid w:val="004622AE"/>
    <w:rsid w:val="004626BF"/>
    <w:rsid w:val="00462B37"/>
    <w:rsid w:val="00462C58"/>
    <w:rsid w:val="00462CF9"/>
    <w:rsid w:val="00463B41"/>
    <w:rsid w:val="00464C36"/>
    <w:rsid w:val="00464E5D"/>
    <w:rsid w:val="00464F7A"/>
    <w:rsid w:val="00465296"/>
    <w:rsid w:val="004655F3"/>
    <w:rsid w:val="00465B14"/>
    <w:rsid w:val="004660D6"/>
    <w:rsid w:val="00466171"/>
    <w:rsid w:val="00466174"/>
    <w:rsid w:val="004666E2"/>
    <w:rsid w:val="00466BD0"/>
    <w:rsid w:val="004672F1"/>
    <w:rsid w:val="004678A3"/>
    <w:rsid w:val="00467DD7"/>
    <w:rsid w:val="0047009D"/>
    <w:rsid w:val="00470CEE"/>
    <w:rsid w:val="00470E35"/>
    <w:rsid w:val="004712DC"/>
    <w:rsid w:val="00471A1F"/>
    <w:rsid w:val="00471AFB"/>
    <w:rsid w:val="00471B33"/>
    <w:rsid w:val="00471B99"/>
    <w:rsid w:val="00471C78"/>
    <w:rsid w:val="00472102"/>
    <w:rsid w:val="00472201"/>
    <w:rsid w:val="0047233F"/>
    <w:rsid w:val="004726A7"/>
    <w:rsid w:val="00472710"/>
    <w:rsid w:val="0047271E"/>
    <w:rsid w:val="00472B6F"/>
    <w:rsid w:val="00472C06"/>
    <w:rsid w:val="00472EA2"/>
    <w:rsid w:val="00473010"/>
    <w:rsid w:val="00473304"/>
    <w:rsid w:val="00473477"/>
    <w:rsid w:val="004736D1"/>
    <w:rsid w:val="00473A8D"/>
    <w:rsid w:val="004740CA"/>
    <w:rsid w:val="004746C0"/>
    <w:rsid w:val="004754DC"/>
    <w:rsid w:val="00475740"/>
    <w:rsid w:val="00476432"/>
    <w:rsid w:val="00476705"/>
    <w:rsid w:val="0047676C"/>
    <w:rsid w:val="00476986"/>
    <w:rsid w:val="00476E96"/>
    <w:rsid w:val="00477057"/>
    <w:rsid w:val="00477BBE"/>
    <w:rsid w:val="00477C0E"/>
    <w:rsid w:val="004801F9"/>
    <w:rsid w:val="004802A8"/>
    <w:rsid w:val="0048035F"/>
    <w:rsid w:val="004803ED"/>
    <w:rsid w:val="00480CB9"/>
    <w:rsid w:val="004810C3"/>
    <w:rsid w:val="00481257"/>
    <w:rsid w:val="004813BB"/>
    <w:rsid w:val="00481536"/>
    <w:rsid w:val="00481889"/>
    <w:rsid w:val="00481B68"/>
    <w:rsid w:val="004820EB"/>
    <w:rsid w:val="0048213A"/>
    <w:rsid w:val="004823C9"/>
    <w:rsid w:val="004824C3"/>
    <w:rsid w:val="0048262B"/>
    <w:rsid w:val="00482711"/>
    <w:rsid w:val="0048298A"/>
    <w:rsid w:val="004831D6"/>
    <w:rsid w:val="00483660"/>
    <w:rsid w:val="00483B0E"/>
    <w:rsid w:val="00483E33"/>
    <w:rsid w:val="00483F35"/>
    <w:rsid w:val="00483FBB"/>
    <w:rsid w:val="00484360"/>
    <w:rsid w:val="00484834"/>
    <w:rsid w:val="00484972"/>
    <w:rsid w:val="00484A0C"/>
    <w:rsid w:val="004851E1"/>
    <w:rsid w:val="00485614"/>
    <w:rsid w:val="00485754"/>
    <w:rsid w:val="00485A17"/>
    <w:rsid w:val="00485A27"/>
    <w:rsid w:val="00485F84"/>
    <w:rsid w:val="00485FCC"/>
    <w:rsid w:val="004865C3"/>
    <w:rsid w:val="00486804"/>
    <w:rsid w:val="0048687D"/>
    <w:rsid w:val="004868B1"/>
    <w:rsid w:val="004869FA"/>
    <w:rsid w:val="00486AAA"/>
    <w:rsid w:val="00486D95"/>
    <w:rsid w:val="0048723E"/>
    <w:rsid w:val="004878B7"/>
    <w:rsid w:val="00487BFE"/>
    <w:rsid w:val="00487F85"/>
    <w:rsid w:val="004903A4"/>
    <w:rsid w:val="00490433"/>
    <w:rsid w:val="00490BF6"/>
    <w:rsid w:val="00490DD4"/>
    <w:rsid w:val="004919FC"/>
    <w:rsid w:val="00491A25"/>
    <w:rsid w:val="00491CE9"/>
    <w:rsid w:val="00492111"/>
    <w:rsid w:val="00492164"/>
    <w:rsid w:val="004921E3"/>
    <w:rsid w:val="004926FB"/>
    <w:rsid w:val="0049279F"/>
    <w:rsid w:val="00493194"/>
    <w:rsid w:val="004937AA"/>
    <w:rsid w:val="004939F7"/>
    <w:rsid w:val="00493B4C"/>
    <w:rsid w:val="00493DA0"/>
    <w:rsid w:val="00493E5B"/>
    <w:rsid w:val="00493F51"/>
    <w:rsid w:val="00494109"/>
    <w:rsid w:val="00494789"/>
    <w:rsid w:val="00494B48"/>
    <w:rsid w:val="00495CA6"/>
    <w:rsid w:val="00495F3C"/>
    <w:rsid w:val="0049642C"/>
    <w:rsid w:val="00496713"/>
    <w:rsid w:val="00496A43"/>
    <w:rsid w:val="00496B75"/>
    <w:rsid w:val="00496CDA"/>
    <w:rsid w:val="00496E88"/>
    <w:rsid w:val="0049749B"/>
    <w:rsid w:val="004978C6"/>
    <w:rsid w:val="00497925"/>
    <w:rsid w:val="00497A74"/>
    <w:rsid w:val="00497C2D"/>
    <w:rsid w:val="00497E01"/>
    <w:rsid w:val="00497EFF"/>
    <w:rsid w:val="004A0452"/>
    <w:rsid w:val="004A0AD0"/>
    <w:rsid w:val="004A0CB8"/>
    <w:rsid w:val="004A0F78"/>
    <w:rsid w:val="004A12AA"/>
    <w:rsid w:val="004A1379"/>
    <w:rsid w:val="004A1410"/>
    <w:rsid w:val="004A1D60"/>
    <w:rsid w:val="004A1E78"/>
    <w:rsid w:val="004A218A"/>
    <w:rsid w:val="004A2693"/>
    <w:rsid w:val="004A3496"/>
    <w:rsid w:val="004A373F"/>
    <w:rsid w:val="004A3ADC"/>
    <w:rsid w:val="004A410B"/>
    <w:rsid w:val="004A428D"/>
    <w:rsid w:val="004A448B"/>
    <w:rsid w:val="004A44E4"/>
    <w:rsid w:val="004A4520"/>
    <w:rsid w:val="004A4822"/>
    <w:rsid w:val="004A4837"/>
    <w:rsid w:val="004A4876"/>
    <w:rsid w:val="004A4C0B"/>
    <w:rsid w:val="004A4D7E"/>
    <w:rsid w:val="004A523D"/>
    <w:rsid w:val="004A5689"/>
    <w:rsid w:val="004A58DB"/>
    <w:rsid w:val="004A5B3A"/>
    <w:rsid w:val="004A6553"/>
    <w:rsid w:val="004A6704"/>
    <w:rsid w:val="004A7035"/>
    <w:rsid w:val="004A75D4"/>
    <w:rsid w:val="004A76A2"/>
    <w:rsid w:val="004A7898"/>
    <w:rsid w:val="004A7B07"/>
    <w:rsid w:val="004A7D11"/>
    <w:rsid w:val="004A7DEF"/>
    <w:rsid w:val="004A7E30"/>
    <w:rsid w:val="004A7EFD"/>
    <w:rsid w:val="004B0438"/>
    <w:rsid w:val="004B0489"/>
    <w:rsid w:val="004B0872"/>
    <w:rsid w:val="004B09AB"/>
    <w:rsid w:val="004B0AD7"/>
    <w:rsid w:val="004B0ADA"/>
    <w:rsid w:val="004B0B93"/>
    <w:rsid w:val="004B0C6E"/>
    <w:rsid w:val="004B0C84"/>
    <w:rsid w:val="004B0DF7"/>
    <w:rsid w:val="004B1197"/>
    <w:rsid w:val="004B120A"/>
    <w:rsid w:val="004B17FF"/>
    <w:rsid w:val="004B1828"/>
    <w:rsid w:val="004B1886"/>
    <w:rsid w:val="004B19E7"/>
    <w:rsid w:val="004B1B63"/>
    <w:rsid w:val="004B1C89"/>
    <w:rsid w:val="004B1DA1"/>
    <w:rsid w:val="004B1E36"/>
    <w:rsid w:val="004B1ED6"/>
    <w:rsid w:val="004B2328"/>
    <w:rsid w:val="004B24A5"/>
    <w:rsid w:val="004B2675"/>
    <w:rsid w:val="004B38D0"/>
    <w:rsid w:val="004B3E11"/>
    <w:rsid w:val="004B3F6A"/>
    <w:rsid w:val="004B44DB"/>
    <w:rsid w:val="004B4F22"/>
    <w:rsid w:val="004B51AC"/>
    <w:rsid w:val="004B5434"/>
    <w:rsid w:val="004B5AF0"/>
    <w:rsid w:val="004B5B78"/>
    <w:rsid w:val="004B5C04"/>
    <w:rsid w:val="004B63A4"/>
    <w:rsid w:val="004B6459"/>
    <w:rsid w:val="004B6733"/>
    <w:rsid w:val="004B6927"/>
    <w:rsid w:val="004B6C8E"/>
    <w:rsid w:val="004B726A"/>
    <w:rsid w:val="004B7340"/>
    <w:rsid w:val="004B7398"/>
    <w:rsid w:val="004B744A"/>
    <w:rsid w:val="004B7546"/>
    <w:rsid w:val="004B7C48"/>
    <w:rsid w:val="004B7D0E"/>
    <w:rsid w:val="004C033F"/>
    <w:rsid w:val="004C0388"/>
    <w:rsid w:val="004C0745"/>
    <w:rsid w:val="004C08F8"/>
    <w:rsid w:val="004C0D74"/>
    <w:rsid w:val="004C104A"/>
    <w:rsid w:val="004C1D84"/>
    <w:rsid w:val="004C1F2F"/>
    <w:rsid w:val="004C20A4"/>
    <w:rsid w:val="004C2205"/>
    <w:rsid w:val="004C2C32"/>
    <w:rsid w:val="004C342F"/>
    <w:rsid w:val="004C3A8C"/>
    <w:rsid w:val="004C3D10"/>
    <w:rsid w:val="004C3D97"/>
    <w:rsid w:val="004C3E4E"/>
    <w:rsid w:val="004C3E79"/>
    <w:rsid w:val="004C3EC1"/>
    <w:rsid w:val="004C3EF5"/>
    <w:rsid w:val="004C4271"/>
    <w:rsid w:val="004C45C9"/>
    <w:rsid w:val="004C4BBF"/>
    <w:rsid w:val="004C55DC"/>
    <w:rsid w:val="004C58CB"/>
    <w:rsid w:val="004C599A"/>
    <w:rsid w:val="004C5DBE"/>
    <w:rsid w:val="004C5DD4"/>
    <w:rsid w:val="004C5F22"/>
    <w:rsid w:val="004C60AE"/>
    <w:rsid w:val="004C60C6"/>
    <w:rsid w:val="004C62C0"/>
    <w:rsid w:val="004C6499"/>
    <w:rsid w:val="004C669C"/>
    <w:rsid w:val="004C67BD"/>
    <w:rsid w:val="004C6A8E"/>
    <w:rsid w:val="004C6DF4"/>
    <w:rsid w:val="004C6FC0"/>
    <w:rsid w:val="004C7C5D"/>
    <w:rsid w:val="004D0649"/>
    <w:rsid w:val="004D0ABE"/>
    <w:rsid w:val="004D0AD3"/>
    <w:rsid w:val="004D0F4E"/>
    <w:rsid w:val="004D12C6"/>
    <w:rsid w:val="004D14AD"/>
    <w:rsid w:val="004D1BB2"/>
    <w:rsid w:val="004D1BEF"/>
    <w:rsid w:val="004D2105"/>
    <w:rsid w:val="004D215F"/>
    <w:rsid w:val="004D250D"/>
    <w:rsid w:val="004D2881"/>
    <w:rsid w:val="004D2939"/>
    <w:rsid w:val="004D2BD3"/>
    <w:rsid w:val="004D3A68"/>
    <w:rsid w:val="004D3B4A"/>
    <w:rsid w:val="004D3D17"/>
    <w:rsid w:val="004D4049"/>
    <w:rsid w:val="004D42FD"/>
    <w:rsid w:val="004D44A6"/>
    <w:rsid w:val="004D4904"/>
    <w:rsid w:val="004D493A"/>
    <w:rsid w:val="004D4C10"/>
    <w:rsid w:val="004D4DEA"/>
    <w:rsid w:val="004D50DC"/>
    <w:rsid w:val="004D52DA"/>
    <w:rsid w:val="004D5A14"/>
    <w:rsid w:val="004D5C0F"/>
    <w:rsid w:val="004D5D85"/>
    <w:rsid w:val="004D63D7"/>
    <w:rsid w:val="004D652E"/>
    <w:rsid w:val="004D65CB"/>
    <w:rsid w:val="004D6B16"/>
    <w:rsid w:val="004D6FBE"/>
    <w:rsid w:val="004D7094"/>
    <w:rsid w:val="004D711E"/>
    <w:rsid w:val="004D7272"/>
    <w:rsid w:val="004D75D1"/>
    <w:rsid w:val="004D7825"/>
    <w:rsid w:val="004D7D51"/>
    <w:rsid w:val="004E0220"/>
    <w:rsid w:val="004E03A8"/>
    <w:rsid w:val="004E0ED4"/>
    <w:rsid w:val="004E1518"/>
    <w:rsid w:val="004E177A"/>
    <w:rsid w:val="004E1ACE"/>
    <w:rsid w:val="004E1B27"/>
    <w:rsid w:val="004E1D52"/>
    <w:rsid w:val="004E1E40"/>
    <w:rsid w:val="004E210C"/>
    <w:rsid w:val="004E2172"/>
    <w:rsid w:val="004E21D1"/>
    <w:rsid w:val="004E26FD"/>
    <w:rsid w:val="004E2721"/>
    <w:rsid w:val="004E2931"/>
    <w:rsid w:val="004E2A2A"/>
    <w:rsid w:val="004E2C5C"/>
    <w:rsid w:val="004E311A"/>
    <w:rsid w:val="004E3CC7"/>
    <w:rsid w:val="004E4416"/>
    <w:rsid w:val="004E4911"/>
    <w:rsid w:val="004E4CD5"/>
    <w:rsid w:val="004E50D3"/>
    <w:rsid w:val="004E50EE"/>
    <w:rsid w:val="004E5194"/>
    <w:rsid w:val="004E5215"/>
    <w:rsid w:val="004E55FE"/>
    <w:rsid w:val="004E5816"/>
    <w:rsid w:val="004E5911"/>
    <w:rsid w:val="004E59EC"/>
    <w:rsid w:val="004E5B9B"/>
    <w:rsid w:val="004E5E1D"/>
    <w:rsid w:val="004E6214"/>
    <w:rsid w:val="004E6803"/>
    <w:rsid w:val="004E6ED6"/>
    <w:rsid w:val="004E7318"/>
    <w:rsid w:val="004E73D1"/>
    <w:rsid w:val="004E7562"/>
    <w:rsid w:val="004E76BC"/>
    <w:rsid w:val="004E7D19"/>
    <w:rsid w:val="004E7D6A"/>
    <w:rsid w:val="004F0051"/>
    <w:rsid w:val="004F033A"/>
    <w:rsid w:val="004F0431"/>
    <w:rsid w:val="004F0455"/>
    <w:rsid w:val="004F04F7"/>
    <w:rsid w:val="004F0646"/>
    <w:rsid w:val="004F06A0"/>
    <w:rsid w:val="004F06B1"/>
    <w:rsid w:val="004F14F4"/>
    <w:rsid w:val="004F158F"/>
    <w:rsid w:val="004F1994"/>
    <w:rsid w:val="004F1AA9"/>
    <w:rsid w:val="004F1E09"/>
    <w:rsid w:val="004F1FDD"/>
    <w:rsid w:val="004F208B"/>
    <w:rsid w:val="004F26FD"/>
    <w:rsid w:val="004F2875"/>
    <w:rsid w:val="004F2BA1"/>
    <w:rsid w:val="004F2E66"/>
    <w:rsid w:val="004F3A07"/>
    <w:rsid w:val="004F3CC7"/>
    <w:rsid w:val="004F3EB4"/>
    <w:rsid w:val="004F4188"/>
    <w:rsid w:val="004F4239"/>
    <w:rsid w:val="004F465C"/>
    <w:rsid w:val="004F4AE5"/>
    <w:rsid w:val="004F4C17"/>
    <w:rsid w:val="004F4C63"/>
    <w:rsid w:val="004F4EC2"/>
    <w:rsid w:val="004F5181"/>
    <w:rsid w:val="004F55B2"/>
    <w:rsid w:val="004F5714"/>
    <w:rsid w:val="004F5804"/>
    <w:rsid w:val="004F58D2"/>
    <w:rsid w:val="004F5A36"/>
    <w:rsid w:val="004F5A57"/>
    <w:rsid w:val="004F5B71"/>
    <w:rsid w:val="004F60C1"/>
    <w:rsid w:val="004F60FC"/>
    <w:rsid w:val="004F6C83"/>
    <w:rsid w:val="004F6CE8"/>
    <w:rsid w:val="004F73F9"/>
    <w:rsid w:val="004F746F"/>
    <w:rsid w:val="004F79B5"/>
    <w:rsid w:val="004F7BD5"/>
    <w:rsid w:val="0050003F"/>
    <w:rsid w:val="00500566"/>
    <w:rsid w:val="00500CC6"/>
    <w:rsid w:val="00500D6F"/>
    <w:rsid w:val="00501BEC"/>
    <w:rsid w:val="00501E11"/>
    <w:rsid w:val="00502370"/>
    <w:rsid w:val="00502E62"/>
    <w:rsid w:val="005034A7"/>
    <w:rsid w:val="005036EC"/>
    <w:rsid w:val="005038AB"/>
    <w:rsid w:val="00503ADD"/>
    <w:rsid w:val="005040F7"/>
    <w:rsid w:val="00504165"/>
    <w:rsid w:val="0050437D"/>
    <w:rsid w:val="0050486B"/>
    <w:rsid w:val="005050A7"/>
    <w:rsid w:val="0050557B"/>
    <w:rsid w:val="005056B9"/>
    <w:rsid w:val="0050582B"/>
    <w:rsid w:val="00506513"/>
    <w:rsid w:val="00506582"/>
    <w:rsid w:val="00506AA4"/>
    <w:rsid w:val="00506B47"/>
    <w:rsid w:val="00506D5A"/>
    <w:rsid w:val="0050752D"/>
    <w:rsid w:val="00507968"/>
    <w:rsid w:val="00507AC0"/>
    <w:rsid w:val="00510325"/>
    <w:rsid w:val="00510693"/>
    <w:rsid w:val="005106DE"/>
    <w:rsid w:val="00511723"/>
    <w:rsid w:val="00511A92"/>
    <w:rsid w:val="00512455"/>
    <w:rsid w:val="005128F4"/>
    <w:rsid w:val="00512974"/>
    <w:rsid w:val="00512B38"/>
    <w:rsid w:val="00512C95"/>
    <w:rsid w:val="00512D9D"/>
    <w:rsid w:val="00512DA9"/>
    <w:rsid w:val="00512F8A"/>
    <w:rsid w:val="00513013"/>
    <w:rsid w:val="005130CF"/>
    <w:rsid w:val="0051333A"/>
    <w:rsid w:val="0051415C"/>
    <w:rsid w:val="00514581"/>
    <w:rsid w:val="005149B8"/>
    <w:rsid w:val="00514C6A"/>
    <w:rsid w:val="005150CC"/>
    <w:rsid w:val="0051581B"/>
    <w:rsid w:val="005158A0"/>
    <w:rsid w:val="005167C6"/>
    <w:rsid w:val="0051686B"/>
    <w:rsid w:val="00516E26"/>
    <w:rsid w:val="00517016"/>
    <w:rsid w:val="00517388"/>
    <w:rsid w:val="00517811"/>
    <w:rsid w:val="00520480"/>
    <w:rsid w:val="00520A10"/>
    <w:rsid w:val="00520D6B"/>
    <w:rsid w:val="00520E95"/>
    <w:rsid w:val="00520F92"/>
    <w:rsid w:val="0052104B"/>
    <w:rsid w:val="005211BC"/>
    <w:rsid w:val="005212E0"/>
    <w:rsid w:val="005216BD"/>
    <w:rsid w:val="00521823"/>
    <w:rsid w:val="00521F16"/>
    <w:rsid w:val="0052268D"/>
    <w:rsid w:val="00522754"/>
    <w:rsid w:val="00522966"/>
    <w:rsid w:val="00522B25"/>
    <w:rsid w:val="00522DB1"/>
    <w:rsid w:val="00522EDA"/>
    <w:rsid w:val="005239F2"/>
    <w:rsid w:val="00523C7B"/>
    <w:rsid w:val="00523C9B"/>
    <w:rsid w:val="00523D12"/>
    <w:rsid w:val="00524303"/>
    <w:rsid w:val="0052438C"/>
    <w:rsid w:val="00524EAC"/>
    <w:rsid w:val="00524F10"/>
    <w:rsid w:val="00525351"/>
    <w:rsid w:val="005255E6"/>
    <w:rsid w:val="005259D0"/>
    <w:rsid w:val="00525C17"/>
    <w:rsid w:val="0052635E"/>
    <w:rsid w:val="00526420"/>
    <w:rsid w:val="0052695C"/>
    <w:rsid w:val="00526BE6"/>
    <w:rsid w:val="00526F94"/>
    <w:rsid w:val="0052711B"/>
    <w:rsid w:val="005271CD"/>
    <w:rsid w:val="005271E1"/>
    <w:rsid w:val="00527697"/>
    <w:rsid w:val="00527B6A"/>
    <w:rsid w:val="00527EB7"/>
    <w:rsid w:val="00527EB8"/>
    <w:rsid w:val="00527EF2"/>
    <w:rsid w:val="00527F05"/>
    <w:rsid w:val="00527F3D"/>
    <w:rsid w:val="00530457"/>
    <w:rsid w:val="005306C1"/>
    <w:rsid w:val="00530719"/>
    <w:rsid w:val="00530767"/>
    <w:rsid w:val="00530975"/>
    <w:rsid w:val="00530F45"/>
    <w:rsid w:val="00530FB7"/>
    <w:rsid w:val="00531153"/>
    <w:rsid w:val="0053141A"/>
    <w:rsid w:val="005314E6"/>
    <w:rsid w:val="0053155E"/>
    <w:rsid w:val="00531D59"/>
    <w:rsid w:val="00531D85"/>
    <w:rsid w:val="00531F3F"/>
    <w:rsid w:val="00531F5E"/>
    <w:rsid w:val="00531F6A"/>
    <w:rsid w:val="00531FC3"/>
    <w:rsid w:val="00532622"/>
    <w:rsid w:val="00532812"/>
    <w:rsid w:val="00532861"/>
    <w:rsid w:val="00532962"/>
    <w:rsid w:val="00532ADD"/>
    <w:rsid w:val="00532DB8"/>
    <w:rsid w:val="00532F05"/>
    <w:rsid w:val="005330EA"/>
    <w:rsid w:val="0053346B"/>
    <w:rsid w:val="00533C58"/>
    <w:rsid w:val="00533F9B"/>
    <w:rsid w:val="00533FA5"/>
    <w:rsid w:val="00534612"/>
    <w:rsid w:val="00535492"/>
    <w:rsid w:val="00535D0A"/>
    <w:rsid w:val="005367F8"/>
    <w:rsid w:val="00537303"/>
    <w:rsid w:val="00537327"/>
    <w:rsid w:val="0053770C"/>
    <w:rsid w:val="00537892"/>
    <w:rsid w:val="00537C8E"/>
    <w:rsid w:val="00537DEA"/>
    <w:rsid w:val="00540180"/>
    <w:rsid w:val="0054106B"/>
    <w:rsid w:val="005410F1"/>
    <w:rsid w:val="005411E3"/>
    <w:rsid w:val="005417F9"/>
    <w:rsid w:val="00541ABF"/>
    <w:rsid w:val="005422BD"/>
    <w:rsid w:val="005422D6"/>
    <w:rsid w:val="0054279D"/>
    <w:rsid w:val="00542B7A"/>
    <w:rsid w:val="00542E4D"/>
    <w:rsid w:val="00543014"/>
    <w:rsid w:val="00543093"/>
    <w:rsid w:val="0054370C"/>
    <w:rsid w:val="005437EE"/>
    <w:rsid w:val="00543AC8"/>
    <w:rsid w:val="00543E4A"/>
    <w:rsid w:val="00543FF2"/>
    <w:rsid w:val="005442C6"/>
    <w:rsid w:val="00544B33"/>
    <w:rsid w:val="00544B5A"/>
    <w:rsid w:val="00544FEA"/>
    <w:rsid w:val="0054509A"/>
    <w:rsid w:val="005452B8"/>
    <w:rsid w:val="00545E67"/>
    <w:rsid w:val="00545E78"/>
    <w:rsid w:val="00546197"/>
    <w:rsid w:val="005463D0"/>
    <w:rsid w:val="0054654D"/>
    <w:rsid w:val="00546B0E"/>
    <w:rsid w:val="00546B40"/>
    <w:rsid w:val="005470EB"/>
    <w:rsid w:val="00547420"/>
    <w:rsid w:val="00547600"/>
    <w:rsid w:val="005478FA"/>
    <w:rsid w:val="00547906"/>
    <w:rsid w:val="00547BCE"/>
    <w:rsid w:val="00547CFB"/>
    <w:rsid w:val="0055005A"/>
    <w:rsid w:val="005501AE"/>
    <w:rsid w:val="00550245"/>
    <w:rsid w:val="00550395"/>
    <w:rsid w:val="005505C1"/>
    <w:rsid w:val="005515D6"/>
    <w:rsid w:val="0055181A"/>
    <w:rsid w:val="0055196E"/>
    <w:rsid w:val="005519F0"/>
    <w:rsid w:val="00551E62"/>
    <w:rsid w:val="00551FD9"/>
    <w:rsid w:val="00552520"/>
    <w:rsid w:val="00552930"/>
    <w:rsid w:val="00552D94"/>
    <w:rsid w:val="00552FA8"/>
    <w:rsid w:val="00552FFA"/>
    <w:rsid w:val="00553542"/>
    <w:rsid w:val="0055372F"/>
    <w:rsid w:val="005537E8"/>
    <w:rsid w:val="0055394C"/>
    <w:rsid w:val="00553CC2"/>
    <w:rsid w:val="00553F3B"/>
    <w:rsid w:val="00554098"/>
    <w:rsid w:val="005542D3"/>
    <w:rsid w:val="00554358"/>
    <w:rsid w:val="0055457D"/>
    <w:rsid w:val="00554DF2"/>
    <w:rsid w:val="00555562"/>
    <w:rsid w:val="005555A9"/>
    <w:rsid w:val="00555C1A"/>
    <w:rsid w:val="00555C5C"/>
    <w:rsid w:val="00555D0F"/>
    <w:rsid w:val="00555F1B"/>
    <w:rsid w:val="00556085"/>
    <w:rsid w:val="005561B4"/>
    <w:rsid w:val="00556519"/>
    <w:rsid w:val="00556935"/>
    <w:rsid w:val="00556C17"/>
    <w:rsid w:val="00557419"/>
    <w:rsid w:val="00557633"/>
    <w:rsid w:val="0055777F"/>
    <w:rsid w:val="00557994"/>
    <w:rsid w:val="00557E49"/>
    <w:rsid w:val="00560341"/>
    <w:rsid w:val="00560560"/>
    <w:rsid w:val="00560B3A"/>
    <w:rsid w:val="00560C36"/>
    <w:rsid w:val="00560E30"/>
    <w:rsid w:val="00560FB4"/>
    <w:rsid w:val="00561359"/>
    <w:rsid w:val="0056135E"/>
    <w:rsid w:val="005619CE"/>
    <w:rsid w:val="00561DCF"/>
    <w:rsid w:val="00561EF3"/>
    <w:rsid w:val="00561FD2"/>
    <w:rsid w:val="00561FD4"/>
    <w:rsid w:val="005626BB"/>
    <w:rsid w:val="00562A90"/>
    <w:rsid w:val="00562E55"/>
    <w:rsid w:val="005633EE"/>
    <w:rsid w:val="0056373A"/>
    <w:rsid w:val="00563BA1"/>
    <w:rsid w:val="00563C56"/>
    <w:rsid w:val="00563F51"/>
    <w:rsid w:val="005643AC"/>
    <w:rsid w:val="00564525"/>
    <w:rsid w:val="005647C0"/>
    <w:rsid w:val="00564886"/>
    <w:rsid w:val="00564953"/>
    <w:rsid w:val="00564ADA"/>
    <w:rsid w:val="00565099"/>
    <w:rsid w:val="00565419"/>
    <w:rsid w:val="0056609F"/>
    <w:rsid w:val="005660DE"/>
    <w:rsid w:val="0056625E"/>
    <w:rsid w:val="00566A04"/>
    <w:rsid w:val="00567646"/>
    <w:rsid w:val="005709DC"/>
    <w:rsid w:val="005709FE"/>
    <w:rsid w:val="00570BA2"/>
    <w:rsid w:val="00570D3B"/>
    <w:rsid w:val="00570EF0"/>
    <w:rsid w:val="00570F2D"/>
    <w:rsid w:val="00571037"/>
    <w:rsid w:val="005710B9"/>
    <w:rsid w:val="0057112A"/>
    <w:rsid w:val="00571217"/>
    <w:rsid w:val="00571741"/>
    <w:rsid w:val="00571764"/>
    <w:rsid w:val="00571769"/>
    <w:rsid w:val="005718E9"/>
    <w:rsid w:val="00571984"/>
    <w:rsid w:val="00572132"/>
    <w:rsid w:val="00572473"/>
    <w:rsid w:val="005724C5"/>
    <w:rsid w:val="00572901"/>
    <w:rsid w:val="005729C2"/>
    <w:rsid w:val="005729E1"/>
    <w:rsid w:val="00572CF3"/>
    <w:rsid w:val="005730CE"/>
    <w:rsid w:val="005730EE"/>
    <w:rsid w:val="0057330D"/>
    <w:rsid w:val="00573B4A"/>
    <w:rsid w:val="005743F0"/>
    <w:rsid w:val="005749A7"/>
    <w:rsid w:val="00574AD7"/>
    <w:rsid w:val="00574D32"/>
    <w:rsid w:val="00574FD7"/>
    <w:rsid w:val="00575349"/>
    <w:rsid w:val="00575379"/>
    <w:rsid w:val="00575608"/>
    <w:rsid w:val="00575C5D"/>
    <w:rsid w:val="00575E4C"/>
    <w:rsid w:val="00576366"/>
    <w:rsid w:val="00576858"/>
    <w:rsid w:val="00576A29"/>
    <w:rsid w:val="00576D30"/>
    <w:rsid w:val="005770DE"/>
    <w:rsid w:val="0057718F"/>
    <w:rsid w:val="005776B1"/>
    <w:rsid w:val="00577AAD"/>
    <w:rsid w:val="00577B39"/>
    <w:rsid w:val="00577F98"/>
    <w:rsid w:val="00577FE0"/>
    <w:rsid w:val="00577FF3"/>
    <w:rsid w:val="00580214"/>
    <w:rsid w:val="0058065E"/>
    <w:rsid w:val="005807D8"/>
    <w:rsid w:val="00580988"/>
    <w:rsid w:val="00580A96"/>
    <w:rsid w:val="00581222"/>
    <w:rsid w:val="0058133E"/>
    <w:rsid w:val="00581450"/>
    <w:rsid w:val="005815EE"/>
    <w:rsid w:val="0058188B"/>
    <w:rsid w:val="0058189F"/>
    <w:rsid w:val="00581A86"/>
    <w:rsid w:val="00581E12"/>
    <w:rsid w:val="005821CC"/>
    <w:rsid w:val="00582423"/>
    <w:rsid w:val="0058252D"/>
    <w:rsid w:val="00582DC8"/>
    <w:rsid w:val="00582FD3"/>
    <w:rsid w:val="0058310A"/>
    <w:rsid w:val="00583844"/>
    <w:rsid w:val="005838E4"/>
    <w:rsid w:val="00583943"/>
    <w:rsid w:val="00583D04"/>
    <w:rsid w:val="0058409E"/>
    <w:rsid w:val="00584534"/>
    <w:rsid w:val="00584622"/>
    <w:rsid w:val="005849B3"/>
    <w:rsid w:val="00584A20"/>
    <w:rsid w:val="00584AA0"/>
    <w:rsid w:val="00584E4F"/>
    <w:rsid w:val="0058518A"/>
    <w:rsid w:val="005854BB"/>
    <w:rsid w:val="005857F9"/>
    <w:rsid w:val="005859A6"/>
    <w:rsid w:val="00585BE5"/>
    <w:rsid w:val="00585E0E"/>
    <w:rsid w:val="00585E12"/>
    <w:rsid w:val="00585FE9"/>
    <w:rsid w:val="00586041"/>
    <w:rsid w:val="00586157"/>
    <w:rsid w:val="0058666A"/>
    <w:rsid w:val="00586C64"/>
    <w:rsid w:val="00586CF9"/>
    <w:rsid w:val="0058741F"/>
    <w:rsid w:val="00587661"/>
    <w:rsid w:val="00587A97"/>
    <w:rsid w:val="00587D2F"/>
    <w:rsid w:val="00590162"/>
    <w:rsid w:val="0059030B"/>
    <w:rsid w:val="0059051C"/>
    <w:rsid w:val="0059080E"/>
    <w:rsid w:val="005916A1"/>
    <w:rsid w:val="00591781"/>
    <w:rsid w:val="005917F4"/>
    <w:rsid w:val="00591B3C"/>
    <w:rsid w:val="00591D0E"/>
    <w:rsid w:val="00592086"/>
    <w:rsid w:val="00592260"/>
    <w:rsid w:val="0059263C"/>
    <w:rsid w:val="0059292F"/>
    <w:rsid w:val="00592A28"/>
    <w:rsid w:val="00592AB2"/>
    <w:rsid w:val="00592D33"/>
    <w:rsid w:val="00592F0F"/>
    <w:rsid w:val="00592FCC"/>
    <w:rsid w:val="005930F9"/>
    <w:rsid w:val="00593274"/>
    <w:rsid w:val="005933A4"/>
    <w:rsid w:val="005938FC"/>
    <w:rsid w:val="00593911"/>
    <w:rsid w:val="005939EB"/>
    <w:rsid w:val="00593A5B"/>
    <w:rsid w:val="00593BCB"/>
    <w:rsid w:val="00593C15"/>
    <w:rsid w:val="005944BF"/>
    <w:rsid w:val="00594586"/>
    <w:rsid w:val="00594A01"/>
    <w:rsid w:val="005952F5"/>
    <w:rsid w:val="00595771"/>
    <w:rsid w:val="00595AAB"/>
    <w:rsid w:val="00595D1D"/>
    <w:rsid w:val="00596483"/>
    <w:rsid w:val="005964E9"/>
    <w:rsid w:val="005965CA"/>
    <w:rsid w:val="0059691D"/>
    <w:rsid w:val="005969D3"/>
    <w:rsid w:val="00596AA4"/>
    <w:rsid w:val="00596C94"/>
    <w:rsid w:val="005971FD"/>
    <w:rsid w:val="00597D1E"/>
    <w:rsid w:val="00597DFC"/>
    <w:rsid w:val="005A045C"/>
    <w:rsid w:val="005A0699"/>
    <w:rsid w:val="005A0C8B"/>
    <w:rsid w:val="005A0F37"/>
    <w:rsid w:val="005A0F54"/>
    <w:rsid w:val="005A135C"/>
    <w:rsid w:val="005A150A"/>
    <w:rsid w:val="005A1599"/>
    <w:rsid w:val="005A1CB1"/>
    <w:rsid w:val="005A2170"/>
    <w:rsid w:val="005A21DE"/>
    <w:rsid w:val="005A239D"/>
    <w:rsid w:val="005A24E6"/>
    <w:rsid w:val="005A271C"/>
    <w:rsid w:val="005A2C46"/>
    <w:rsid w:val="005A2D4C"/>
    <w:rsid w:val="005A34D7"/>
    <w:rsid w:val="005A3578"/>
    <w:rsid w:val="005A393B"/>
    <w:rsid w:val="005A3B34"/>
    <w:rsid w:val="005A3D50"/>
    <w:rsid w:val="005A3DEC"/>
    <w:rsid w:val="005A3FC8"/>
    <w:rsid w:val="005A4C34"/>
    <w:rsid w:val="005A4C84"/>
    <w:rsid w:val="005A5281"/>
    <w:rsid w:val="005A578A"/>
    <w:rsid w:val="005A5F02"/>
    <w:rsid w:val="005A6140"/>
    <w:rsid w:val="005A659D"/>
    <w:rsid w:val="005A6B42"/>
    <w:rsid w:val="005A6BAB"/>
    <w:rsid w:val="005A6BFC"/>
    <w:rsid w:val="005A6D24"/>
    <w:rsid w:val="005A6DA3"/>
    <w:rsid w:val="005A70EA"/>
    <w:rsid w:val="005A74A4"/>
    <w:rsid w:val="005A7F4B"/>
    <w:rsid w:val="005B0A8E"/>
    <w:rsid w:val="005B0C70"/>
    <w:rsid w:val="005B0CDD"/>
    <w:rsid w:val="005B0D93"/>
    <w:rsid w:val="005B0EF2"/>
    <w:rsid w:val="005B11A9"/>
    <w:rsid w:val="005B1314"/>
    <w:rsid w:val="005B1F93"/>
    <w:rsid w:val="005B2129"/>
    <w:rsid w:val="005B2426"/>
    <w:rsid w:val="005B25B4"/>
    <w:rsid w:val="005B2B15"/>
    <w:rsid w:val="005B3222"/>
    <w:rsid w:val="005B36A0"/>
    <w:rsid w:val="005B375B"/>
    <w:rsid w:val="005B43B9"/>
    <w:rsid w:val="005B450F"/>
    <w:rsid w:val="005B4551"/>
    <w:rsid w:val="005B45A1"/>
    <w:rsid w:val="005B45EC"/>
    <w:rsid w:val="005B4626"/>
    <w:rsid w:val="005B49C2"/>
    <w:rsid w:val="005B528D"/>
    <w:rsid w:val="005B54A3"/>
    <w:rsid w:val="005B58D5"/>
    <w:rsid w:val="005B5C48"/>
    <w:rsid w:val="005B5F8F"/>
    <w:rsid w:val="005B6667"/>
    <w:rsid w:val="005B6742"/>
    <w:rsid w:val="005B7088"/>
    <w:rsid w:val="005B7907"/>
    <w:rsid w:val="005B7B6B"/>
    <w:rsid w:val="005B7BB5"/>
    <w:rsid w:val="005B7C0A"/>
    <w:rsid w:val="005B7EFA"/>
    <w:rsid w:val="005B7F97"/>
    <w:rsid w:val="005C0285"/>
    <w:rsid w:val="005C044C"/>
    <w:rsid w:val="005C0558"/>
    <w:rsid w:val="005C0938"/>
    <w:rsid w:val="005C0955"/>
    <w:rsid w:val="005C0ABD"/>
    <w:rsid w:val="005C0DD8"/>
    <w:rsid w:val="005C0E13"/>
    <w:rsid w:val="005C108E"/>
    <w:rsid w:val="005C11C5"/>
    <w:rsid w:val="005C1654"/>
    <w:rsid w:val="005C17BA"/>
    <w:rsid w:val="005C1F6A"/>
    <w:rsid w:val="005C2128"/>
    <w:rsid w:val="005C2AD4"/>
    <w:rsid w:val="005C3370"/>
    <w:rsid w:val="005C36D9"/>
    <w:rsid w:val="005C3B00"/>
    <w:rsid w:val="005C3B28"/>
    <w:rsid w:val="005C4744"/>
    <w:rsid w:val="005C4C74"/>
    <w:rsid w:val="005C4CAC"/>
    <w:rsid w:val="005C5166"/>
    <w:rsid w:val="005C5B41"/>
    <w:rsid w:val="005C5B9A"/>
    <w:rsid w:val="005C6467"/>
    <w:rsid w:val="005C6470"/>
    <w:rsid w:val="005C6886"/>
    <w:rsid w:val="005C6AB3"/>
    <w:rsid w:val="005C6E05"/>
    <w:rsid w:val="005C70B3"/>
    <w:rsid w:val="005C7497"/>
    <w:rsid w:val="005C7538"/>
    <w:rsid w:val="005C76BA"/>
    <w:rsid w:val="005C77FD"/>
    <w:rsid w:val="005C7E4E"/>
    <w:rsid w:val="005D0133"/>
    <w:rsid w:val="005D0374"/>
    <w:rsid w:val="005D041F"/>
    <w:rsid w:val="005D0A41"/>
    <w:rsid w:val="005D0B1C"/>
    <w:rsid w:val="005D0D9B"/>
    <w:rsid w:val="005D1432"/>
    <w:rsid w:val="005D1A8C"/>
    <w:rsid w:val="005D2366"/>
    <w:rsid w:val="005D267F"/>
    <w:rsid w:val="005D26D8"/>
    <w:rsid w:val="005D281D"/>
    <w:rsid w:val="005D2847"/>
    <w:rsid w:val="005D2B78"/>
    <w:rsid w:val="005D2FAA"/>
    <w:rsid w:val="005D3138"/>
    <w:rsid w:val="005D3469"/>
    <w:rsid w:val="005D4057"/>
    <w:rsid w:val="005D46FD"/>
    <w:rsid w:val="005D494E"/>
    <w:rsid w:val="005D4F91"/>
    <w:rsid w:val="005D4F93"/>
    <w:rsid w:val="005D5211"/>
    <w:rsid w:val="005D576D"/>
    <w:rsid w:val="005D59D4"/>
    <w:rsid w:val="005D5AA1"/>
    <w:rsid w:val="005D5DCA"/>
    <w:rsid w:val="005D5DF6"/>
    <w:rsid w:val="005D63F7"/>
    <w:rsid w:val="005D6F81"/>
    <w:rsid w:val="005D7408"/>
    <w:rsid w:val="005D758B"/>
    <w:rsid w:val="005D788D"/>
    <w:rsid w:val="005D7898"/>
    <w:rsid w:val="005D7D57"/>
    <w:rsid w:val="005E00F1"/>
    <w:rsid w:val="005E032F"/>
    <w:rsid w:val="005E07F5"/>
    <w:rsid w:val="005E080B"/>
    <w:rsid w:val="005E09D6"/>
    <w:rsid w:val="005E0C76"/>
    <w:rsid w:val="005E0E07"/>
    <w:rsid w:val="005E1757"/>
    <w:rsid w:val="005E1942"/>
    <w:rsid w:val="005E1992"/>
    <w:rsid w:val="005E1C39"/>
    <w:rsid w:val="005E1E39"/>
    <w:rsid w:val="005E2386"/>
    <w:rsid w:val="005E24DB"/>
    <w:rsid w:val="005E2610"/>
    <w:rsid w:val="005E2652"/>
    <w:rsid w:val="005E26E6"/>
    <w:rsid w:val="005E2BD9"/>
    <w:rsid w:val="005E2C97"/>
    <w:rsid w:val="005E35B7"/>
    <w:rsid w:val="005E4113"/>
    <w:rsid w:val="005E41A0"/>
    <w:rsid w:val="005E45FD"/>
    <w:rsid w:val="005E4660"/>
    <w:rsid w:val="005E5041"/>
    <w:rsid w:val="005E5590"/>
    <w:rsid w:val="005E591A"/>
    <w:rsid w:val="005E5A2A"/>
    <w:rsid w:val="005E5DFD"/>
    <w:rsid w:val="005E5E5A"/>
    <w:rsid w:val="005E5F0A"/>
    <w:rsid w:val="005E63B1"/>
    <w:rsid w:val="005E659D"/>
    <w:rsid w:val="005E68AF"/>
    <w:rsid w:val="005E6BE4"/>
    <w:rsid w:val="005E6C1D"/>
    <w:rsid w:val="005E7040"/>
    <w:rsid w:val="005E7246"/>
    <w:rsid w:val="005E7917"/>
    <w:rsid w:val="005E7A73"/>
    <w:rsid w:val="005E7CF1"/>
    <w:rsid w:val="005F0676"/>
    <w:rsid w:val="005F06A0"/>
    <w:rsid w:val="005F088A"/>
    <w:rsid w:val="005F0AB3"/>
    <w:rsid w:val="005F0C9E"/>
    <w:rsid w:val="005F0F5B"/>
    <w:rsid w:val="005F1072"/>
    <w:rsid w:val="005F13A2"/>
    <w:rsid w:val="005F1435"/>
    <w:rsid w:val="005F16D0"/>
    <w:rsid w:val="005F16D3"/>
    <w:rsid w:val="005F1710"/>
    <w:rsid w:val="005F19E5"/>
    <w:rsid w:val="005F2145"/>
    <w:rsid w:val="005F250F"/>
    <w:rsid w:val="005F2A70"/>
    <w:rsid w:val="005F2DA5"/>
    <w:rsid w:val="005F2F1E"/>
    <w:rsid w:val="005F3294"/>
    <w:rsid w:val="005F33D5"/>
    <w:rsid w:val="005F3A49"/>
    <w:rsid w:val="005F3B76"/>
    <w:rsid w:val="005F3DF3"/>
    <w:rsid w:val="005F3F80"/>
    <w:rsid w:val="005F4215"/>
    <w:rsid w:val="005F471F"/>
    <w:rsid w:val="005F4913"/>
    <w:rsid w:val="005F4C07"/>
    <w:rsid w:val="005F4FCB"/>
    <w:rsid w:val="005F52CA"/>
    <w:rsid w:val="005F5467"/>
    <w:rsid w:val="005F5628"/>
    <w:rsid w:val="005F5F79"/>
    <w:rsid w:val="005F6352"/>
    <w:rsid w:val="005F6B80"/>
    <w:rsid w:val="005F6E90"/>
    <w:rsid w:val="005F6FEB"/>
    <w:rsid w:val="005F7047"/>
    <w:rsid w:val="005F75DE"/>
    <w:rsid w:val="005F75E5"/>
    <w:rsid w:val="005F7651"/>
    <w:rsid w:val="005F77DF"/>
    <w:rsid w:val="005F780F"/>
    <w:rsid w:val="005F79F7"/>
    <w:rsid w:val="005F7B69"/>
    <w:rsid w:val="005F7C03"/>
    <w:rsid w:val="005F7DFE"/>
    <w:rsid w:val="005F7E45"/>
    <w:rsid w:val="005F7F39"/>
    <w:rsid w:val="006000C0"/>
    <w:rsid w:val="00600C2A"/>
    <w:rsid w:val="006010FB"/>
    <w:rsid w:val="006012B1"/>
    <w:rsid w:val="00601427"/>
    <w:rsid w:val="0060181E"/>
    <w:rsid w:val="00601921"/>
    <w:rsid w:val="00601975"/>
    <w:rsid w:val="00601D37"/>
    <w:rsid w:val="00601F1A"/>
    <w:rsid w:val="006025AF"/>
    <w:rsid w:val="00602D85"/>
    <w:rsid w:val="00602E3B"/>
    <w:rsid w:val="00602F74"/>
    <w:rsid w:val="00603181"/>
    <w:rsid w:val="00603281"/>
    <w:rsid w:val="0060368B"/>
    <w:rsid w:val="00603A28"/>
    <w:rsid w:val="00603EF2"/>
    <w:rsid w:val="006040EF"/>
    <w:rsid w:val="006046A4"/>
    <w:rsid w:val="006046D9"/>
    <w:rsid w:val="0060477F"/>
    <w:rsid w:val="00604AB1"/>
    <w:rsid w:val="00604B0A"/>
    <w:rsid w:val="00604B8E"/>
    <w:rsid w:val="00604F14"/>
    <w:rsid w:val="00604F7E"/>
    <w:rsid w:val="0060557D"/>
    <w:rsid w:val="006056EC"/>
    <w:rsid w:val="006059C1"/>
    <w:rsid w:val="00605A9E"/>
    <w:rsid w:val="00605CAF"/>
    <w:rsid w:val="00606585"/>
    <w:rsid w:val="006065C5"/>
    <w:rsid w:val="006070BE"/>
    <w:rsid w:val="006072F9"/>
    <w:rsid w:val="00607395"/>
    <w:rsid w:val="006074C1"/>
    <w:rsid w:val="00607844"/>
    <w:rsid w:val="0060786D"/>
    <w:rsid w:val="00607B04"/>
    <w:rsid w:val="00610010"/>
    <w:rsid w:val="00610088"/>
    <w:rsid w:val="006104CB"/>
    <w:rsid w:val="00610981"/>
    <w:rsid w:val="00610ABA"/>
    <w:rsid w:val="00610B84"/>
    <w:rsid w:val="00610F78"/>
    <w:rsid w:val="00611244"/>
    <w:rsid w:val="0061147D"/>
    <w:rsid w:val="00611505"/>
    <w:rsid w:val="00611764"/>
    <w:rsid w:val="0061177F"/>
    <w:rsid w:val="00611D33"/>
    <w:rsid w:val="00612834"/>
    <w:rsid w:val="0061283D"/>
    <w:rsid w:val="00612947"/>
    <w:rsid w:val="00612C7C"/>
    <w:rsid w:val="00612ED2"/>
    <w:rsid w:val="00613325"/>
    <w:rsid w:val="0061357B"/>
    <w:rsid w:val="00613C29"/>
    <w:rsid w:val="006140E2"/>
    <w:rsid w:val="00614A78"/>
    <w:rsid w:val="00614B45"/>
    <w:rsid w:val="00614C01"/>
    <w:rsid w:val="00614F8F"/>
    <w:rsid w:val="0061523D"/>
    <w:rsid w:val="00615299"/>
    <w:rsid w:val="006155E2"/>
    <w:rsid w:val="00615CA7"/>
    <w:rsid w:val="00615D00"/>
    <w:rsid w:val="006161AF"/>
    <w:rsid w:val="00616B3C"/>
    <w:rsid w:val="00616B4E"/>
    <w:rsid w:val="00617429"/>
    <w:rsid w:val="00617817"/>
    <w:rsid w:val="00620046"/>
    <w:rsid w:val="006201BF"/>
    <w:rsid w:val="00620522"/>
    <w:rsid w:val="006206F8"/>
    <w:rsid w:val="006207BD"/>
    <w:rsid w:val="006207DC"/>
    <w:rsid w:val="00620910"/>
    <w:rsid w:val="00620EFE"/>
    <w:rsid w:val="0062100F"/>
    <w:rsid w:val="0062110B"/>
    <w:rsid w:val="00621232"/>
    <w:rsid w:val="006212E7"/>
    <w:rsid w:val="0062192B"/>
    <w:rsid w:val="00621949"/>
    <w:rsid w:val="00621C40"/>
    <w:rsid w:val="00621CD9"/>
    <w:rsid w:val="0062234E"/>
    <w:rsid w:val="006225F8"/>
    <w:rsid w:val="0062276A"/>
    <w:rsid w:val="0062280D"/>
    <w:rsid w:val="0062305A"/>
    <w:rsid w:val="00623147"/>
    <w:rsid w:val="00623259"/>
    <w:rsid w:val="006237D1"/>
    <w:rsid w:val="006237EA"/>
    <w:rsid w:val="00623FA1"/>
    <w:rsid w:val="00624072"/>
    <w:rsid w:val="00624131"/>
    <w:rsid w:val="00624749"/>
    <w:rsid w:val="00624B70"/>
    <w:rsid w:val="00624C6A"/>
    <w:rsid w:val="006256AC"/>
    <w:rsid w:val="00626007"/>
    <w:rsid w:val="00626110"/>
    <w:rsid w:val="006266C0"/>
    <w:rsid w:val="00626740"/>
    <w:rsid w:val="00626786"/>
    <w:rsid w:val="00626AAC"/>
    <w:rsid w:val="00626ED9"/>
    <w:rsid w:val="006271C3"/>
    <w:rsid w:val="006275D0"/>
    <w:rsid w:val="0062770A"/>
    <w:rsid w:val="006277C5"/>
    <w:rsid w:val="00627D03"/>
    <w:rsid w:val="00630467"/>
    <w:rsid w:val="006306A4"/>
    <w:rsid w:val="006306E9"/>
    <w:rsid w:val="00630775"/>
    <w:rsid w:val="006307B0"/>
    <w:rsid w:val="00630C55"/>
    <w:rsid w:val="00630CA8"/>
    <w:rsid w:val="00630D6B"/>
    <w:rsid w:val="00630F60"/>
    <w:rsid w:val="006311FB"/>
    <w:rsid w:val="0063195E"/>
    <w:rsid w:val="00631968"/>
    <w:rsid w:val="00631C2C"/>
    <w:rsid w:val="00631D16"/>
    <w:rsid w:val="00631EF9"/>
    <w:rsid w:val="00632294"/>
    <w:rsid w:val="006322FE"/>
    <w:rsid w:val="006323ED"/>
    <w:rsid w:val="006327AB"/>
    <w:rsid w:val="006327B4"/>
    <w:rsid w:val="00633311"/>
    <w:rsid w:val="00633B40"/>
    <w:rsid w:val="0063470E"/>
    <w:rsid w:val="00634A66"/>
    <w:rsid w:val="00634F1C"/>
    <w:rsid w:val="00635118"/>
    <w:rsid w:val="00635333"/>
    <w:rsid w:val="00635D21"/>
    <w:rsid w:val="00636062"/>
    <w:rsid w:val="0063651D"/>
    <w:rsid w:val="00636811"/>
    <w:rsid w:val="00636A87"/>
    <w:rsid w:val="0063720D"/>
    <w:rsid w:val="0063749A"/>
    <w:rsid w:val="0064041E"/>
    <w:rsid w:val="00640652"/>
    <w:rsid w:val="006406DA"/>
    <w:rsid w:val="00640777"/>
    <w:rsid w:val="006409A8"/>
    <w:rsid w:val="006410F8"/>
    <w:rsid w:val="00642043"/>
    <w:rsid w:val="0064204E"/>
    <w:rsid w:val="00642149"/>
    <w:rsid w:val="006423FE"/>
    <w:rsid w:val="006427C7"/>
    <w:rsid w:val="006428D8"/>
    <w:rsid w:val="00642B17"/>
    <w:rsid w:val="00643196"/>
    <w:rsid w:val="00643414"/>
    <w:rsid w:val="0064347C"/>
    <w:rsid w:val="0064377D"/>
    <w:rsid w:val="00643996"/>
    <w:rsid w:val="00643CD1"/>
    <w:rsid w:val="00643D9F"/>
    <w:rsid w:val="00643DB9"/>
    <w:rsid w:val="00643F68"/>
    <w:rsid w:val="006442BB"/>
    <w:rsid w:val="0064456C"/>
    <w:rsid w:val="006448EA"/>
    <w:rsid w:val="006455E4"/>
    <w:rsid w:val="00645746"/>
    <w:rsid w:val="00646886"/>
    <w:rsid w:val="00646F1A"/>
    <w:rsid w:val="00646F9F"/>
    <w:rsid w:val="00647315"/>
    <w:rsid w:val="00647583"/>
    <w:rsid w:val="006502F2"/>
    <w:rsid w:val="0065042C"/>
    <w:rsid w:val="006508CA"/>
    <w:rsid w:val="00650BD1"/>
    <w:rsid w:val="00650D40"/>
    <w:rsid w:val="00651104"/>
    <w:rsid w:val="006511A6"/>
    <w:rsid w:val="00651316"/>
    <w:rsid w:val="0065166F"/>
    <w:rsid w:val="00651727"/>
    <w:rsid w:val="00651AA7"/>
    <w:rsid w:val="00651C41"/>
    <w:rsid w:val="00651D16"/>
    <w:rsid w:val="00652107"/>
    <w:rsid w:val="0065229D"/>
    <w:rsid w:val="006527D7"/>
    <w:rsid w:val="006529CC"/>
    <w:rsid w:val="00652D3A"/>
    <w:rsid w:val="00652F7D"/>
    <w:rsid w:val="00652F87"/>
    <w:rsid w:val="006530F6"/>
    <w:rsid w:val="00653394"/>
    <w:rsid w:val="0065340F"/>
    <w:rsid w:val="0065362B"/>
    <w:rsid w:val="00653B44"/>
    <w:rsid w:val="00653D45"/>
    <w:rsid w:val="00653EEB"/>
    <w:rsid w:val="0065413F"/>
    <w:rsid w:val="00654288"/>
    <w:rsid w:val="00654A7A"/>
    <w:rsid w:val="00655C57"/>
    <w:rsid w:val="00655E3F"/>
    <w:rsid w:val="006560AD"/>
    <w:rsid w:val="0065629A"/>
    <w:rsid w:val="0065660F"/>
    <w:rsid w:val="006567E5"/>
    <w:rsid w:val="0065680C"/>
    <w:rsid w:val="00656A56"/>
    <w:rsid w:val="00656A60"/>
    <w:rsid w:val="00656DDE"/>
    <w:rsid w:val="00656FE2"/>
    <w:rsid w:val="00657385"/>
    <w:rsid w:val="006578FB"/>
    <w:rsid w:val="00657917"/>
    <w:rsid w:val="00657B14"/>
    <w:rsid w:val="00657BC6"/>
    <w:rsid w:val="00660231"/>
    <w:rsid w:val="006602B8"/>
    <w:rsid w:val="00660A74"/>
    <w:rsid w:val="00660C47"/>
    <w:rsid w:val="00660CAD"/>
    <w:rsid w:val="00660E1E"/>
    <w:rsid w:val="00661279"/>
    <w:rsid w:val="00661386"/>
    <w:rsid w:val="00661A36"/>
    <w:rsid w:val="00661B6A"/>
    <w:rsid w:val="00661B88"/>
    <w:rsid w:val="00661C18"/>
    <w:rsid w:val="00661C24"/>
    <w:rsid w:val="00661D38"/>
    <w:rsid w:val="006623F4"/>
    <w:rsid w:val="00662DCC"/>
    <w:rsid w:val="00663131"/>
    <w:rsid w:val="0066328F"/>
    <w:rsid w:val="00663320"/>
    <w:rsid w:val="0066365E"/>
    <w:rsid w:val="006641E2"/>
    <w:rsid w:val="0066447C"/>
    <w:rsid w:val="00664B0F"/>
    <w:rsid w:val="00664FCB"/>
    <w:rsid w:val="0066563D"/>
    <w:rsid w:val="00665687"/>
    <w:rsid w:val="006657A7"/>
    <w:rsid w:val="00665ABB"/>
    <w:rsid w:val="00665D5C"/>
    <w:rsid w:val="00665E19"/>
    <w:rsid w:val="00665F5A"/>
    <w:rsid w:val="0066607F"/>
    <w:rsid w:val="0066648C"/>
    <w:rsid w:val="006666E5"/>
    <w:rsid w:val="006672DF"/>
    <w:rsid w:val="006673FF"/>
    <w:rsid w:val="0066779E"/>
    <w:rsid w:val="006677F2"/>
    <w:rsid w:val="006679CB"/>
    <w:rsid w:val="00667BC7"/>
    <w:rsid w:val="00667BD5"/>
    <w:rsid w:val="00667F4C"/>
    <w:rsid w:val="006700E2"/>
    <w:rsid w:val="00670254"/>
    <w:rsid w:val="00670329"/>
    <w:rsid w:val="00670EA0"/>
    <w:rsid w:val="006710BB"/>
    <w:rsid w:val="00671911"/>
    <w:rsid w:val="00671C0A"/>
    <w:rsid w:val="00671F2B"/>
    <w:rsid w:val="00671FC7"/>
    <w:rsid w:val="00672051"/>
    <w:rsid w:val="0067235E"/>
    <w:rsid w:val="0067252B"/>
    <w:rsid w:val="006725B3"/>
    <w:rsid w:val="00672725"/>
    <w:rsid w:val="00673050"/>
    <w:rsid w:val="00673241"/>
    <w:rsid w:val="00673293"/>
    <w:rsid w:val="006736CD"/>
    <w:rsid w:val="00673A48"/>
    <w:rsid w:val="00673B9B"/>
    <w:rsid w:val="00673BDB"/>
    <w:rsid w:val="00673EDD"/>
    <w:rsid w:val="006745C6"/>
    <w:rsid w:val="0067460D"/>
    <w:rsid w:val="00675265"/>
    <w:rsid w:val="006754CB"/>
    <w:rsid w:val="00676539"/>
    <w:rsid w:val="006769A6"/>
    <w:rsid w:val="006769B3"/>
    <w:rsid w:val="00676B11"/>
    <w:rsid w:val="00676B4B"/>
    <w:rsid w:val="00676C86"/>
    <w:rsid w:val="00677323"/>
    <w:rsid w:val="006773C9"/>
    <w:rsid w:val="006773F2"/>
    <w:rsid w:val="00677482"/>
    <w:rsid w:val="00677529"/>
    <w:rsid w:val="00677816"/>
    <w:rsid w:val="006807ED"/>
    <w:rsid w:val="00680953"/>
    <w:rsid w:val="00680A1B"/>
    <w:rsid w:val="00681290"/>
    <w:rsid w:val="00681508"/>
    <w:rsid w:val="00681DDA"/>
    <w:rsid w:val="00681E7B"/>
    <w:rsid w:val="00681F33"/>
    <w:rsid w:val="0068215F"/>
    <w:rsid w:val="00682828"/>
    <w:rsid w:val="00682B05"/>
    <w:rsid w:val="00682FE3"/>
    <w:rsid w:val="00683164"/>
    <w:rsid w:val="00683613"/>
    <w:rsid w:val="006838FE"/>
    <w:rsid w:val="00683AE5"/>
    <w:rsid w:val="00683BF5"/>
    <w:rsid w:val="0068403B"/>
    <w:rsid w:val="0068436F"/>
    <w:rsid w:val="006843A9"/>
    <w:rsid w:val="00684AC9"/>
    <w:rsid w:val="00684B33"/>
    <w:rsid w:val="00684B4F"/>
    <w:rsid w:val="00684DCC"/>
    <w:rsid w:val="00684EFA"/>
    <w:rsid w:val="00685145"/>
    <w:rsid w:val="0068548D"/>
    <w:rsid w:val="00685B73"/>
    <w:rsid w:val="00685D65"/>
    <w:rsid w:val="0068607D"/>
    <w:rsid w:val="0068607F"/>
    <w:rsid w:val="00686339"/>
    <w:rsid w:val="0068649B"/>
    <w:rsid w:val="006866E5"/>
    <w:rsid w:val="00686743"/>
    <w:rsid w:val="00686828"/>
    <w:rsid w:val="00686851"/>
    <w:rsid w:val="00686D1A"/>
    <w:rsid w:val="006876BB"/>
    <w:rsid w:val="00687E7B"/>
    <w:rsid w:val="00690254"/>
    <w:rsid w:val="00690471"/>
    <w:rsid w:val="006906BC"/>
    <w:rsid w:val="00690C06"/>
    <w:rsid w:val="00690C21"/>
    <w:rsid w:val="00691434"/>
    <w:rsid w:val="00691458"/>
    <w:rsid w:val="0069149D"/>
    <w:rsid w:val="00691CC2"/>
    <w:rsid w:val="00692266"/>
    <w:rsid w:val="006929BA"/>
    <w:rsid w:val="00692BAB"/>
    <w:rsid w:val="006933B8"/>
    <w:rsid w:val="006935E1"/>
    <w:rsid w:val="00693805"/>
    <w:rsid w:val="00693972"/>
    <w:rsid w:val="00693B23"/>
    <w:rsid w:val="00694606"/>
    <w:rsid w:val="006947E5"/>
    <w:rsid w:val="00694F19"/>
    <w:rsid w:val="00694F89"/>
    <w:rsid w:val="00694FDC"/>
    <w:rsid w:val="0069554C"/>
    <w:rsid w:val="006955A1"/>
    <w:rsid w:val="0069561C"/>
    <w:rsid w:val="0069563B"/>
    <w:rsid w:val="00695EF6"/>
    <w:rsid w:val="0069607B"/>
    <w:rsid w:val="00696191"/>
    <w:rsid w:val="00696200"/>
    <w:rsid w:val="006963ED"/>
    <w:rsid w:val="00696704"/>
    <w:rsid w:val="00696751"/>
    <w:rsid w:val="0069719F"/>
    <w:rsid w:val="006979C5"/>
    <w:rsid w:val="00697A1C"/>
    <w:rsid w:val="006A0773"/>
    <w:rsid w:val="006A09B6"/>
    <w:rsid w:val="006A0D1E"/>
    <w:rsid w:val="006A0E9E"/>
    <w:rsid w:val="006A0ED5"/>
    <w:rsid w:val="006A0EFD"/>
    <w:rsid w:val="006A1463"/>
    <w:rsid w:val="006A15E7"/>
    <w:rsid w:val="006A1678"/>
    <w:rsid w:val="006A1B25"/>
    <w:rsid w:val="006A229F"/>
    <w:rsid w:val="006A2378"/>
    <w:rsid w:val="006A2393"/>
    <w:rsid w:val="006A2472"/>
    <w:rsid w:val="006A2946"/>
    <w:rsid w:val="006A2B62"/>
    <w:rsid w:val="006A2D0E"/>
    <w:rsid w:val="006A2D40"/>
    <w:rsid w:val="006A2D5F"/>
    <w:rsid w:val="006A2F32"/>
    <w:rsid w:val="006A2F69"/>
    <w:rsid w:val="006A3351"/>
    <w:rsid w:val="006A40F7"/>
    <w:rsid w:val="006A442C"/>
    <w:rsid w:val="006A4759"/>
    <w:rsid w:val="006A4841"/>
    <w:rsid w:val="006A4D73"/>
    <w:rsid w:val="006A4ED5"/>
    <w:rsid w:val="006A5109"/>
    <w:rsid w:val="006A5E19"/>
    <w:rsid w:val="006A6CAC"/>
    <w:rsid w:val="006A6D7F"/>
    <w:rsid w:val="006A707E"/>
    <w:rsid w:val="006A7C40"/>
    <w:rsid w:val="006A7DC9"/>
    <w:rsid w:val="006B0029"/>
    <w:rsid w:val="006B0370"/>
    <w:rsid w:val="006B0414"/>
    <w:rsid w:val="006B06AF"/>
    <w:rsid w:val="006B097C"/>
    <w:rsid w:val="006B0AF5"/>
    <w:rsid w:val="006B0BF8"/>
    <w:rsid w:val="006B0E7C"/>
    <w:rsid w:val="006B0F84"/>
    <w:rsid w:val="006B0FFF"/>
    <w:rsid w:val="006B103C"/>
    <w:rsid w:val="006B123B"/>
    <w:rsid w:val="006B1525"/>
    <w:rsid w:val="006B1CD0"/>
    <w:rsid w:val="006B22B7"/>
    <w:rsid w:val="006B296D"/>
    <w:rsid w:val="006B3444"/>
    <w:rsid w:val="006B3868"/>
    <w:rsid w:val="006B3B36"/>
    <w:rsid w:val="006B3CF1"/>
    <w:rsid w:val="006B3D1A"/>
    <w:rsid w:val="006B449E"/>
    <w:rsid w:val="006B481E"/>
    <w:rsid w:val="006B48E6"/>
    <w:rsid w:val="006B4DDF"/>
    <w:rsid w:val="006B5010"/>
    <w:rsid w:val="006B5131"/>
    <w:rsid w:val="006B5184"/>
    <w:rsid w:val="006B5395"/>
    <w:rsid w:val="006B565A"/>
    <w:rsid w:val="006B5E61"/>
    <w:rsid w:val="006B5F2A"/>
    <w:rsid w:val="006B6696"/>
    <w:rsid w:val="006B699C"/>
    <w:rsid w:val="006B6FC8"/>
    <w:rsid w:val="006B7490"/>
    <w:rsid w:val="006B755A"/>
    <w:rsid w:val="006B7612"/>
    <w:rsid w:val="006B790B"/>
    <w:rsid w:val="006B7C94"/>
    <w:rsid w:val="006B7CAD"/>
    <w:rsid w:val="006B7D90"/>
    <w:rsid w:val="006B7EE2"/>
    <w:rsid w:val="006B7FAD"/>
    <w:rsid w:val="006C037A"/>
    <w:rsid w:val="006C03F4"/>
    <w:rsid w:val="006C071F"/>
    <w:rsid w:val="006C0765"/>
    <w:rsid w:val="006C0A62"/>
    <w:rsid w:val="006C0CBA"/>
    <w:rsid w:val="006C1526"/>
    <w:rsid w:val="006C15B9"/>
    <w:rsid w:val="006C16F6"/>
    <w:rsid w:val="006C241A"/>
    <w:rsid w:val="006C2A54"/>
    <w:rsid w:val="006C2B42"/>
    <w:rsid w:val="006C2C06"/>
    <w:rsid w:val="006C2C83"/>
    <w:rsid w:val="006C2CAD"/>
    <w:rsid w:val="006C3178"/>
    <w:rsid w:val="006C39AE"/>
    <w:rsid w:val="006C3AEC"/>
    <w:rsid w:val="006C3BA7"/>
    <w:rsid w:val="006C4042"/>
    <w:rsid w:val="006C4287"/>
    <w:rsid w:val="006C5490"/>
    <w:rsid w:val="006C5646"/>
    <w:rsid w:val="006C5960"/>
    <w:rsid w:val="006C5EBC"/>
    <w:rsid w:val="006C639B"/>
    <w:rsid w:val="006C6E53"/>
    <w:rsid w:val="006C71F6"/>
    <w:rsid w:val="006C7499"/>
    <w:rsid w:val="006C74BD"/>
    <w:rsid w:val="006C7C29"/>
    <w:rsid w:val="006C7D52"/>
    <w:rsid w:val="006C7DA1"/>
    <w:rsid w:val="006D0102"/>
    <w:rsid w:val="006D04D7"/>
    <w:rsid w:val="006D0CC9"/>
    <w:rsid w:val="006D1B0D"/>
    <w:rsid w:val="006D1B6C"/>
    <w:rsid w:val="006D1F80"/>
    <w:rsid w:val="006D2BD9"/>
    <w:rsid w:val="006D2C55"/>
    <w:rsid w:val="006D2E6A"/>
    <w:rsid w:val="006D3063"/>
    <w:rsid w:val="006D31DC"/>
    <w:rsid w:val="006D37CC"/>
    <w:rsid w:val="006D3A13"/>
    <w:rsid w:val="006D3F19"/>
    <w:rsid w:val="006D43D9"/>
    <w:rsid w:val="006D482D"/>
    <w:rsid w:val="006D492E"/>
    <w:rsid w:val="006D4F01"/>
    <w:rsid w:val="006D510C"/>
    <w:rsid w:val="006D528C"/>
    <w:rsid w:val="006D589F"/>
    <w:rsid w:val="006D5DB0"/>
    <w:rsid w:val="006D615B"/>
    <w:rsid w:val="006D6453"/>
    <w:rsid w:val="006D6502"/>
    <w:rsid w:val="006D6ADF"/>
    <w:rsid w:val="006D6C4B"/>
    <w:rsid w:val="006D71AF"/>
    <w:rsid w:val="006D7507"/>
    <w:rsid w:val="006D7668"/>
    <w:rsid w:val="006E0041"/>
    <w:rsid w:val="006E0268"/>
    <w:rsid w:val="006E02CC"/>
    <w:rsid w:val="006E037D"/>
    <w:rsid w:val="006E09E3"/>
    <w:rsid w:val="006E0C2E"/>
    <w:rsid w:val="006E10B3"/>
    <w:rsid w:val="006E10C3"/>
    <w:rsid w:val="006E123C"/>
    <w:rsid w:val="006E166C"/>
    <w:rsid w:val="006E1EEB"/>
    <w:rsid w:val="006E1F62"/>
    <w:rsid w:val="006E2215"/>
    <w:rsid w:val="006E2256"/>
    <w:rsid w:val="006E246E"/>
    <w:rsid w:val="006E250B"/>
    <w:rsid w:val="006E286B"/>
    <w:rsid w:val="006E2B98"/>
    <w:rsid w:val="006E31A8"/>
    <w:rsid w:val="006E3461"/>
    <w:rsid w:val="006E34FC"/>
    <w:rsid w:val="006E3612"/>
    <w:rsid w:val="006E3A65"/>
    <w:rsid w:val="006E3DAE"/>
    <w:rsid w:val="006E41CB"/>
    <w:rsid w:val="006E4273"/>
    <w:rsid w:val="006E42BA"/>
    <w:rsid w:val="006E4BD0"/>
    <w:rsid w:val="006E51E0"/>
    <w:rsid w:val="006E54AF"/>
    <w:rsid w:val="006E5980"/>
    <w:rsid w:val="006E5FAB"/>
    <w:rsid w:val="006E61C2"/>
    <w:rsid w:val="006E6590"/>
    <w:rsid w:val="006E6DED"/>
    <w:rsid w:val="006E6F56"/>
    <w:rsid w:val="006E7180"/>
    <w:rsid w:val="006E7320"/>
    <w:rsid w:val="006E78A7"/>
    <w:rsid w:val="006E7B78"/>
    <w:rsid w:val="006F03DD"/>
    <w:rsid w:val="006F0A00"/>
    <w:rsid w:val="006F108E"/>
    <w:rsid w:val="006F11C5"/>
    <w:rsid w:val="006F11DB"/>
    <w:rsid w:val="006F18B1"/>
    <w:rsid w:val="006F1A5E"/>
    <w:rsid w:val="006F1BD9"/>
    <w:rsid w:val="006F2082"/>
    <w:rsid w:val="006F2180"/>
    <w:rsid w:val="006F2788"/>
    <w:rsid w:val="006F2FC1"/>
    <w:rsid w:val="006F33C4"/>
    <w:rsid w:val="006F4942"/>
    <w:rsid w:val="006F4E47"/>
    <w:rsid w:val="006F50B9"/>
    <w:rsid w:val="006F5151"/>
    <w:rsid w:val="006F51F8"/>
    <w:rsid w:val="006F5262"/>
    <w:rsid w:val="006F539C"/>
    <w:rsid w:val="006F6971"/>
    <w:rsid w:val="006F71A8"/>
    <w:rsid w:val="006F7399"/>
    <w:rsid w:val="006F74FC"/>
    <w:rsid w:val="006F75F6"/>
    <w:rsid w:val="006F7633"/>
    <w:rsid w:val="006F7658"/>
    <w:rsid w:val="006F7E2D"/>
    <w:rsid w:val="00700260"/>
    <w:rsid w:val="0070047B"/>
    <w:rsid w:val="0070070E"/>
    <w:rsid w:val="00700B58"/>
    <w:rsid w:val="00700BC9"/>
    <w:rsid w:val="00700F9A"/>
    <w:rsid w:val="007011B7"/>
    <w:rsid w:val="00701417"/>
    <w:rsid w:val="0070150E"/>
    <w:rsid w:val="007017B5"/>
    <w:rsid w:val="007018B0"/>
    <w:rsid w:val="007021E1"/>
    <w:rsid w:val="007025B0"/>
    <w:rsid w:val="00702A29"/>
    <w:rsid w:val="00703BE3"/>
    <w:rsid w:val="00703D05"/>
    <w:rsid w:val="00703DE0"/>
    <w:rsid w:val="00704290"/>
    <w:rsid w:val="00704AB3"/>
    <w:rsid w:val="007051DC"/>
    <w:rsid w:val="007053C8"/>
    <w:rsid w:val="007054D4"/>
    <w:rsid w:val="00705560"/>
    <w:rsid w:val="007057A3"/>
    <w:rsid w:val="00705A24"/>
    <w:rsid w:val="00706086"/>
    <w:rsid w:val="007065EF"/>
    <w:rsid w:val="0070660B"/>
    <w:rsid w:val="0070747C"/>
    <w:rsid w:val="007074E4"/>
    <w:rsid w:val="0070758D"/>
    <w:rsid w:val="00707E69"/>
    <w:rsid w:val="007101B7"/>
    <w:rsid w:val="00710217"/>
    <w:rsid w:val="007102B8"/>
    <w:rsid w:val="00710423"/>
    <w:rsid w:val="00710D89"/>
    <w:rsid w:val="00710F87"/>
    <w:rsid w:val="00711551"/>
    <w:rsid w:val="007116AD"/>
    <w:rsid w:val="00711DBD"/>
    <w:rsid w:val="007126F0"/>
    <w:rsid w:val="00712AB0"/>
    <w:rsid w:val="0071301A"/>
    <w:rsid w:val="00713451"/>
    <w:rsid w:val="007134FE"/>
    <w:rsid w:val="0071365C"/>
    <w:rsid w:val="00713CEB"/>
    <w:rsid w:val="00713D92"/>
    <w:rsid w:val="007140B4"/>
    <w:rsid w:val="00714455"/>
    <w:rsid w:val="007146EC"/>
    <w:rsid w:val="0071470F"/>
    <w:rsid w:val="00714EA4"/>
    <w:rsid w:val="00715795"/>
    <w:rsid w:val="007157EE"/>
    <w:rsid w:val="0071606A"/>
    <w:rsid w:val="00716111"/>
    <w:rsid w:val="00716317"/>
    <w:rsid w:val="007163FE"/>
    <w:rsid w:val="007165BA"/>
    <w:rsid w:val="00716CF7"/>
    <w:rsid w:val="00717905"/>
    <w:rsid w:val="00717C6F"/>
    <w:rsid w:val="00717D0B"/>
    <w:rsid w:val="00717E45"/>
    <w:rsid w:val="00720411"/>
    <w:rsid w:val="007207D2"/>
    <w:rsid w:val="00720939"/>
    <w:rsid w:val="00720AB4"/>
    <w:rsid w:val="00720E2E"/>
    <w:rsid w:val="00720E6A"/>
    <w:rsid w:val="007213F9"/>
    <w:rsid w:val="00721A13"/>
    <w:rsid w:val="00721EC5"/>
    <w:rsid w:val="00722615"/>
    <w:rsid w:val="00722685"/>
    <w:rsid w:val="007226DB"/>
    <w:rsid w:val="0072278C"/>
    <w:rsid w:val="00722C9A"/>
    <w:rsid w:val="00722FF5"/>
    <w:rsid w:val="00723017"/>
    <w:rsid w:val="007230A9"/>
    <w:rsid w:val="007236AF"/>
    <w:rsid w:val="00723B8F"/>
    <w:rsid w:val="00723CF6"/>
    <w:rsid w:val="00724269"/>
    <w:rsid w:val="0072484D"/>
    <w:rsid w:val="00724D2F"/>
    <w:rsid w:val="00724DE7"/>
    <w:rsid w:val="007258DA"/>
    <w:rsid w:val="0072617C"/>
    <w:rsid w:val="007261F4"/>
    <w:rsid w:val="007268C9"/>
    <w:rsid w:val="00726C08"/>
    <w:rsid w:val="0072734A"/>
    <w:rsid w:val="007274A0"/>
    <w:rsid w:val="007274F9"/>
    <w:rsid w:val="00727571"/>
    <w:rsid w:val="0072765E"/>
    <w:rsid w:val="007276B7"/>
    <w:rsid w:val="0072788E"/>
    <w:rsid w:val="007278E2"/>
    <w:rsid w:val="00727935"/>
    <w:rsid w:val="00727DB3"/>
    <w:rsid w:val="007300C4"/>
    <w:rsid w:val="00730174"/>
    <w:rsid w:val="007305EA"/>
    <w:rsid w:val="007306F6"/>
    <w:rsid w:val="00730759"/>
    <w:rsid w:val="0073078C"/>
    <w:rsid w:val="00730DD7"/>
    <w:rsid w:val="007313F3"/>
    <w:rsid w:val="007320B9"/>
    <w:rsid w:val="0073242A"/>
    <w:rsid w:val="00732891"/>
    <w:rsid w:val="00732A37"/>
    <w:rsid w:val="00732BC7"/>
    <w:rsid w:val="00732E79"/>
    <w:rsid w:val="00732FF2"/>
    <w:rsid w:val="007333B7"/>
    <w:rsid w:val="007338A9"/>
    <w:rsid w:val="007339E4"/>
    <w:rsid w:val="00733C1E"/>
    <w:rsid w:val="00733CB1"/>
    <w:rsid w:val="007347C4"/>
    <w:rsid w:val="007348CA"/>
    <w:rsid w:val="00734DD0"/>
    <w:rsid w:val="00734FC0"/>
    <w:rsid w:val="00735195"/>
    <w:rsid w:val="007356E9"/>
    <w:rsid w:val="007358E2"/>
    <w:rsid w:val="00735C7A"/>
    <w:rsid w:val="00736058"/>
    <w:rsid w:val="0073682A"/>
    <w:rsid w:val="0073717C"/>
    <w:rsid w:val="007371C2"/>
    <w:rsid w:val="0073759E"/>
    <w:rsid w:val="0073762A"/>
    <w:rsid w:val="007376C8"/>
    <w:rsid w:val="00737ADE"/>
    <w:rsid w:val="00737AE5"/>
    <w:rsid w:val="00737B46"/>
    <w:rsid w:val="00737B6E"/>
    <w:rsid w:val="00737BF4"/>
    <w:rsid w:val="00740229"/>
    <w:rsid w:val="00740883"/>
    <w:rsid w:val="007408BB"/>
    <w:rsid w:val="00740C28"/>
    <w:rsid w:val="00740E8B"/>
    <w:rsid w:val="00741129"/>
    <w:rsid w:val="007417C0"/>
    <w:rsid w:val="007417C5"/>
    <w:rsid w:val="00741B8E"/>
    <w:rsid w:val="00741C43"/>
    <w:rsid w:val="00741D69"/>
    <w:rsid w:val="0074217C"/>
    <w:rsid w:val="00742189"/>
    <w:rsid w:val="007422D7"/>
    <w:rsid w:val="007426C2"/>
    <w:rsid w:val="0074303E"/>
    <w:rsid w:val="0074371B"/>
    <w:rsid w:val="00743A57"/>
    <w:rsid w:val="00743F58"/>
    <w:rsid w:val="00744578"/>
    <w:rsid w:val="007446DD"/>
    <w:rsid w:val="00744B75"/>
    <w:rsid w:val="00744B91"/>
    <w:rsid w:val="007454CE"/>
    <w:rsid w:val="00745585"/>
    <w:rsid w:val="00745B50"/>
    <w:rsid w:val="007462C7"/>
    <w:rsid w:val="0074694B"/>
    <w:rsid w:val="00746ABC"/>
    <w:rsid w:val="00746B6F"/>
    <w:rsid w:val="00746F50"/>
    <w:rsid w:val="00747464"/>
    <w:rsid w:val="007477FC"/>
    <w:rsid w:val="00747DFE"/>
    <w:rsid w:val="00750119"/>
    <w:rsid w:val="00750645"/>
    <w:rsid w:val="00750FE8"/>
    <w:rsid w:val="00751369"/>
    <w:rsid w:val="007513BC"/>
    <w:rsid w:val="00751AA7"/>
    <w:rsid w:val="0075233E"/>
    <w:rsid w:val="0075246A"/>
    <w:rsid w:val="00752773"/>
    <w:rsid w:val="00752F21"/>
    <w:rsid w:val="0075315F"/>
    <w:rsid w:val="00753161"/>
    <w:rsid w:val="00753AEB"/>
    <w:rsid w:val="00753BC2"/>
    <w:rsid w:val="00753D7C"/>
    <w:rsid w:val="00753F4C"/>
    <w:rsid w:val="00754A56"/>
    <w:rsid w:val="00754F5D"/>
    <w:rsid w:val="007554B6"/>
    <w:rsid w:val="00755C4C"/>
    <w:rsid w:val="00755D6A"/>
    <w:rsid w:val="00755EA7"/>
    <w:rsid w:val="00756014"/>
    <w:rsid w:val="007561BA"/>
    <w:rsid w:val="0075627C"/>
    <w:rsid w:val="00756484"/>
    <w:rsid w:val="007566A4"/>
    <w:rsid w:val="00756A3F"/>
    <w:rsid w:val="00756AD1"/>
    <w:rsid w:val="00756B91"/>
    <w:rsid w:val="00756ED4"/>
    <w:rsid w:val="007570FE"/>
    <w:rsid w:val="0075732A"/>
    <w:rsid w:val="00757848"/>
    <w:rsid w:val="007578D4"/>
    <w:rsid w:val="007579A7"/>
    <w:rsid w:val="00757D68"/>
    <w:rsid w:val="00757F6E"/>
    <w:rsid w:val="00760034"/>
    <w:rsid w:val="007604C5"/>
    <w:rsid w:val="007605C1"/>
    <w:rsid w:val="00760ADD"/>
    <w:rsid w:val="00760E1A"/>
    <w:rsid w:val="0076105D"/>
    <w:rsid w:val="00761147"/>
    <w:rsid w:val="0076127B"/>
    <w:rsid w:val="007613F1"/>
    <w:rsid w:val="0076171D"/>
    <w:rsid w:val="0076173A"/>
    <w:rsid w:val="007619C6"/>
    <w:rsid w:val="00761ED1"/>
    <w:rsid w:val="00761F95"/>
    <w:rsid w:val="0076225D"/>
    <w:rsid w:val="007622ED"/>
    <w:rsid w:val="00762428"/>
    <w:rsid w:val="00763227"/>
    <w:rsid w:val="007633EC"/>
    <w:rsid w:val="00763E4F"/>
    <w:rsid w:val="00763FE2"/>
    <w:rsid w:val="00765182"/>
    <w:rsid w:val="00765691"/>
    <w:rsid w:val="0076578F"/>
    <w:rsid w:val="00765E32"/>
    <w:rsid w:val="00766119"/>
    <w:rsid w:val="00766415"/>
    <w:rsid w:val="00767195"/>
    <w:rsid w:val="007672E0"/>
    <w:rsid w:val="0076744E"/>
    <w:rsid w:val="00767764"/>
    <w:rsid w:val="00767910"/>
    <w:rsid w:val="00767F0B"/>
    <w:rsid w:val="0077013F"/>
    <w:rsid w:val="0077060E"/>
    <w:rsid w:val="00770832"/>
    <w:rsid w:val="007708D1"/>
    <w:rsid w:val="00770A4F"/>
    <w:rsid w:val="00770CE2"/>
    <w:rsid w:val="00770F5A"/>
    <w:rsid w:val="007713AB"/>
    <w:rsid w:val="00771641"/>
    <w:rsid w:val="00771D98"/>
    <w:rsid w:val="00772213"/>
    <w:rsid w:val="00772ADE"/>
    <w:rsid w:val="00772F18"/>
    <w:rsid w:val="007734B1"/>
    <w:rsid w:val="0077381E"/>
    <w:rsid w:val="0077382A"/>
    <w:rsid w:val="00773D1F"/>
    <w:rsid w:val="0077400C"/>
    <w:rsid w:val="00774262"/>
    <w:rsid w:val="0077433F"/>
    <w:rsid w:val="007748C2"/>
    <w:rsid w:val="00774A02"/>
    <w:rsid w:val="0077570C"/>
    <w:rsid w:val="007757C2"/>
    <w:rsid w:val="00775BF0"/>
    <w:rsid w:val="00775F0D"/>
    <w:rsid w:val="00776251"/>
    <w:rsid w:val="0077670E"/>
    <w:rsid w:val="007767C6"/>
    <w:rsid w:val="00777185"/>
    <w:rsid w:val="00777A39"/>
    <w:rsid w:val="00777DB9"/>
    <w:rsid w:val="00777E0A"/>
    <w:rsid w:val="00777E3C"/>
    <w:rsid w:val="00780737"/>
    <w:rsid w:val="0078099C"/>
    <w:rsid w:val="007809CA"/>
    <w:rsid w:val="00780A97"/>
    <w:rsid w:val="00780E4C"/>
    <w:rsid w:val="0078145D"/>
    <w:rsid w:val="007815EF"/>
    <w:rsid w:val="0078164B"/>
    <w:rsid w:val="007817B6"/>
    <w:rsid w:val="007819D5"/>
    <w:rsid w:val="00781CB6"/>
    <w:rsid w:val="00781EFD"/>
    <w:rsid w:val="00781F00"/>
    <w:rsid w:val="00781F81"/>
    <w:rsid w:val="0078222E"/>
    <w:rsid w:val="00782287"/>
    <w:rsid w:val="007828AA"/>
    <w:rsid w:val="00782F20"/>
    <w:rsid w:val="00783537"/>
    <w:rsid w:val="0078369A"/>
    <w:rsid w:val="00783C95"/>
    <w:rsid w:val="00783D3C"/>
    <w:rsid w:val="00783F0E"/>
    <w:rsid w:val="007844DC"/>
    <w:rsid w:val="00784EAB"/>
    <w:rsid w:val="0078548A"/>
    <w:rsid w:val="007854C8"/>
    <w:rsid w:val="00785777"/>
    <w:rsid w:val="00785C91"/>
    <w:rsid w:val="007861D4"/>
    <w:rsid w:val="0078623B"/>
    <w:rsid w:val="0078687D"/>
    <w:rsid w:val="00786895"/>
    <w:rsid w:val="00786972"/>
    <w:rsid w:val="00786D4B"/>
    <w:rsid w:val="007873D8"/>
    <w:rsid w:val="007875F9"/>
    <w:rsid w:val="00787626"/>
    <w:rsid w:val="00787EA4"/>
    <w:rsid w:val="00787FB4"/>
    <w:rsid w:val="007900E8"/>
    <w:rsid w:val="00790112"/>
    <w:rsid w:val="007902D8"/>
    <w:rsid w:val="00790CE5"/>
    <w:rsid w:val="00790D3F"/>
    <w:rsid w:val="00790E30"/>
    <w:rsid w:val="00791C51"/>
    <w:rsid w:val="00791CCC"/>
    <w:rsid w:val="007921C5"/>
    <w:rsid w:val="00792442"/>
    <w:rsid w:val="00792493"/>
    <w:rsid w:val="007926F7"/>
    <w:rsid w:val="0079278E"/>
    <w:rsid w:val="00792AF2"/>
    <w:rsid w:val="00792B68"/>
    <w:rsid w:val="0079330A"/>
    <w:rsid w:val="00793BAB"/>
    <w:rsid w:val="00793CAD"/>
    <w:rsid w:val="00793D85"/>
    <w:rsid w:val="0079426B"/>
    <w:rsid w:val="0079434E"/>
    <w:rsid w:val="007945DB"/>
    <w:rsid w:val="00794C1A"/>
    <w:rsid w:val="00794DF6"/>
    <w:rsid w:val="00794F98"/>
    <w:rsid w:val="00795376"/>
    <w:rsid w:val="00795403"/>
    <w:rsid w:val="00795FDD"/>
    <w:rsid w:val="007961E2"/>
    <w:rsid w:val="007965E6"/>
    <w:rsid w:val="00796A16"/>
    <w:rsid w:val="007970CA"/>
    <w:rsid w:val="0079735B"/>
    <w:rsid w:val="007979C8"/>
    <w:rsid w:val="007A05BD"/>
    <w:rsid w:val="007A0DCE"/>
    <w:rsid w:val="007A1D10"/>
    <w:rsid w:val="007A1DB6"/>
    <w:rsid w:val="007A1DF1"/>
    <w:rsid w:val="007A1E3C"/>
    <w:rsid w:val="007A20FB"/>
    <w:rsid w:val="007A21D5"/>
    <w:rsid w:val="007A252D"/>
    <w:rsid w:val="007A26C2"/>
    <w:rsid w:val="007A27CE"/>
    <w:rsid w:val="007A2DEE"/>
    <w:rsid w:val="007A2E33"/>
    <w:rsid w:val="007A2FC4"/>
    <w:rsid w:val="007A362A"/>
    <w:rsid w:val="007A385B"/>
    <w:rsid w:val="007A3EB5"/>
    <w:rsid w:val="007A4485"/>
    <w:rsid w:val="007A46B4"/>
    <w:rsid w:val="007A495D"/>
    <w:rsid w:val="007A49B2"/>
    <w:rsid w:val="007A4B4D"/>
    <w:rsid w:val="007A57E5"/>
    <w:rsid w:val="007A6027"/>
    <w:rsid w:val="007A618A"/>
    <w:rsid w:val="007A624C"/>
    <w:rsid w:val="007A628C"/>
    <w:rsid w:val="007A674A"/>
    <w:rsid w:val="007A6795"/>
    <w:rsid w:val="007A68AD"/>
    <w:rsid w:val="007A6BB3"/>
    <w:rsid w:val="007A6CB7"/>
    <w:rsid w:val="007A762C"/>
    <w:rsid w:val="007A7C08"/>
    <w:rsid w:val="007A7DD3"/>
    <w:rsid w:val="007B059A"/>
    <w:rsid w:val="007B06FA"/>
    <w:rsid w:val="007B0930"/>
    <w:rsid w:val="007B0F00"/>
    <w:rsid w:val="007B0F2B"/>
    <w:rsid w:val="007B1111"/>
    <w:rsid w:val="007B12A2"/>
    <w:rsid w:val="007B16F3"/>
    <w:rsid w:val="007B1B17"/>
    <w:rsid w:val="007B1E66"/>
    <w:rsid w:val="007B24D4"/>
    <w:rsid w:val="007B2905"/>
    <w:rsid w:val="007B30CD"/>
    <w:rsid w:val="007B386A"/>
    <w:rsid w:val="007B3BB6"/>
    <w:rsid w:val="007B4024"/>
    <w:rsid w:val="007B40B8"/>
    <w:rsid w:val="007B412B"/>
    <w:rsid w:val="007B4A5D"/>
    <w:rsid w:val="007B4ADC"/>
    <w:rsid w:val="007B4D6B"/>
    <w:rsid w:val="007B5AC4"/>
    <w:rsid w:val="007B5CDC"/>
    <w:rsid w:val="007B5DE1"/>
    <w:rsid w:val="007B60C3"/>
    <w:rsid w:val="007B76FB"/>
    <w:rsid w:val="007B797F"/>
    <w:rsid w:val="007B79E9"/>
    <w:rsid w:val="007B7A86"/>
    <w:rsid w:val="007B7D51"/>
    <w:rsid w:val="007C031D"/>
    <w:rsid w:val="007C0377"/>
    <w:rsid w:val="007C03CC"/>
    <w:rsid w:val="007C0987"/>
    <w:rsid w:val="007C0CFB"/>
    <w:rsid w:val="007C0F8C"/>
    <w:rsid w:val="007C1039"/>
    <w:rsid w:val="007C1460"/>
    <w:rsid w:val="007C1699"/>
    <w:rsid w:val="007C1FD4"/>
    <w:rsid w:val="007C260A"/>
    <w:rsid w:val="007C2647"/>
    <w:rsid w:val="007C26B0"/>
    <w:rsid w:val="007C28BC"/>
    <w:rsid w:val="007C299B"/>
    <w:rsid w:val="007C2BA0"/>
    <w:rsid w:val="007C3090"/>
    <w:rsid w:val="007C3481"/>
    <w:rsid w:val="007C3542"/>
    <w:rsid w:val="007C357F"/>
    <w:rsid w:val="007C35EE"/>
    <w:rsid w:val="007C3A18"/>
    <w:rsid w:val="007C4348"/>
    <w:rsid w:val="007C4470"/>
    <w:rsid w:val="007C44B0"/>
    <w:rsid w:val="007C4DF9"/>
    <w:rsid w:val="007C5100"/>
    <w:rsid w:val="007C51BC"/>
    <w:rsid w:val="007C554B"/>
    <w:rsid w:val="007C646E"/>
    <w:rsid w:val="007C679E"/>
    <w:rsid w:val="007C7178"/>
    <w:rsid w:val="007C7A43"/>
    <w:rsid w:val="007D080F"/>
    <w:rsid w:val="007D08CC"/>
    <w:rsid w:val="007D09EB"/>
    <w:rsid w:val="007D0B1A"/>
    <w:rsid w:val="007D125D"/>
    <w:rsid w:val="007D18D8"/>
    <w:rsid w:val="007D1B6C"/>
    <w:rsid w:val="007D2D1A"/>
    <w:rsid w:val="007D3B37"/>
    <w:rsid w:val="007D4084"/>
    <w:rsid w:val="007D40B3"/>
    <w:rsid w:val="007D439C"/>
    <w:rsid w:val="007D448B"/>
    <w:rsid w:val="007D55C7"/>
    <w:rsid w:val="007D591C"/>
    <w:rsid w:val="007D5B41"/>
    <w:rsid w:val="007D5D8F"/>
    <w:rsid w:val="007D5DC4"/>
    <w:rsid w:val="007D68DC"/>
    <w:rsid w:val="007D6B75"/>
    <w:rsid w:val="007D6E78"/>
    <w:rsid w:val="007D710E"/>
    <w:rsid w:val="007D716B"/>
    <w:rsid w:val="007E014F"/>
    <w:rsid w:val="007E03D5"/>
    <w:rsid w:val="007E1967"/>
    <w:rsid w:val="007E1A9E"/>
    <w:rsid w:val="007E1C50"/>
    <w:rsid w:val="007E1D46"/>
    <w:rsid w:val="007E1E0C"/>
    <w:rsid w:val="007E20B1"/>
    <w:rsid w:val="007E23D5"/>
    <w:rsid w:val="007E28A6"/>
    <w:rsid w:val="007E2AB0"/>
    <w:rsid w:val="007E345A"/>
    <w:rsid w:val="007E4181"/>
    <w:rsid w:val="007E5085"/>
    <w:rsid w:val="007E50BE"/>
    <w:rsid w:val="007E5DE7"/>
    <w:rsid w:val="007E5EA8"/>
    <w:rsid w:val="007E6438"/>
    <w:rsid w:val="007E68C9"/>
    <w:rsid w:val="007E6FF6"/>
    <w:rsid w:val="007E7537"/>
    <w:rsid w:val="007E75C7"/>
    <w:rsid w:val="007E770C"/>
    <w:rsid w:val="007E7AD4"/>
    <w:rsid w:val="007E7B2D"/>
    <w:rsid w:val="007E7D4D"/>
    <w:rsid w:val="007F0117"/>
    <w:rsid w:val="007F03D0"/>
    <w:rsid w:val="007F094F"/>
    <w:rsid w:val="007F0AA8"/>
    <w:rsid w:val="007F11D3"/>
    <w:rsid w:val="007F125E"/>
    <w:rsid w:val="007F139A"/>
    <w:rsid w:val="007F1AEF"/>
    <w:rsid w:val="007F1BE8"/>
    <w:rsid w:val="007F2015"/>
    <w:rsid w:val="007F2689"/>
    <w:rsid w:val="007F2AB2"/>
    <w:rsid w:val="007F2D20"/>
    <w:rsid w:val="007F34FA"/>
    <w:rsid w:val="007F37D5"/>
    <w:rsid w:val="007F39EE"/>
    <w:rsid w:val="007F3C65"/>
    <w:rsid w:val="007F3D42"/>
    <w:rsid w:val="007F46E6"/>
    <w:rsid w:val="007F4746"/>
    <w:rsid w:val="007F48E8"/>
    <w:rsid w:val="007F496E"/>
    <w:rsid w:val="007F4C02"/>
    <w:rsid w:val="007F4C61"/>
    <w:rsid w:val="007F4CF8"/>
    <w:rsid w:val="007F4FB7"/>
    <w:rsid w:val="007F59E8"/>
    <w:rsid w:val="007F5AF3"/>
    <w:rsid w:val="007F5B34"/>
    <w:rsid w:val="007F5BF1"/>
    <w:rsid w:val="007F66A8"/>
    <w:rsid w:val="007F68EA"/>
    <w:rsid w:val="007F6909"/>
    <w:rsid w:val="007F6C72"/>
    <w:rsid w:val="007F7989"/>
    <w:rsid w:val="007F7C82"/>
    <w:rsid w:val="007F7D30"/>
    <w:rsid w:val="007F7ECC"/>
    <w:rsid w:val="007F7EE0"/>
    <w:rsid w:val="008005E6"/>
    <w:rsid w:val="00800F1E"/>
    <w:rsid w:val="0080139D"/>
    <w:rsid w:val="008016B1"/>
    <w:rsid w:val="008017CA"/>
    <w:rsid w:val="00801D38"/>
    <w:rsid w:val="00801DA1"/>
    <w:rsid w:val="00802265"/>
    <w:rsid w:val="0080243F"/>
    <w:rsid w:val="008025C3"/>
    <w:rsid w:val="008028B1"/>
    <w:rsid w:val="00802A30"/>
    <w:rsid w:val="00802AD4"/>
    <w:rsid w:val="00802C1E"/>
    <w:rsid w:val="0080333D"/>
    <w:rsid w:val="0080341B"/>
    <w:rsid w:val="008036B3"/>
    <w:rsid w:val="008038DB"/>
    <w:rsid w:val="00803A25"/>
    <w:rsid w:val="00803A6D"/>
    <w:rsid w:val="00804030"/>
    <w:rsid w:val="0080491B"/>
    <w:rsid w:val="0080558B"/>
    <w:rsid w:val="008056CC"/>
    <w:rsid w:val="0080576D"/>
    <w:rsid w:val="0080579A"/>
    <w:rsid w:val="008059BD"/>
    <w:rsid w:val="00805B03"/>
    <w:rsid w:val="00805CDE"/>
    <w:rsid w:val="00805FCF"/>
    <w:rsid w:val="008069DE"/>
    <w:rsid w:val="00806CC2"/>
    <w:rsid w:val="00806D5F"/>
    <w:rsid w:val="00807052"/>
    <w:rsid w:val="008070F2"/>
    <w:rsid w:val="008071B0"/>
    <w:rsid w:val="008072F4"/>
    <w:rsid w:val="0080739E"/>
    <w:rsid w:val="00807428"/>
    <w:rsid w:val="00807A55"/>
    <w:rsid w:val="00807BB4"/>
    <w:rsid w:val="00807C5D"/>
    <w:rsid w:val="00807D70"/>
    <w:rsid w:val="00807D94"/>
    <w:rsid w:val="00810271"/>
    <w:rsid w:val="008106D7"/>
    <w:rsid w:val="00810B29"/>
    <w:rsid w:val="00810B44"/>
    <w:rsid w:val="00810C28"/>
    <w:rsid w:val="00810C76"/>
    <w:rsid w:val="00811B98"/>
    <w:rsid w:val="00811CB0"/>
    <w:rsid w:val="00811CD1"/>
    <w:rsid w:val="00811FE1"/>
    <w:rsid w:val="00812500"/>
    <w:rsid w:val="00812C75"/>
    <w:rsid w:val="00812D03"/>
    <w:rsid w:val="00812FE2"/>
    <w:rsid w:val="00813099"/>
    <w:rsid w:val="008133C8"/>
    <w:rsid w:val="00813639"/>
    <w:rsid w:val="008139D0"/>
    <w:rsid w:val="00813AB3"/>
    <w:rsid w:val="00813AFB"/>
    <w:rsid w:val="00813C17"/>
    <w:rsid w:val="00813C5F"/>
    <w:rsid w:val="00813CC9"/>
    <w:rsid w:val="00813E53"/>
    <w:rsid w:val="008145B5"/>
    <w:rsid w:val="00814A6B"/>
    <w:rsid w:val="00814B12"/>
    <w:rsid w:val="00815ABD"/>
    <w:rsid w:val="00815B01"/>
    <w:rsid w:val="00815B2F"/>
    <w:rsid w:val="00815EB1"/>
    <w:rsid w:val="0081600E"/>
    <w:rsid w:val="0081604D"/>
    <w:rsid w:val="00816A12"/>
    <w:rsid w:val="00816EA3"/>
    <w:rsid w:val="008179E9"/>
    <w:rsid w:val="00817C51"/>
    <w:rsid w:val="00820124"/>
    <w:rsid w:val="008202CF"/>
    <w:rsid w:val="008204AD"/>
    <w:rsid w:val="0082069B"/>
    <w:rsid w:val="008209C0"/>
    <w:rsid w:val="008211A8"/>
    <w:rsid w:val="0082122B"/>
    <w:rsid w:val="00821541"/>
    <w:rsid w:val="0082162B"/>
    <w:rsid w:val="008216DD"/>
    <w:rsid w:val="008217C9"/>
    <w:rsid w:val="00821A98"/>
    <w:rsid w:val="0082272C"/>
    <w:rsid w:val="00822791"/>
    <w:rsid w:val="00822869"/>
    <w:rsid w:val="00822A58"/>
    <w:rsid w:val="00822B3E"/>
    <w:rsid w:val="00823869"/>
    <w:rsid w:val="008239E4"/>
    <w:rsid w:val="00823ADF"/>
    <w:rsid w:val="00823C50"/>
    <w:rsid w:val="008241EC"/>
    <w:rsid w:val="008244A8"/>
    <w:rsid w:val="0082481C"/>
    <w:rsid w:val="0082485A"/>
    <w:rsid w:val="008248E9"/>
    <w:rsid w:val="00824C14"/>
    <w:rsid w:val="00824D9B"/>
    <w:rsid w:val="00825270"/>
    <w:rsid w:val="00825365"/>
    <w:rsid w:val="008259DA"/>
    <w:rsid w:val="00825A04"/>
    <w:rsid w:val="00825A13"/>
    <w:rsid w:val="00825A22"/>
    <w:rsid w:val="00825FBD"/>
    <w:rsid w:val="00826155"/>
    <w:rsid w:val="0082619D"/>
    <w:rsid w:val="0082648A"/>
    <w:rsid w:val="00826658"/>
    <w:rsid w:val="00826DFC"/>
    <w:rsid w:val="00827134"/>
    <w:rsid w:val="00827568"/>
    <w:rsid w:val="00827EAF"/>
    <w:rsid w:val="0083026F"/>
    <w:rsid w:val="008303E7"/>
    <w:rsid w:val="00830428"/>
    <w:rsid w:val="0083046D"/>
    <w:rsid w:val="0083153B"/>
    <w:rsid w:val="00831B19"/>
    <w:rsid w:val="00831EFF"/>
    <w:rsid w:val="00831FA9"/>
    <w:rsid w:val="00832D50"/>
    <w:rsid w:val="00832E06"/>
    <w:rsid w:val="00832E3E"/>
    <w:rsid w:val="008333BF"/>
    <w:rsid w:val="008334A7"/>
    <w:rsid w:val="008337F2"/>
    <w:rsid w:val="00833DC7"/>
    <w:rsid w:val="008341BD"/>
    <w:rsid w:val="0083551F"/>
    <w:rsid w:val="008355A7"/>
    <w:rsid w:val="008360F0"/>
    <w:rsid w:val="00836431"/>
    <w:rsid w:val="00836656"/>
    <w:rsid w:val="00836C84"/>
    <w:rsid w:val="00836FCE"/>
    <w:rsid w:val="008374B3"/>
    <w:rsid w:val="00837739"/>
    <w:rsid w:val="00837A94"/>
    <w:rsid w:val="00837D66"/>
    <w:rsid w:val="00837D8C"/>
    <w:rsid w:val="00840192"/>
    <w:rsid w:val="008402A0"/>
    <w:rsid w:val="00840312"/>
    <w:rsid w:val="008406E3"/>
    <w:rsid w:val="008408BD"/>
    <w:rsid w:val="00840DA1"/>
    <w:rsid w:val="00840DE2"/>
    <w:rsid w:val="00841383"/>
    <w:rsid w:val="00841467"/>
    <w:rsid w:val="00841E1F"/>
    <w:rsid w:val="00841EEB"/>
    <w:rsid w:val="00842858"/>
    <w:rsid w:val="00842A9E"/>
    <w:rsid w:val="00842DA8"/>
    <w:rsid w:val="00843469"/>
    <w:rsid w:val="00843707"/>
    <w:rsid w:val="00843B41"/>
    <w:rsid w:val="00843B67"/>
    <w:rsid w:val="00844092"/>
    <w:rsid w:val="0084414C"/>
    <w:rsid w:val="008444C1"/>
    <w:rsid w:val="00844A53"/>
    <w:rsid w:val="00844CC6"/>
    <w:rsid w:val="00844DD0"/>
    <w:rsid w:val="0084535D"/>
    <w:rsid w:val="008453F4"/>
    <w:rsid w:val="0084556B"/>
    <w:rsid w:val="0084563A"/>
    <w:rsid w:val="008458DA"/>
    <w:rsid w:val="008467A1"/>
    <w:rsid w:val="00846920"/>
    <w:rsid w:val="00846F96"/>
    <w:rsid w:val="008472E1"/>
    <w:rsid w:val="00847739"/>
    <w:rsid w:val="00847841"/>
    <w:rsid w:val="008479A6"/>
    <w:rsid w:val="00847B61"/>
    <w:rsid w:val="00847F0F"/>
    <w:rsid w:val="00847FBC"/>
    <w:rsid w:val="008501F2"/>
    <w:rsid w:val="00850935"/>
    <w:rsid w:val="00850BDD"/>
    <w:rsid w:val="008512CF"/>
    <w:rsid w:val="00851574"/>
    <w:rsid w:val="00851843"/>
    <w:rsid w:val="00851C45"/>
    <w:rsid w:val="00851D5D"/>
    <w:rsid w:val="00851FD9"/>
    <w:rsid w:val="008522B7"/>
    <w:rsid w:val="008525FE"/>
    <w:rsid w:val="00853C1F"/>
    <w:rsid w:val="008544C9"/>
    <w:rsid w:val="00854514"/>
    <w:rsid w:val="00854958"/>
    <w:rsid w:val="00854967"/>
    <w:rsid w:val="008549D8"/>
    <w:rsid w:val="00854BFA"/>
    <w:rsid w:val="00855D9B"/>
    <w:rsid w:val="008562F1"/>
    <w:rsid w:val="00856459"/>
    <w:rsid w:val="008565DC"/>
    <w:rsid w:val="00856688"/>
    <w:rsid w:val="0085702D"/>
    <w:rsid w:val="008571DB"/>
    <w:rsid w:val="00857A36"/>
    <w:rsid w:val="00857C14"/>
    <w:rsid w:val="00857C32"/>
    <w:rsid w:val="00857E5A"/>
    <w:rsid w:val="0086039A"/>
    <w:rsid w:val="00860521"/>
    <w:rsid w:val="00860750"/>
    <w:rsid w:val="00860834"/>
    <w:rsid w:val="008612E4"/>
    <w:rsid w:val="008612F6"/>
    <w:rsid w:val="00861680"/>
    <w:rsid w:val="00862058"/>
    <w:rsid w:val="008620DF"/>
    <w:rsid w:val="0086239E"/>
    <w:rsid w:val="00862619"/>
    <w:rsid w:val="008626F6"/>
    <w:rsid w:val="00862A1C"/>
    <w:rsid w:val="00862F19"/>
    <w:rsid w:val="00863001"/>
    <w:rsid w:val="00863127"/>
    <w:rsid w:val="0086336B"/>
    <w:rsid w:val="00863893"/>
    <w:rsid w:val="00863974"/>
    <w:rsid w:val="00863AF5"/>
    <w:rsid w:val="00863BF1"/>
    <w:rsid w:val="00863CA8"/>
    <w:rsid w:val="00864082"/>
    <w:rsid w:val="008643E7"/>
    <w:rsid w:val="008645E3"/>
    <w:rsid w:val="008645F9"/>
    <w:rsid w:val="008647B8"/>
    <w:rsid w:val="00864FA5"/>
    <w:rsid w:val="00865331"/>
    <w:rsid w:val="008654E1"/>
    <w:rsid w:val="008655A9"/>
    <w:rsid w:val="00865BF2"/>
    <w:rsid w:val="00865CD5"/>
    <w:rsid w:val="00865F0D"/>
    <w:rsid w:val="00865FE5"/>
    <w:rsid w:val="008660DC"/>
    <w:rsid w:val="00866540"/>
    <w:rsid w:val="008666DA"/>
    <w:rsid w:val="00866B45"/>
    <w:rsid w:val="00866D6C"/>
    <w:rsid w:val="008674CD"/>
    <w:rsid w:val="00867505"/>
    <w:rsid w:val="00867C3B"/>
    <w:rsid w:val="00870688"/>
    <w:rsid w:val="0087095A"/>
    <w:rsid w:val="00870A14"/>
    <w:rsid w:val="00870D08"/>
    <w:rsid w:val="0087136A"/>
    <w:rsid w:val="008713FE"/>
    <w:rsid w:val="008714BA"/>
    <w:rsid w:val="00872095"/>
    <w:rsid w:val="0087228C"/>
    <w:rsid w:val="00872334"/>
    <w:rsid w:val="00872774"/>
    <w:rsid w:val="0087282F"/>
    <w:rsid w:val="0087299A"/>
    <w:rsid w:val="0087306B"/>
    <w:rsid w:val="008730D5"/>
    <w:rsid w:val="008736B4"/>
    <w:rsid w:val="008739B1"/>
    <w:rsid w:val="00873B06"/>
    <w:rsid w:val="00873D20"/>
    <w:rsid w:val="00873E6F"/>
    <w:rsid w:val="00874196"/>
    <w:rsid w:val="00874A0A"/>
    <w:rsid w:val="008750B5"/>
    <w:rsid w:val="0087570E"/>
    <w:rsid w:val="00875729"/>
    <w:rsid w:val="00875817"/>
    <w:rsid w:val="00875D01"/>
    <w:rsid w:val="00875DAA"/>
    <w:rsid w:val="00875DD8"/>
    <w:rsid w:val="00876201"/>
    <w:rsid w:val="008762D8"/>
    <w:rsid w:val="0087656C"/>
    <w:rsid w:val="008770AF"/>
    <w:rsid w:val="00877571"/>
    <w:rsid w:val="0087782F"/>
    <w:rsid w:val="00877C2C"/>
    <w:rsid w:val="00877E97"/>
    <w:rsid w:val="00877F7A"/>
    <w:rsid w:val="008800B9"/>
    <w:rsid w:val="00880107"/>
    <w:rsid w:val="008801C7"/>
    <w:rsid w:val="0088059A"/>
    <w:rsid w:val="00880D67"/>
    <w:rsid w:val="00880F77"/>
    <w:rsid w:val="008813AA"/>
    <w:rsid w:val="00881401"/>
    <w:rsid w:val="008817C0"/>
    <w:rsid w:val="008817EC"/>
    <w:rsid w:val="00881AB0"/>
    <w:rsid w:val="00881C60"/>
    <w:rsid w:val="00881C77"/>
    <w:rsid w:val="008820F5"/>
    <w:rsid w:val="0088279C"/>
    <w:rsid w:val="00882834"/>
    <w:rsid w:val="00882D15"/>
    <w:rsid w:val="0088375E"/>
    <w:rsid w:val="00883DD4"/>
    <w:rsid w:val="00884362"/>
    <w:rsid w:val="00884447"/>
    <w:rsid w:val="008849AF"/>
    <w:rsid w:val="00884F18"/>
    <w:rsid w:val="008852E3"/>
    <w:rsid w:val="00885E23"/>
    <w:rsid w:val="00885ED7"/>
    <w:rsid w:val="00885FB2"/>
    <w:rsid w:val="008861AF"/>
    <w:rsid w:val="00886302"/>
    <w:rsid w:val="00886476"/>
    <w:rsid w:val="00886723"/>
    <w:rsid w:val="008868A1"/>
    <w:rsid w:val="00886972"/>
    <w:rsid w:val="00886BC3"/>
    <w:rsid w:val="00886D09"/>
    <w:rsid w:val="00887A29"/>
    <w:rsid w:val="00887CC3"/>
    <w:rsid w:val="00887E3E"/>
    <w:rsid w:val="00887EBC"/>
    <w:rsid w:val="00890190"/>
    <w:rsid w:val="00890283"/>
    <w:rsid w:val="008905AF"/>
    <w:rsid w:val="008905DE"/>
    <w:rsid w:val="00890CBB"/>
    <w:rsid w:val="0089168C"/>
    <w:rsid w:val="00891B4A"/>
    <w:rsid w:val="00891C32"/>
    <w:rsid w:val="00892573"/>
    <w:rsid w:val="00892C55"/>
    <w:rsid w:val="008934BE"/>
    <w:rsid w:val="00893E8B"/>
    <w:rsid w:val="008943E4"/>
    <w:rsid w:val="008945DC"/>
    <w:rsid w:val="0089489D"/>
    <w:rsid w:val="00894F28"/>
    <w:rsid w:val="008957AA"/>
    <w:rsid w:val="008959D1"/>
    <w:rsid w:val="00895B78"/>
    <w:rsid w:val="00895BA0"/>
    <w:rsid w:val="008960D3"/>
    <w:rsid w:val="00896793"/>
    <w:rsid w:val="008974F4"/>
    <w:rsid w:val="00897621"/>
    <w:rsid w:val="008A015C"/>
    <w:rsid w:val="008A04CB"/>
    <w:rsid w:val="008A0AD4"/>
    <w:rsid w:val="008A0B08"/>
    <w:rsid w:val="008A0D96"/>
    <w:rsid w:val="008A0E99"/>
    <w:rsid w:val="008A1386"/>
    <w:rsid w:val="008A1411"/>
    <w:rsid w:val="008A14BE"/>
    <w:rsid w:val="008A15E0"/>
    <w:rsid w:val="008A1C8A"/>
    <w:rsid w:val="008A1CB8"/>
    <w:rsid w:val="008A1DA4"/>
    <w:rsid w:val="008A2245"/>
    <w:rsid w:val="008A2B87"/>
    <w:rsid w:val="008A2EA1"/>
    <w:rsid w:val="008A3217"/>
    <w:rsid w:val="008A387E"/>
    <w:rsid w:val="008A3EF5"/>
    <w:rsid w:val="008A3F07"/>
    <w:rsid w:val="008A3F82"/>
    <w:rsid w:val="008A41DE"/>
    <w:rsid w:val="008A42F4"/>
    <w:rsid w:val="008A4361"/>
    <w:rsid w:val="008A44A0"/>
    <w:rsid w:val="008A47F4"/>
    <w:rsid w:val="008A492C"/>
    <w:rsid w:val="008A4CF4"/>
    <w:rsid w:val="008A4E7C"/>
    <w:rsid w:val="008A4FFB"/>
    <w:rsid w:val="008A54B4"/>
    <w:rsid w:val="008A54EF"/>
    <w:rsid w:val="008A565A"/>
    <w:rsid w:val="008A56EE"/>
    <w:rsid w:val="008A5EC0"/>
    <w:rsid w:val="008A6031"/>
    <w:rsid w:val="008A6082"/>
    <w:rsid w:val="008A63DC"/>
    <w:rsid w:val="008A654B"/>
    <w:rsid w:val="008A6740"/>
    <w:rsid w:val="008A6DF9"/>
    <w:rsid w:val="008A6DFC"/>
    <w:rsid w:val="008A700C"/>
    <w:rsid w:val="008A7220"/>
    <w:rsid w:val="008A73D4"/>
    <w:rsid w:val="008B097F"/>
    <w:rsid w:val="008B0DF0"/>
    <w:rsid w:val="008B0E06"/>
    <w:rsid w:val="008B1308"/>
    <w:rsid w:val="008B161E"/>
    <w:rsid w:val="008B19B4"/>
    <w:rsid w:val="008B1AE8"/>
    <w:rsid w:val="008B1BC1"/>
    <w:rsid w:val="008B1C69"/>
    <w:rsid w:val="008B24E1"/>
    <w:rsid w:val="008B252C"/>
    <w:rsid w:val="008B3668"/>
    <w:rsid w:val="008B36F5"/>
    <w:rsid w:val="008B3828"/>
    <w:rsid w:val="008B3C39"/>
    <w:rsid w:val="008B405F"/>
    <w:rsid w:val="008B44D6"/>
    <w:rsid w:val="008B4A0E"/>
    <w:rsid w:val="008B4DDA"/>
    <w:rsid w:val="008B4E36"/>
    <w:rsid w:val="008B4EAF"/>
    <w:rsid w:val="008B50DE"/>
    <w:rsid w:val="008B518B"/>
    <w:rsid w:val="008B5444"/>
    <w:rsid w:val="008B5477"/>
    <w:rsid w:val="008B57CA"/>
    <w:rsid w:val="008B5A48"/>
    <w:rsid w:val="008B5DCB"/>
    <w:rsid w:val="008B5EB5"/>
    <w:rsid w:val="008B6820"/>
    <w:rsid w:val="008B6B44"/>
    <w:rsid w:val="008B790A"/>
    <w:rsid w:val="008B7AFB"/>
    <w:rsid w:val="008B7BAF"/>
    <w:rsid w:val="008B7C03"/>
    <w:rsid w:val="008B7FB5"/>
    <w:rsid w:val="008C0D2F"/>
    <w:rsid w:val="008C0D31"/>
    <w:rsid w:val="008C0E19"/>
    <w:rsid w:val="008C0E2B"/>
    <w:rsid w:val="008C0FE5"/>
    <w:rsid w:val="008C116A"/>
    <w:rsid w:val="008C1239"/>
    <w:rsid w:val="008C1531"/>
    <w:rsid w:val="008C1787"/>
    <w:rsid w:val="008C18EF"/>
    <w:rsid w:val="008C1A18"/>
    <w:rsid w:val="008C1BAC"/>
    <w:rsid w:val="008C1C7D"/>
    <w:rsid w:val="008C1EB1"/>
    <w:rsid w:val="008C22FB"/>
    <w:rsid w:val="008C2443"/>
    <w:rsid w:val="008C257F"/>
    <w:rsid w:val="008C26B1"/>
    <w:rsid w:val="008C26ED"/>
    <w:rsid w:val="008C2716"/>
    <w:rsid w:val="008C2748"/>
    <w:rsid w:val="008C2D2E"/>
    <w:rsid w:val="008C3109"/>
    <w:rsid w:val="008C3F03"/>
    <w:rsid w:val="008C3F29"/>
    <w:rsid w:val="008C40E8"/>
    <w:rsid w:val="008C50E5"/>
    <w:rsid w:val="008C5EEF"/>
    <w:rsid w:val="008C609A"/>
    <w:rsid w:val="008C6C31"/>
    <w:rsid w:val="008C6CA0"/>
    <w:rsid w:val="008C6D73"/>
    <w:rsid w:val="008C6E03"/>
    <w:rsid w:val="008C6F0D"/>
    <w:rsid w:val="008C7090"/>
    <w:rsid w:val="008C727A"/>
    <w:rsid w:val="008C770E"/>
    <w:rsid w:val="008C7949"/>
    <w:rsid w:val="008C7DB1"/>
    <w:rsid w:val="008C7E81"/>
    <w:rsid w:val="008D0C96"/>
    <w:rsid w:val="008D0CA0"/>
    <w:rsid w:val="008D0F5A"/>
    <w:rsid w:val="008D1042"/>
    <w:rsid w:val="008D1620"/>
    <w:rsid w:val="008D1767"/>
    <w:rsid w:val="008D1DDE"/>
    <w:rsid w:val="008D2185"/>
    <w:rsid w:val="008D2553"/>
    <w:rsid w:val="008D27DD"/>
    <w:rsid w:val="008D3291"/>
    <w:rsid w:val="008D36A6"/>
    <w:rsid w:val="008D37F5"/>
    <w:rsid w:val="008D3C6C"/>
    <w:rsid w:val="008D3C9D"/>
    <w:rsid w:val="008D3DF4"/>
    <w:rsid w:val="008D3E15"/>
    <w:rsid w:val="008D3E47"/>
    <w:rsid w:val="008D4305"/>
    <w:rsid w:val="008D4856"/>
    <w:rsid w:val="008D4F19"/>
    <w:rsid w:val="008D5140"/>
    <w:rsid w:val="008D5366"/>
    <w:rsid w:val="008D5921"/>
    <w:rsid w:val="008D59D7"/>
    <w:rsid w:val="008D663C"/>
    <w:rsid w:val="008D67D5"/>
    <w:rsid w:val="008D6A46"/>
    <w:rsid w:val="008D7A1C"/>
    <w:rsid w:val="008D7A48"/>
    <w:rsid w:val="008D7B6B"/>
    <w:rsid w:val="008D7BC9"/>
    <w:rsid w:val="008D7F5F"/>
    <w:rsid w:val="008E0101"/>
    <w:rsid w:val="008E0283"/>
    <w:rsid w:val="008E04A4"/>
    <w:rsid w:val="008E1195"/>
    <w:rsid w:val="008E15E3"/>
    <w:rsid w:val="008E1AEB"/>
    <w:rsid w:val="008E1D8B"/>
    <w:rsid w:val="008E1DF6"/>
    <w:rsid w:val="008E2266"/>
    <w:rsid w:val="008E28F4"/>
    <w:rsid w:val="008E2C0C"/>
    <w:rsid w:val="008E2DBC"/>
    <w:rsid w:val="008E364E"/>
    <w:rsid w:val="008E3997"/>
    <w:rsid w:val="008E3B44"/>
    <w:rsid w:val="008E3C68"/>
    <w:rsid w:val="008E404F"/>
    <w:rsid w:val="008E4080"/>
    <w:rsid w:val="008E43E2"/>
    <w:rsid w:val="008E48C2"/>
    <w:rsid w:val="008E4D5C"/>
    <w:rsid w:val="008E4DB6"/>
    <w:rsid w:val="008E50DE"/>
    <w:rsid w:val="008E55B9"/>
    <w:rsid w:val="008E57F5"/>
    <w:rsid w:val="008E59CB"/>
    <w:rsid w:val="008E64CF"/>
    <w:rsid w:val="008E66C6"/>
    <w:rsid w:val="008E6A3E"/>
    <w:rsid w:val="008E6DB3"/>
    <w:rsid w:val="008E6F0A"/>
    <w:rsid w:val="008E74D2"/>
    <w:rsid w:val="008F042C"/>
    <w:rsid w:val="008F0E1A"/>
    <w:rsid w:val="008F0E83"/>
    <w:rsid w:val="008F1065"/>
    <w:rsid w:val="008F1352"/>
    <w:rsid w:val="008F17C4"/>
    <w:rsid w:val="008F1846"/>
    <w:rsid w:val="008F1D42"/>
    <w:rsid w:val="008F202A"/>
    <w:rsid w:val="008F2049"/>
    <w:rsid w:val="008F278A"/>
    <w:rsid w:val="008F2ABE"/>
    <w:rsid w:val="008F2DFE"/>
    <w:rsid w:val="008F2F01"/>
    <w:rsid w:val="008F31DA"/>
    <w:rsid w:val="008F39B8"/>
    <w:rsid w:val="008F3BE5"/>
    <w:rsid w:val="008F3BF5"/>
    <w:rsid w:val="008F3BF7"/>
    <w:rsid w:val="008F3D2A"/>
    <w:rsid w:val="008F4170"/>
    <w:rsid w:val="008F4A96"/>
    <w:rsid w:val="008F4EE3"/>
    <w:rsid w:val="008F5246"/>
    <w:rsid w:val="008F53B2"/>
    <w:rsid w:val="008F5690"/>
    <w:rsid w:val="008F5897"/>
    <w:rsid w:val="008F5B0D"/>
    <w:rsid w:val="008F6646"/>
    <w:rsid w:val="008F6825"/>
    <w:rsid w:val="008F6F59"/>
    <w:rsid w:val="008F71D4"/>
    <w:rsid w:val="008F723C"/>
    <w:rsid w:val="008F72AD"/>
    <w:rsid w:val="008F74C0"/>
    <w:rsid w:val="008F7BBD"/>
    <w:rsid w:val="008F7E0D"/>
    <w:rsid w:val="008F7FE3"/>
    <w:rsid w:val="00900507"/>
    <w:rsid w:val="00900D1F"/>
    <w:rsid w:val="00900F74"/>
    <w:rsid w:val="009010EA"/>
    <w:rsid w:val="00901A76"/>
    <w:rsid w:val="00901B92"/>
    <w:rsid w:val="00901EB8"/>
    <w:rsid w:val="00901ED0"/>
    <w:rsid w:val="0090221F"/>
    <w:rsid w:val="009022E4"/>
    <w:rsid w:val="00902373"/>
    <w:rsid w:val="0090247B"/>
    <w:rsid w:val="0090249F"/>
    <w:rsid w:val="009026B4"/>
    <w:rsid w:val="0090298A"/>
    <w:rsid w:val="00902EA9"/>
    <w:rsid w:val="0090330E"/>
    <w:rsid w:val="0090369C"/>
    <w:rsid w:val="00903959"/>
    <w:rsid w:val="00903A64"/>
    <w:rsid w:val="00903D37"/>
    <w:rsid w:val="00903DC3"/>
    <w:rsid w:val="00904319"/>
    <w:rsid w:val="00904C30"/>
    <w:rsid w:val="00904ECF"/>
    <w:rsid w:val="0090511B"/>
    <w:rsid w:val="00905266"/>
    <w:rsid w:val="009052B9"/>
    <w:rsid w:val="00905660"/>
    <w:rsid w:val="009056A2"/>
    <w:rsid w:val="00905AB4"/>
    <w:rsid w:val="00905EC2"/>
    <w:rsid w:val="00905F7F"/>
    <w:rsid w:val="00906405"/>
    <w:rsid w:val="009064E2"/>
    <w:rsid w:val="00906510"/>
    <w:rsid w:val="0090668C"/>
    <w:rsid w:val="00906840"/>
    <w:rsid w:val="00907596"/>
    <w:rsid w:val="0090796A"/>
    <w:rsid w:val="009079FD"/>
    <w:rsid w:val="00907ED5"/>
    <w:rsid w:val="00907F0C"/>
    <w:rsid w:val="00910F4C"/>
    <w:rsid w:val="00911219"/>
    <w:rsid w:val="00911380"/>
    <w:rsid w:val="009114C4"/>
    <w:rsid w:val="00911500"/>
    <w:rsid w:val="00911D9F"/>
    <w:rsid w:val="009126C6"/>
    <w:rsid w:val="00912846"/>
    <w:rsid w:val="009128C0"/>
    <w:rsid w:val="009130D8"/>
    <w:rsid w:val="009133B4"/>
    <w:rsid w:val="0091391B"/>
    <w:rsid w:val="0091397F"/>
    <w:rsid w:val="009139D1"/>
    <w:rsid w:val="00913BDB"/>
    <w:rsid w:val="00913CD0"/>
    <w:rsid w:val="009145B3"/>
    <w:rsid w:val="00914626"/>
    <w:rsid w:val="00914BEB"/>
    <w:rsid w:val="00915045"/>
    <w:rsid w:val="00915215"/>
    <w:rsid w:val="009159A6"/>
    <w:rsid w:val="00915B13"/>
    <w:rsid w:val="00915B31"/>
    <w:rsid w:val="00915C28"/>
    <w:rsid w:val="0091628B"/>
    <w:rsid w:val="00916390"/>
    <w:rsid w:val="009163EB"/>
    <w:rsid w:val="00916C70"/>
    <w:rsid w:val="00916F34"/>
    <w:rsid w:val="00917767"/>
    <w:rsid w:val="009179AF"/>
    <w:rsid w:val="00920316"/>
    <w:rsid w:val="009222FB"/>
    <w:rsid w:val="009227B9"/>
    <w:rsid w:val="00922B1E"/>
    <w:rsid w:val="00922F94"/>
    <w:rsid w:val="00923574"/>
    <w:rsid w:val="00923728"/>
    <w:rsid w:val="00923975"/>
    <w:rsid w:val="00923B27"/>
    <w:rsid w:val="00923C1E"/>
    <w:rsid w:val="00923CEC"/>
    <w:rsid w:val="00924AC6"/>
    <w:rsid w:val="00924D4D"/>
    <w:rsid w:val="00924D8D"/>
    <w:rsid w:val="00925873"/>
    <w:rsid w:val="00925B83"/>
    <w:rsid w:val="00925E6D"/>
    <w:rsid w:val="009265A9"/>
    <w:rsid w:val="00926698"/>
    <w:rsid w:val="00926A90"/>
    <w:rsid w:val="00926DD6"/>
    <w:rsid w:val="00926ED3"/>
    <w:rsid w:val="00926F6E"/>
    <w:rsid w:val="0092709C"/>
    <w:rsid w:val="0092709D"/>
    <w:rsid w:val="0092758A"/>
    <w:rsid w:val="00927871"/>
    <w:rsid w:val="00927A02"/>
    <w:rsid w:val="009302A3"/>
    <w:rsid w:val="00930387"/>
    <w:rsid w:val="009303F0"/>
    <w:rsid w:val="00930707"/>
    <w:rsid w:val="00930947"/>
    <w:rsid w:val="009309B7"/>
    <w:rsid w:val="00930B61"/>
    <w:rsid w:val="00930BC3"/>
    <w:rsid w:val="00930EB6"/>
    <w:rsid w:val="00931097"/>
    <w:rsid w:val="009315BC"/>
    <w:rsid w:val="00931861"/>
    <w:rsid w:val="00931B33"/>
    <w:rsid w:val="00931E2E"/>
    <w:rsid w:val="00931FFA"/>
    <w:rsid w:val="009327B7"/>
    <w:rsid w:val="009327C8"/>
    <w:rsid w:val="00932923"/>
    <w:rsid w:val="00932AC0"/>
    <w:rsid w:val="00932B3F"/>
    <w:rsid w:val="00932CDB"/>
    <w:rsid w:val="00932D2E"/>
    <w:rsid w:val="00932DC6"/>
    <w:rsid w:val="00932F55"/>
    <w:rsid w:val="00933415"/>
    <w:rsid w:val="00933606"/>
    <w:rsid w:val="00933C17"/>
    <w:rsid w:val="00934043"/>
    <w:rsid w:val="00934369"/>
    <w:rsid w:val="00934537"/>
    <w:rsid w:val="00934973"/>
    <w:rsid w:val="009349B1"/>
    <w:rsid w:val="009349B2"/>
    <w:rsid w:val="00934BBD"/>
    <w:rsid w:val="00934FAF"/>
    <w:rsid w:val="0093513E"/>
    <w:rsid w:val="009356AD"/>
    <w:rsid w:val="00935934"/>
    <w:rsid w:val="009359EC"/>
    <w:rsid w:val="00935A8D"/>
    <w:rsid w:val="00935B40"/>
    <w:rsid w:val="00935ECA"/>
    <w:rsid w:val="00936446"/>
    <w:rsid w:val="00936508"/>
    <w:rsid w:val="00936655"/>
    <w:rsid w:val="009368A2"/>
    <w:rsid w:val="00936AAB"/>
    <w:rsid w:val="00936C81"/>
    <w:rsid w:val="00936C8C"/>
    <w:rsid w:val="00936FA8"/>
    <w:rsid w:val="00936FFA"/>
    <w:rsid w:val="0093717A"/>
    <w:rsid w:val="00937191"/>
    <w:rsid w:val="00937731"/>
    <w:rsid w:val="00937ED0"/>
    <w:rsid w:val="00937EE2"/>
    <w:rsid w:val="009400C6"/>
    <w:rsid w:val="00940177"/>
    <w:rsid w:val="009402BB"/>
    <w:rsid w:val="00940525"/>
    <w:rsid w:val="00940527"/>
    <w:rsid w:val="00940533"/>
    <w:rsid w:val="00940793"/>
    <w:rsid w:val="00941366"/>
    <w:rsid w:val="009417E4"/>
    <w:rsid w:val="00941E7D"/>
    <w:rsid w:val="00941EDF"/>
    <w:rsid w:val="00942135"/>
    <w:rsid w:val="009424C2"/>
    <w:rsid w:val="00942741"/>
    <w:rsid w:val="00943485"/>
    <w:rsid w:val="009435B8"/>
    <w:rsid w:val="0094365D"/>
    <w:rsid w:val="00943BFA"/>
    <w:rsid w:val="00943F1F"/>
    <w:rsid w:val="009440EF"/>
    <w:rsid w:val="009441E6"/>
    <w:rsid w:val="00944447"/>
    <w:rsid w:val="0094477A"/>
    <w:rsid w:val="00944C20"/>
    <w:rsid w:val="00944C7D"/>
    <w:rsid w:val="00944CE1"/>
    <w:rsid w:val="00944DE5"/>
    <w:rsid w:val="0094522F"/>
    <w:rsid w:val="00945514"/>
    <w:rsid w:val="009455D5"/>
    <w:rsid w:val="00945ADE"/>
    <w:rsid w:val="00945E43"/>
    <w:rsid w:val="00946140"/>
    <w:rsid w:val="00946383"/>
    <w:rsid w:val="00947023"/>
    <w:rsid w:val="00947031"/>
    <w:rsid w:val="00947D03"/>
    <w:rsid w:val="00950BFF"/>
    <w:rsid w:val="00950D1D"/>
    <w:rsid w:val="009513B3"/>
    <w:rsid w:val="00951901"/>
    <w:rsid w:val="00951CA0"/>
    <w:rsid w:val="009522E7"/>
    <w:rsid w:val="00952616"/>
    <w:rsid w:val="009529EC"/>
    <w:rsid w:val="00953149"/>
    <w:rsid w:val="009534FE"/>
    <w:rsid w:val="009535A6"/>
    <w:rsid w:val="00953800"/>
    <w:rsid w:val="0095383E"/>
    <w:rsid w:val="00953AE3"/>
    <w:rsid w:val="00953F84"/>
    <w:rsid w:val="009542BB"/>
    <w:rsid w:val="00954A32"/>
    <w:rsid w:val="00955B15"/>
    <w:rsid w:val="00955C07"/>
    <w:rsid w:val="00955FEC"/>
    <w:rsid w:val="009564E9"/>
    <w:rsid w:val="00956BC5"/>
    <w:rsid w:val="009574B9"/>
    <w:rsid w:val="00957A2C"/>
    <w:rsid w:val="00957B55"/>
    <w:rsid w:val="00957C38"/>
    <w:rsid w:val="00960117"/>
    <w:rsid w:val="00960341"/>
    <w:rsid w:val="00960521"/>
    <w:rsid w:val="009607AB"/>
    <w:rsid w:val="00960C71"/>
    <w:rsid w:val="00961DBF"/>
    <w:rsid w:val="0096231E"/>
    <w:rsid w:val="00962545"/>
    <w:rsid w:val="009627E0"/>
    <w:rsid w:val="00962CF8"/>
    <w:rsid w:val="009632CB"/>
    <w:rsid w:val="009635BF"/>
    <w:rsid w:val="00963805"/>
    <w:rsid w:val="00963B13"/>
    <w:rsid w:val="009641BA"/>
    <w:rsid w:val="0096445D"/>
    <w:rsid w:val="00964475"/>
    <w:rsid w:val="0096452B"/>
    <w:rsid w:val="009645C6"/>
    <w:rsid w:val="00964ECA"/>
    <w:rsid w:val="009652B8"/>
    <w:rsid w:val="00965924"/>
    <w:rsid w:val="00965AB6"/>
    <w:rsid w:val="00965CD0"/>
    <w:rsid w:val="00965D4F"/>
    <w:rsid w:val="00965F97"/>
    <w:rsid w:val="00965FB0"/>
    <w:rsid w:val="00966124"/>
    <w:rsid w:val="009666FF"/>
    <w:rsid w:val="0096673E"/>
    <w:rsid w:val="0096684D"/>
    <w:rsid w:val="00966B59"/>
    <w:rsid w:val="00966BCD"/>
    <w:rsid w:val="0096734F"/>
    <w:rsid w:val="00967DAC"/>
    <w:rsid w:val="00967FD1"/>
    <w:rsid w:val="00970B47"/>
    <w:rsid w:val="00970D50"/>
    <w:rsid w:val="00971028"/>
    <w:rsid w:val="009722FD"/>
    <w:rsid w:val="009723E8"/>
    <w:rsid w:val="00973204"/>
    <w:rsid w:val="00973599"/>
    <w:rsid w:val="009735F3"/>
    <w:rsid w:val="00973F80"/>
    <w:rsid w:val="00974041"/>
    <w:rsid w:val="00974064"/>
    <w:rsid w:val="00974116"/>
    <w:rsid w:val="00974765"/>
    <w:rsid w:val="00974FB6"/>
    <w:rsid w:val="0097533E"/>
    <w:rsid w:val="00975411"/>
    <w:rsid w:val="009754BA"/>
    <w:rsid w:val="00975540"/>
    <w:rsid w:val="00975546"/>
    <w:rsid w:val="009759D0"/>
    <w:rsid w:val="00975BC0"/>
    <w:rsid w:val="00975D3C"/>
    <w:rsid w:val="009764E7"/>
    <w:rsid w:val="009765B2"/>
    <w:rsid w:val="00976B77"/>
    <w:rsid w:val="00976CD0"/>
    <w:rsid w:val="00977158"/>
    <w:rsid w:val="00977F63"/>
    <w:rsid w:val="00980595"/>
    <w:rsid w:val="009809F0"/>
    <w:rsid w:val="00980CD5"/>
    <w:rsid w:val="00981325"/>
    <w:rsid w:val="00981747"/>
    <w:rsid w:val="009819B1"/>
    <w:rsid w:val="00981CBF"/>
    <w:rsid w:val="00981D0F"/>
    <w:rsid w:val="00982683"/>
    <w:rsid w:val="00982729"/>
    <w:rsid w:val="00982B2D"/>
    <w:rsid w:val="00982BFB"/>
    <w:rsid w:val="00982CAF"/>
    <w:rsid w:val="00983648"/>
    <w:rsid w:val="00983FD5"/>
    <w:rsid w:val="00984228"/>
    <w:rsid w:val="00984DF0"/>
    <w:rsid w:val="00984F94"/>
    <w:rsid w:val="009850CA"/>
    <w:rsid w:val="009854A1"/>
    <w:rsid w:val="00985648"/>
    <w:rsid w:val="0098582B"/>
    <w:rsid w:val="00985A29"/>
    <w:rsid w:val="00985AFD"/>
    <w:rsid w:val="00985EA9"/>
    <w:rsid w:val="00985ED8"/>
    <w:rsid w:val="0098612D"/>
    <w:rsid w:val="00986475"/>
    <w:rsid w:val="00986498"/>
    <w:rsid w:val="009866B4"/>
    <w:rsid w:val="00986C9B"/>
    <w:rsid w:val="00987018"/>
    <w:rsid w:val="0098731A"/>
    <w:rsid w:val="0098751A"/>
    <w:rsid w:val="00987CEF"/>
    <w:rsid w:val="00987EDB"/>
    <w:rsid w:val="00987FB2"/>
    <w:rsid w:val="00990835"/>
    <w:rsid w:val="00990D37"/>
    <w:rsid w:val="009914D8"/>
    <w:rsid w:val="009915C0"/>
    <w:rsid w:val="009916F4"/>
    <w:rsid w:val="0099202C"/>
    <w:rsid w:val="00992334"/>
    <w:rsid w:val="00992428"/>
    <w:rsid w:val="00993625"/>
    <w:rsid w:val="00993A3B"/>
    <w:rsid w:val="0099452A"/>
    <w:rsid w:val="0099489A"/>
    <w:rsid w:val="00994AB0"/>
    <w:rsid w:val="00994DF6"/>
    <w:rsid w:val="00994E5A"/>
    <w:rsid w:val="009952F5"/>
    <w:rsid w:val="00995622"/>
    <w:rsid w:val="009956CA"/>
    <w:rsid w:val="00995C5F"/>
    <w:rsid w:val="00996037"/>
    <w:rsid w:val="009961A2"/>
    <w:rsid w:val="009967FF"/>
    <w:rsid w:val="00996938"/>
    <w:rsid w:val="00996AF8"/>
    <w:rsid w:val="00997011"/>
    <w:rsid w:val="00997029"/>
    <w:rsid w:val="00997280"/>
    <w:rsid w:val="009973A1"/>
    <w:rsid w:val="009A0096"/>
    <w:rsid w:val="009A0151"/>
    <w:rsid w:val="009A0756"/>
    <w:rsid w:val="009A0A26"/>
    <w:rsid w:val="009A0B91"/>
    <w:rsid w:val="009A0F10"/>
    <w:rsid w:val="009A1193"/>
    <w:rsid w:val="009A131B"/>
    <w:rsid w:val="009A174C"/>
    <w:rsid w:val="009A1AF5"/>
    <w:rsid w:val="009A2148"/>
    <w:rsid w:val="009A2380"/>
    <w:rsid w:val="009A2505"/>
    <w:rsid w:val="009A27CB"/>
    <w:rsid w:val="009A2CA6"/>
    <w:rsid w:val="009A2D5B"/>
    <w:rsid w:val="009A338E"/>
    <w:rsid w:val="009A3659"/>
    <w:rsid w:val="009A37CE"/>
    <w:rsid w:val="009A3A34"/>
    <w:rsid w:val="009A3B46"/>
    <w:rsid w:val="009A408F"/>
    <w:rsid w:val="009A4142"/>
    <w:rsid w:val="009A41DC"/>
    <w:rsid w:val="009A470C"/>
    <w:rsid w:val="009A4C93"/>
    <w:rsid w:val="009A4F15"/>
    <w:rsid w:val="009A4F2B"/>
    <w:rsid w:val="009A50CA"/>
    <w:rsid w:val="009A5709"/>
    <w:rsid w:val="009A5831"/>
    <w:rsid w:val="009A5D54"/>
    <w:rsid w:val="009A5DFE"/>
    <w:rsid w:val="009A634E"/>
    <w:rsid w:val="009A63C5"/>
    <w:rsid w:val="009A657C"/>
    <w:rsid w:val="009A65E0"/>
    <w:rsid w:val="009A6CB9"/>
    <w:rsid w:val="009A6E7A"/>
    <w:rsid w:val="009A6EDD"/>
    <w:rsid w:val="009A73B8"/>
    <w:rsid w:val="009A75EF"/>
    <w:rsid w:val="009A78B9"/>
    <w:rsid w:val="009A7BC2"/>
    <w:rsid w:val="009A7E98"/>
    <w:rsid w:val="009B0116"/>
    <w:rsid w:val="009B0521"/>
    <w:rsid w:val="009B0B44"/>
    <w:rsid w:val="009B0E5E"/>
    <w:rsid w:val="009B14BB"/>
    <w:rsid w:val="009B1898"/>
    <w:rsid w:val="009B2B20"/>
    <w:rsid w:val="009B2EA5"/>
    <w:rsid w:val="009B2F79"/>
    <w:rsid w:val="009B3C5F"/>
    <w:rsid w:val="009B3C7A"/>
    <w:rsid w:val="009B3EE5"/>
    <w:rsid w:val="009B420B"/>
    <w:rsid w:val="009B42BC"/>
    <w:rsid w:val="009B44EF"/>
    <w:rsid w:val="009B459D"/>
    <w:rsid w:val="009B49EA"/>
    <w:rsid w:val="009B511C"/>
    <w:rsid w:val="009B54D7"/>
    <w:rsid w:val="009B559E"/>
    <w:rsid w:val="009B586D"/>
    <w:rsid w:val="009B586F"/>
    <w:rsid w:val="009B5C1A"/>
    <w:rsid w:val="009B6046"/>
    <w:rsid w:val="009B645E"/>
    <w:rsid w:val="009B6487"/>
    <w:rsid w:val="009B65D3"/>
    <w:rsid w:val="009B6A33"/>
    <w:rsid w:val="009B6E02"/>
    <w:rsid w:val="009B6E3A"/>
    <w:rsid w:val="009B7090"/>
    <w:rsid w:val="009B7784"/>
    <w:rsid w:val="009C02F8"/>
    <w:rsid w:val="009C062D"/>
    <w:rsid w:val="009C0CD1"/>
    <w:rsid w:val="009C0E08"/>
    <w:rsid w:val="009C171D"/>
    <w:rsid w:val="009C1B81"/>
    <w:rsid w:val="009C20A1"/>
    <w:rsid w:val="009C2271"/>
    <w:rsid w:val="009C25AE"/>
    <w:rsid w:val="009C31E1"/>
    <w:rsid w:val="009C327B"/>
    <w:rsid w:val="009C361B"/>
    <w:rsid w:val="009C3CA4"/>
    <w:rsid w:val="009C40DD"/>
    <w:rsid w:val="009C47ED"/>
    <w:rsid w:val="009C5179"/>
    <w:rsid w:val="009C5B03"/>
    <w:rsid w:val="009C5E6B"/>
    <w:rsid w:val="009C6196"/>
    <w:rsid w:val="009C623F"/>
    <w:rsid w:val="009C64D2"/>
    <w:rsid w:val="009C6945"/>
    <w:rsid w:val="009C6FB5"/>
    <w:rsid w:val="009D0450"/>
    <w:rsid w:val="009D0840"/>
    <w:rsid w:val="009D0EA5"/>
    <w:rsid w:val="009D11F2"/>
    <w:rsid w:val="009D12F2"/>
    <w:rsid w:val="009D15B7"/>
    <w:rsid w:val="009D19B6"/>
    <w:rsid w:val="009D1A88"/>
    <w:rsid w:val="009D1B19"/>
    <w:rsid w:val="009D217D"/>
    <w:rsid w:val="009D23D1"/>
    <w:rsid w:val="009D2594"/>
    <w:rsid w:val="009D2FAD"/>
    <w:rsid w:val="009D3042"/>
    <w:rsid w:val="009D3085"/>
    <w:rsid w:val="009D35DE"/>
    <w:rsid w:val="009D36EB"/>
    <w:rsid w:val="009D3991"/>
    <w:rsid w:val="009D3F98"/>
    <w:rsid w:val="009D4277"/>
    <w:rsid w:val="009D45D8"/>
    <w:rsid w:val="009D4954"/>
    <w:rsid w:val="009D4A72"/>
    <w:rsid w:val="009D4A8B"/>
    <w:rsid w:val="009D4F3E"/>
    <w:rsid w:val="009D5199"/>
    <w:rsid w:val="009D51D7"/>
    <w:rsid w:val="009D52E6"/>
    <w:rsid w:val="009D5491"/>
    <w:rsid w:val="009D5748"/>
    <w:rsid w:val="009D598A"/>
    <w:rsid w:val="009D5AC3"/>
    <w:rsid w:val="009D5F36"/>
    <w:rsid w:val="009D5FB8"/>
    <w:rsid w:val="009D6A75"/>
    <w:rsid w:val="009D6A86"/>
    <w:rsid w:val="009D6C6F"/>
    <w:rsid w:val="009D720F"/>
    <w:rsid w:val="009D7605"/>
    <w:rsid w:val="009D7695"/>
    <w:rsid w:val="009D7809"/>
    <w:rsid w:val="009D7C0D"/>
    <w:rsid w:val="009E022E"/>
    <w:rsid w:val="009E02B1"/>
    <w:rsid w:val="009E02F8"/>
    <w:rsid w:val="009E0ADA"/>
    <w:rsid w:val="009E13AE"/>
    <w:rsid w:val="009E1644"/>
    <w:rsid w:val="009E16DD"/>
    <w:rsid w:val="009E1859"/>
    <w:rsid w:val="009E1B0F"/>
    <w:rsid w:val="009E1D19"/>
    <w:rsid w:val="009E1DB0"/>
    <w:rsid w:val="009E1F82"/>
    <w:rsid w:val="009E201D"/>
    <w:rsid w:val="009E2481"/>
    <w:rsid w:val="009E2E09"/>
    <w:rsid w:val="009E3578"/>
    <w:rsid w:val="009E3680"/>
    <w:rsid w:val="009E3967"/>
    <w:rsid w:val="009E3C07"/>
    <w:rsid w:val="009E3F71"/>
    <w:rsid w:val="009E46C3"/>
    <w:rsid w:val="009E47BB"/>
    <w:rsid w:val="009E47CD"/>
    <w:rsid w:val="009E5090"/>
    <w:rsid w:val="009E533B"/>
    <w:rsid w:val="009E5CD8"/>
    <w:rsid w:val="009E5FEF"/>
    <w:rsid w:val="009E60BA"/>
    <w:rsid w:val="009E6118"/>
    <w:rsid w:val="009E63D8"/>
    <w:rsid w:val="009E6462"/>
    <w:rsid w:val="009E64F6"/>
    <w:rsid w:val="009E67AF"/>
    <w:rsid w:val="009E6D4E"/>
    <w:rsid w:val="009E6D76"/>
    <w:rsid w:val="009E6EA7"/>
    <w:rsid w:val="009E6F53"/>
    <w:rsid w:val="009E70F9"/>
    <w:rsid w:val="009E77DD"/>
    <w:rsid w:val="009E7846"/>
    <w:rsid w:val="009E7B89"/>
    <w:rsid w:val="009E7DCF"/>
    <w:rsid w:val="009F002A"/>
    <w:rsid w:val="009F06FA"/>
    <w:rsid w:val="009F07B9"/>
    <w:rsid w:val="009F0F0A"/>
    <w:rsid w:val="009F0F22"/>
    <w:rsid w:val="009F0F94"/>
    <w:rsid w:val="009F1628"/>
    <w:rsid w:val="009F1A57"/>
    <w:rsid w:val="009F1C81"/>
    <w:rsid w:val="009F2078"/>
    <w:rsid w:val="009F2083"/>
    <w:rsid w:val="009F20FB"/>
    <w:rsid w:val="009F274F"/>
    <w:rsid w:val="009F2AD2"/>
    <w:rsid w:val="009F2B61"/>
    <w:rsid w:val="009F2C12"/>
    <w:rsid w:val="009F2E5C"/>
    <w:rsid w:val="009F31B6"/>
    <w:rsid w:val="009F3383"/>
    <w:rsid w:val="009F35A3"/>
    <w:rsid w:val="009F38B9"/>
    <w:rsid w:val="009F3D25"/>
    <w:rsid w:val="009F4380"/>
    <w:rsid w:val="009F4BB9"/>
    <w:rsid w:val="009F5425"/>
    <w:rsid w:val="009F5519"/>
    <w:rsid w:val="009F5625"/>
    <w:rsid w:val="009F5A1C"/>
    <w:rsid w:val="009F5CA6"/>
    <w:rsid w:val="009F5E4B"/>
    <w:rsid w:val="009F65E5"/>
    <w:rsid w:val="009F66D9"/>
    <w:rsid w:val="009F6D26"/>
    <w:rsid w:val="009F6F3E"/>
    <w:rsid w:val="009F6FCA"/>
    <w:rsid w:val="009F7216"/>
    <w:rsid w:val="009F723E"/>
    <w:rsid w:val="009F769B"/>
    <w:rsid w:val="00A000FF"/>
    <w:rsid w:val="00A00246"/>
    <w:rsid w:val="00A008A0"/>
    <w:rsid w:val="00A013D4"/>
    <w:rsid w:val="00A0199D"/>
    <w:rsid w:val="00A0237A"/>
    <w:rsid w:val="00A02560"/>
    <w:rsid w:val="00A02665"/>
    <w:rsid w:val="00A028BD"/>
    <w:rsid w:val="00A02C04"/>
    <w:rsid w:val="00A02F42"/>
    <w:rsid w:val="00A034AB"/>
    <w:rsid w:val="00A038AB"/>
    <w:rsid w:val="00A042F8"/>
    <w:rsid w:val="00A04355"/>
    <w:rsid w:val="00A044BD"/>
    <w:rsid w:val="00A044DA"/>
    <w:rsid w:val="00A049BF"/>
    <w:rsid w:val="00A04CC3"/>
    <w:rsid w:val="00A05051"/>
    <w:rsid w:val="00A05537"/>
    <w:rsid w:val="00A05618"/>
    <w:rsid w:val="00A05802"/>
    <w:rsid w:val="00A06446"/>
    <w:rsid w:val="00A06620"/>
    <w:rsid w:val="00A06A72"/>
    <w:rsid w:val="00A06C3F"/>
    <w:rsid w:val="00A06E0C"/>
    <w:rsid w:val="00A07027"/>
    <w:rsid w:val="00A0751F"/>
    <w:rsid w:val="00A07A5A"/>
    <w:rsid w:val="00A07C30"/>
    <w:rsid w:val="00A07EDB"/>
    <w:rsid w:val="00A10068"/>
    <w:rsid w:val="00A102A1"/>
    <w:rsid w:val="00A108E7"/>
    <w:rsid w:val="00A10DD6"/>
    <w:rsid w:val="00A11372"/>
    <w:rsid w:val="00A11554"/>
    <w:rsid w:val="00A119D8"/>
    <w:rsid w:val="00A11AB4"/>
    <w:rsid w:val="00A11B5E"/>
    <w:rsid w:val="00A11BC2"/>
    <w:rsid w:val="00A11C12"/>
    <w:rsid w:val="00A11CEF"/>
    <w:rsid w:val="00A11F21"/>
    <w:rsid w:val="00A1279B"/>
    <w:rsid w:val="00A1283D"/>
    <w:rsid w:val="00A12A9D"/>
    <w:rsid w:val="00A12B8A"/>
    <w:rsid w:val="00A1306E"/>
    <w:rsid w:val="00A13152"/>
    <w:rsid w:val="00A1326B"/>
    <w:rsid w:val="00A13513"/>
    <w:rsid w:val="00A13A7B"/>
    <w:rsid w:val="00A1406A"/>
    <w:rsid w:val="00A1426A"/>
    <w:rsid w:val="00A14C6D"/>
    <w:rsid w:val="00A15129"/>
    <w:rsid w:val="00A15233"/>
    <w:rsid w:val="00A15960"/>
    <w:rsid w:val="00A15B6F"/>
    <w:rsid w:val="00A1641B"/>
    <w:rsid w:val="00A1641F"/>
    <w:rsid w:val="00A1674E"/>
    <w:rsid w:val="00A16DD8"/>
    <w:rsid w:val="00A17AE6"/>
    <w:rsid w:val="00A20894"/>
    <w:rsid w:val="00A214A0"/>
    <w:rsid w:val="00A215D5"/>
    <w:rsid w:val="00A216B7"/>
    <w:rsid w:val="00A21732"/>
    <w:rsid w:val="00A21BAC"/>
    <w:rsid w:val="00A226EA"/>
    <w:rsid w:val="00A23527"/>
    <w:rsid w:val="00A236CD"/>
    <w:rsid w:val="00A23CD7"/>
    <w:rsid w:val="00A23D9F"/>
    <w:rsid w:val="00A23E4D"/>
    <w:rsid w:val="00A24333"/>
    <w:rsid w:val="00A24838"/>
    <w:rsid w:val="00A24EF7"/>
    <w:rsid w:val="00A24F9F"/>
    <w:rsid w:val="00A251A2"/>
    <w:rsid w:val="00A25278"/>
    <w:rsid w:val="00A25499"/>
    <w:rsid w:val="00A25536"/>
    <w:rsid w:val="00A25B26"/>
    <w:rsid w:val="00A25C37"/>
    <w:rsid w:val="00A25DD4"/>
    <w:rsid w:val="00A265E5"/>
    <w:rsid w:val="00A2717A"/>
    <w:rsid w:val="00A2729F"/>
    <w:rsid w:val="00A2778A"/>
    <w:rsid w:val="00A27AC3"/>
    <w:rsid w:val="00A27AEC"/>
    <w:rsid w:val="00A30283"/>
    <w:rsid w:val="00A305BC"/>
    <w:rsid w:val="00A305CB"/>
    <w:rsid w:val="00A3173B"/>
    <w:rsid w:val="00A31F22"/>
    <w:rsid w:val="00A321AC"/>
    <w:rsid w:val="00A3226B"/>
    <w:rsid w:val="00A32FA1"/>
    <w:rsid w:val="00A331B3"/>
    <w:rsid w:val="00A331BC"/>
    <w:rsid w:val="00A332AB"/>
    <w:rsid w:val="00A33342"/>
    <w:rsid w:val="00A33B39"/>
    <w:rsid w:val="00A33C63"/>
    <w:rsid w:val="00A3409C"/>
    <w:rsid w:val="00A341C6"/>
    <w:rsid w:val="00A34470"/>
    <w:rsid w:val="00A345E5"/>
    <w:rsid w:val="00A3467A"/>
    <w:rsid w:val="00A3475A"/>
    <w:rsid w:val="00A34837"/>
    <w:rsid w:val="00A34EA4"/>
    <w:rsid w:val="00A3559B"/>
    <w:rsid w:val="00A35939"/>
    <w:rsid w:val="00A35B1B"/>
    <w:rsid w:val="00A35C5A"/>
    <w:rsid w:val="00A36501"/>
    <w:rsid w:val="00A3690B"/>
    <w:rsid w:val="00A36A7B"/>
    <w:rsid w:val="00A36A8A"/>
    <w:rsid w:val="00A37209"/>
    <w:rsid w:val="00A37283"/>
    <w:rsid w:val="00A372B8"/>
    <w:rsid w:val="00A3773D"/>
    <w:rsid w:val="00A37838"/>
    <w:rsid w:val="00A37BC6"/>
    <w:rsid w:val="00A40AC8"/>
    <w:rsid w:val="00A40BE7"/>
    <w:rsid w:val="00A411A0"/>
    <w:rsid w:val="00A41D15"/>
    <w:rsid w:val="00A42D98"/>
    <w:rsid w:val="00A42EBD"/>
    <w:rsid w:val="00A4355A"/>
    <w:rsid w:val="00A43745"/>
    <w:rsid w:val="00A43AA2"/>
    <w:rsid w:val="00A43F38"/>
    <w:rsid w:val="00A442C4"/>
    <w:rsid w:val="00A4494B"/>
    <w:rsid w:val="00A449B5"/>
    <w:rsid w:val="00A44A34"/>
    <w:rsid w:val="00A44AE1"/>
    <w:rsid w:val="00A44BF7"/>
    <w:rsid w:val="00A4508F"/>
    <w:rsid w:val="00A45B1E"/>
    <w:rsid w:val="00A467A9"/>
    <w:rsid w:val="00A46E5E"/>
    <w:rsid w:val="00A475EE"/>
    <w:rsid w:val="00A47645"/>
    <w:rsid w:val="00A476D7"/>
    <w:rsid w:val="00A50214"/>
    <w:rsid w:val="00A50584"/>
    <w:rsid w:val="00A51128"/>
    <w:rsid w:val="00A5161A"/>
    <w:rsid w:val="00A51BED"/>
    <w:rsid w:val="00A51F5C"/>
    <w:rsid w:val="00A52431"/>
    <w:rsid w:val="00A52478"/>
    <w:rsid w:val="00A52516"/>
    <w:rsid w:val="00A52C49"/>
    <w:rsid w:val="00A53A90"/>
    <w:rsid w:val="00A53DF3"/>
    <w:rsid w:val="00A5433B"/>
    <w:rsid w:val="00A54494"/>
    <w:rsid w:val="00A5481C"/>
    <w:rsid w:val="00A5499B"/>
    <w:rsid w:val="00A54B7B"/>
    <w:rsid w:val="00A54CDF"/>
    <w:rsid w:val="00A55073"/>
    <w:rsid w:val="00A5516E"/>
    <w:rsid w:val="00A553D0"/>
    <w:rsid w:val="00A5665D"/>
    <w:rsid w:val="00A56831"/>
    <w:rsid w:val="00A56A02"/>
    <w:rsid w:val="00A56ABB"/>
    <w:rsid w:val="00A56F16"/>
    <w:rsid w:val="00A57522"/>
    <w:rsid w:val="00A57593"/>
    <w:rsid w:val="00A57878"/>
    <w:rsid w:val="00A57DB4"/>
    <w:rsid w:val="00A57F8B"/>
    <w:rsid w:val="00A60061"/>
    <w:rsid w:val="00A60084"/>
    <w:rsid w:val="00A6043C"/>
    <w:rsid w:val="00A6053F"/>
    <w:rsid w:val="00A609AF"/>
    <w:rsid w:val="00A60C6B"/>
    <w:rsid w:val="00A60D05"/>
    <w:rsid w:val="00A60ECB"/>
    <w:rsid w:val="00A60FAD"/>
    <w:rsid w:val="00A6119E"/>
    <w:rsid w:val="00A6132F"/>
    <w:rsid w:val="00A614B0"/>
    <w:rsid w:val="00A619E8"/>
    <w:rsid w:val="00A61A19"/>
    <w:rsid w:val="00A61DA2"/>
    <w:rsid w:val="00A6222F"/>
    <w:rsid w:val="00A628E0"/>
    <w:rsid w:val="00A63180"/>
    <w:rsid w:val="00A63FA5"/>
    <w:rsid w:val="00A64213"/>
    <w:rsid w:val="00A642B0"/>
    <w:rsid w:val="00A6487F"/>
    <w:rsid w:val="00A64B53"/>
    <w:rsid w:val="00A64CD8"/>
    <w:rsid w:val="00A64D25"/>
    <w:rsid w:val="00A64D52"/>
    <w:rsid w:val="00A64F3B"/>
    <w:rsid w:val="00A65244"/>
    <w:rsid w:val="00A65575"/>
    <w:rsid w:val="00A65A95"/>
    <w:rsid w:val="00A65CD4"/>
    <w:rsid w:val="00A65F16"/>
    <w:rsid w:val="00A6647E"/>
    <w:rsid w:val="00A66709"/>
    <w:rsid w:val="00A66963"/>
    <w:rsid w:val="00A66B42"/>
    <w:rsid w:val="00A66FDB"/>
    <w:rsid w:val="00A67002"/>
    <w:rsid w:val="00A673FB"/>
    <w:rsid w:val="00A6740C"/>
    <w:rsid w:val="00A67818"/>
    <w:rsid w:val="00A679DA"/>
    <w:rsid w:val="00A67BE7"/>
    <w:rsid w:val="00A67DA5"/>
    <w:rsid w:val="00A67F48"/>
    <w:rsid w:val="00A67F92"/>
    <w:rsid w:val="00A7014F"/>
    <w:rsid w:val="00A70834"/>
    <w:rsid w:val="00A70C0C"/>
    <w:rsid w:val="00A70D92"/>
    <w:rsid w:val="00A7191C"/>
    <w:rsid w:val="00A71D28"/>
    <w:rsid w:val="00A723DB"/>
    <w:rsid w:val="00A7264B"/>
    <w:rsid w:val="00A72865"/>
    <w:rsid w:val="00A728F7"/>
    <w:rsid w:val="00A72C65"/>
    <w:rsid w:val="00A72FDE"/>
    <w:rsid w:val="00A7343D"/>
    <w:rsid w:val="00A73623"/>
    <w:rsid w:val="00A73625"/>
    <w:rsid w:val="00A739A4"/>
    <w:rsid w:val="00A73EED"/>
    <w:rsid w:val="00A74C97"/>
    <w:rsid w:val="00A74D69"/>
    <w:rsid w:val="00A74E70"/>
    <w:rsid w:val="00A750A9"/>
    <w:rsid w:val="00A7525B"/>
    <w:rsid w:val="00A75320"/>
    <w:rsid w:val="00A757F6"/>
    <w:rsid w:val="00A75BFF"/>
    <w:rsid w:val="00A75D26"/>
    <w:rsid w:val="00A7650D"/>
    <w:rsid w:val="00A76A8F"/>
    <w:rsid w:val="00A76B6C"/>
    <w:rsid w:val="00A76D38"/>
    <w:rsid w:val="00A76E83"/>
    <w:rsid w:val="00A77268"/>
    <w:rsid w:val="00A7778D"/>
    <w:rsid w:val="00A77A0C"/>
    <w:rsid w:val="00A77A55"/>
    <w:rsid w:val="00A77D80"/>
    <w:rsid w:val="00A800B4"/>
    <w:rsid w:val="00A805E1"/>
    <w:rsid w:val="00A80F35"/>
    <w:rsid w:val="00A81113"/>
    <w:rsid w:val="00A819CA"/>
    <w:rsid w:val="00A81A9C"/>
    <w:rsid w:val="00A81BFC"/>
    <w:rsid w:val="00A81C35"/>
    <w:rsid w:val="00A81DB9"/>
    <w:rsid w:val="00A81FAE"/>
    <w:rsid w:val="00A82130"/>
    <w:rsid w:val="00A82CE8"/>
    <w:rsid w:val="00A83607"/>
    <w:rsid w:val="00A840C0"/>
    <w:rsid w:val="00A8415B"/>
    <w:rsid w:val="00A8543D"/>
    <w:rsid w:val="00A85DA4"/>
    <w:rsid w:val="00A85E93"/>
    <w:rsid w:val="00A86255"/>
    <w:rsid w:val="00A864B9"/>
    <w:rsid w:val="00A867CD"/>
    <w:rsid w:val="00A86A66"/>
    <w:rsid w:val="00A86B7A"/>
    <w:rsid w:val="00A87051"/>
    <w:rsid w:val="00A8720B"/>
    <w:rsid w:val="00A87244"/>
    <w:rsid w:val="00A87309"/>
    <w:rsid w:val="00A87510"/>
    <w:rsid w:val="00A87614"/>
    <w:rsid w:val="00A87835"/>
    <w:rsid w:val="00A87A28"/>
    <w:rsid w:val="00A87CF0"/>
    <w:rsid w:val="00A905DD"/>
    <w:rsid w:val="00A907D8"/>
    <w:rsid w:val="00A908BA"/>
    <w:rsid w:val="00A909FD"/>
    <w:rsid w:val="00A90AFA"/>
    <w:rsid w:val="00A917A8"/>
    <w:rsid w:val="00A9198D"/>
    <w:rsid w:val="00A92129"/>
    <w:rsid w:val="00A9213C"/>
    <w:rsid w:val="00A9311C"/>
    <w:rsid w:val="00A93A5A"/>
    <w:rsid w:val="00A949FD"/>
    <w:rsid w:val="00A952A2"/>
    <w:rsid w:val="00A95354"/>
    <w:rsid w:val="00A953B0"/>
    <w:rsid w:val="00A958CC"/>
    <w:rsid w:val="00A95C60"/>
    <w:rsid w:val="00A95D65"/>
    <w:rsid w:val="00A95EB9"/>
    <w:rsid w:val="00A9651D"/>
    <w:rsid w:val="00A9669C"/>
    <w:rsid w:val="00A97077"/>
    <w:rsid w:val="00A97C32"/>
    <w:rsid w:val="00AA015A"/>
    <w:rsid w:val="00AA0827"/>
    <w:rsid w:val="00AA092F"/>
    <w:rsid w:val="00AA10D0"/>
    <w:rsid w:val="00AA128B"/>
    <w:rsid w:val="00AA1298"/>
    <w:rsid w:val="00AA131A"/>
    <w:rsid w:val="00AA1358"/>
    <w:rsid w:val="00AA1499"/>
    <w:rsid w:val="00AA14B1"/>
    <w:rsid w:val="00AA1A02"/>
    <w:rsid w:val="00AA1EA7"/>
    <w:rsid w:val="00AA254D"/>
    <w:rsid w:val="00AA255F"/>
    <w:rsid w:val="00AA2760"/>
    <w:rsid w:val="00AA2A05"/>
    <w:rsid w:val="00AA2EEF"/>
    <w:rsid w:val="00AA2FCB"/>
    <w:rsid w:val="00AA3947"/>
    <w:rsid w:val="00AA3B7D"/>
    <w:rsid w:val="00AA3F4C"/>
    <w:rsid w:val="00AA4202"/>
    <w:rsid w:val="00AA4277"/>
    <w:rsid w:val="00AA42F1"/>
    <w:rsid w:val="00AA4316"/>
    <w:rsid w:val="00AA459A"/>
    <w:rsid w:val="00AA4814"/>
    <w:rsid w:val="00AA4F70"/>
    <w:rsid w:val="00AA5C76"/>
    <w:rsid w:val="00AA5DD3"/>
    <w:rsid w:val="00AA5FA3"/>
    <w:rsid w:val="00AA6109"/>
    <w:rsid w:val="00AA704E"/>
    <w:rsid w:val="00AA7BAD"/>
    <w:rsid w:val="00AA7C3F"/>
    <w:rsid w:val="00AA7F21"/>
    <w:rsid w:val="00AB0228"/>
    <w:rsid w:val="00AB064D"/>
    <w:rsid w:val="00AB12F9"/>
    <w:rsid w:val="00AB1555"/>
    <w:rsid w:val="00AB15FB"/>
    <w:rsid w:val="00AB1993"/>
    <w:rsid w:val="00AB19D1"/>
    <w:rsid w:val="00AB1CBC"/>
    <w:rsid w:val="00AB1E35"/>
    <w:rsid w:val="00AB254D"/>
    <w:rsid w:val="00AB27E2"/>
    <w:rsid w:val="00AB2AE9"/>
    <w:rsid w:val="00AB3007"/>
    <w:rsid w:val="00AB367C"/>
    <w:rsid w:val="00AB3755"/>
    <w:rsid w:val="00AB3D62"/>
    <w:rsid w:val="00AB3D77"/>
    <w:rsid w:val="00AB3E79"/>
    <w:rsid w:val="00AB3E92"/>
    <w:rsid w:val="00AB49AF"/>
    <w:rsid w:val="00AB4C1A"/>
    <w:rsid w:val="00AB4C88"/>
    <w:rsid w:val="00AB52D3"/>
    <w:rsid w:val="00AB54A9"/>
    <w:rsid w:val="00AB57A6"/>
    <w:rsid w:val="00AB5AF8"/>
    <w:rsid w:val="00AB5F14"/>
    <w:rsid w:val="00AB631F"/>
    <w:rsid w:val="00AB67E8"/>
    <w:rsid w:val="00AB717A"/>
    <w:rsid w:val="00AB737A"/>
    <w:rsid w:val="00AB73B2"/>
    <w:rsid w:val="00AB7A65"/>
    <w:rsid w:val="00AB7A9C"/>
    <w:rsid w:val="00AB7BEA"/>
    <w:rsid w:val="00AB7D26"/>
    <w:rsid w:val="00AB7D48"/>
    <w:rsid w:val="00AC0781"/>
    <w:rsid w:val="00AC091F"/>
    <w:rsid w:val="00AC0A9B"/>
    <w:rsid w:val="00AC0CBF"/>
    <w:rsid w:val="00AC0E2B"/>
    <w:rsid w:val="00AC0F01"/>
    <w:rsid w:val="00AC1065"/>
    <w:rsid w:val="00AC139D"/>
    <w:rsid w:val="00AC142F"/>
    <w:rsid w:val="00AC232C"/>
    <w:rsid w:val="00AC2759"/>
    <w:rsid w:val="00AC3189"/>
    <w:rsid w:val="00AC31BC"/>
    <w:rsid w:val="00AC39D8"/>
    <w:rsid w:val="00AC3D51"/>
    <w:rsid w:val="00AC4353"/>
    <w:rsid w:val="00AC4408"/>
    <w:rsid w:val="00AC4CB8"/>
    <w:rsid w:val="00AC4FC1"/>
    <w:rsid w:val="00AC5439"/>
    <w:rsid w:val="00AC5664"/>
    <w:rsid w:val="00AC5754"/>
    <w:rsid w:val="00AC5AEF"/>
    <w:rsid w:val="00AC5C60"/>
    <w:rsid w:val="00AC616F"/>
    <w:rsid w:val="00AC6279"/>
    <w:rsid w:val="00AC6604"/>
    <w:rsid w:val="00AC6624"/>
    <w:rsid w:val="00AC6B42"/>
    <w:rsid w:val="00AC6D13"/>
    <w:rsid w:val="00AC6DB4"/>
    <w:rsid w:val="00AC6E18"/>
    <w:rsid w:val="00AC72E6"/>
    <w:rsid w:val="00AC744F"/>
    <w:rsid w:val="00AC78CA"/>
    <w:rsid w:val="00AD0656"/>
    <w:rsid w:val="00AD0CCF"/>
    <w:rsid w:val="00AD10FF"/>
    <w:rsid w:val="00AD118A"/>
    <w:rsid w:val="00AD1595"/>
    <w:rsid w:val="00AD1755"/>
    <w:rsid w:val="00AD1982"/>
    <w:rsid w:val="00AD1EC1"/>
    <w:rsid w:val="00AD2125"/>
    <w:rsid w:val="00AD2277"/>
    <w:rsid w:val="00AD23E3"/>
    <w:rsid w:val="00AD2419"/>
    <w:rsid w:val="00AD257B"/>
    <w:rsid w:val="00AD26C3"/>
    <w:rsid w:val="00AD27AF"/>
    <w:rsid w:val="00AD27F2"/>
    <w:rsid w:val="00AD2A5D"/>
    <w:rsid w:val="00AD30BA"/>
    <w:rsid w:val="00AD30C1"/>
    <w:rsid w:val="00AD31BA"/>
    <w:rsid w:val="00AD324E"/>
    <w:rsid w:val="00AD3252"/>
    <w:rsid w:val="00AD32CA"/>
    <w:rsid w:val="00AD3898"/>
    <w:rsid w:val="00AD3A99"/>
    <w:rsid w:val="00AD3E7A"/>
    <w:rsid w:val="00AD41C2"/>
    <w:rsid w:val="00AD488C"/>
    <w:rsid w:val="00AD4E01"/>
    <w:rsid w:val="00AD5185"/>
    <w:rsid w:val="00AD54B7"/>
    <w:rsid w:val="00AD5CE1"/>
    <w:rsid w:val="00AD620B"/>
    <w:rsid w:val="00AD6308"/>
    <w:rsid w:val="00AD630F"/>
    <w:rsid w:val="00AD6CF5"/>
    <w:rsid w:val="00AD6E7F"/>
    <w:rsid w:val="00AD701C"/>
    <w:rsid w:val="00AD7075"/>
    <w:rsid w:val="00AD708D"/>
    <w:rsid w:val="00AD7287"/>
    <w:rsid w:val="00AD7580"/>
    <w:rsid w:val="00AD7775"/>
    <w:rsid w:val="00AD7AC9"/>
    <w:rsid w:val="00AD7C2F"/>
    <w:rsid w:val="00AE0A8A"/>
    <w:rsid w:val="00AE0DDA"/>
    <w:rsid w:val="00AE129F"/>
    <w:rsid w:val="00AE1552"/>
    <w:rsid w:val="00AE155D"/>
    <w:rsid w:val="00AE169B"/>
    <w:rsid w:val="00AE1BBF"/>
    <w:rsid w:val="00AE1BD8"/>
    <w:rsid w:val="00AE25DF"/>
    <w:rsid w:val="00AE29F1"/>
    <w:rsid w:val="00AE2FF0"/>
    <w:rsid w:val="00AE32B2"/>
    <w:rsid w:val="00AE3FAF"/>
    <w:rsid w:val="00AE4056"/>
    <w:rsid w:val="00AE4352"/>
    <w:rsid w:val="00AE4412"/>
    <w:rsid w:val="00AE45A9"/>
    <w:rsid w:val="00AE46CA"/>
    <w:rsid w:val="00AE476E"/>
    <w:rsid w:val="00AE4F5B"/>
    <w:rsid w:val="00AE51A0"/>
    <w:rsid w:val="00AE5631"/>
    <w:rsid w:val="00AE5A92"/>
    <w:rsid w:val="00AE5B2C"/>
    <w:rsid w:val="00AE5B74"/>
    <w:rsid w:val="00AE5B85"/>
    <w:rsid w:val="00AE64D2"/>
    <w:rsid w:val="00AE6EB8"/>
    <w:rsid w:val="00AE71D6"/>
    <w:rsid w:val="00AE7331"/>
    <w:rsid w:val="00AE7465"/>
    <w:rsid w:val="00AE75F1"/>
    <w:rsid w:val="00AE77D0"/>
    <w:rsid w:val="00AE7991"/>
    <w:rsid w:val="00AE7B9C"/>
    <w:rsid w:val="00AE7F3B"/>
    <w:rsid w:val="00AE7F44"/>
    <w:rsid w:val="00AF0176"/>
    <w:rsid w:val="00AF07E8"/>
    <w:rsid w:val="00AF0D0B"/>
    <w:rsid w:val="00AF180B"/>
    <w:rsid w:val="00AF1D22"/>
    <w:rsid w:val="00AF1FE2"/>
    <w:rsid w:val="00AF20C1"/>
    <w:rsid w:val="00AF249D"/>
    <w:rsid w:val="00AF2DD7"/>
    <w:rsid w:val="00AF3062"/>
    <w:rsid w:val="00AF329B"/>
    <w:rsid w:val="00AF3B58"/>
    <w:rsid w:val="00AF3DB4"/>
    <w:rsid w:val="00AF3DC1"/>
    <w:rsid w:val="00AF4284"/>
    <w:rsid w:val="00AF4348"/>
    <w:rsid w:val="00AF45F8"/>
    <w:rsid w:val="00AF478F"/>
    <w:rsid w:val="00AF4841"/>
    <w:rsid w:val="00AF4BCD"/>
    <w:rsid w:val="00AF50D8"/>
    <w:rsid w:val="00AF514D"/>
    <w:rsid w:val="00AF5265"/>
    <w:rsid w:val="00AF57E1"/>
    <w:rsid w:val="00AF5A1C"/>
    <w:rsid w:val="00AF5B16"/>
    <w:rsid w:val="00AF5DF4"/>
    <w:rsid w:val="00AF5F99"/>
    <w:rsid w:val="00AF6197"/>
    <w:rsid w:val="00AF651D"/>
    <w:rsid w:val="00AF6837"/>
    <w:rsid w:val="00AF6F7E"/>
    <w:rsid w:val="00AF6FBF"/>
    <w:rsid w:val="00AF7885"/>
    <w:rsid w:val="00AF7983"/>
    <w:rsid w:val="00B002AB"/>
    <w:rsid w:val="00B003C3"/>
    <w:rsid w:val="00B01EAD"/>
    <w:rsid w:val="00B01F9E"/>
    <w:rsid w:val="00B01FA7"/>
    <w:rsid w:val="00B024B2"/>
    <w:rsid w:val="00B02590"/>
    <w:rsid w:val="00B02ADD"/>
    <w:rsid w:val="00B02B54"/>
    <w:rsid w:val="00B030F3"/>
    <w:rsid w:val="00B03F5C"/>
    <w:rsid w:val="00B04AFF"/>
    <w:rsid w:val="00B04B54"/>
    <w:rsid w:val="00B04E47"/>
    <w:rsid w:val="00B04E71"/>
    <w:rsid w:val="00B0535D"/>
    <w:rsid w:val="00B058B3"/>
    <w:rsid w:val="00B05B1E"/>
    <w:rsid w:val="00B06043"/>
    <w:rsid w:val="00B06A2A"/>
    <w:rsid w:val="00B06C69"/>
    <w:rsid w:val="00B06DD8"/>
    <w:rsid w:val="00B0796F"/>
    <w:rsid w:val="00B079A2"/>
    <w:rsid w:val="00B07C32"/>
    <w:rsid w:val="00B07DA5"/>
    <w:rsid w:val="00B07E7E"/>
    <w:rsid w:val="00B07F88"/>
    <w:rsid w:val="00B10255"/>
    <w:rsid w:val="00B103A6"/>
    <w:rsid w:val="00B1053C"/>
    <w:rsid w:val="00B10578"/>
    <w:rsid w:val="00B10A5C"/>
    <w:rsid w:val="00B10E2F"/>
    <w:rsid w:val="00B1163D"/>
    <w:rsid w:val="00B11709"/>
    <w:rsid w:val="00B12281"/>
    <w:rsid w:val="00B12BB3"/>
    <w:rsid w:val="00B12D3C"/>
    <w:rsid w:val="00B12E62"/>
    <w:rsid w:val="00B13AD4"/>
    <w:rsid w:val="00B13D96"/>
    <w:rsid w:val="00B13EAA"/>
    <w:rsid w:val="00B13EE6"/>
    <w:rsid w:val="00B1422C"/>
    <w:rsid w:val="00B143C7"/>
    <w:rsid w:val="00B1443A"/>
    <w:rsid w:val="00B14FE7"/>
    <w:rsid w:val="00B15022"/>
    <w:rsid w:val="00B15176"/>
    <w:rsid w:val="00B157C7"/>
    <w:rsid w:val="00B158F4"/>
    <w:rsid w:val="00B15A6C"/>
    <w:rsid w:val="00B15FA5"/>
    <w:rsid w:val="00B16049"/>
    <w:rsid w:val="00B161AA"/>
    <w:rsid w:val="00B162BA"/>
    <w:rsid w:val="00B16B71"/>
    <w:rsid w:val="00B16E18"/>
    <w:rsid w:val="00B17194"/>
    <w:rsid w:val="00B17813"/>
    <w:rsid w:val="00B17CC3"/>
    <w:rsid w:val="00B17DDC"/>
    <w:rsid w:val="00B20782"/>
    <w:rsid w:val="00B20DB7"/>
    <w:rsid w:val="00B211AD"/>
    <w:rsid w:val="00B21C1E"/>
    <w:rsid w:val="00B21F9B"/>
    <w:rsid w:val="00B220B1"/>
    <w:rsid w:val="00B22838"/>
    <w:rsid w:val="00B22ECB"/>
    <w:rsid w:val="00B2311A"/>
    <w:rsid w:val="00B234E5"/>
    <w:rsid w:val="00B235A6"/>
    <w:rsid w:val="00B23609"/>
    <w:rsid w:val="00B23918"/>
    <w:rsid w:val="00B2422B"/>
    <w:rsid w:val="00B242A2"/>
    <w:rsid w:val="00B247D3"/>
    <w:rsid w:val="00B24897"/>
    <w:rsid w:val="00B2494E"/>
    <w:rsid w:val="00B24C14"/>
    <w:rsid w:val="00B25117"/>
    <w:rsid w:val="00B2690E"/>
    <w:rsid w:val="00B2696F"/>
    <w:rsid w:val="00B26B66"/>
    <w:rsid w:val="00B270AE"/>
    <w:rsid w:val="00B271DA"/>
    <w:rsid w:val="00B27335"/>
    <w:rsid w:val="00B27846"/>
    <w:rsid w:val="00B27B9B"/>
    <w:rsid w:val="00B27DAD"/>
    <w:rsid w:val="00B31321"/>
    <w:rsid w:val="00B313B4"/>
    <w:rsid w:val="00B313FA"/>
    <w:rsid w:val="00B31525"/>
    <w:rsid w:val="00B315B1"/>
    <w:rsid w:val="00B3161C"/>
    <w:rsid w:val="00B3174E"/>
    <w:rsid w:val="00B31806"/>
    <w:rsid w:val="00B319FD"/>
    <w:rsid w:val="00B31C07"/>
    <w:rsid w:val="00B31DFF"/>
    <w:rsid w:val="00B31F4C"/>
    <w:rsid w:val="00B320C1"/>
    <w:rsid w:val="00B324EC"/>
    <w:rsid w:val="00B32F38"/>
    <w:rsid w:val="00B33391"/>
    <w:rsid w:val="00B33572"/>
    <w:rsid w:val="00B33E15"/>
    <w:rsid w:val="00B343D5"/>
    <w:rsid w:val="00B34540"/>
    <w:rsid w:val="00B34766"/>
    <w:rsid w:val="00B34D38"/>
    <w:rsid w:val="00B34DF2"/>
    <w:rsid w:val="00B35985"/>
    <w:rsid w:val="00B35F2B"/>
    <w:rsid w:val="00B36064"/>
    <w:rsid w:val="00B36361"/>
    <w:rsid w:val="00B3699C"/>
    <w:rsid w:val="00B36C52"/>
    <w:rsid w:val="00B36F98"/>
    <w:rsid w:val="00B371D3"/>
    <w:rsid w:val="00B37244"/>
    <w:rsid w:val="00B37334"/>
    <w:rsid w:val="00B374C7"/>
    <w:rsid w:val="00B3776A"/>
    <w:rsid w:val="00B37B21"/>
    <w:rsid w:val="00B37B33"/>
    <w:rsid w:val="00B37BAE"/>
    <w:rsid w:val="00B37D5C"/>
    <w:rsid w:val="00B37E8A"/>
    <w:rsid w:val="00B37F52"/>
    <w:rsid w:val="00B4022B"/>
    <w:rsid w:val="00B403D4"/>
    <w:rsid w:val="00B40454"/>
    <w:rsid w:val="00B404F7"/>
    <w:rsid w:val="00B406E7"/>
    <w:rsid w:val="00B408C1"/>
    <w:rsid w:val="00B40C15"/>
    <w:rsid w:val="00B40D1A"/>
    <w:rsid w:val="00B41070"/>
    <w:rsid w:val="00B4117B"/>
    <w:rsid w:val="00B411D9"/>
    <w:rsid w:val="00B418C4"/>
    <w:rsid w:val="00B418FF"/>
    <w:rsid w:val="00B419EE"/>
    <w:rsid w:val="00B41F52"/>
    <w:rsid w:val="00B4245D"/>
    <w:rsid w:val="00B42576"/>
    <w:rsid w:val="00B42DE7"/>
    <w:rsid w:val="00B43173"/>
    <w:rsid w:val="00B4338B"/>
    <w:rsid w:val="00B43646"/>
    <w:rsid w:val="00B439D5"/>
    <w:rsid w:val="00B43BCF"/>
    <w:rsid w:val="00B43DC4"/>
    <w:rsid w:val="00B43F13"/>
    <w:rsid w:val="00B441BC"/>
    <w:rsid w:val="00B4464F"/>
    <w:rsid w:val="00B45345"/>
    <w:rsid w:val="00B455B2"/>
    <w:rsid w:val="00B456A9"/>
    <w:rsid w:val="00B45C30"/>
    <w:rsid w:val="00B45D97"/>
    <w:rsid w:val="00B45E0A"/>
    <w:rsid w:val="00B45EE2"/>
    <w:rsid w:val="00B462A2"/>
    <w:rsid w:val="00B462D3"/>
    <w:rsid w:val="00B46591"/>
    <w:rsid w:val="00B465F3"/>
    <w:rsid w:val="00B46651"/>
    <w:rsid w:val="00B467E7"/>
    <w:rsid w:val="00B46E5C"/>
    <w:rsid w:val="00B47901"/>
    <w:rsid w:val="00B47E0A"/>
    <w:rsid w:val="00B47F62"/>
    <w:rsid w:val="00B50167"/>
    <w:rsid w:val="00B50285"/>
    <w:rsid w:val="00B50402"/>
    <w:rsid w:val="00B50836"/>
    <w:rsid w:val="00B5085E"/>
    <w:rsid w:val="00B509E1"/>
    <w:rsid w:val="00B50EF5"/>
    <w:rsid w:val="00B50F16"/>
    <w:rsid w:val="00B51290"/>
    <w:rsid w:val="00B5146A"/>
    <w:rsid w:val="00B514DC"/>
    <w:rsid w:val="00B5157D"/>
    <w:rsid w:val="00B51671"/>
    <w:rsid w:val="00B523CB"/>
    <w:rsid w:val="00B5272F"/>
    <w:rsid w:val="00B529CC"/>
    <w:rsid w:val="00B52FB3"/>
    <w:rsid w:val="00B531DD"/>
    <w:rsid w:val="00B5337C"/>
    <w:rsid w:val="00B5341E"/>
    <w:rsid w:val="00B5388D"/>
    <w:rsid w:val="00B53E15"/>
    <w:rsid w:val="00B544E1"/>
    <w:rsid w:val="00B5483E"/>
    <w:rsid w:val="00B54EFF"/>
    <w:rsid w:val="00B5528A"/>
    <w:rsid w:val="00B55A64"/>
    <w:rsid w:val="00B55BB4"/>
    <w:rsid w:val="00B55C4E"/>
    <w:rsid w:val="00B55FB7"/>
    <w:rsid w:val="00B56793"/>
    <w:rsid w:val="00B56D30"/>
    <w:rsid w:val="00B57404"/>
    <w:rsid w:val="00B57536"/>
    <w:rsid w:val="00B57B9E"/>
    <w:rsid w:val="00B57CB1"/>
    <w:rsid w:val="00B57E73"/>
    <w:rsid w:val="00B600B6"/>
    <w:rsid w:val="00B609FB"/>
    <w:rsid w:val="00B60A71"/>
    <w:rsid w:val="00B60CB8"/>
    <w:rsid w:val="00B61A67"/>
    <w:rsid w:val="00B61E6D"/>
    <w:rsid w:val="00B61E95"/>
    <w:rsid w:val="00B61F5A"/>
    <w:rsid w:val="00B61FBD"/>
    <w:rsid w:val="00B6231B"/>
    <w:rsid w:val="00B62520"/>
    <w:rsid w:val="00B62C91"/>
    <w:rsid w:val="00B6362D"/>
    <w:rsid w:val="00B63AEA"/>
    <w:rsid w:val="00B63BE3"/>
    <w:rsid w:val="00B63E4E"/>
    <w:rsid w:val="00B63FD5"/>
    <w:rsid w:val="00B642A0"/>
    <w:rsid w:val="00B64C18"/>
    <w:rsid w:val="00B64E0D"/>
    <w:rsid w:val="00B64E28"/>
    <w:rsid w:val="00B64E46"/>
    <w:rsid w:val="00B64E81"/>
    <w:rsid w:val="00B657A8"/>
    <w:rsid w:val="00B65912"/>
    <w:rsid w:val="00B65B90"/>
    <w:rsid w:val="00B663A9"/>
    <w:rsid w:val="00B669B9"/>
    <w:rsid w:val="00B669D5"/>
    <w:rsid w:val="00B66A77"/>
    <w:rsid w:val="00B66AD3"/>
    <w:rsid w:val="00B66FBE"/>
    <w:rsid w:val="00B6736A"/>
    <w:rsid w:val="00B67A86"/>
    <w:rsid w:val="00B70169"/>
    <w:rsid w:val="00B70585"/>
    <w:rsid w:val="00B70751"/>
    <w:rsid w:val="00B70AF3"/>
    <w:rsid w:val="00B70BBB"/>
    <w:rsid w:val="00B70DF0"/>
    <w:rsid w:val="00B71064"/>
    <w:rsid w:val="00B718C7"/>
    <w:rsid w:val="00B71948"/>
    <w:rsid w:val="00B71A6F"/>
    <w:rsid w:val="00B72320"/>
    <w:rsid w:val="00B724D7"/>
    <w:rsid w:val="00B724FE"/>
    <w:rsid w:val="00B7264C"/>
    <w:rsid w:val="00B7274B"/>
    <w:rsid w:val="00B729E0"/>
    <w:rsid w:val="00B72DCD"/>
    <w:rsid w:val="00B72F16"/>
    <w:rsid w:val="00B73554"/>
    <w:rsid w:val="00B736AD"/>
    <w:rsid w:val="00B73907"/>
    <w:rsid w:val="00B73AAA"/>
    <w:rsid w:val="00B73FF0"/>
    <w:rsid w:val="00B743F0"/>
    <w:rsid w:val="00B74776"/>
    <w:rsid w:val="00B74C8C"/>
    <w:rsid w:val="00B74EEB"/>
    <w:rsid w:val="00B752FF"/>
    <w:rsid w:val="00B754B5"/>
    <w:rsid w:val="00B756B8"/>
    <w:rsid w:val="00B75E22"/>
    <w:rsid w:val="00B760F4"/>
    <w:rsid w:val="00B76182"/>
    <w:rsid w:val="00B761CA"/>
    <w:rsid w:val="00B76789"/>
    <w:rsid w:val="00B769A8"/>
    <w:rsid w:val="00B77003"/>
    <w:rsid w:val="00B77166"/>
    <w:rsid w:val="00B7758F"/>
    <w:rsid w:val="00B77821"/>
    <w:rsid w:val="00B77B5C"/>
    <w:rsid w:val="00B77C29"/>
    <w:rsid w:val="00B77CCB"/>
    <w:rsid w:val="00B8003C"/>
    <w:rsid w:val="00B80248"/>
    <w:rsid w:val="00B806EE"/>
    <w:rsid w:val="00B806F3"/>
    <w:rsid w:val="00B80783"/>
    <w:rsid w:val="00B808D6"/>
    <w:rsid w:val="00B80D65"/>
    <w:rsid w:val="00B80DCA"/>
    <w:rsid w:val="00B81030"/>
    <w:rsid w:val="00B8109D"/>
    <w:rsid w:val="00B811AA"/>
    <w:rsid w:val="00B81BC4"/>
    <w:rsid w:val="00B822CF"/>
    <w:rsid w:val="00B82378"/>
    <w:rsid w:val="00B824A2"/>
    <w:rsid w:val="00B82D8A"/>
    <w:rsid w:val="00B82EBC"/>
    <w:rsid w:val="00B8303B"/>
    <w:rsid w:val="00B83068"/>
    <w:rsid w:val="00B83287"/>
    <w:rsid w:val="00B8333F"/>
    <w:rsid w:val="00B833B4"/>
    <w:rsid w:val="00B83611"/>
    <w:rsid w:val="00B83786"/>
    <w:rsid w:val="00B837F3"/>
    <w:rsid w:val="00B83A7C"/>
    <w:rsid w:val="00B83AA2"/>
    <w:rsid w:val="00B83B06"/>
    <w:rsid w:val="00B83C47"/>
    <w:rsid w:val="00B83C7D"/>
    <w:rsid w:val="00B842DF"/>
    <w:rsid w:val="00B84443"/>
    <w:rsid w:val="00B85511"/>
    <w:rsid w:val="00B85993"/>
    <w:rsid w:val="00B8633D"/>
    <w:rsid w:val="00B8725C"/>
    <w:rsid w:val="00B87487"/>
    <w:rsid w:val="00B87A84"/>
    <w:rsid w:val="00B87F4B"/>
    <w:rsid w:val="00B900FE"/>
    <w:rsid w:val="00B9029B"/>
    <w:rsid w:val="00B90773"/>
    <w:rsid w:val="00B90DE1"/>
    <w:rsid w:val="00B90FD8"/>
    <w:rsid w:val="00B9110B"/>
    <w:rsid w:val="00B91595"/>
    <w:rsid w:val="00B9198F"/>
    <w:rsid w:val="00B91B26"/>
    <w:rsid w:val="00B91B6C"/>
    <w:rsid w:val="00B91D5C"/>
    <w:rsid w:val="00B91E3E"/>
    <w:rsid w:val="00B9273A"/>
    <w:rsid w:val="00B92BD1"/>
    <w:rsid w:val="00B92D85"/>
    <w:rsid w:val="00B92EE3"/>
    <w:rsid w:val="00B92F0A"/>
    <w:rsid w:val="00B92F93"/>
    <w:rsid w:val="00B9341E"/>
    <w:rsid w:val="00B942B0"/>
    <w:rsid w:val="00B944BC"/>
    <w:rsid w:val="00B94803"/>
    <w:rsid w:val="00B94B6A"/>
    <w:rsid w:val="00B94CA7"/>
    <w:rsid w:val="00B94FB6"/>
    <w:rsid w:val="00B9504F"/>
    <w:rsid w:val="00B958A7"/>
    <w:rsid w:val="00B95A69"/>
    <w:rsid w:val="00B95B34"/>
    <w:rsid w:val="00B95C33"/>
    <w:rsid w:val="00B95C7D"/>
    <w:rsid w:val="00B96368"/>
    <w:rsid w:val="00B96787"/>
    <w:rsid w:val="00B96AE3"/>
    <w:rsid w:val="00B96C9F"/>
    <w:rsid w:val="00B973EF"/>
    <w:rsid w:val="00B9790E"/>
    <w:rsid w:val="00B97A2C"/>
    <w:rsid w:val="00B97C73"/>
    <w:rsid w:val="00B97E72"/>
    <w:rsid w:val="00B97F33"/>
    <w:rsid w:val="00BA00D4"/>
    <w:rsid w:val="00BA07D0"/>
    <w:rsid w:val="00BA081B"/>
    <w:rsid w:val="00BA08E8"/>
    <w:rsid w:val="00BA0E3B"/>
    <w:rsid w:val="00BA13C5"/>
    <w:rsid w:val="00BA1AE1"/>
    <w:rsid w:val="00BA1B1E"/>
    <w:rsid w:val="00BA1B4A"/>
    <w:rsid w:val="00BA1CDE"/>
    <w:rsid w:val="00BA1F25"/>
    <w:rsid w:val="00BA20BC"/>
    <w:rsid w:val="00BA25B7"/>
    <w:rsid w:val="00BA2896"/>
    <w:rsid w:val="00BA29DE"/>
    <w:rsid w:val="00BA2AB1"/>
    <w:rsid w:val="00BA2AC4"/>
    <w:rsid w:val="00BA2AD6"/>
    <w:rsid w:val="00BA2FE9"/>
    <w:rsid w:val="00BA30F6"/>
    <w:rsid w:val="00BA33D3"/>
    <w:rsid w:val="00BA4136"/>
    <w:rsid w:val="00BA4144"/>
    <w:rsid w:val="00BA42F7"/>
    <w:rsid w:val="00BA4A56"/>
    <w:rsid w:val="00BA52DD"/>
    <w:rsid w:val="00BA590F"/>
    <w:rsid w:val="00BA5DB6"/>
    <w:rsid w:val="00BA6568"/>
    <w:rsid w:val="00BA6911"/>
    <w:rsid w:val="00BA69A2"/>
    <w:rsid w:val="00BA6DFA"/>
    <w:rsid w:val="00BA6E3B"/>
    <w:rsid w:val="00BA6EBA"/>
    <w:rsid w:val="00BA6F3E"/>
    <w:rsid w:val="00BA7009"/>
    <w:rsid w:val="00BA7397"/>
    <w:rsid w:val="00BA7C92"/>
    <w:rsid w:val="00BA7EDB"/>
    <w:rsid w:val="00BA7EEB"/>
    <w:rsid w:val="00BB00FF"/>
    <w:rsid w:val="00BB02D9"/>
    <w:rsid w:val="00BB045D"/>
    <w:rsid w:val="00BB060E"/>
    <w:rsid w:val="00BB0C25"/>
    <w:rsid w:val="00BB1035"/>
    <w:rsid w:val="00BB1352"/>
    <w:rsid w:val="00BB1BAB"/>
    <w:rsid w:val="00BB1CD3"/>
    <w:rsid w:val="00BB249D"/>
    <w:rsid w:val="00BB2635"/>
    <w:rsid w:val="00BB2A00"/>
    <w:rsid w:val="00BB2B00"/>
    <w:rsid w:val="00BB2B75"/>
    <w:rsid w:val="00BB2B9E"/>
    <w:rsid w:val="00BB2DCF"/>
    <w:rsid w:val="00BB3080"/>
    <w:rsid w:val="00BB35B5"/>
    <w:rsid w:val="00BB380A"/>
    <w:rsid w:val="00BB3A20"/>
    <w:rsid w:val="00BB3A87"/>
    <w:rsid w:val="00BB3D06"/>
    <w:rsid w:val="00BB3E18"/>
    <w:rsid w:val="00BB4004"/>
    <w:rsid w:val="00BB400E"/>
    <w:rsid w:val="00BB4155"/>
    <w:rsid w:val="00BB424B"/>
    <w:rsid w:val="00BB45F9"/>
    <w:rsid w:val="00BB46B0"/>
    <w:rsid w:val="00BB46F3"/>
    <w:rsid w:val="00BB4709"/>
    <w:rsid w:val="00BB47A3"/>
    <w:rsid w:val="00BB4AF6"/>
    <w:rsid w:val="00BB4B72"/>
    <w:rsid w:val="00BB4C23"/>
    <w:rsid w:val="00BB5203"/>
    <w:rsid w:val="00BB524B"/>
    <w:rsid w:val="00BB5635"/>
    <w:rsid w:val="00BB5DBC"/>
    <w:rsid w:val="00BB5F56"/>
    <w:rsid w:val="00BB5FF7"/>
    <w:rsid w:val="00BB657D"/>
    <w:rsid w:val="00BB738D"/>
    <w:rsid w:val="00BB7690"/>
    <w:rsid w:val="00BB778B"/>
    <w:rsid w:val="00BB784C"/>
    <w:rsid w:val="00BB7945"/>
    <w:rsid w:val="00BC034D"/>
    <w:rsid w:val="00BC04F8"/>
    <w:rsid w:val="00BC095A"/>
    <w:rsid w:val="00BC0FDA"/>
    <w:rsid w:val="00BC11CB"/>
    <w:rsid w:val="00BC1360"/>
    <w:rsid w:val="00BC159A"/>
    <w:rsid w:val="00BC1D3E"/>
    <w:rsid w:val="00BC21D4"/>
    <w:rsid w:val="00BC267F"/>
    <w:rsid w:val="00BC29FC"/>
    <w:rsid w:val="00BC30BE"/>
    <w:rsid w:val="00BC353E"/>
    <w:rsid w:val="00BC3C00"/>
    <w:rsid w:val="00BC433B"/>
    <w:rsid w:val="00BC4931"/>
    <w:rsid w:val="00BC4958"/>
    <w:rsid w:val="00BC5378"/>
    <w:rsid w:val="00BC58CE"/>
    <w:rsid w:val="00BC59C0"/>
    <w:rsid w:val="00BC5F03"/>
    <w:rsid w:val="00BC6025"/>
    <w:rsid w:val="00BC64EA"/>
    <w:rsid w:val="00BC6A0C"/>
    <w:rsid w:val="00BC6B2F"/>
    <w:rsid w:val="00BC74E7"/>
    <w:rsid w:val="00BC7AE5"/>
    <w:rsid w:val="00BC7B4C"/>
    <w:rsid w:val="00BC7C7D"/>
    <w:rsid w:val="00BC7F9B"/>
    <w:rsid w:val="00BD033A"/>
    <w:rsid w:val="00BD04AD"/>
    <w:rsid w:val="00BD0BF6"/>
    <w:rsid w:val="00BD17A4"/>
    <w:rsid w:val="00BD1810"/>
    <w:rsid w:val="00BD1B7B"/>
    <w:rsid w:val="00BD1EC7"/>
    <w:rsid w:val="00BD2110"/>
    <w:rsid w:val="00BD22A9"/>
    <w:rsid w:val="00BD2537"/>
    <w:rsid w:val="00BD25E4"/>
    <w:rsid w:val="00BD28E9"/>
    <w:rsid w:val="00BD2BD5"/>
    <w:rsid w:val="00BD2D15"/>
    <w:rsid w:val="00BD2DC9"/>
    <w:rsid w:val="00BD39B5"/>
    <w:rsid w:val="00BD3E8A"/>
    <w:rsid w:val="00BD3E8B"/>
    <w:rsid w:val="00BD3EB4"/>
    <w:rsid w:val="00BD438C"/>
    <w:rsid w:val="00BD506D"/>
    <w:rsid w:val="00BD530B"/>
    <w:rsid w:val="00BD5760"/>
    <w:rsid w:val="00BD5BE0"/>
    <w:rsid w:val="00BD5C5A"/>
    <w:rsid w:val="00BD664C"/>
    <w:rsid w:val="00BD7267"/>
    <w:rsid w:val="00BD7383"/>
    <w:rsid w:val="00BD7FB2"/>
    <w:rsid w:val="00BE048B"/>
    <w:rsid w:val="00BE04F7"/>
    <w:rsid w:val="00BE059A"/>
    <w:rsid w:val="00BE062D"/>
    <w:rsid w:val="00BE07DE"/>
    <w:rsid w:val="00BE0B37"/>
    <w:rsid w:val="00BE0BE0"/>
    <w:rsid w:val="00BE0D4F"/>
    <w:rsid w:val="00BE13D0"/>
    <w:rsid w:val="00BE1581"/>
    <w:rsid w:val="00BE1CC2"/>
    <w:rsid w:val="00BE201A"/>
    <w:rsid w:val="00BE213E"/>
    <w:rsid w:val="00BE2FFD"/>
    <w:rsid w:val="00BE3070"/>
    <w:rsid w:val="00BE3074"/>
    <w:rsid w:val="00BE367D"/>
    <w:rsid w:val="00BE36A9"/>
    <w:rsid w:val="00BE39C7"/>
    <w:rsid w:val="00BE3D67"/>
    <w:rsid w:val="00BE3E35"/>
    <w:rsid w:val="00BE3ED8"/>
    <w:rsid w:val="00BE4397"/>
    <w:rsid w:val="00BE43A5"/>
    <w:rsid w:val="00BE4AE0"/>
    <w:rsid w:val="00BE4BE1"/>
    <w:rsid w:val="00BE4ED4"/>
    <w:rsid w:val="00BE52B3"/>
    <w:rsid w:val="00BE558E"/>
    <w:rsid w:val="00BE568C"/>
    <w:rsid w:val="00BE569F"/>
    <w:rsid w:val="00BE5745"/>
    <w:rsid w:val="00BE5785"/>
    <w:rsid w:val="00BE5AE3"/>
    <w:rsid w:val="00BE5E21"/>
    <w:rsid w:val="00BE6064"/>
    <w:rsid w:val="00BE641F"/>
    <w:rsid w:val="00BE6A2C"/>
    <w:rsid w:val="00BE6BD7"/>
    <w:rsid w:val="00BE74E3"/>
    <w:rsid w:val="00BE750C"/>
    <w:rsid w:val="00BE77D3"/>
    <w:rsid w:val="00BE7B05"/>
    <w:rsid w:val="00BE7F79"/>
    <w:rsid w:val="00BF00DC"/>
    <w:rsid w:val="00BF0A4B"/>
    <w:rsid w:val="00BF0D33"/>
    <w:rsid w:val="00BF115A"/>
    <w:rsid w:val="00BF1337"/>
    <w:rsid w:val="00BF140B"/>
    <w:rsid w:val="00BF1447"/>
    <w:rsid w:val="00BF152F"/>
    <w:rsid w:val="00BF1590"/>
    <w:rsid w:val="00BF15FE"/>
    <w:rsid w:val="00BF1760"/>
    <w:rsid w:val="00BF19E4"/>
    <w:rsid w:val="00BF1A48"/>
    <w:rsid w:val="00BF1F22"/>
    <w:rsid w:val="00BF2181"/>
    <w:rsid w:val="00BF242E"/>
    <w:rsid w:val="00BF2FEF"/>
    <w:rsid w:val="00BF3252"/>
    <w:rsid w:val="00BF3382"/>
    <w:rsid w:val="00BF3711"/>
    <w:rsid w:val="00BF381E"/>
    <w:rsid w:val="00BF382E"/>
    <w:rsid w:val="00BF38AE"/>
    <w:rsid w:val="00BF3936"/>
    <w:rsid w:val="00BF4427"/>
    <w:rsid w:val="00BF5016"/>
    <w:rsid w:val="00BF510A"/>
    <w:rsid w:val="00BF52F5"/>
    <w:rsid w:val="00BF5499"/>
    <w:rsid w:val="00BF54EE"/>
    <w:rsid w:val="00BF5759"/>
    <w:rsid w:val="00BF580A"/>
    <w:rsid w:val="00BF5BC8"/>
    <w:rsid w:val="00BF5C00"/>
    <w:rsid w:val="00BF5CB0"/>
    <w:rsid w:val="00BF5CBF"/>
    <w:rsid w:val="00BF6237"/>
    <w:rsid w:val="00BF650C"/>
    <w:rsid w:val="00BF6EA8"/>
    <w:rsid w:val="00BF6F90"/>
    <w:rsid w:val="00BF7078"/>
    <w:rsid w:val="00BF71B0"/>
    <w:rsid w:val="00BF7AC4"/>
    <w:rsid w:val="00BF7ADD"/>
    <w:rsid w:val="00C004E9"/>
    <w:rsid w:val="00C00623"/>
    <w:rsid w:val="00C0067E"/>
    <w:rsid w:val="00C0152A"/>
    <w:rsid w:val="00C015B2"/>
    <w:rsid w:val="00C01734"/>
    <w:rsid w:val="00C018E8"/>
    <w:rsid w:val="00C021CC"/>
    <w:rsid w:val="00C0221E"/>
    <w:rsid w:val="00C02545"/>
    <w:rsid w:val="00C026CA"/>
    <w:rsid w:val="00C02BEE"/>
    <w:rsid w:val="00C02CEA"/>
    <w:rsid w:val="00C02CF4"/>
    <w:rsid w:val="00C03170"/>
    <w:rsid w:val="00C03289"/>
    <w:rsid w:val="00C03409"/>
    <w:rsid w:val="00C03657"/>
    <w:rsid w:val="00C0381F"/>
    <w:rsid w:val="00C03F68"/>
    <w:rsid w:val="00C03FDC"/>
    <w:rsid w:val="00C0404F"/>
    <w:rsid w:val="00C04F31"/>
    <w:rsid w:val="00C04F7E"/>
    <w:rsid w:val="00C04FDA"/>
    <w:rsid w:val="00C0573B"/>
    <w:rsid w:val="00C060A8"/>
    <w:rsid w:val="00C06199"/>
    <w:rsid w:val="00C06209"/>
    <w:rsid w:val="00C06570"/>
    <w:rsid w:val="00C06745"/>
    <w:rsid w:val="00C068E9"/>
    <w:rsid w:val="00C069FB"/>
    <w:rsid w:val="00C06A45"/>
    <w:rsid w:val="00C06F2B"/>
    <w:rsid w:val="00C07328"/>
    <w:rsid w:val="00C07494"/>
    <w:rsid w:val="00C0764E"/>
    <w:rsid w:val="00C07AD3"/>
    <w:rsid w:val="00C07C33"/>
    <w:rsid w:val="00C07E66"/>
    <w:rsid w:val="00C07FE3"/>
    <w:rsid w:val="00C100ED"/>
    <w:rsid w:val="00C10935"/>
    <w:rsid w:val="00C10CC9"/>
    <w:rsid w:val="00C10FDF"/>
    <w:rsid w:val="00C112A0"/>
    <w:rsid w:val="00C1139E"/>
    <w:rsid w:val="00C115C9"/>
    <w:rsid w:val="00C11A68"/>
    <w:rsid w:val="00C11ADD"/>
    <w:rsid w:val="00C11DE3"/>
    <w:rsid w:val="00C12A03"/>
    <w:rsid w:val="00C12A4A"/>
    <w:rsid w:val="00C135FD"/>
    <w:rsid w:val="00C13ADC"/>
    <w:rsid w:val="00C13CE0"/>
    <w:rsid w:val="00C13D7E"/>
    <w:rsid w:val="00C13E69"/>
    <w:rsid w:val="00C13EC1"/>
    <w:rsid w:val="00C14637"/>
    <w:rsid w:val="00C14C60"/>
    <w:rsid w:val="00C14C7B"/>
    <w:rsid w:val="00C14EF9"/>
    <w:rsid w:val="00C151E9"/>
    <w:rsid w:val="00C154D2"/>
    <w:rsid w:val="00C1553B"/>
    <w:rsid w:val="00C159C6"/>
    <w:rsid w:val="00C15ED8"/>
    <w:rsid w:val="00C15FC8"/>
    <w:rsid w:val="00C168B8"/>
    <w:rsid w:val="00C16F0A"/>
    <w:rsid w:val="00C173C7"/>
    <w:rsid w:val="00C174AA"/>
    <w:rsid w:val="00C17ABF"/>
    <w:rsid w:val="00C17E03"/>
    <w:rsid w:val="00C2069A"/>
    <w:rsid w:val="00C208BE"/>
    <w:rsid w:val="00C209B3"/>
    <w:rsid w:val="00C20C7D"/>
    <w:rsid w:val="00C20DFA"/>
    <w:rsid w:val="00C21079"/>
    <w:rsid w:val="00C2117F"/>
    <w:rsid w:val="00C21936"/>
    <w:rsid w:val="00C219EC"/>
    <w:rsid w:val="00C21A0B"/>
    <w:rsid w:val="00C21B0B"/>
    <w:rsid w:val="00C21D19"/>
    <w:rsid w:val="00C21F85"/>
    <w:rsid w:val="00C2236E"/>
    <w:rsid w:val="00C224E5"/>
    <w:rsid w:val="00C2256B"/>
    <w:rsid w:val="00C225A4"/>
    <w:rsid w:val="00C2260E"/>
    <w:rsid w:val="00C22C4B"/>
    <w:rsid w:val="00C22CEF"/>
    <w:rsid w:val="00C23452"/>
    <w:rsid w:val="00C235BF"/>
    <w:rsid w:val="00C2390C"/>
    <w:rsid w:val="00C23A27"/>
    <w:rsid w:val="00C23C76"/>
    <w:rsid w:val="00C23C8B"/>
    <w:rsid w:val="00C23EAD"/>
    <w:rsid w:val="00C23FC7"/>
    <w:rsid w:val="00C24991"/>
    <w:rsid w:val="00C250DF"/>
    <w:rsid w:val="00C254E6"/>
    <w:rsid w:val="00C25865"/>
    <w:rsid w:val="00C25F61"/>
    <w:rsid w:val="00C25FEE"/>
    <w:rsid w:val="00C26043"/>
    <w:rsid w:val="00C262C2"/>
    <w:rsid w:val="00C26B5A"/>
    <w:rsid w:val="00C26C9B"/>
    <w:rsid w:val="00C26D03"/>
    <w:rsid w:val="00C27B79"/>
    <w:rsid w:val="00C27D8C"/>
    <w:rsid w:val="00C30492"/>
    <w:rsid w:val="00C30922"/>
    <w:rsid w:val="00C30A02"/>
    <w:rsid w:val="00C31124"/>
    <w:rsid w:val="00C3172E"/>
    <w:rsid w:val="00C31EB3"/>
    <w:rsid w:val="00C32159"/>
    <w:rsid w:val="00C32494"/>
    <w:rsid w:val="00C325A9"/>
    <w:rsid w:val="00C3281C"/>
    <w:rsid w:val="00C32CC9"/>
    <w:rsid w:val="00C32D70"/>
    <w:rsid w:val="00C331CF"/>
    <w:rsid w:val="00C33C33"/>
    <w:rsid w:val="00C33C7E"/>
    <w:rsid w:val="00C33E38"/>
    <w:rsid w:val="00C33E76"/>
    <w:rsid w:val="00C3405E"/>
    <w:rsid w:val="00C34258"/>
    <w:rsid w:val="00C3456F"/>
    <w:rsid w:val="00C34A98"/>
    <w:rsid w:val="00C34D17"/>
    <w:rsid w:val="00C351B8"/>
    <w:rsid w:val="00C35DD3"/>
    <w:rsid w:val="00C35EA1"/>
    <w:rsid w:val="00C35F6A"/>
    <w:rsid w:val="00C365BE"/>
    <w:rsid w:val="00C365F8"/>
    <w:rsid w:val="00C367AC"/>
    <w:rsid w:val="00C367DD"/>
    <w:rsid w:val="00C367F6"/>
    <w:rsid w:val="00C3682B"/>
    <w:rsid w:val="00C36966"/>
    <w:rsid w:val="00C36F8E"/>
    <w:rsid w:val="00C3743F"/>
    <w:rsid w:val="00C374B4"/>
    <w:rsid w:val="00C3758F"/>
    <w:rsid w:val="00C3792E"/>
    <w:rsid w:val="00C40035"/>
    <w:rsid w:val="00C400E6"/>
    <w:rsid w:val="00C401DB"/>
    <w:rsid w:val="00C401F2"/>
    <w:rsid w:val="00C402B2"/>
    <w:rsid w:val="00C40408"/>
    <w:rsid w:val="00C404FD"/>
    <w:rsid w:val="00C40B95"/>
    <w:rsid w:val="00C40E0C"/>
    <w:rsid w:val="00C4100C"/>
    <w:rsid w:val="00C41B06"/>
    <w:rsid w:val="00C424F8"/>
    <w:rsid w:val="00C42518"/>
    <w:rsid w:val="00C42943"/>
    <w:rsid w:val="00C42A59"/>
    <w:rsid w:val="00C43793"/>
    <w:rsid w:val="00C43E26"/>
    <w:rsid w:val="00C43F68"/>
    <w:rsid w:val="00C43F6C"/>
    <w:rsid w:val="00C44198"/>
    <w:rsid w:val="00C4437E"/>
    <w:rsid w:val="00C44526"/>
    <w:rsid w:val="00C446EE"/>
    <w:rsid w:val="00C447E1"/>
    <w:rsid w:val="00C4558E"/>
    <w:rsid w:val="00C4591D"/>
    <w:rsid w:val="00C459AA"/>
    <w:rsid w:val="00C465DB"/>
    <w:rsid w:val="00C46B84"/>
    <w:rsid w:val="00C46E83"/>
    <w:rsid w:val="00C47170"/>
    <w:rsid w:val="00C473AA"/>
    <w:rsid w:val="00C474A7"/>
    <w:rsid w:val="00C47BD7"/>
    <w:rsid w:val="00C47C72"/>
    <w:rsid w:val="00C50002"/>
    <w:rsid w:val="00C502DB"/>
    <w:rsid w:val="00C50853"/>
    <w:rsid w:val="00C5093C"/>
    <w:rsid w:val="00C50AC7"/>
    <w:rsid w:val="00C519E7"/>
    <w:rsid w:val="00C51CD8"/>
    <w:rsid w:val="00C51DAA"/>
    <w:rsid w:val="00C521A4"/>
    <w:rsid w:val="00C522CA"/>
    <w:rsid w:val="00C52577"/>
    <w:rsid w:val="00C52620"/>
    <w:rsid w:val="00C52763"/>
    <w:rsid w:val="00C52A40"/>
    <w:rsid w:val="00C52BF5"/>
    <w:rsid w:val="00C53300"/>
    <w:rsid w:val="00C534E3"/>
    <w:rsid w:val="00C5361A"/>
    <w:rsid w:val="00C53E8B"/>
    <w:rsid w:val="00C5443C"/>
    <w:rsid w:val="00C5462B"/>
    <w:rsid w:val="00C54BA1"/>
    <w:rsid w:val="00C54C4D"/>
    <w:rsid w:val="00C54CB7"/>
    <w:rsid w:val="00C54F6F"/>
    <w:rsid w:val="00C54FAA"/>
    <w:rsid w:val="00C5547A"/>
    <w:rsid w:val="00C556FD"/>
    <w:rsid w:val="00C55CAB"/>
    <w:rsid w:val="00C55FB8"/>
    <w:rsid w:val="00C55FE9"/>
    <w:rsid w:val="00C5612C"/>
    <w:rsid w:val="00C568B2"/>
    <w:rsid w:val="00C56B9D"/>
    <w:rsid w:val="00C57155"/>
    <w:rsid w:val="00C57551"/>
    <w:rsid w:val="00C576F1"/>
    <w:rsid w:val="00C57D5D"/>
    <w:rsid w:val="00C57D66"/>
    <w:rsid w:val="00C60266"/>
    <w:rsid w:val="00C60438"/>
    <w:rsid w:val="00C6054B"/>
    <w:rsid w:val="00C60F15"/>
    <w:rsid w:val="00C6100E"/>
    <w:rsid w:val="00C61101"/>
    <w:rsid w:val="00C61272"/>
    <w:rsid w:val="00C61868"/>
    <w:rsid w:val="00C61A92"/>
    <w:rsid w:val="00C61F4F"/>
    <w:rsid w:val="00C61FFB"/>
    <w:rsid w:val="00C62006"/>
    <w:rsid w:val="00C62031"/>
    <w:rsid w:val="00C6254B"/>
    <w:rsid w:val="00C62B16"/>
    <w:rsid w:val="00C62B97"/>
    <w:rsid w:val="00C6319B"/>
    <w:rsid w:val="00C63686"/>
    <w:rsid w:val="00C63A4E"/>
    <w:rsid w:val="00C63CF2"/>
    <w:rsid w:val="00C63E1A"/>
    <w:rsid w:val="00C640B4"/>
    <w:rsid w:val="00C64214"/>
    <w:rsid w:val="00C64325"/>
    <w:rsid w:val="00C644C5"/>
    <w:rsid w:val="00C649A2"/>
    <w:rsid w:val="00C65336"/>
    <w:rsid w:val="00C6566D"/>
    <w:rsid w:val="00C657A6"/>
    <w:rsid w:val="00C6592A"/>
    <w:rsid w:val="00C65CBD"/>
    <w:rsid w:val="00C664D0"/>
    <w:rsid w:val="00C665E8"/>
    <w:rsid w:val="00C6669D"/>
    <w:rsid w:val="00C66CFC"/>
    <w:rsid w:val="00C66F58"/>
    <w:rsid w:val="00C672AA"/>
    <w:rsid w:val="00C676BE"/>
    <w:rsid w:val="00C6773C"/>
    <w:rsid w:val="00C678ED"/>
    <w:rsid w:val="00C67C79"/>
    <w:rsid w:val="00C70044"/>
    <w:rsid w:val="00C7025E"/>
    <w:rsid w:val="00C7064A"/>
    <w:rsid w:val="00C7065E"/>
    <w:rsid w:val="00C70B88"/>
    <w:rsid w:val="00C70CEA"/>
    <w:rsid w:val="00C71053"/>
    <w:rsid w:val="00C713CA"/>
    <w:rsid w:val="00C714C7"/>
    <w:rsid w:val="00C718CE"/>
    <w:rsid w:val="00C71C2A"/>
    <w:rsid w:val="00C71D9A"/>
    <w:rsid w:val="00C72BF2"/>
    <w:rsid w:val="00C72F22"/>
    <w:rsid w:val="00C73137"/>
    <w:rsid w:val="00C7323A"/>
    <w:rsid w:val="00C73564"/>
    <w:rsid w:val="00C7359C"/>
    <w:rsid w:val="00C73CD0"/>
    <w:rsid w:val="00C73D81"/>
    <w:rsid w:val="00C73EBD"/>
    <w:rsid w:val="00C73EC8"/>
    <w:rsid w:val="00C74186"/>
    <w:rsid w:val="00C742B2"/>
    <w:rsid w:val="00C74651"/>
    <w:rsid w:val="00C74802"/>
    <w:rsid w:val="00C74DCB"/>
    <w:rsid w:val="00C75071"/>
    <w:rsid w:val="00C751A8"/>
    <w:rsid w:val="00C753AD"/>
    <w:rsid w:val="00C7555A"/>
    <w:rsid w:val="00C75B37"/>
    <w:rsid w:val="00C75EAC"/>
    <w:rsid w:val="00C76327"/>
    <w:rsid w:val="00C76A87"/>
    <w:rsid w:val="00C76AD0"/>
    <w:rsid w:val="00C76BC1"/>
    <w:rsid w:val="00C76ECF"/>
    <w:rsid w:val="00C77323"/>
    <w:rsid w:val="00C777D1"/>
    <w:rsid w:val="00C7799F"/>
    <w:rsid w:val="00C77A02"/>
    <w:rsid w:val="00C77D85"/>
    <w:rsid w:val="00C77FD0"/>
    <w:rsid w:val="00C806DD"/>
    <w:rsid w:val="00C807D2"/>
    <w:rsid w:val="00C808B3"/>
    <w:rsid w:val="00C80D73"/>
    <w:rsid w:val="00C80E7A"/>
    <w:rsid w:val="00C81873"/>
    <w:rsid w:val="00C82157"/>
    <w:rsid w:val="00C8243D"/>
    <w:rsid w:val="00C82456"/>
    <w:rsid w:val="00C825F1"/>
    <w:rsid w:val="00C82913"/>
    <w:rsid w:val="00C8297E"/>
    <w:rsid w:val="00C831E1"/>
    <w:rsid w:val="00C83354"/>
    <w:rsid w:val="00C83619"/>
    <w:rsid w:val="00C83FBA"/>
    <w:rsid w:val="00C84485"/>
    <w:rsid w:val="00C844F6"/>
    <w:rsid w:val="00C846BF"/>
    <w:rsid w:val="00C849FA"/>
    <w:rsid w:val="00C84AB9"/>
    <w:rsid w:val="00C84BC1"/>
    <w:rsid w:val="00C8576E"/>
    <w:rsid w:val="00C85BED"/>
    <w:rsid w:val="00C85D84"/>
    <w:rsid w:val="00C8628C"/>
    <w:rsid w:val="00C868F1"/>
    <w:rsid w:val="00C86983"/>
    <w:rsid w:val="00C86A93"/>
    <w:rsid w:val="00C870D1"/>
    <w:rsid w:val="00C87447"/>
    <w:rsid w:val="00C874AA"/>
    <w:rsid w:val="00C87582"/>
    <w:rsid w:val="00C87747"/>
    <w:rsid w:val="00C877F5"/>
    <w:rsid w:val="00C87908"/>
    <w:rsid w:val="00C909EC"/>
    <w:rsid w:val="00C91406"/>
    <w:rsid w:val="00C9153B"/>
    <w:rsid w:val="00C91673"/>
    <w:rsid w:val="00C91AA8"/>
    <w:rsid w:val="00C91D09"/>
    <w:rsid w:val="00C920FD"/>
    <w:rsid w:val="00C922C0"/>
    <w:rsid w:val="00C92342"/>
    <w:rsid w:val="00C92507"/>
    <w:rsid w:val="00C92823"/>
    <w:rsid w:val="00C92E4A"/>
    <w:rsid w:val="00C92EEC"/>
    <w:rsid w:val="00C931E0"/>
    <w:rsid w:val="00C93578"/>
    <w:rsid w:val="00C93934"/>
    <w:rsid w:val="00C93BCB"/>
    <w:rsid w:val="00C93CB0"/>
    <w:rsid w:val="00C93D21"/>
    <w:rsid w:val="00C93D7F"/>
    <w:rsid w:val="00C93F99"/>
    <w:rsid w:val="00C9457A"/>
    <w:rsid w:val="00C94BAC"/>
    <w:rsid w:val="00C94C7A"/>
    <w:rsid w:val="00C94CB9"/>
    <w:rsid w:val="00C95047"/>
    <w:rsid w:val="00C9505E"/>
    <w:rsid w:val="00C952AA"/>
    <w:rsid w:val="00C956D9"/>
    <w:rsid w:val="00C95B07"/>
    <w:rsid w:val="00C95B91"/>
    <w:rsid w:val="00C95BC8"/>
    <w:rsid w:val="00C95DE7"/>
    <w:rsid w:val="00C95F58"/>
    <w:rsid w:val="00C963E3"/>
    <w:rsid w:val="00C968C7"/>
    <w:rsid w:val="00C96989"/>
    <w:rsid w:val="00C96A97"/>
    <w:rsid w:val="00C96BA7"/>
    <w:rsid w:val="00C96CBF"/>
    <w:rsid w:val="00C96D41"/>
    <w:rsid w:val="00C96F95"/>
    <w:rsid w:val="00C97D75"/>
    <w:rsid w:val="00C97EAA"/>
    <w:rsid w:val="00CA00C1"/>
    <w:rsid w:val="00CA09A0"/>
    <w:rsid w:val="00CA1C76"/>
    <w:rsid w:val="00CA21E5"/>
    <w:rsid w:val="00CA2C42"/>
    <w:rsid w:val="00CA38CB"/>
    <w:rsid w:val="00CA39FC"/>
    <w:rsid w:val="00CA3EF1"/>
    <w:rsid w:val="00CA415E"/>
    <w:rsid w:val="00CA44C3"/>
    <w:rsid w:val="00CA499F"/>
    <w:rsid w:val="00CA4BEB"/>
    <w:rsid w:val="00CA503D"/>
    <w:rsid w:val="00CA518F"/>
    <w:rsid w:val="00CA6415"/>
    <w:rsid w:val="00CA6571"/>
    <w:rsid w:val="00CA68C0"/>
    <w:rsid w:val="00CA6B0A"/>
    <w:rsid w:val="00CA7538"/>
    <w:rsid w:val="00CA75DE"/>
    <w:rsid w:val="00CA781A"/>
    <w:rsid w:val="00CA78E1"/>
    <w:rsid w:val="00CA7AF9"/>
    <w:rsid w:val="00CB0313"/>
    <w:rsid w:val="00CB0327"/>
    <w:rsid w:val="00CB0929"/>
    <w:rsid w:val="00CB1CEA"/>
    <w:rsid w:val="00CB212A"/>
    <w:rsid w:val="00CB251E"/>
    <w:rsid w:val="00CB2B47"/>
    <w:rsid w:val="00CB2CD3"/>
    <w:rsid w:val="00CB370D"/>
    <w:rsid w:val="00CB387B"/>
    <w:rsid w:val="00CB3A35"/>
    <w:rsid w:val="00CB3A77"/>
    <w:rsid w:val="00CB41F5"/>
    <w:rsid w:val="00CB44FE"/>
    <w:rsid w:val="00CB4510"/>
    <w:rsid w:val="00CB4BBA"/>
    <w:rsid w:val="00CB55C4"/>
    <w:rsid w:val="00CB56D4"/>
    <w:rsid w:val="00CB5945"/>
    <w:rsid w:val="00CB5954"/>
    <w:rsid w:val="00CB5FB8"/>
    <w:rsid w:val="00CB6B63"/>
    <w:rsid w:val="00CB6BB8"/>
    <w:rsid w:val="00CB74ED"/>
    <w:rsid w:val="00CB779F"/>
    <w:rsid w:val="00CB792F"/>
    <w:rsid w:val="00CB7D0A"/>
    <w:rsid w:val="00CC00FA"/>
    <w:rsid w:val="00CC0460"/>
    <w:rsid w:val="00CC04D7"/>
    <w:rsid w:val="00CC05EC"/>
    <w:rsid w:val="00CC0D56"/>
    <w:rsid w:val="00CC1698"/>
    <w:rsid w:val="00CC1B34"/>
    <w:rsid w:val="00CC1DF3"/>
    <w:rsid w:val="00CC2E05"/>
    <w:rsid w:val="00CC2EA6"/>
    <w:rsid w:val="00CC3230"/>
    <w:rsid w:val="00CC40FC"/>
    <w:rsid w:val="00CC412F"/>
    <w:rsid w:val="00CC433E"/>
    <w:rsid w:val="00CC44BD"/>
    <w:rsid w:val="00CC456F"/>
    <w:rsid w:val="00CC4851"/>
    <w:rsid w:val="00CC48CE"/>
    <w:rsid w:val="00CC4BB9"/>
    <w:rsid w:val="00CC4CB1"/>
    <w:rsid w:val="00CC4F6F"/>
    <w:rsid w:val="00CC50E0"/>
    <w:rsid w:val="00CC533A"/>
    <w:rsid w:val="00CC5A94"/>
    <w:rsid w:val="00CC6104"/>
    <w:rsid w:val="00CC66E9"/>
    <w:rsid w:val="00CC68DE"/>
    <w:rsid w:val="00CC69AE"/>
    <w:rsid w:val="00CC7368"/>
    <w:rsid w:val="00CC7D25"/>
    <w:rsid w:val="00CC7DCB"/>
    <w:rsid w:val="00CD0006"/>
    <w:rsid w:val="00CD0115"/>
    <w:rsid w:val="00CD016E"/>
    <w:rsid w:val="00CD01DD"/>
    <w:rsid w:val="00CD1003"/>
    <w:rsid w:val="00CD1136"/>
    <w:rsid w:val="00CD11BF"/>
    <w:rsid w:val="00CD12BE"/>
    <w:rsid w:val="00CD14FD"/>
    <w:rsid w:val="00CD1D53"/>
    <w:rsid w:val="00CD201C"/>
    <w:rsid w:val="00CD21CB"/>
    <w:rsid w:val="00CD2256"/>
    <w:rsid w:val="00CD22FB"/>
    <w:rsid w:val="00CD244B"/>
    <w:rsid w:val="00CD339A"/>
    <w:rsid w:val="00CD3798"/>
    <w:rsid w:val="00CD37A1"/>
    <w:rsid w:val="00CD3A35"/>
    <w:rsid w:val="00CD485A"/>
    <w:rsid w:val="00CD4970"/>
    <w:rsid w:val="00CD4AE4"/>
    <w:rsid w:val="00CD4D13"/>
    <w:rsid w:val="00CD4D57"/>
    <w:rsid w:val="00CD557D"/>
    <w:rsid w:val="00CD5ACB"/>
    <w:rsid w:val="00CD5C1D"/>
    <w:rsid w:val="00CD5DA3"/>
    <w:rsid w:val="00CD64BD"/>
    <w:rsid w:val="00CD733D"/>
    <w:rsid w:val="00CD7ABE"/>
    <w:rsid w:val="00CE0083"/>
    <w:rsid w:val="00CE0467"/>
    <w:rsid w:val="00CE056A"/>
    <w:rsid w:val="00CE0825"/>
    <w:rsid w:val="00CE0CA3"/>
    <w:rsid w:val="00CE0E3E"/>
    <w:rsid w:val="00CE136E"/>
    <w:rsid w:val="00CE19E5"/>
    <w:rsid w:val="00CE210B"/>
    <w:rsid w:val="00CE2961"/>
    <w:rsid w:val="00CE2E25"/>
    <w:rsid w:val="00CE304F"/>
    <w:rsid w:val="00CE3057"/>
    <w:rsid w:val="00CE30B6"/>
    <w:rsid w:val="00CE3753"/>
    <w:rsid w:val="00CE427B"/>
    <w:rsid w:val="00CE441B"/>
    <w:rsid w:val="00CE4A53"/>
    <w:rsid w:val="00CE5122"/>
    <w:rsid w:val="00CE547D"/>
    <w:rsid w:val="00CE56AF"/>
    <w:rsid w:val="00CE5B42"/>
    <w:rsid w:val="00CE5BCF"/>
    <w:rsid w:val="00CE5CF8"/>
    <w:rsid w:val="00CE5E25"/>
    <w:rsid w:val="00CE6208"/>
    <w:rsid w:val="00CE667A"/>
    <w:rsid w:val="00CE6859"/>
    <w:rsid w:val="00CE6A30"/>
    <w:rsid w:val="00CE6F99"/>
    <w:rsid w:val="00CE70DF"/>
    <w:rsid w:val="00CE725C"/>
    <w:rsid w:val="00CE72F9"/>
    <w:rsid w:val="00CE7381"/>
    <w:rsid w:val="00CE73F8"/>
    <w:rsid w:val="00CE7499"/>
    <w:rsid w:val="00CE7EE9"/>
    <w:rsid w:val="00CF0049"/>
    <w:rsid w:val="00CF02F5"/>
    <w:rsid w:val="00CF03F5"/>
    <w:rsid w:val="00CF0D37"/>
    <w:rsid w:val="00CF0EFE"/>
    <w:rsid w:val="00CF0F17"/>
    <w:rsid w:val="00CF11F3"/>
    <w:rsid w:val="00CF1606"/>
    <w:rsid w:val="00CF1817"/>
    <w:rsid w:val="00CF191D"/>
    <w:rsid w:val="00CF210D"/>
    <w:rsid w:val="00CF2224"/>
    <w:rsid w:val="00CF2DE2"/>
    <w:rsid w:val="00CF329E"/>
    <w:rsid w:val="00CF3572"/>
    <w:rsid w:val="00CF3834"/>
    <w:rsid w:val="00CF3A32"/>
    <w:rsid w:val="00CF3ECC"/>
    <w:rsid w:val="00CF401A"/>
    <w:rsid w:val="00CF4170"/>
    <w:rsid w:val="00CF42ED"/>
    <w:rsid w:val="00CF4382"/>
    <w:rsid w:val="00CF4CC7"/>
    <w:rsid w:val="00CF4F2E"/>
    <w:rsid w:val="00CF5070"/>
    <w:rsid w:val="00CF5C32"/>
    <w:rsid w:val="00CF5CDC"/>
    <w:rsid w:val="00CF5CF1"/>
    <w:rsid w:val="00CF67B1"/>
    <w:rsid w:val="00CF6C27"/>
    <w:rsid w:val="00CF6C9D"/>
    <w:rsid w:val="00CF764B"/>
    <w:rsid w:val="00CF768C"/>
    <w:rsid w:val="00CF78FE"/>
    <w:rsid w:val="00CF7B57"/>
    <w:rsid w:val="00CF7D5E"/>
    <w:rsid w:val="00CF7E57"/>
    <w:rsid w:val="00D008A2"/>
    <w:rsid w:val="00D01255"/>
    <w:rsid w:val="00D01399"/>
    <w:rsid w:val="00D01735"/>
    <w:rsid w:val="00D0179D"/>
    <w:rsid w:val="00D029E1"/>
    <w:rsid w:val="00D02F6B"/>
    <w:rsid w:val="00D02FBD"/>
    <w:rsid w:val="00D03019"/>
    <w:rsid w:val="00D031AA"/>
    <w:rsid w:val="00D03256"/>
    <w:rsid w:val="00D03372"/>
    <w:rsid w:val="00D036C4"/>
    <w:rsid w:val="00D03FD1"/>
    <w:rsid w:val="00D04876"/>
    <w:rsid w:val="00D04C4B"/>
    <w:rsid w:val="00D04F95"/>
    <w:rsid w:val="00D0564C"/>
    <w:rsid w:val="00D059E6"/>
    <w:rsid w:val="00D05CA5"/>
    <w:rsid w:val="00D05D94"/>
    <w:rsid w:val="00D05EBF"/>
    <w:rsid w:val="00D0647E"/>
    <w:rsid w:val="00D06A52"/>
    <w:rsid w:val="00D06D3F"/>
    <w:rsid w:val="00D06EFE"/>
    <w:rsid w:val="00D07E6B"/>
    <w:rsid w:val="00D100ED"/>
    <w:rsid w:val="00D102E5"/>
    <w:rsid w:val="00D103C8"/>
    <w:rsid w:val="00D10750"/>
    <w:rsid w:val="00D10ED9"/>
    <w:rsid w:val="00D11027"/>
    <w:rsid w:val="00D1147E"/>
    <w:rsid w:val="00D11B0A"/>
    <w:rsid w:val="00D11D74"/>
    <w:rsid w:val="00D11DEF"/>
    <w:rsid w:val="00D11ECE"/>
    <w:rsid w:val="00D1207C"/>
    <w:rsid w:val="00D1214D"/>
    <w:rsid w:val="00D12262"/>
    <w:rsid w:val="00D12738"/>
    <w:rsid w:val="00D12975"/>
    <w:rsid w:val="00D12FBB"/>
    <w:rsid w:val="00D13322"/>
    <w:rsid w:val="00D13581"/>
    <w:rsid w:val="00D1384E"/>
    <w:rsid w:val="00D13AAC"/>
    <w:rsid w:val="00D13C64"/>
    <w:rsid w:val="00D13CB1"/>
    <w:rsid w:val="00D14DA5"/>
    <w:rsid w:val="00D14DD1"/>
    <w:rsid w:val="00D14E5F"/>
    <w:rsid w:val="00D15140"/>
    <w:rsid w:val="00D15E32"/>
    <w:rsid w:val="00D15EAA"/>
    <w:rsid w:val="00D163BA"/>
    <w:rsid w:val="00D163BC"/>
    <w:rsid w:val="00D16666"/>
    <w:rsid w:val="00D16CC9"/>
    <w:rsid w:val="00D16E4E"/>
    <w:rsid w:val="00D17443"/>
    <w:rsid w:val="00D17C13"/>
    <w:rsid w:val="00D20451"/>
    <w:rsid w:val="00D20717"/>
    <w:rsid w:val="00D215B7"/>
    <w:rsid w:val="00D21650"/>
    <w:rsid w:val="00D218D6"/>
    <w:rsid w:val="00D21A8F"/>
    <w:rsid w:val="00D21DE2"/>
    <w:rsid w:val="00D21FF5"/>
    <w:rsid w:val="00D22181"/>
    <w:rsid w:val="00D2244E"/>
    <w:rsid w:val="00D225F4"/>
    <w:rsid w:val="00D226F3"/>
    <w:rsid w:val="00D22989"/>
    <w:rsid w:val="00D233A1"/>
    <w:rsid w:val="00D234B5"/>
    <w:rsid w:val="00D234E8"/>
    <w:rsid w:val="00D23620"/>
    <w:rsid w:val="00D2369A"/>
    <w:rsid w:val="00D23D29"/>
    <w:rsid w:val="00D23FF2"/>
    <w:rsid w:val="00D2426E"/>
    <w:rsid w:val="00D24314"/>
    <w:rsid w:val="00D24331"/>
    <w:rsid w:val="00D24511"/>
    <w:rsid w:val="00D24624"/>
    <w:rsid w:val="00D24B91"/>
    <w:rsid w:val="00D252D2"/>
    <w:rsid w:val="00D25440"/>
    <w:rsid w:val="00D254FD"/>
    <w:rsid w:val="00D25543"/>
    <w:rsid w:val="00D2590E"/>
    <w:rsid w:val="00D2596A"/>
    <w:rsid w:val="00D25E86"/>
    <w:rsid w:val="00D261EE"/>
    <w:rsid w:val="00D2679F"/>
    <w:rsid w:val="00D26B4A"/>
    <w:rsid w:val="00D26BFB"/>
    <w:rsid w:val="00D26FAC"/>
    <w:rsid w:val="00D27039"/>
    <w:rsid w:val="00D271FA"/>
    <w:rsid w:val="00D2738E"/>
    <w:rsid w:val="00D27A4E"/>
    <w:rsid w:val="00D27A7E"/>
    <w:rsid w:val="00D27AB4"/>
    <w:rsid w:val="00D27C50"/>
    <w:rsid w:val="00D30658"/>
    <w:rsid w:val="00D3083E"/>
    <w:rsid w:val="00D3273C"/>
    <w:rsid w:val="00D32C20"/>
    <w:rsid w:val="00D32F32"/>
    <w:rsid w:val="00D32F47"/>
    <w:rsid w:val="00D332BD"/>
    <w:rsid w:val="00D33902"/>
    <w:rsid w:val="00D33D9D"/>
    <w:rsid w:val="00D34236"/>
    <w:rsid w:val="00D34473"/>
    <w:rsid w:val="00D34787"/>
    <w:rsid w:val="00D35126"/>
    <w:rsid w:val="00D35287"/>
    <w:rsid w:val="00D3549A"/>
    <w:rsid w:val="00D35DDC"/>
    <w:rsid w:val="00D360BA"/>
    <w:rsid w:val="00D36869"/>
    <w:rsid w:val="00D36C17"/>
    <w:rsid w:val="00D36C1D"/>
    <w:rsid w:val="00D3776C"/>
    <w:rsid w:val="00D37B7B"/>
    <w:rsid w:val="00D37C56"/>
    <w:rsid w:val="00D400F3"/>
    <w:rsid w:val="00D40499"/>
    <w:rsid w:val="00D407EE"/>
    <w:rsid w:val="00D40AEC"/>
    <w:rsid w:val="00D40D94"/>
    <w:rsid w:val="00D40ED6"/>
    <w:rsid w:val="00D4152E"/>
    <w:rsid w:val="00D417EC"/>
    <w:rsid w:val="00D419D6"/>
    <w:rsid w:val="00D41A58"/>
    <w:rsid w:val="00D41E0B"/>
    <w:rsid w:val="00D420A2"/>
    <w:rsid w:val="00D422FC"/>
    <w:rsid w:val="00D423B0"/>
    <w:rsid w:val="00D425DA"/>
    <w:rsid w:val="00D42725"/>
    <w:rsid w:val="00D42909"/>
    <w:rsid w:val="00D43528"/>
    <w:rsid w:val="00D43ADC"/>
    <w:rsid w:val="00D43F3E"/>
    <w:rsid w:val="00D44057"/>
    <w:rsid w:val="00D44843"/>
    <w:rsid w:val="00D44B02"/>
    <w:rsid w:val="00D44BF3"/>
    <w:rsid w:val="00D44F1F"/>
    <w:rsid w:val="00D44F76"/>
    <w:rsid w:val="00D44FD9"/>
    <w:rsid w:val="00D451F0"/>
    <w:rsid w:val="00D451FF"/>
    <w:rsid w:val="00D454CD"/>
    <w:rsid w:val="00D45A9A"/>
    <w:rsid w:val="00D45C0F"/>
    <w:rsid w:val="00D45DAB"/>
    <w:rsid w:val="00D45FF4"/>
    <w:rsid w:val="00D460B7"/>
    <w:rsid w:val="00D46323"/>
    <w:rsid w:val="00D46C5D"/>
    <w:rsid w:val="00D47885"/>
    <w:rsid w:val="00D47E75"/>
    <w:rsid w:val="00D50A5B"/>
    <w:rsid w:val="00D50A8C"/>
    <w:rsid w:val="00D50B54"/>
    <w:rsid w:val="00D50C43"/>
    <w:rsid w:val="00D511AA"/>
    <w:rsid w:val="00D51255"/>
    <w:rsid w:val="00D5168A"/>
    <w:rsid w:val="00D51774"/>
    <w:rsid w:val="00D517F6"/>
    <w:rsid w:val="00D51C5A"/>
    <w:rsid w:val="00D52191"/>
    <w:rsid w:val="00D5272E"/>
    <w:rsid w:val="00D5287A"/>
    <w:rsid w:val="00D52B47"/>
    <w:rsid w:val="00D52B9A"/>
    <w:rsid w:val="00D52F2C"/>
    <w:rsid w:val="00D5309C"/>
    <w:rsid w:val="00D53119"/>
    <w:rsid w:val="00D5330C"/>
    <w:rsid w:val="00D53524"/>
    <w:rsid w:val="00D53F58"/>
    <w:rsid w:val="00D541C6"/>
    <w:rsid w:val="00D5458E"/>
    <w:rsid w:val="00D5474D"/>
    <w:rsid w:val="00D54E55"/>
    <w:rsid w:val="00D55197"/>
    <w:rsid w:val="00D568A1"/>
    <w:rsid w:val="00D568F6"/>
    <w:rsid w:val="00D56CAA"/>
    <w:rsid w:val="00D56EC3"/>
    <w:rsid w:val="00D57583"/>
    <w:rsid w:val="00D57BCA"/>
    <w:rsid w:val="00D57E05"/>
    <w:rsid w:val="00D60081"/>
    <w:rsid w:val="00D600FB"/>
    <w:rsid w:val="00D60550"/>
    <w:rsid w:val="00D608BB"/>
    <w:rsid w:val="00D60C21"/>
    <w:rsid w:val="00D60C6F"/>
    <w:rsid w:val="00D6123F"/>
    <w:rsid w:val="00D612CF"/>
    <w:rsid w:val="00D61706"/>
    <w:rsid w:val="00D622E3"/>
    <w:rsid w:val="00D62546"/>
    <w:rsid w:val="00D625FA"/>
    <w:rsid w:val="00D62626"/>
    <w:rsid w:val="00D62B87"/>
    <w:rsid w:val="00D62CDA"/>
    <w:rsid w:val="00D62FB8"/>
    <w:rsid w:val="00D63727"/>
    <w:rsid w:val="00D63B02"/>
    <w:rsid w:val="00D63EE1"/>
    <w:rsid w:val="00D63FBD"/>
    <w:rsid w:val="00D64061"/>
    <w:rsid w:val="00D645FF"/>
    <w:rsid w:val="00D64B5D"/>
    <w:rsid w:val="00D64F34"/>
    <w:rsid w:val="00D6599C"/>
    <w:rsid w:val="00D65F81"/>
    <w:rsid w:val="00D6620F"/>
    <w:rsid w:val="00D664A8"/>
    <w:rsid w:val="00D664FC"/>
    <w:rsid w:val="00D66DA8"/>
    <w:rsid w:val="00D670C1"/>
    <w:rsid w:val="00D67987"/>
    <w:rsid w:val="00D67B7D"/>
    <w:rsid w:val="00D70187"/>
    <w:rsid w:val="00D703AC"/>
    <w:rsid w:val="00D704E4"/>
    <w:rsid w:val="00D705A4"/>
    <w:rsid w:val="00D705AC"/>
    <w:rsid w:val="00D70665"/>
    <w:rsid w:val="00D707D7"/>
    <w:rsid w:val="00D70803"/>
    <w:rsid w:val="00D7083B"/>
    <w:rsid w:val="00D70C63"/>
    <w:rsid w:val="00D710CD"/>
    <w:rsid w:val="00D71807"/>
    <w:rsid w:val="00D71911"/>
    <w:rsid w:val="00D7221F"/>
    <w:rsid w:val="00D729A8"/>
    <w:rsid w:val="00D72FE9"/>
    <w:rsid w:val="00D731A6"/>
    <w:rsid w:val="00D7346E"/>
    <w:rsid w:val="00D73898"/>
    <w:rsid w:val="00D73972"/>
    <w:rsid w:val="00D739B6"/>
    <w:rsid w:val="00D739E6"/>
    <w:rsid w:val="00D739FC"/>
    <w:rsid w:val="00D73C0E"/>
    <w:rsid w:val="00D73CDD"/>
    <w:rsid w:val="00D74150"/>
    <w:rsid w:val="00D749B2"/>
    <w:rsid w:val="00D74CEA"/>
    <w:rsid w:val="00D74D45"/>
    <w:rsid w:val="00D7513B"/>
    <w:rsid w:val="00D75175"/>
    <w:rsid w:val="00D7523B"/>
    <w:rsid w:val="00D75404"/>
    <w:rsid w:val="00D76187"/>
    <w:rsid w:val="00D77208"/>
    <w:rsid w:val="00D801DD"/>
    <w:rsid w:val="00D802D4"/>
    <w:rsid w:val="00D804A1"/>
    <w:rsid w:val="00D804D4"/>
    <w:rsid w:val="00D80C3A"/>
    <w:rsid w:val="00D8107C"/>
    <w:rsid w:val="00D81179"/>
    <w:rsid w:val="00D8206A"/>
    <w:rsid w:val="00D82647"/>
    <w:rsid w:val="00D82711"/>
    <w:rsid w:val="00D82835"/>
    <w:rsid w:val="00D82FEF"/>
    <w:rsid w:val="00D838DF"/>
    <w:rsid w:val="00D83C16"/>
    <w:rsid w:val="00D83DB1"/>
    <w:rsid w:val="00D8448E"/>
    <w:rsid w:val="00D84687"/>
    <w:rsid w:val="00D84C1A"/>
    <w:rsid w:val="00D85371"/>
    <w:rsid w:val="00D85399"/>
    <w:rsid w:val="00D85434"/>
    <w:rsid w:val="00D85C40"/>
    <w:rsid w:val="00D86212"/>
    <w:rsid w:val="00D86A8F"/>
    <w:rsid w:val="00D86BBB"/>
    <w:rsid w:val="00D86CD8"/>
    <w:rsid w:val="00D870C7"/>
    <w:rsid w:val="00D87675"/>
    <w:rsid w:val="00D877D6"/>
    <w:rsid w:val="00D878E2"/>
    <w:rsid w:val="00D87B4B"/>
    <w:rsid w:val="00D87FB7"/>
    <w:rsid w:val="00D90242"/>
    <w:rsid w:val="00D9056B"/>
    <w:rsid w:val="00D905AA"/>
    <w:rsid w:val="00D9072E"/>
    <w:rsid w:val="00D9088F"/>
    <w:rsid w:val="00D908CE"/>
    <w:rsid w:val="00D90DA8"/>
    <w:rsid w:val="00D90DCE"/>
    <w:rsid w:val="00D90F0D"/>
    <w:rsid w:val="00D911D2"/>
    <w:rsid w:val="00D9124B"/>
    <w:rsid w:val="00D916F0"/>
    <w:rsid w:val="00D925D2"/>
    <w:rsid w:val="00D926B3"/>
    <w:rsid w:val="00D92D1A"/>
    <w:rsid w:val="00D92D8B"/>
    <w:rsid w:val="00D93932"/>
    <w:rsid w:val="00D93F99"/>
    <w:rsid w:val="00D94079"/>
    <w:rsid w:val="00D94106"/>
    <w:rsid w:val="00D9465B"/>
    <w:rsid w:val="00D94CCE"/>
    <w:rsid w:val="00D94FC8"/>
    <w:rsid w:val="00D953B6"/>
    <w:rsid w:val="00D95FFD"/>
    <w:rsid w:val="00D961C7"/>
    <w:rsid w:val="00D96384"/>
    <w:rsid w:val="00D9665C"/>
    <w:rsid w:val="00D96C70"/>
    <w:rsid w:val="00D96E6B"/>
    <w:rsid w:val="00D96FE1"/>
    <w:rsid w:val="00D974E6"/>
    <w:rsid w:val="00D9750F"/>
    <w:rsid w:val="00D9763B"/>
    <w:rsid w:val="00D97844"/>
    <w:rsid w:val="00D97C72"/>
    <w:rsid w:val="00DA03B7"/>
    <w:rsid w:val="00DA06F3"/>
    <w:rsid w:val="00DA076A"/>
    <w:rsid w:val="00DA0DDD"/>
    <w:rsid w:val="00DA126F"/>
    <w:rsid w:val="00DA1385"/>
    <w:rsid w:val="00DA1466"/>
    <w:rsid w:val="00DA15C7"/>
    <w:rsid w:val="00DA1BF6"/>
    <w:rsid w:val="00DA1C13"/>
    <w:rsid w:val="00DA1E28"/>
    <w:rsid w:val="00DA27B5"/>
    <w:rsid w:val="00DA2855"/>
    <w:rsid w:val="00DA3661"/>
    <w:rsid w:val="00DA3747"/>
    <w:rsid w:val="00DA38F8"/>
    <w:rsid w:val="00DA3C02"/>
    <w:rsid w:val="00DA404E"/>
    <w:rsid w:val="00DA40BF"/>
    <w:rsid w:val="00DA44CE"/>
    <w:rsid w:val="00DA495B"/>
    <w:rsid w:val="00DA538D"/>
    <w:rsid w:val="00DA564B"/>
    <w:rsid w:val="00DA5C70"/>
    <w:rsid w:val="00DA62FB"/>
    <w:rsid w:val="00DA6698"/>
    <w:rsid w:val="00DA69C5"/>
    <w:rsid w:val="00DA6B78"/>
    <w:rsid w:val="00DA6DA5"/>
    <w:rsid w:val="00DA71FE"/>
    <w:rsid w:val="00DA74D8"/>
    <w:rsid w:val="00DA7716"/>
    <w:rsid w:val="00DA7BE4"/>
    <w:rsid w:val="00DB0254"/>
    <w:rsid w:val="00DB0606"/>
    <w:rsid w:val="00DB0780"/>
    <w:rsid w:val="00DB0B72"/>
    <w:rsid w:val="00DB177D"/>
    <w:rsid w:val="00DB19F6"/>
    <w:rsid w:val="00DB1A65"/>
    <w:rsid w:val="00DB1C78"/>
    <w:rsid w:val="00DB250B"/>
    <w:rsid w:val="00DB265F"/>
    <w:rsid w:val="00DB28D4"/>
    <w:rsid w:val="00DB2FA0"/>
    <w:rsid w:val="00DB31AC"/>
    <w:rsid w:val="00DB3616"/>
    <w:rsid w:val="00DB3A44"/>
    <w:rsid w:val="00DB4526"/>
    <w:rsid w:val="00DB4549"/>
    <w:rsid w:val="00DB484F"/>
    <w:rsid w:val="00DB4A22"/>
    <w:rsid w:val="00DB4ABB"/>
    <w:rsid w:val="00DB4C83"/>
    <w:rsid w:val="00DB4E91"/>
    <w:rsid w:val="00DB50D3"/>
    <w:rsid w:val="00DB5530"/>
    <w:rsid w:val="00DB57DC"/>
    <w:rsid w:val="00DB5AEA"/>
    <w:rsid w:val="00DB621B"/>
    <w:rsid w:val="00DB65F9"/>
    <w:rsid w:val="00DB66F7"/>
    <w:rsid w:val="00DB6B2F"/>
    <w:rsid w:val="00DB6C73"/>
    <w:rsid w:val="00DB754C"/>
    <w:rsid w:val="00DB76FA"/>
    <w:rsid w:val="00DB7A67"/>
    <w:rsid w:val="00DB7E1C"/>
    <w:rsid w:val="00DC0127"/>
    <w:rsid w:val="00DC066F"/>
    <w:rsid w:val="00DC07D4"/>
    <w:rsid w:val="00DC0F02"/>
    <w:rsid w:val="00DC0F35"/>
    <w:rsid w:val="00DC1568"/>
    <w:rsid w:val="00DC1750"/>
    <w:rsid w:val="00DC18F2"/>
    <w:rsid w:val="00DC1ACA"/>
    <w:rsid w:val="00DC1BEF"/>
    <w:rsid w:val="00DC1CBF"/>
    <w:rsid w:val="00DC1CE1"/>
    <w:rsid w:val="00DC1F7A"/>
    <w:rsid w:val="00DC20DD"/>
    <w:rsid w:val="00DC2163"/>
    <w:rsid w:val="00DC22FA"/>
    <w:rsid w:val="00DC28E5"/>
    <w:rsid w:val="00DC2A66"/>
    <w:rsid w:val="00DC2BB3"/>
    <w:rsid w:val="00DC377F"/>
    <w:rsid w:val="00DC3CD5"/>
    <w:rsid w:val="00DC40F4"/>
    <w:rsid w:val="00DC4513"/>
    <w:rsid w:val="00DC4661"/>
    <w:rsid w:val="00DC46BC"/>
    <w:rsid w:val="00DC4A3B"/>
    <w:rsid w:val="00DC509A"/>
    <w:rsid w:val="00DC5242"/>
    <w:rsid w:val="00DC5345"/>
    <w:rsid w:val="00DC63DE"/>
    <w:rsid w:val="00DC6874"/>
    <w:rsid w:val="00DC6D6D"/>
    <w:rsid w:val="00DC7CA9"/>
    <w:rsid w:val="00DC7DC3"/>
    <w:rsid w:val="00DD0AC8"/>
    <w:rsid w:val="00DD0EE6"/>
    <w:rsid w:val="00DD13DB"/>
    <w:rsid w:val="00DD1540"/>
    <w:rsid w:val="00DD18FF"/>
    <w:rsid w:val="00DD2001"/>
    <w:rsid w:val="00DD224D"/>
    <w:rsid w:val="00DD24E1"/>
    <w:rsid w:val="00DD2699"/>
    <w:rsid w:val="00DD2A7F"/>
    <w:rsid w:val="00DD3422"/>
    <w:rsid w:val="00DD3620"/>
    <w:rsid w:val="00DD3929"/>
    <w:rsid w:val="00DD39D4"/>
    <w:rsid w:val="00DD3A5A"/>
    <w:rsid w:val="00DD3AD1"/>
    <w:rsid w:val="00DD3DAE"/>
    <w:rsid w:val="00DD3E24"/>
    <w:rsid w:val="00DD41FF"/>
    <w:rsid w:val="00DD423F"/>
    <w:rsid w:val="00DD4C77"/>
    <w:rsid w:val="00DD4CA2"/>
    <w:rsid w:val="00DD4D72"/>
    <w:rsid w:val="00DD4DC2"/>
    <w:rsid w:val="00DD534A"/>
    <w:rsid w:val="00DD56AC"/>
    <w:rsid w:val="00DD5C8B"/>
    <w:rsid w:val="00DD5CBE"/>
    <w:rsid w:val="00DD607E"/>
    <w:rsid w:val="00DD6E06"/>
    <w:rsid w:val="00DD7E49"/>
    <w:rsid w:val="00DE03E6"/>
    <w:rsid w:val="00DE04BC"/>
    <w:rsid w:val="00DE0AEA"/>
    <w:rsid w:val="00DE0B5F"/>
    <w:rsid w:val="00DE1292"/>
    <w:rsid w:val="00DE1C43"/>
    <w:rsid w:val="00DE2183"/>
    <w:rsid w:val="00DE227B"/>
    <w:rsid w:val="00DE2312"/>
    <w:rsid w:val="00DE2481"/>
    <w:rsid w:val="00DE270B"/>
    <w:rsid w:val="00DE2798"/>
    <w:rsid w:val="00DE2B75"/>
    <w:rsid w:val="00DE2DE0"/>
    <w:rsid w:val="00DE2EC5"/>
    <w:rsid w:val="00DE325C"/>
    <w:rsid w:val="00DE3B0B"/>
    <w:rsid w:val="00DE3C30"/>
    <w:rsid w:val="00DE3ED8"/>
    <w:rsid w:val="00DE3FF0"/>
    <w:rsid w:val="00DE416F"/>
    <w:rsid w:val="00DE4417"/>
    <w:rsid w:val="00DE4ADF"/>
    <w:rsid w:val="00DE4FE3"/>
    <w:rsid w:val="00DE520F"/>
    <w:rsid w:val="00DE558D"/>
    <w:rsid w:val="00DE5975"/>
    <w:rsid w:val="00DE5DA6"/>
    <w:rsid w:val="00DE5FB0"/>
    <w:rsid w:val="00DE644F"/>
    <w:rsid w:val="00DE6785"/>
    <w:rsid w:val="00DE6F2F"/>
    <w:rsid w:val="00DE7301"/>
    <w:rsid w:val="00DE78B1"/>
    <w:rsid w:val="00DE79D4"/>
    <w:rsid w:val="00DE7D95"/>
    <w:rsid w:val="00DF01B2"/>
    <w:rsid w:val="00DF01FB"/>
    <w:rsid w:val="00DF096F"/>
    <w:rsid w:val="00DF0A94"/>
    <w:rsid w:val="00DF0D42"/>
    <w:rsid w:val="00DF1ACA"/>
    <w:rsid w:val="00DF1B08"/>
    <w:rsid w:val="00DF2470"/>
    <w:rsid w:val="00DF2475"/>
    <w:rsid w:val="00DF268F"/>
    <w:rsid w:val="00DF2AED"/>
    <w:rsid w:val="00DF2C01"/>
    <w:rsid w:val="00DF2D87"/>
    <w:rsid w:val="00DF2E8B"/>
    <w:rsid w:val="00DF2EED"/>
    <w:rsid w:val="00DF3186"/>
    <w:rsid w:val="00DF35F5"/>
    <w:rsid w:val="00DF360F"/>
    <w:rsid w:val="00DF392C"/>
    <w:rsid w:val="00DF3ACE"/>
    <w:rsid w:val="00DF3F30"/>
    <w:rsid w:val="00DF4403"/>
    <w:rsid w:val="00DF44AB"/>
    <w:rsid w:val="00DF44B9"/>
    <w:rsid w:val="00DF48E7"/>
    <w:rsid w:val="00DF4D11"/>
    <w:rsid w:val="00DF4D3A"/>
    <w:rsid w:val="00DF5CDF"/>
    <w:rsid w:val="00DF5FCD"/>
    <w:rsid w:val="00DF64E2"/>
    <w:rsid w:val="00DF66EC"/>
    <w:rsid w:val="00DF67C9"/>
    <w:rsid w:val="00DF6CDE"/>
    <w:rsid w:val="00DF6CF1"/>
    <w:rsid w:val="00DF7065"/>
    <w:rsid w:val="00DF70EB"/>
    <w:rsid w:val="00DF7877"/>
    <w:rsid w:val="00DF7B48"/>
    <w:rsid w:val="00E003E1"/>
    <w:rsid w:val="00E00508"/>
    <w:rsid w:val="00E0073C"/>
    <w:rsid w:val="00E00F04"/>
    <w:rsid w:val="00E00FEB"/>
    <w:rsid w:val="00E0142E"/>
    <w:rsid w:val="00E0170D"/>
    <w:rsid w:val="00E01804"/>
    <w:rsid w:val="00E01AD3"/>
    <w:rsid w:val="00E01B88"/>
    <w:rsid w:val="00E01EC6"/>
    <w:rsid w:val="00E020A7"/>
    <w:rsid w:val="00E0226C"/>
    <w:rsid w:val="00E022D6"/>
    <w:rsid w:val="00E025E0"/>
    <w:rsid w:val="00E027CA"/>
    <w:rsid w:val="00E02C67"/>
    <w:rsid w:val="00E02F03"/>
    <w:rsid w:val="00E03333"/>
    <w:rsid w:val="00E0351C"/>
    <w:rsid w:val="00E03A1D"/>
    <w:rsid w:val="00E041ED"/>
    <w:rsid w:val="00E04961"/>
    <w:rsid w:val="00E0518A"/>
    <w:rsid w:val="00E051E1"/>
    <w:rsid w:val="00E05350"/>
    <w:rsid w:val="00E0546B"/>
    <w:rsid w:val="00E056BD"/>
    <w:rsid w:val="00E0626C"/>
    <w:rsid w:val="00E0664F"/>
    <w:rsid w:val="00E06E7E"/>
    <w:rsid w:val="00E06E9E"/>
    <w:rsid w:val="00E0736B"/>
    <w:rsid w:val="00E077BD"/>
    <w:rsid w:val="00E07838"/>
    <w:rsid w:val="00E07AD1"/>
    <w:rsid w:val="00E07B83"/>
    <w:rsid w:val="00E1003F"/>
    <w:rsid w:val="00E100D9"/>
    <w:rsid w:val="00E10167"/>
    <w:rsid w:val="00E10A79"/>
    <w:rsid w:val="00E11011"/>
    <w:rsid w:val="00E1119B"/>
    <w:rsid w:val="00E11212"/>
    <w:rsid w:val="00E115E1"/>
    <w:rsid w:val="00E116B1"/>
    <w:rsid w:val="00E1179D"/>
    <w:rsid w:val="00E124E1"/>
    <w:rsid w:val="00E128AA"/>
    <w:rsid w:val="00E12BD8"/>
    <w:rsid w:val="00E13279"/>
    <w:rsid w:val="00E134E3"/>
    <w:rsid w:val="00E14363"/>
    <w:rsid w:val="00E145C8"/>
    <w:rsid w:val="00E147FB"/>
    <w:rsid w:val="00E148D3"/>
    <w:rsid w:val="00E14D96"/>
    <w:rsid w:val="00E15466"/>
    <w:rsid w:val="00E1559C"/>
    <w:rsid w:val="00E1563A"/>
    <w:rsid w:val="00E1578F"/>
    <w:rsid w:val="00E16196"/>
    <w:rsid w:val="00E16406"/>
    <w:rsid w:val="00E16447"/>
    <w:rsid w:val="00E17C09"/>
    <w:rsid w:val="00E20711"/>
    <w:rsid w:val="00E20C86"/>
    <w:rsid w:val="00E20F03"/>
    <w:rsid w:val="00E21394"/>
    <w:rsid w:val="00E213C5"/>
    <w:rsid w:val="00E2187C"/>
    <w:rsid w:val="00E21A8F"/>
    <w:rsid w:val="00E2211C"/>
    <w:rsid w:val="00E22242"/>
    <w:rsid w:val="00E227A3"/>
    <w:rsid w:val="00E22979"/>
    <w:rsid w:val="00E22E81"/>
    <w:rsid w:val="00E236CB"/>
    <w:rsid w:val="00E238ED"/>
    <w:rsid w:val="00E23DE6"/>
    <w:rsid w:val="00E24104"/>
    <w:rsid w:val="00E25443"/>
    <w:rsid w:val="00E256BC"/>
    <w:rsid w:val="00E256E8"/>
    <w:rsid w:val="00E25C05"/>
    <w:rsid w:val="00E25CC6"/>
    <w:rsid w:val="00E260D5"/>
    <w:rsid w:val="00E267E4"/>
    <w:rsid w:val="00E26D71"/>
    <w:rsid w:val="00E2705F"/>
    <w:rsid w:val="00E27120"/>
    <w:rsid w:val="00E27277"/>
    <w:rsid w:val="00E275BD"/>
    <w:rsid w:val="00E27B55"/>
    <w:rsid w:val="00E3018F"/>
    <w:rsid w:val="00E305DE"/>
    <w:rsid w:val="00E3065D"/>
    <w:rsid w:val="00E30670"/>
    <w:rsid w:val="00E30AA9"/>
    <w:rsid w:val="00E30C9A"/>
    <w:rsid w:val="00E30E45"/>
    <w:rsid w:val="00E31157"/>
    <w:rsid w:val="00E311C0"/>
    <w:rsid w:val="00E313FC"/>
    <w:rsid w:val="00E31F54"/>
    <w:rsid w:val="00E31F9B"/>
    <w:rsid w:val="00E32002"/>
    <w:rsid w:val="00E32027"/>
    <w:rsid w:val="00E3223C"/>
    <w:rsid w:val="00E32709"/>
    <w:rsid w:val="00E3282D"/>
    <w:rsid w:val="00E32906"/>
    <w:rsid w:val="00E32B39"/>
    <w:rsid w:val="00E332D8"/>
    <w:rsid w:val="00E33705"/>
    <w:rsid w:val="00E33707"/>
    <w:rsid w:val="00E33B8A"/>
    <w:rsid w:val="00E33BFE"/>
    <w:rsid w:val="00E33F7B"/>
    <w:rsid w:val="00E340C9"/>
    <w:rsid w:val="00E34242"/>
    <w:rsid w:val="00E34358"/>
    <w:rsid w:val="00E346EA"/>
    <w:rsid w:val="00E34873"/>
    <w:rsid w:val="00E348EA"/>
    <w:rsid w:val="00E34A7C"/>
    <w:rsid w:val="00E34D42"/>
    <w:rsid w:val="00E357C8"/>
    <w:rsid w:val="00E35F7A"/>
    <w:rsid w:val="00E36B26"/>
    <w:rsid w:val="00E36D94"/>
    <w:rsid w:val="00E36DB7"/>
    <w:rsid w:val="00E3722A"/>
    <w:rsid w:val="00E372AF"/>
    <w:rsid w:val="00E3751C"/>
    <w:rsid w:val="00E379B5"/>
    <w:rsid w:val="00E37EB3"/>
    <w:rsid w:val="00E37FF2"/>
    <w:rsid w:val="00E4019C"/>
    <w:rsid w:val="00E40237"/>
    <w:rsid w:val="00E403E0"/>
    <w:rsid w:val="00E40F12"/>
    <w:rsid w:val="00E411A8"/>
    <w:rsid w:val="00E416AB"/>
    <w:rsid w:val="00E4177F"/>
    <w:rsid w:val="00E4193E"/>
    <w:rsid w:val="00E41B7C"/>
    <w:rsid w:val="00E41BD7"/>
    <w:rsid w:val="00E41C3D"/>
    <w:rsid w:val="00E41C55"/>
    <w:rsid w:val="00E424B8"/>
    <w:rsid w:val="00E424B9"/>
    <w:rsid w:val="00E43108"/>
    <w:rsid w:val="00E433FE"/>
    <w:rsid w:val="00E43542"/>
    <w:rsid w:val="00E435BC"/>
    <w:rsid w:val="00E436D3"/>
    <w:rsid w:val="00E43FC6"/>
    <w:rsid w:val="00E440B5"/>
    <w:rsid w:val="00E440DF"/>
    <w:rsid w:val="00E443BE"/>
    <w:rsid w:val="00E4457D"/>
    <w:rsid w:val="00E44934"/>
    <w:rsid w:val="00E4500B"/>
    <w:rsid w:val="00E4538A"/>
    <w:rsid w:val="00E4557E"/>
    <w:rsid w:val="00E456AB"/>
    <w:rsid w:val="00E459A0"/>
    <w:rsid w:val="00E45C5D"/>
    <w:rsid w:val="00E45E9B"/>
    <w:rsid w:val="00E45ECA"/>
    <w:rsid w:val="00E46007"/>
    <w:rsid w:val="00E462EF"/>
    <w:rsid w:val="00E4662F"/>
    <w:rsid w:val="00E46635"/>
    <w:rsid w:val="00E46823"/>
    <w:rsid w:val="00E47466"/>
    <w:rsid w:val="00E4798C"/>
    <w:rsid w:val="00E5042E"/>
    <w:rsid w:val="00E5053C"/>
    <w:rsid w:val="00E50728"/>
    <w:rsid w:val="00E50FDE"/>
    <w:rsid w:val="00E5140D"/>
    <w:rsid w:val="00E51686"/>
    <w:rsid w:val="00E519BD"/>
    <w:rsid w:val="00E51A52"/>
    <w:rsid w:val="00E52549"/>
    <w:rsid w:val="00E525FF"/>
    <w:rsid w:val="00E52EAF"/>
    <w:rsid w:val="00E532C6"/>
    <w:rsid w:val="00E5376E"/>
    <w:rsid w:val="00E53D66"/>
    <w:rsid w:val="00E541AC"/>
    <w:rsid w:val="00E544FC"/>
    <w:rsid w:val="00E545E4"/>
    <w:rsid w:val="00E54815"/>
    <w:rsid w:val="00E54E87"/>
    <w:rsid w:val="00E5528A"/>
    <w:rsid w:val="00E55358"/>
    <w:rsid w:val="00E553B4"/>
    <w:rsid w:val="00E55676"/>
    <w:rsid w:val="00E55C90"/>
    <w:rsid w:val="00E55CD0"/>
    <w:rsid w:val="00E56283"/>
    <w:rsid w:val="00E562AD"/>
    <w:rsid w:val="00E563B6"/>
    <w:rsid w:val="00E56509"/>
    <w:rsid w:val="00E56714"/>
    <w:rsid w:val="00E56B15"/>
    <w:rsid w:val="00E56D4F"/>
    <w:rsid w:val="00E60067"/>
    <w:rsid w:val="00E6021A"/>
    <w:rsid w:val="00E60341"/>
    <w:rsid w:val="00E604A8"/>
    <w:rsid w:val="00E60AA8"/>
    <w:rsid w:val="00E60D3B"/>
    <w:rsid w:val="00E6157A"/>
    <w:rsid w:val="00E61777"/>
    <w:rsid w:val="00E6257F"/>
    <w:rsid w:val="00E62937"/>
    <w:rsid w:val="00E629D6"/>
    <w:rsid w:val="00E62D2A"/>
    <w:rsid w:val="00E6317D"/>
    <w:rsid w:val="00E6357F"/>
    <w:rsid w:val="00E63A1B"/>
    <w:rsid w:val="00E63E75"/>
    <w:rsid w:val="00E64356"/>
    <w:rsid w:val="00E64662"/>
    <w:rsid w:val="00E6476B"/>
    <w:rsid w:val="00E64BDD"/>
    <w:rsid w:val="00E64E96"/>
    <w:rsid w:val="00E65061"/>
    <w:rsid w:val="00E65159"/>
    <w:rsid w:val="00E651D0"/>
    <w:rsid w:val="00E65745"/>
    <w:rsid w:val="00E6574F"/>
    <w:rsid w:val="00E65848"/>
    <w:rsid w:val="00E65985"/>
    <w:rsid w:val="00E662D3"/>
    <w:rsid w:val="00E6671C"/>
    <w:rsid w:val="00E6696A"/>
    <w:rsid w:val="00E6699C"/>
    <w:rsid w:val="00E66A5C"/>
    <w:rsid w:val="00E66AFE"/>
    <w:rsid w:val="00E6718D"/>
    <w:rsid w:val="00E67263"/>
    <w:rsid w:val="00E67A30"/>
    <w:rsid w:val="00E67A4D"/>
    <w:rsid w:val="00E67C96"/>
    <w:rsid w:val="00E67DBA"/>
    <w:rsid w:val="00E67EFE"/>
    <w:rsid w:val="00E70171"/>
    <w:rsid w:val="00E70202"/>
    <w:rsid w:val="00E702BD"/>
    <w:rsid w:val="00E709B9"/>
    <w:rsid w:val="00E70BE3"/>
    <w:rsid w:val="00E7164A"/>
    <w:rsid w:val="00E716CF"/>
    <w:rsid w:val="00E721D2"/>
    <w:rsid w:val="00E723E5"/>
    <w:rsid w:val="00E72651"/>
    <w:rsid w:val="00E726F5"/>
    <w:rsid w:val="00E72B40"/>
    <w:rsid w:val="00E72FF0"/>
    <w:rsid w:val="00E7317E"/>
    <w:rsid w:val="00E73212"/>
    <w:rsid w:val="00E734DB"/>
    <w:rsid w:val="00E738A3"/>
    <w:rsid w:val="00E738AD"/>
    <w:rsid w:val="00E73C5F"/>
    <w:rsid w:val="00E744C6"/>
    <w:rsid w:val="00E74A70"/>
    <w:rsid w:val="00E74CEB"/>
    <w:rsid w:val="00E74F7A"/>
    <w:rsid w:val="00E75531"/>
    <w:rsid w:val="00E75A8E"/>
    <w:rsid w:val="00E75ACB"/>
    <w:rsid w:val="00E75C13"/>
    <w:rsid w:val="00E75CAF"/>
    <w:rsid w:val="00E75E49"/>
    <w:rsid w:val="00E76473"/>
    <w:rsid w:val="00E76625"/>
    <w:rsid w:val="00E76869"/>
    <w:rsid w:val="00E76907"/>
    <w:rsid w:val="00E77256"/>
    <w:rsid w:val="00E779DB"/>
    <w:rsid w:val="00E77A50"/>
    <w:rsid w:val="00E77BC7"/>
    <w:rsid w:val="00E77C3F"/>
    <w:rsid w:val="00E77CE1"/>
    <w:rsid w:val="00E80378"/>
    <w:rsid w:val="00E804E7"/>
    <w:rsid w:val="00E80A63"/>
    <w:rsid w:val="00E811F9"/>
    <w:rsid w:val="00E815EF"/>
    <w:rsid w:val="00E81660"/>
    <w:rsid w:val="00E81A54"/>
    <w:rsid w:val="00E82431"/>
    <w:rsid w:val="00E82AE9"/>
    <w:rsid w:val="00E82C6C"/>
    <w:rsid w:val="00E83026"/>
    <w:rsid w:val="00E8325B"/>
    <w:rsid w:val="00E832F7"/>
    <w:rsid w:val="00E833AB"/>
    <w:rsid w:val="00E83539"/>
    <w:rsid w:val="00E83770"/>
    <w:rsid w:val="00E837DF"/>
    <w:rsid w:val="00E83C54"/>
    <w:rsid w:val="00E83F08"/>
    <w:rsid w:val="00E83F60"/>
    <w:rsid w:val="00E850A9"/>
    <w:rsid w:val="00E85331"/>
    <w:rsid w:val="00E856FF"/>
    <w:rsid w:val="00E85B7B"/>
    <w:rsid w:val="00E85D75"/>
    <w:rsid w:val="00E85F8A"/>
    <w:rsid w:val="00E86066"/>
    <w:rsid w:val="00E863CE"/>
    <w:rsid w:val="00E8691C"/>
    <w:rsid w:val="00E86C26"/>
    <w:rsid w:val="00E86DBD"/>
    <w:rsid w:val="00E87229"/>
    <w:rsid w:val="00E87EBE"/>
    <w:rsid w:val="00E903D2"/>
    <w:rsid w:val="00E9040E"/>
    <w:rsid w:val="00E905AE"/>
    <w:rsid w:val="00E907D6"/>
    <w:rsid w:val="00E90A0D"/>
    <w:rsid w:val="00E90F86"/>
    <w:rsid w:val="00E9105D"/>
    <w:rsid w:val="00E9108A"/>
    <w:rsid w:val="00E91BD3"/>
    <w:rsid w:val="00E91BFE"/>
    <w:rsid w:val="00E91FCC"/>
    <w:rsid w:val="00E92224"/>
    <w:rsid w:val="00E92976"/>
    <w:rsid w:val="00E93170"/>
    <w:rsid w:val="00E93BAF"/>
    <w:rsid w:val="00E94139"/>
    <w:rsid w:val="00E941B7"/>
    <w:rsid w:val="00E94449"/>
    <w:rsid w:val="00E94AE0"/>
    <w:rsid w:val="00E94C2B"/>
    <w:rsid w:val="00E94CA8"/>
    <w:rsid w:val="00E94DF9"/>
    <w:rsid w:val="00E953D7"/>
    <w:rsid w:val="00E9556B"/>
    <w:rsid w:val="00E9559C"/>
    <w:rsid w:val="00E95DA4"/>
    <w:rsid w:val="00E9629D"/>
    <w:rsid w:val="00E96713"/>
    <w:rsid w:val="00E96819"/>
    <w:rsid w:val="00E969A1"/>
    <w:rsid w:val="00E96BE2"/>
    <w:rsid w:val="00E978F5"/>
    <w:rsid w:val="00E97C41"/>
    <w:rsid w:val="00E97E3C"/>
    <w:rsid w:val="00EA080C"/>
    <w:rsid w:val="00EA0C15"/>
    <w:rsid w:val="00EA0CA9"/>
    <w:rsid w:val="00EA0D6E"/>
    <w:rsid w:val="00EA0DD1"/>
    <w:rsid w:val="00EA0FA6"/>
    <w:rsid w:val="00EA1360"/>
    <w:rsid w:val="00EA14BC"/>
    <w:rsid w:val="00EA16FC"/>
    <w:rsid w:val="00EA191F"/>
    <w:rsid w:val="00EA205D"/>
    <w:rsid w:val="00EA215D"/>
    <w:rsid w:val="00EA220A"/>
    <w:rsid w:val="00EA229B"/>
    <w:rsid w:val="00EA23CF"/>
    <w:rsid w:val="00EA2C93"/>
    <w:rsid w:val="00EA2DA4"/>
    <w:rsid w:val="00EA35C0"/>
    <w:rsid w:val="00EA3811"/>
    <w:rsid w:val="00EA3B2E"/>
    <w:rsid w:val="00EA420F"/>
    <w:rsid w:val="00EA48E7"/>
    <w:rsid w:val="00EA4F02"/>
    <w:rsid w:val="00EA58C6"/>
    <w:rsid w:val="00EA5B8C"/>
    <w:rsid w:val="00EA5F32"/>
    <w:rsid w:val="00EA6D01"/>
    <w:rsid w:val="00EA72CF"/>
    <w:rsid w:val="00EA74A3"/>
    <w:rsid w:val="00EA74EA"/>
    <w:rsid w:val="00EA76C0"/>
    <w:rsid w:val="00EA78F0"/>
    <w:rsid w:val="00EA7E6D"/>
    <w:rsid w:val="00EB00D4"/>
    <w:rsid w:val="00EB09C1"/>
    <w:rsid w:val="00EB09E7"/>
    <w:rsid w:val="00EB1010"/>
    <w:rsid w:val="00EB10EB"/>
    <w:rsid w:val="00EB1620"/>
    <w:rsid w:val="00EB1B11"/>
    <w:rsid w:val="00EB1C13"/>
    <w:rsid w:val="00EB1DAC"/>
    <w:rsid w:val="00EB1F54"/>
    <w:rsid w:val="00EB232E"/>
    <w:rsid w:val="00EB24F4"/>
    <w:rsid w:val="00EB2536"/>
    <w:rsid w:val="00EB25F0"/>
    <w:rsid w:val="00EB2C4B"/>
    <w:rsid w:val="00EB2F24"/>
    <w:rsid w:val="00EB2F35"/>
    <w:rsid w:val="00EB2F45"/>
    <w:rsid w:val="00EB3020"/>
    <w:rsid w:val="00EB3847"/>
    <w:rsid w:val="00EB3CB5"/>
    <w:rsid w:val="00EB3E1B"/>
    <w:rsid w:val="00EB3F97"/>
    <w:rsid w:val="00EB41EA"/>
    <w:rsid w:val="00EB4610"/>
    <w:rsid w:val="00EB4AAA"/>
    <w:rsid w:val="00EB52F6"/>
    <w:rsid w:val="00EB5822"/>
    <w:rsid w:val="00EB635D"/>
    <w:rsid w:val="00EB66AC"/>
    <w:rsid w:val="00EB6763"/>
    <w:rsid w:val="00EB6897"/>
    <w:rsid w:val="00EB6C81"/>
    <w:rsid w:val="00EB6E1A"/>
    <w:rsid w:val="00EB7046"/>
    <w:rsid w:val="00EB73D7"/>
    <w:rsid w:val="00EB7661"/>
    <w:rsid w:val="00EB79C2"/>
    <w:rsid w:val="00EB7D71"/>
    <w:rsid w:val="00EC0145"/>
    <w:rsid w:val="00EC1628"/>
    <w:rsid w:val="00EC1876"/>
    <w:rsid w:val="00EC1ABD"/>
    <w:rsid w:val="00EC1BFC"/>
    <w:rsid w:val="00EC2204"/>
    <w:rsid w:val="00EC242D"/>
    <w:rsid w:val="00EC28AD"/>
    <w:rsid w:val="00EC2940"/>
    <w:rsid w:val="00EC2B77"/>
    <w:rsid w:val="00EC2BB2"/>
    <w:rsid w:val="00EC2DBA"/>
    <w:rsid w:val="00EC391A"/>
    <w:rsid w:val="00EC3D5B"/>
    <w:rsid w:val="00EC3EAD"/>
    <w:rsid w:val="00EC3F40"/>
    <w:rsid w:val="00EC478B"/>
    <w:rsid w:val="00EC48F3"/>
    <w:rsid w:val="00EC4997"/>
    <w:rsid w:val="00EC4E71"/>
    <w:rsid w:val="00EC5715"/>
    <w:rsid w:val="00EC573B"/>
    <w:rsid w:val="00EC59F7"/>
    <w:rsid w:val="00EC5BBE"/>
    <w:rsid w:val="00EC6342"/>
    <w:rsid w:val="00EC694B"/>
    <w:rsid w:val="00EC6F20"/>
    <w:rsid w:val="00EC721D"/>
    <w:rsid w:val="00EC7565"/>
    <w:rsid w:val="00EC785A"/>
    <w:rsid w:val="00EC7C64"/>
    <w:rsid w:val="00EC7DEE"/>
    <w:rsid w:val="00ED00D6"/>
    <w:rsid w:val="00ED064E"/>
    <w:rsid w:val="00ED08A5"/>
    <w:rsid w:val="00ED0E03"/>
    <w:rsid w:val="00ED13C1"/>
    <w:rsid w:val="00ED1499"/>
    <w:rsid w:val="00ED1988"/>
    <w:rsid w:val="00ED1F75"/>
    <w:rsid w:val="00ED2391"/>
    <w:rsid w:val="00ED2644"/>
    <w:rsid w:val="00ED2DB1"/>
    <w:rsid w:val="00ED32A1"/>
    <w:rsid w:val="00ED34F5"/>
    <w:rsid w:val="00ED3CC1"/>
    <w:rsid w:val="00ED4226"/>
    <w:rsid w:val="00ED4ADE"/>
    <w:rsid w:val="00ED4B8E"/>
    <w:rsid w:val="00ED4CAA"/>
    <w:rsid w:val="00ED4EC7"/>
    <w:rsid w:val="00ED51BC"/>
    <w:rsid w:val="00ED5FB2"/>
    <w:rsid w:val="00ED600A"/>
    <w:rsid w:val="00ED6980"/>
    <w:rsid w:val="00ED6ADC"/>
    <w:rsid w:val="00ED6D82"/>
    <w:rsid w:val="00ED6FE1"/>
    <w:rsid w:val="00ED758B"/>
    <w:rsid w:val="00ED7994"/>
    <w:rsid w:val="00ED7FDA"/>
    <w:rsid w:val="00EE071E"/>
    <w:rsid w:val="00EE0B1F"/>
    <w:rsid w:val="00EE0FB7"/>
    <w:rsid w:val="00EE1182"/>
    <w:rsid w:val="00EE123C"/>
    <w:rsid w:val="00EE13C8"/>
    <w:rsid w:val="00EE1571"/>
    <w:rsid w:val="00EE1A90"/>
    <w:rsid w:val="00EE1D9B"/>
    <w:rsid w:val="00EE282F"/>
    <w:rsid w:val="00EE28F3"/>
    <w:rsid w:val="00EE2DF5"/>
    <w:rsid w:val="00EE2F75"/>
    <w:rsid w:val="00EE302C"/>
    <w:rsid w:val="00EE3C4E"/>
    <w:rsid w:val="00EE46A1"/>
    <w:rsid w:val="00EE49D9"/>
    <w:rsid w:val="00EE4A00"/>
    <w:rsid w:val="00EE4BBA"/>
    <w:rsid w:val="00EE60C7"/>
    <w:rsid w:val="00EE6792"/>
    <w:rsid w:val="00EE6960"/>
    <w:rsid w:val="00EE69D3"/>
    <w:rsid w:val="00EE6B20"/>
    <w:rsid w:val="00EE6C93"/>
    <w:rsid w:val="00EE7210"/>
    <w:rsid w:val="00EE7398"/>
    <w:rsid w:val="00EE77EF"/>
    <w:rsid w:val="00EF0185"/>
    <w:rsid w:val="00EF029B"/>
    <w:rsid w:val="00EF046D"/>
    <w:rsid w:val="00EF0A35"/>
    <w:rsid w:val="00EF0C0E"/>
    <w:rsid w:val="00EF0D80"/>
    <w:rsid w:val="00EF0F23"/>
    <w:rsid w:val="00EF1833"/>
    <w:rsid w:val="00EF1D8C"/>
    <w:rsid w:val="00EF204E"/>
    <w:rsid w:val="00EF24AF"/>
    <w:rsid w:val="00EF2697"/>
    <w:rsid w:val="00EF2B09"/>
    <w:rsid w:val="00EF314A"/>
    <w:rsid w:val="00EF3295"/>
    <w:rsid w:val="00EF382D"/>
    <w:rsid w:val="00EF3954"/>
    <w:rsid w:val="00EF3A87"/>
    <w:rsid w:val="00EF410A"/>
    <w:rsid w:val="00EF42E9"/>
    <w:rsid w:val="00EF463D"/>
    <w:rsid w:val="00EF4975"/>
    <w:rsid w:val="00EF4B2D"/>
    <w:rsid w:val="00EF4C94"/>
    <w:rsid w:val="00EF4F52"/>
    <w:rsid w:val="00EF56FE"/>
    <w:rsid w:val="00EF57B8"/>
    <w:rsid w:val="00EF58B6"/>
    <w:rsid w:val="00EF5B35"/>
    <w:rsid w:val="00EF5B39"/>
    <w:rsid w:val="00EF5BB0"/>
    <w:rsid w:val="00EF602B"/>
    <w:rsid w:val="00EF642A"/>
    <w:rsid w:val="00EF6D3E"/>
    <w:rsid w:val="00EF6EA9"/>
    <w:rsid w:val="00EF727D"/>
    <w:rsid w:val="00EF7515"/>
    <w:rsid w:val="00EF7CBD"/>
    <w:rsid w:val="00EF7CEE"/>
    <w:rsid w:val="00EF7E1D"/>
    <w:rsid w:val="00F00113"/>
    <w:rsid w:val="00F0048A"/>
    <w:rsid w:val="00F005E5"/>
    <w:rsid w:val="00F00ED6"/>
    <w:rsid w:val="00F00FC8"/>
    <w:rsid w:val="00F015BB"/>
    <w:rsid w:val="00F016CA"/>
    <w:rsid w:val="00F017A8"/>
    <w:rsid w:val="00F01975"/>
    <w:rsid w:val="00F01A12"/>
    <w:rsid w:val="00F01D37"/>
    <w:rsid w:val="00F01F36"/>
    <w:rsid w:val="00F03197"/>
    <w:rsid w:val="00F0357A"/>
    <w:rsid w:val="00F03594"/>
    <w:rsid w:val="00F03758"/>
    <w:rsid w:val="00F037C9"/>
    <w:rsid w:val="00F04265"/>
    <w:rsid w:val="00F044BE"/>
    <w:rsid w:val="00F0495C"/>
    <w:rsid w:val="00F04D79"/>
    <w:rsid w:val="00F04F71"/>
    <w:rsid w:val="00F051A9"/>
    <w:rsid w:val="00F051DC"/>
    <w:rsid w:val="00F05215"/>
    <w:rsid w:val="00F052DF"/>
    <w:rsid w:val="00F05C08"/>
    <w:rsid w:val="00F05E8B"/>
    <w:rsid w:val="00F05EEE"/>
    <w:rsid w:val="00F0657B"/>
    <w:rsid w:val="00F07CBB"/>
    <w:rsid w:val="00F07E19"/>
    <w:rsid w:val="00F10117"/>
    <w:rsid w:val="00F1046D"/>
    <w:rsid w:val="00F10814"/>
    <w:rsid w:val="00F10F98"/>
    <w:rsid w:val="00F1109E"/>
    <w:rsid w:val="00F1116B"/>
    <w:rsid w:val="00F11D55"/>
    <w:rsid w:val="00F1204D"/>
    <w:rsid w:val="00F1245C"/>
    <w:rsid w:val="00F12638"/>
    <w:rsid w:val="00F1278F"/>
    <w:rsid w:val="00F127DE"/>
    <w:rsid w:val="00F134C7"/>
    <w:rsid w:val="00F1371D"/>
    <w:rsid w:val="00F142ED"/>
    <w:rsid w:val="00F14449"/>
    <w:rsid w:val="00F14539"/>
    <w:rsid w:val="00F14683"/>
    <w:rsid w:val="00F14AC9"/>
    <w:rsid w:val="00F1534E"/>
    <w:rsid w:val="00F153F0"/>
    <w:rsid w:val="00F1540E"/>
    <w:rsid w:val="00F15453"/>
    <w:rsid w:val="00F157F3"/>
    <w:rsid w:val="00F15A4A"/>
    <w:rsid w:val="00F160B7"/>
    <w:rsid w:val="00F163C4"/>
    <w:rsid w:val="00F16826"/>
    <w:rsid w:val="00F16E75"/>
    <w:rsid w:val="00F176FA"/>
    <w:rsid w:val="00F1790C"/>
    <w:rsid w:val="00F179B2"/>
    <w:rsid w:val="00F179D5"/>
    <w:rsid w:val="00F179D7"/>
    <w:rsid w:val="00F17E61"/>
    <w:rsid w:val="00F21305"/>
    <w:rsid w:val="00F2131C"/>
    <w:rsid w:val="00F216C7"/>
    <w:rsid w:val="00F21F38"/>
    <w:rsid w:val="00F2205A"/>
    <w:rsid w:val="00F226D0"/>
    <w:rsid w:val="00F228C9"/>
    <w:rsid w:val="00F22900"/>
    <w:rsid w:val="00F23175"/>
    <w:rsid w:val="00F23199"/>
    <w:rsid w:val="00F23379"/>
    <w:rsid w:val="00F23474"/>
    <w:rsid w:val="00F244DF"/>
    <w:rsid w:val="00F24703"/>
    <w:rsid w:val="00F247A0"/>
    <w:rsid w:val="00F253A9"/>
    <w:rsid w:val="00F253D1"/>
    <w:rsid w:val="00F255B1"/>
    <w:rsid w:val="00F2563E"/>
    <w:rsid w:val="00F256E1"/>
    <w:rsid w:val="00F25D99"/>
    <w:rsid w:val="00F2629E"/>
    <w:rsid w:val="00F26475"/>
    <w:rsid w:val="00F26589"/>
    <w:rsid w:val="00F26837"/>
    <w:rsid w:val="00F26A32"/>
    <w:rsid w:val="00F26C3A"/>
    <w:rsid w:val="00F26D77"/>
    <w:rsid w:val="00F26EB4"/>
    <w:rsid w:val="00F27216"/>
    <w:rsid w:val="00F273AB"/>
    <w:rsid w:val="00F279BE"/>
    <w:rsid w:val="00F27A7F"/>
    <w:rsid w:val="00F27EAE"/>
    <w:rsid w:val="00F27F00"/>
    <w:rsid w:val="00F301B7"/>
    <w:rsid w:val="00F3051A"/>
    <w:rsid w:val="00F30896"/>
    <w:rsid w:val="00F309FC"/>
    <w:rsid w:val="00F30CD9"/>
    <w:rsid w:val="00F31096"/>
    <w:rsid w:val="00F313DE"/>
    <w:rsid w:val="00F31441"/>
    <w:rsid w:val="00F31605"/>
    <w:rsid w:val="00F31835"/>
    <w:rsid w:val="00F31965"/>
    <w:rsid w:val="00F31E53"/>
    <w:rsid w:val="00F31FB1"/>
    <w:rsid w:val="00F32344"/>
    <w:rsid w:val="00F326C0"/>
    <w:rsid w:val="00F32D45"/>
    <w:rsid w:val="00F32DE7"/>
    <w:rsid w:val="00F32F3C"/>
    <w:rsid w:val="00F33465"/>
    <w:rsid w:val="00F33485"/>
    <w:rsid w:val="00F336B8"/>
    <w:rsid w:val="00F3395A"/>
    <w:rsid w:val="00F3420C"/>
    <w:rsid w:val="00F342DC"/>
    <w:rsid w:val="00F34441"/>
    <w:rsid w:val="00F349FD"/>
    <w:rsid w:val="00F34EDC"/>
    <w:rsid w:val="00F34FFF"/>
    <w:rsid w:val="00F35B58"/>
    <w:rsid w:val="00F35E6A"/>
    <w:rsid w:val="00F36799"/>
    <w:rsid w:val="00F367CE"/>
    <w:rsid w:val="00F36C0F"/>
    <w:rsid w:val="00F372C5"/>
    <w:rsid w:val="00F37670"/>
    <w:rsid w:val="00F37789"/>
    <w:rsid w:val="00F37C4A"/>
    <w:rsid w:val="00F37C65"/>
    <w:rsid w:val="00F37CC5"/>
    <w:rsid w:val="00F40454"/>
    <w:rsid w:val="00F408E7"/>
    <w:rsid w:val="00F40ADE"/>
    <w:rsid w:val="00F40E51"/>
    <w:rsid w:val="00F40F48"/>
    <w:rsid w:val="00F40F5E"/>
    <w:rsid w:val="00F41442"/>
    <w:rsid w:val="00F41865"/>
    <w:rsid w:val="00F42027"/>
    <w:rsid w:val="00F424ED"/>
    <w:rsid w:val="00F43692"/>
    <w:rsid w:val="00F43CD6"/>
    <w:rsid w:val="00F44280"/>
    <w:rsid w:val="00F44358"/>
    <w:rsid w:val="00F44481"/>
    <w:rsid w:val="00F4475D"/>
    <w:rsid w:val="00F4481E"/>
    <w:rsid w:val="00F44DF1"/>
    <w:rsid w:val="00F44E5E"/>
    <w:rsid w:val="00F44EC4"/>
    <w:rsid w:val="00F44F24"/>
    <w:rsid w:val="00F45ED6"/>
    <w:rsid w:val="00F46028"/>
    <w:rsid w:val="00F4611C"/>
    <w:rsid w:val="00F461F1"/>
    <w:rsid w:val="00F46610"/>
    <w:rsid w:val="00F467FC"/>
    <w:rsid w:val="00F46B78"/>
    <w:rsid w:val="00F46FBF"/>
    <w:rsid w:val="00F4703B"/>
    <w:rsid w:val="00F4709F"/>
    <w:rsid w:val="00F473AC"/>
    <w:rsid w:val="00F474F5"/>
    <w:rsid w:val="00F475EA"/>
    <w:rsid w:val="00F47711"/>
    <w:rsid w:val="00F47769"/>
    <w:rsid w:val="00F47B60"/>
    <w:rsid w:val="00F50652"/>
    <w:rsid w:val="00F50E13"/>
    <w:rsid w:val="00F50EE1"/>
    <w:rsid w:val="00F511E6"/>
    <w:rsid w:val="00F513D4"/>
    <w:rsid w:val="00F516F8"/>
    <w:rsid w:val="00F51898"/>
    <w:rsid w:val="00F51BEA"/>
    <w:rsid w:val="00F51E28"/>
    <w:rsid w:val="00F51F93"/>
    <w:rsid w:val="00F5202A"/>
    <w:rsid w:val="00F52122"/>
    <w:rsid w:val="00F523CA"/>
    <w:rsid w:val="00F52737"/>
    <w:rsid w:val="00F52AD4"/>
    <w:rsid w:val="00F52F61"/>
    <w:rsid w:val="00F5324D"/>
    <w:rsid w:val="00F535B3"/>
    <w:rsid w:val="00F53992"/>
    <w:rsid w:val="00F53AA7"/>
    <w:rsid w:val="00F53BCD"/>
    <w:rsid w:val="00F53CB2"/>
    <w:rsid w:val="00F53CEF"/>
    <w:rsid w:val="00F53E28"/>
    <w:rsid w:val="00F544AF"/>
    <w:rsid w:val="00F5460C"/>
    <w:rsid w:val="00F54A18"/>
    <w:rsid w:val="00F54A57"/>
    <w:rsid w:val="00F54E65"/>
    <w:rsid w:val="00F5590D"/>
    <w:rsid w:val="00F5596A"/>
    <w:rsid w:val="00F55AC3"/>
    <w:rsid w:val="00F56AA7"/>
    <w:rsid w:val="00F56C80"/>
    <w:rsid w:val="00F56C95"/>
    <w:rsid w:val="00F56DBB"/>
    <w:rsid w:val="00F5720A"/>
    <w:rsid w:val="00F57275"/>
    <w:rsid w:val="00F5727C"/>
    <w:rsid w:val="00F57DC9"/>
    <w:rsid w:val="00F57E3B"/>
    <w:rsid w:val="00F57FAF"/>
    <w:rsid w:val="00F60090"/>
    <w:rsid w:val="00F60877"/>
    <w:rsid w:val="00F60B90"/>
    <w:rsid w:val="00F60FC4"/>
    <w:rsid w:val="00F61251"/>
    <w:rsid w:val="00F61923"/>
    <w:rsid w:val="00F61E28"/>
    <w:rsid w:val="00F6253F"/>
    <w:rsid w:val="00F62C1E"/>
    <w:rsid w:val="00F62FF2"/>
    <w:rsid w:val="00F63512"/>
    <w:rsid w:val="00F63548"/>
    <w:rsid w:val="00F63626"/>
    <w:rsid w:val="00F63B46"/>
    <w:rsid w:val="00F63B8C"/>
    <w:rsid w:val="00F63C42"/>
    <w:rsid w:val="00F63F32"/>
    <w:rsid w:val="00F640D5"/>
    <w:rsid w:val="00F6419F"/>
    <w:rsid w:val="00F642BB"/>
    <w:rsid w:val="00F6447F"/>
    <w:rsid w:val="00F64517"/>
    <w:rsid w:val="00F64EE8"/>
    <w:rsid w:val="00F6589E"/>
    <w:rsid w:val="00F658C2"/>
    <w:rsid w:val="00F65947"/>
    <w:rsid w:val="00F6603D"/>
    <w:rsid w:val="00F66116"/>
    <w:rsid w:val="00F66D80"/>
    <w:rsid w:val="00F674FE"/>
    <w:rsid w:val="00F67BFE"/>
    <w:rsid w:val="00F67DC1"/>
    <w:rsid w:val="00F67DE3"/>
    <w:rsid w:val="00F70230"/>
    <w:rsid w:val="00F7032D"/>
    <w:rsid w:val="00F70405"/>
    <w:rsid w:val="00F70427"/>
    <w:rsid w:val="00F70699"/>
    <w:rsid w:val="00F70737"/>
    <w:rsid w:val="00F70782"/>
    <w:rsid w:val="00F70F2F"/>
    <w:rsid w:val="00F71196"/>
    <w:rsid w:val="00F71235"/>
    <w:rsid w:val="00F7129E"/>
    <w:rsid w:val="00F71802"/>
    <w:rsid w:val="00F71A76"/>
    <w:rsid w:val="00F724B2"/>
    <w:rsid w:val="00F727F8"/>
    <w:rsid w:val="00F72881"/>
    <w:rsid w:val="00F72D91"/>
    <w:rsid w:val="00F72E12"/>
    <w:rsid w:val="00F736D5"/>
    <w:rsid w:val="00F73750"/>
    <w:rsid w:val="00F7381B"/>
    <w:rsid w:val="00F73EE4"/>
    <w:rsid w:val="00F74565"/>
    <w:rsid w:val="00F74BB2"/>
    <w:rsid w:val="00F74CCC"/>
    <w:rsid w:val="00F758B9"/>
    <w:rsid w:val="00F75DDD"/>
    <w:rsid w:val="00F75EC1"/>
    <w:rsid w:val="00F763ED"/>
    <w:rsid w:val="00F76582"/>
    <w:rsid w:val="00F766FE"/>
    <w:rsid w:val="00F7678F"/>
    <w:rsid w:val="00F76EC1"/>
    <w:rsid w:val="00F77340"/>
    <w:rsid w:val="00F77895"/>
    <w:rsid w:val="00F8017E"/>
    <w:rsid w:val="00F803D7"/>
    <w:rsid w:val="00F808AD"/>
    <w:rsid w:val="00F80A72"/>
    <w:rsid w:val="00F81158"/>
    <w:rsid w:val="00F811C7"/>
    <w:rsid w:val="00F81336"/>
    <w:rsid w:val="00F81349"/>
    <w:rsid w:val="00F81488"/>
    <w:rsid w:val="00F8168F"/>
    <w:rsid w:val="00F81752"/>
    <w:rsid w:val="00F81778"/>
    <w:rsid w:val="00F8177F"/>
    <w:rsid w:val="00F81A21"/>
    <w:rsid w:val="00F81C14"/>
    <w:rsid w:val="00F81F3F"/>
    <w:rsid w:val="00F82469"/>
    <w:rsid w:val="00F82482"/>
    <w:rsid w:val="00F83830"/>
    <w:rsid w:val="00F83AE6"/>
    <w:rsid w:val="00F83BDD"/>
    <w:rsid w:val="00F83C99"/>
    <w:rsid w:val="00F83E76"/>
    <w:rsid w:val="00F8413E"/>
    <w:rsid w:val="00F846D6"/>
    <w:rsid w:val="00F84D64"/>
    <w:rsid w:val="00F84DAE"/>
    <w:rsid w:val="00F84E42"/>
    <w:rsid w:val="00F85838"/>
    <w:rsid w:val="00F85B7F"/>
    <w:rsid w:val="00F85BE8"/>
    <w:rsid w:val="00F865FB"/>
    <w:rsid w:val="00F876BB"/>
    <w:rsid w:val="00F8780F"/>
    <w:rsid w:val="00F87863"/>
    <w:rsid w:val="00F87874"/>
    <w:rsid w:val="00F878B9"/>
    <w:rsid w:val="00F87AB7"/>
    <w:rsid w:val="00F87FC6"/>
    <w:rsid w:val="00F87FC9"/>
    <w:rsid w:val="00F9002F"/>
    <w:rsid w:val="00F9061B"/>
    <w:rsid w:val="00F90CC8"/>
    <w:rsid w:val="00F90D7F"/>
    <w:rsid w:val="00F91418"/>
    <w:rsid w:val="00F919F3"/>
    <w:rsid w:val="00F92024"/>
    <w:rsid w:val="00F928C7"/>
    <w:rsid w:val="00F92AC0"/>
    <w:rsid w:val="00F92EAB"/>
    <w:rsid w:val="00F9313A"/>
    <w:rsid w:val="00F93802"/>
    <w:rsid w:val="00F93A7A"/>
    <w:rsid w:val="00F93E34"/>
    <w:rsid w:val="00F9418D"/>
    <w:rsid w:val="00F945EE"/>
    <w:rsid w:val="00F94782"/>
    <w:rsid w:val="00F9487C"/>
    <w:rsid w:val="00F94B4D"/>
    <w:rsid w:val="00F95150"/>
    <w:rsid w:val="00F9588F"/>
    <w:rsid w:val="00F95C30"/>
    <w:rsid w:val="00F95EAB"/>
    <w:rsid w:val="00F960F6"/>
    <w:rsid w:val="00F966C3"/>
    <w:rsid w:val="00F9677B"/>
    <w:rsid w:val="00F96900"/>
    <w:rsid w:val="00F9696E"/>
    <w:rsid w:val="00F96C7B"/>
    <w:rsid w:val="00F96E39"/>
    <w:rsid w:val="00F96E75"/>
    <w:rsid w:val="00F97454"/>
    <w:rsid w:val="00F97802"/>
    <w:rsid w:val="00F97A23"/>
    <w:rsid w:val="00F97AAB"/>
    <w:rsid w:val="00FA0327"/>
    <w:rsid w:val="00FA05DD"/>
    <w:rsid w:val="00FA0AA0"/>
    <w:rsid w:val="00FA0AD0"/>
    <w:rsid w:val="00FA0CAE"/>
    <w:rsid w:val="00FA0F8D"/>
    <w:rsid w:val="00FA18A9"/>
    <w:rsid w:val="00FA19FC"/>
    <w:rsid w:val="00FA1A72"/>
    <w:rsid w:val="00FA1C26"/>
    <w:rsid w:val="00FA1CB3"/>
    <w:rsid w:val="00FA23D4"/>
    <w:rsid w:val="00FA277E"/>
    <w:rsid w:val="00FA2A21"/>
    <w:rsid w:val="00FA2F32"/>
    <w:rsid w:val="00FA3095"/>
    <w:rsid w:val="00FA31AA"/>
    <w:rsid w:val="00FA348B"/>
    <w:rsid w:val="00FA37FD"/>
    <w:rsid w:val="00FA3C55"/>
    <w:rsid w:val="00FA3FD4"/>
    <w:rsid w:val="00FA40AD"/>
    <w:rsid w:val="00FA421A"/>
    <w:rsid w:val="00FA4256"/>
    <w:rsid w:val="00FA42D7"/>
    <w:rsid w:val="00FA4A60"/>
    <w:rsid w:val="00FA4B6A"/>
    <w:rsid w:val="00FA5473"/>
    <w:rsid w:val="00FA5723"/>
    <w:rsid w:val="00FA5B2B"/>
    <w:rsid w:val="00FA61E8"/>
    <w:rsid w:val="00FA6C28"/>
    <w:rsid w:val="00FA6CFF"/>
    <w:rsid w:val="00FA6FD0"/>
    <w:rsid w:val="00FA707F"/>
    <w:rsid w:val="00FA72C9"/>
    <w:rsid w:val="00FA7354"/>
    <w:rsid w:val="00FA7A5F"/>
    <w:rsid w:val="00FA7C28"/>
    <w:rsid w:val="00FB00CC"/>
    <w:rsid w:val="00FB00CE"/>
    <w:rsid w:val="00FB09FD"/>
    <w:rsid w:val="00FB0A7B"/>
    <w:rsid w:val="00FB0B66"/>
    <w:rsid w:val="00FB0C04"/>
    <w:rsid w:val="00FB0C9E"/>
    <w:rsid w:val="00FB15EE"/>
    <w:rsid w:val="00FB16EC"/>
    <w:rsid w:val="00FB1807"/>
    <w:rsid w:val="00FB1873"/>
    <w:rsid w:val="00FB18A8"/>
    <w:rsid w:val="00FB1E89"/>
    <w:rsid w:val="00FB2006"/>
    <w:rsid w:val="00FB2156"/>
    <w:rsid w:val="00FB27FC"/>
    <w:rsid w:val="00FB2849"/>
    <w:rsid w:val="00FB3B03"/>
    <w:rsid w:val="00FB3D30"/>
    <w:rsid w:val="00FB4282"/>
    <w:rsid w:val="00FB4462"/>
    <w:rsid w:val="00FB483C"/>
    <w:rsid w:val="00FB4A41"/>
    <w:rsid w:val="00FB4EF8"/>
    <w:rsid w:val="00FB4FF9"/>
    <w:rsid w:val="00FB5FF3"/>
    <w:rsid w:val="00FB64A0"/>
    <w:rsid w:val="00FB6A5F"/>
    <w:rsid w:val="00FB7063"/>
    <w:rsid w:val="00FB7502"/>
    <w:rsid w:val="00FB7793"/>
    <w:rsid w:val="00FB789E"/>
    <w:rsid w:val="00FB79BE"/>
    <w:rsid w:val="00FB7A42"/>
    <w:rsid w:val="00FB7D29"/>
    <w:rsid w:val="00FB7F24"/>
    <w:rsid w:val="00FC0066"/>
    <w:rsid w:val="00FC00AC"/>
    <w:rsid w:val="00FC01E7"/>
    <w:rsid w:val="00FC0354"/>
    <w:rsid w:val="00FC0652"/>
    <w:rsid w:val="00FC0FA4"/>
    <w:rsid w:val="00FC15CA"/>
    <w:rsid w:val="00FC160D"/>
    <w:rsid w:val="00FC199C"/>
    <w:rsid w:val="00FC1DA7"/>
    <w:rsid w:val="00FC1DCB"/>
    <w:rsid w:val="00FC1EB6"/>
    <w:rsid w:val="00FC1F7B"/>
    <w:rsid w:val="00FC2646"/>
    <w:rsid w:val="00FC2A96"/>
    <w:rsid w:val="00FC2E53"/>
    <w:rsid w:val="00FC379F"/>
    <w:rsid w:val="00FC37B0"/>
    <w:rsid w:val="00FC3896"/>
    <w:rsid w:val="00FC38DD"/>
    <w:rsid w:val="00FC39AA"/>
    <w:rsid w:val="00FC3B57"/>
    <w:rsid w:val="00FC3DE1"/>
    <w:rsid w:val="00FC3E71"/>
    <w:rsid w:val="00FC3FF9"/>
    <w:rsid w:val="00FC40B7"/>
    <w:rsid w:val="00FC4102"/>
    <w:rsid w:val="00FC4630"/>
    <w:rsid w:val="00FC48FA"/>
    <w:rsid w:val="00FC4C71"/>
    <w:rsid w:val="00FC4DEC"/>
    <w:rsid w:val="00FC505E"/>
    <w:rsid w:val="00FC525F"/>
    <w:rsid w:val="00FC564D"/>
    <w:rsid w:val="00FC59CB"/>
    <w:rsid w:val="00FC5CB8"/>
    <w:rsid w:val="00FC5FEF"/>
    <w:rsid w:val="00FC6126"/>
    <w:rsid w:val="00FC634E"/>
    <w:rsid w:val="00FC6792"/>
    <w:rsid w:val="00FC6B81"/>
    <w:rsid w:val="00FC6D8C"/>
    <w:rsid w:val="00FC6F15"/>
    <w:rsid w:val="00FC6F55"/>
    <w:rsid w:val="00FC722C"/>
    <w:rsid w:val="00FC7653"/>
    <w:rsid w:val="00FC784A"/>
    <w:rsid w:val="00FC7A75"/>
    <w:rsid w:val="00FC7BC2"/>
    <w:rsid w:val="00FC7BE7"/>
    <w:rsid w:val="00FC7F08"/>
    <w:rsid w:val="00FC7F4A"/>
    <w:rsid w:val="00FD006E"/>
    <w:rsid w:val="00FD012C"/>
    <w:rsid w:val="00FD01A8"/>
    <w:rsid w:val="00FD0595"/>
    <w:rsid w:val="00FD0697"/>
    <w:rsid w:val="00FD0C69"/>
    <w:rsid w:val="00FD0DD8"/>
    <w:rsid w:val="00FD0F99"/>
    <w:rsid w:val="00FD1730"/>
    <w:rsid w:val="00FD211A"/>
    <w:rsid w:val="00FD2305"/>
    <w:rsid w:val="00FD233D"/>
    <w:rsid w:val="00FD2770"/>
    <w:rsid w:val="00FD2C18"/>
    <w:rsid w:val="00FD2C87"/>
    <w:rsid w:val="00FD3142"/>
    <w:rsid w:val="00FD3203"/>
    <w:rsid w:val="00FD3377"/>
    <w:rsid w:val="00FD3A4D"/>
    <w:rsid w:val="00FD40B0"/>
    <w:rsid w:val="00FD43D3"/>
    <w:rsid w:val="00FD4504"/>
    <w:rsid w:val="00FD4632"/>
    <w:rsid w:val="00FD46CB"/>
    <w:rsid w:val="00FD46EF"/>
    <w:rsid w:val="00FD496C"/>
    <w:rsid w:val="00FD4A56"/>
    <w:rsid w:val="00FD4B5C"/>
    <w:rsid w:val="00FD542C"/>
    <w:rsid w:val="00FD550C"/>
    <w:rsid w:val="00FD5FB8"/>
    <w:rsid w:val="00FD5FFE"/>
    <w:rsid w:val="00FD6372"/>
    <w:rsid w:val="00FD64D7"/>
    <w:rsid w:val="00FD65E8"/>
    <w:rsid w:val="00FD66C8"/>
    <w:rsid w:val="00FD68B0"/>
    <w:rsid w:val="00FD6D26"/>
    <w:rsid w:val="00FD7523"/>
    <w:rsid w:val="00FD7524"/>
    <w:rsid w:val="00FD7A71"/>
    <w:rsid w:val="00FE0398"/>
    <w:rsid w:val="00FE04E9"/>
    <w:rsid w:val="00FE05CE"/>
    <w:rsid w:val="00FE06BB"/>
    <w:rsid w:val="00FE091B"/>
    <w:rsid w:val="00FE0A65"/>
    <w:rsid w:val="00FE0BEC"/>
    <w:rsid w:val="00FE0D7D"/>
    <w:rsid w:val="00FE0DC7"/>
    <w:rsid w:val="00FE0E66"/>
    <w:rsid w:val="00FE1636"/>
    <w:rsid w:val="00FE19B1"/>
    <w:rsid w:val="00FE216A"/>
    <w:rsid w:val="00FE225E"/>
    <w:rsid w:val="00FE2F72"/>
    <w:rsid w:val="00FE30CD"/>
    <w:rsid w:val="00FE324D"/>
    <w:rsid w:val="00FE340A"/>
    <w:rsid w:val="00FE3654"/>
    <w:rsid w:val="00FE36A5"/>
    <w:rsid w:val="00FE3AA2"/>
    <w:rsid w:val="00FE3C50"/>
    <w:rsid w:val="00FE3C56"/>
    <w:rsid w:val="00FE3DA5"/>
    <w:rsid w:val="00FE3E14"/>
    <w:rsid w:val="00FE42AE"/>
    <w:rsid w:val="00FE4753"/>
    <w:rsid w:val="00FE49F0"/>
    <w:rsid w:val="00FE4CCD"/>
    <w:rsid w:val="00FE4F27"/>
    <w:rsid w:val="00FE567E"/>
    <w:rsid w:val="00FE5907"/>
    <w:rsid w:val="00FE64CF"/>
    <w:rsid w:val="00FE6655"/>
    <w:rsid w:val="00FE6CD5"/>
    <w:rsid w:val="00FE7041"/>
    <w:rsid w:val="00FE7172"/>
    <w:rsid w:val="00FE763A"/>
    <w:rsid w:val="00FE7651"/>
    <w:rsid w:val="00FE76DD"/>
    <w:rsid w:val="00FE7A14"/>
    <w:rsid w:val="00FE7F0A"/>
    <w:rsid w:val="00FF0318"/>
    <w:rsid w:val="00FF038C"/>
    <w:rsid w:val="00FF0647"/>
    <w:rsid w:val="00FF064D"/>
    <w:rsid w:val="00FF07B5"/>
    <w:rsid w:val="00FF095A"/>
    <w:rsid w:val="00FF0980"/>
    <w:rsid w:val="00FF0FD9"/>
    <w:rsid w:val="00FF1290"/>
    <w:rsid w:val="00FF130F"/>
    <w:rsid w:val="00FF1588"/>
    <w:rsid w:val="00FF168B"/>
    <w:rsid w:val="00FF1842"/>
    <w:rsid w:val="00FF18CF"/>
    <w:rsid w:val="00FF1B51"/>
    <w:rsid w:val="00FF204A"/>
    <w:rsid w:val="00FF21F0"/>
    <w:rsid w:val="00FF221A"/>
    <w:rsid w:val="00FF27D1"/>
    <w:rsid w:val="00FF2921"/>
    <w:rsid w:val="00FF2CE6"/>
    <w:rsid w:val="00FF2DA0"/>
    <w:rsid w:val="00FF323B"/>
    <w:rsid w:val="00FF3409"/>
    <w:rsid w:val="00FF3467"/>
    <w:rsid w:val="00FF36F9"/>
    <w:rsid w:val="00FF37E3"/>
    <w:rsid w:val="00FF3D8D"/>
    <w:rsid w:val="00FF4312"/>
    <w:rsid w:val="00FF433A"/>
    <w:rsid w:val="00FF461A"/>
    <w:rsid w:val="00FF47CD"/>
    <w:rsid w:val="00FF4F6C"/>
    <w:rsid w:val="00FF5AAF"/>
    <w:rsid w:val="00FF5C4B"/>
    <w:rsid w:val="00FF5D2A"/>
    <w:rsid w:val="00FF5DBB"/>
    <w:rsid w:val="00FF5EC2"/>
    <w:rsid w:val="00FF61F7"/>
    <w:rsid w:val="00FF6203"/>
    <w:rsid w:val="00FF6226"/>
    <w:rsid w:val="00FF6CB8"/>
    <w:rsid w:val="00FF6D71"/>
    <w:rsid w:val="00FF716E"/>
    <w:rsid w:val="00FF7B4A"/>
    <w:rsid w:val="00FF7D6D"/>
    <w:rsid w:val="04273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3,4,5,6"/>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nhideWhenUsed="0" w:uiPriority="0" w:name="annotation text"/>
    <w:lsdException w:qFormat="1" w:unhideWhenUsed="0" w:uiPriority="99"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qFormat="1" w:unhideWhenUsed="0" w:uiPriority="0" w:semiHidden="0" w:name="List 2"/>
    <w:lsdException w:qFormat="1"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uiPriority="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99"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0"/>
      <w:lang w:val="en-US" w:eastAsia="zh-CN" w:bidi="ar-SA"/>
    </w:rPr>
  </w:style>
  <w:style w:type="paragraph" w:styleId="2">
    <w:name w:val="heading 1"/>
    <w:basedOn w:val="1"/>
    <w:next w:val="1"/>
    <w:qFormat/>
    <w:uiPriority w:val="0"/>
    <w:pPr>
      <w:widowControl/>
      <w:jc w:val="left"/>
      <w:outlineLvl w:val="0"/>
    </w:pPr>
    <w:rPr>
      <w:rFonts w:ascii="宋体" w:hAnsi="宋体" w:cs="宋体"/>
      <w:b/>
      <w:bCs/>
      <w:kern w:val="36"/>
      <w:sz w:val="36"/>
      <w:szCs w:val="36"/>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4">
    <w:name w:val="List 3"/>
    <w:basedOn w:val="1"/>
    <w:qFormat/>
    <w:uiPriority w:val="0"/>
    <w:pPr>
      <w:ind w:left="100" w:leftChars="400" w:hanging="200" w:hangingChars="200"/>
    </w:pPr>
    <w:rPr>
      <w:rFonts w:eastAsia="仿宋_GB2312"/>
      <w:snapToGrid w:val="0"/>
      <w:color w:val="000000"/>
      <w:kern w:val="0"/>
      <w:sz w:val="28"/>
      <w:szCs w:val="32"/>
    </w:rPr>
  </w:style>
  <w:style w:type="paragraph" w:styleId="5">
    <w:name w:val="Normal Indent"/>
    <w:basedOn w:val="1"/>
    <w:link w:val="52"/>
    <w:qFormat/>
    <w:uiPriority w:val="0"/>
    <w:pPr>
      <w:spacing w:line="420" w:lineRule="exact"/>
      <w:ind w:firstLine="560" w:firstLineChars="200"/>
    </w:pPr>
    <w:rPr>
      <w:rFonts w:ascii="仿宋_GB2312" w:eastAsia="仿宋_GB2312"/>
      <w:color w:val="000000"/>
      <w:szCs w:val="24"/>
    </w:rPr>
  </w:style>
  <w:style w:type="paragraph" w:styleId="6">
    <w:name w:val="Document Map"/>
    <w:basedOn w:val="1"/>
    <w:link w:val="59"/>
    <w:qFormat/>
    <w:uiPriority w:val="0"/>
    <w:rPr>
      <w:rFonts w:ascii="宋体"/>
      <w:sz w:val="18"/>
      <w:szCs w:val="18"/>
    </w:rPr>
  </w:style>
  <w:style w:type="paragraph" w:styleId="7">
    <w:name w:val="annotation text"/>
    <w:basedOn w:val="1"/>
    <w:link w:val="93"/>
    <w:semiHidden/>
    <w:qFormat/>
    <w:uiPriority w:val="0"/>
    <w:pPr>
      <w:jc w:val="left"/>
    </w:pPr>
  </w:style>
  <w:style w:type="paragraph" w:styleId="8">
    <w:name w:val="Body Text"/>
    <w:basedOn w:val="1"/>
    <w:link w:val="106"/>
    <w:qFormat/>
    <w:uiPriority w:val="0"/>
    <w:pPr>
      <w:spacing w:before="240" w:line="360" w:lineRule="auto"/>
    </w:pPr>
    <w:rPr>
      <w:spacing w:val="-6"/>
      <w:sz w:val="28"/>
    </w:rPr>
  </w:style>
  <w:style w:type="paragraph" w:styleId="9">
    <w:name w:val="Body Text Indent"/>
    <w:basedOn w:val="1"/>
    <w:qFormat/>
    <w:uiPriority w:val="0"/>
    <w:pPr>
      <w:spacing w:line="360" w:lineRule="auto"/>
      <w:ind w:firstLine="510"/>
      <w:jc w:val="left"/>
    </w:pPr>
    <w:rPr>
      <w:spacing w:val="-6"/>
      <w:sz w:val="28"/>
    </w:rPr>
  </w:style>
  <w:style w:type="paragraph" w:styleId="10">
    <w:name w:val="List 2"/>
    <w:basedOn w:val="1"/>
    <w:qFormat/>
    <w:uiPriority w:val="0"/>
    <w:pPr>
      <w:ind w:left="100" w:leftChars="200" w:hanging="200" w:hangingChars="200"/>
    </w:pPr>
  </w:style>
  <w:style w:type="paragraph" w:styleId="11">
    <w:name w:val="Plain Text"/>
    <w:basedOn w:val="1"/>
    <w:link w:val="54"/>
    <w:qFormat/>
    <w:uiPriority w:val="0"/>
    <w:rPr>
      <w:rFonts w:ascii="宋体" w:hAnsi="Courier New"/>
      <w:sz w:val="21"/>
      <w:szCs w:val="21"/>
    </w:rPr>
  </w:style>
  <w:style w:type="paragraph" w:styleId="12">
    <w:name w:val="Date"/>
    <w:basedOn w:val="1"/>
    <w:next w:val="1"/>
    <w:link w:val="101"/>
    <w:qFormat/>
    <w:uiPriority w:val="0"/>
    <w:pPr>
      <w:ind w:left="100" w:leftChars="2500"/>
    </w:pPr>
    <w:rPr>
      <w:rFonts w:ascii="Calibri" w:hAnsi="Calibri"/>
      <w:sz w:val="21"/>
      <w:szCs w:val="24"/>
    </w:rPr>
  </w:style>
  <w:style w:type="paragraph" w:styleId="13">
    <w:name w:val="Body Text Indent 2"/>
    <w:basedOn w:val="1"/>
    <w:qFormat/>
    <w:uiPriority w:val="0"/>
    <w:pPr>
      <w:ind w:firstLine="510"/>
    </w:pPr>
    <w:rPr>
      <w:spacing w:val="-6"/>
      <w:sz w:val="28"/>
    </w:rPr>
  </w:style>
  <w:style w:type="paragraph" w:styleId="14">
    <w:name w:val="Balloon Text"/>
    <w:basedOn w:val="1"/>
    <w:link w:val="39"/>
    <w:qFormat/>
    <w:uiPriority w:val="0"/>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link w:val="38"/>
    <w:qFormat/>
    <w:uiPriority w:val="99"/>
    <w:pPr>
      <w:tabs>
        <w:tab w:val="center" w:pos="4153"/>
        <w:tab w:val="right" w:pos="8306"/>
      </w:tabs>
      <w:snapToGrid w:val="0"/>
      <w:jc w:val="center"/>
    </w:pPr>
    <w:rPr>
      <w:sz w:val="18"/>
    </w:rPr>
  </w:style>
  <w:style w:type="paragraph" w:styleId="17">
    <w:name w:val="toc 1"/>
    <w:basedOn w:val="1"/>
    <w:next w:val="1"/>
    <w:semiHidden/>
    <w:qFormat/>
    <w:uiPriority w:val="0"/>
    <w:pPr>
      <w:tabs>
        <w:tab w:val="right" w:leader="dot" w:pos="8493"/>
      </w:tabs>
      <w:spacing w:line="420" w:lineRule="exact"/>
    </w:pPr>
    <w:rPr>
      <w:sz w:val="21"/>
      <w:szCs w:val="24"/>
    </w:rPr>
  </w:style>
  <w:style w:type="paragraph" w:styleId="18">
    <w:name w:val="Subtitle"/>
    <w:basedOn w:val="1"/>
    <w:next w:val="1"/>
    <w:link w:val="92"/>
    <w:qFormat/>
    <w:uiPriority w:val="0"/>
    <w:pPr>
      <w:spacing w:before="240" w:after="60" w:line="312" w:lineRule="auto"/>
      <w:jc w:val="center"/>
      <w:outlineLvl w:val="1"/>
    </w:pPr>
    <w:rPr>
      <w:rFonts w:asciiTheme="majorHAnsi" w:hAnsiTheme="majorHAnsi" w:cstheme="majorBidi"/>
      <w:b/>
      <w:bCs/>
      <w:kern w:val="28"/>
      <w:sz w:val="32"/>
      <w:szCs w:val="32"/>
    </w:rPr>
  </w:style>
  <w:style w:type="paragraph" w:styleId="19">
    <w:name w:val="List"/>
    <w:basedOn w:val="1"/>
    <w:qFormat/>
    <w:uiPriority w:val="0"/>
    <w:pPr>
      <w:ind w:left="200" w:hanging="200" w:hangingChars="200"/>
    </w:pPr>
  </w:style>
  <w:style w:type="paragraph" w:styleId="20">
    <w:name w:val="Body Text Indent 3"/>
    <w:basedOn w:val="1"/>
    <w:link w:val="97"/>
    <w:qFormat/>
    <w:uiPriority w:val="0"/>
    <w:pPr>
      <w:ind w:firstLine="510"/>
    </w:pPr>
    <w:rPr>
      <w:spacing w:val="-6"/>
      <w:sz w:val="24"/>
    </w:rPr>
  </w:style>
  <w:style w:type="paragraph" w:styleId="21">
    <w:name w:val="Body Text 2"/>
    <w:basedOn w:val="1"/>
    <w:link w:val="90"/>
    <w:qFormat/>
    <w:uiPriority w:val="0"/>
    <w:pPr>
      <w:spacing w:after="120" w:line="480" w:lineRule="auto"/>
    </w:pPr>
    <w:rPr>
      <w:rFonts w:ascii="宋体" w:hAnsi="宋体"/>
      <w:kern w:val="36"/>
      <w:sz w:val="24"/>
    </w:rPr>
  </w:style>
  <w:style w:type="paragraph" w:styleId="22">
    <w:name w:val="HTML Preformatted"/>
    <w:basedOn w:val="1"/>
    <w:link w:val="51"/>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3">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4">
    <w:name w:val="annotation subject"/>
    <w:basedOn w:val="7"/>
    <w:next w:val="7"/>
    <w:semiHidden/>
    <w:qFormat/>
    <w:uiPriority w:val="0"/>
    <w:rPr>
      <w:b/>
      <w:bCs/>
    </w:rPr>
  </w:style>
  <w:style w:type="paragraph" w:styleId="25">
    <w:name w:val="Body Text First Indent"/>
    <w:basedOn w:val="8"/>
    <w:link w:val="48"/>
    <w:qFormat/>
    <w:uiPriority w:val="0"/>
    <w:pPr>
      <w:spacing w:before="0" w:after="120" w:line="240" w:lineRule="auto"/>
      <w:ind w:firstLine="420" w:firstLineChars="100"/>
    </w:pPr>
    <w:rPr>
      <w:spacing w:val="0"/>
      <w:sz w:val="30"/>
    </w:r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basedOn w:val="28"/>
    <w:qFormat/>
    <w:uiPriority w:val="0"/>
    <w:rPr>
      <w:b/>
      <w:bCs/>
    </w:rPr>
  </w:style>
  <w:style w:type="character" w:styleId="30">
    <w:name w:val="page number"/>
    <w:basedOn w:val="28"/>
    <w:qFormat/>
    <w:uiPriority w:val="0"/>
  </w:style>
  <w:style w:type="character" w:styleId="31">
    <w:name w:val="Emphasis"/>
    <w:basedOn w:val="28"/>
    <w:qFormat/>
    <w:uiPriority w:val="20"/>
    <w:rPr>
      <w:color w:val="CC0000"/>
    </w:rPr>
  </w:style>
  <w:style w:type="character" w:styleId="32">
    <w:name w:val="Hyperlink"/>
    <w:basedOn w:val="28"/>
    <w:qFormat/>
    <w:uiPriority w:val="0"/>
    <w:rPr>
      <w:color w:val="0000FF"/>
      <w:u w:val="none"/>
    </w:rPr>
  </w:style>
  <w:style w:type="character" w:styleId="33">
    <w:name w:val="annotation reference"/>
    <w:basedOn w:val="28"/>
    <w:qFormat/>
    <w:uiPriority w:val="0"/>
    <w:rPr>
      <w:sz w:val="21"/>
      <w:szCs w:val="21"/>
    </w:rPr>
  </w:style>
  <w:style w:type="paragraph" w:customStyle="1" w:styleId="34">
    <w:name w:val="表格文字"/>
    <w:basedOn w:val="1"/>
    <w:qFormat/>
    <w:uiPriority w:val="0"/>
    <w:pPr>
      <w:autoSpaceDE w:val="0"/>
      <w:autoSpaceDN w:val="0"/>
      <w:adjustRightInd w:val="0"/>
      <w:spacing w:before="60" w:after="60"/>
      <w:jc w:val="center"/>
      <w:textAlignment w:val="bottom"/>
    </w:pPr>
    <w:rPr>
      <w:rFonts w:eastAsia="仿宋_GB2312"/>
      <w:kern w:val="0"/>
      <w:sz w:val="24"/>
    </w:rPr>
  </w:style>
  <w:style w:type="paragraph" w:customStyle="1" w:styleId="35">
    <w:name w:val="表标题"/>
    <w:basedOn w:val="25"/>
    <w:qFormat/>
    <w:uiPriority w:val="0"/>
    <w:pPr>
      <w:topLinePunct/>
      <w:adjustRightInd w:val="0"/>
      <w:snapToGrid w:val="0"/>
      <w:spacing w:before="60" w:after="60"/>
      <w:ind w:firstLine="0" w:firstLineChars="0"/>
      <w:jc w:val="center"/>
    </w:pPr>
    <w:rPr>
      <w:rFonts w:eastAsia="仿宋_GB2312"/>
      <w:b/>
      <w:bCs/>
      <w:color w:val="000000"/>
      <w:szCs w:val="32"/>
    </w:rPr>
  </w:style>
  <w:style w:type="paragraph" w:customStyle="1" w:styleId="36">
    <w:name w:val="表格填充1"/>
    <w:basedOn w:val="1"/>
    <w:qFormat/>
    <w:uiPriority w:val="0"/>
    <w:pPr>
      <w:snapToGrid w:val="0"/>
      <w:jc w:val="center"/>
    </w:pPr>
    <w:rPr>
      <w:rFonts w:eastAsia="仿宋_GB2312"/>
      <w:snapToGrid w:val="0"/>
      <w:color w:val="000000"/>
      <w:szCs w:val="32"/>
    </w:rPr>
  </w:style>
  <w:style w:type="paragraph" w:customStyle="1" w:styleId="37">
    <w:name w:val="默认段落字体 Para Char Char Char Char"/>
    <w:basedOn w:val="1"/>
    <w:qFormat/>
    <w:uiPriority w:val="0"/>
    <w:pPr>
      <w:spacing w:line="360" w:lineRule="auto"/>
      <w:ind w:firstLine="200" w:firstLineChars="200"/>
    </w:pPr>
    <w:rPr>
      <w:rFonts w:ascii="宋体" w:hAnsi="宋体" w:cs="宋体"/>
      <w:sz w:val="24"/>
      <w:szCs w:val="24"/>
    </w:rPr>
  </w:style>
  <w:style w:type="character" w:customStyle="1" w:styleId="38">
    <w:name w:val="页眉 字符"/>
    <w:basedOn w:val="28"/>
    <w:link w:val="16"/>
    <w:qFormat/>
    <w:uiPriority w:val="99"/>
    <w:rPr>
      <w:rFonts w:eastAsia="宋体"/>
      <w:kern w:val="2"/>
      <w:sz w:val="18"/>
      <w:lang w:val="en-US" w:eastAsia="zh-CN" w:bidi="ar-SA"/>
    </w:rPr>
  </w:style>
  <w:style w:type="character" w:customStyle="1" w:styleId="39">
    <w:name w:val="批注框文本 字符"/>
    <w:basedOn w:val="28"/>
    <w:link w:val="14"/>
    <w:qFormat/>
    <w:uiPriority w:val="0"/>
    <w:rPr>
      <w:kern w:val="2"/>
      <w:sz w:val="18"/>
      <w:szCs w:val="18"/>
    </w:rPr>
  </w:style>
  <w:style w:type="paragraph" w:customStyle="1" w:styleId="40">
    <w:name w:val="报告书正文"/>
    <w:basedOn w:val="1"/>
    <w:qFormat/>
    <w:uiPriority w:val="0"/>
    <w:pPr>
      <w:spacing w:line="500" w:lineRule="exact"/>
    </w:pPr>
    <w:rPr>
      <w:rFonts w:ascii="宋体" w:hAnsi="宋体"/>
      <w:bCs/>
      <w:sz w:val="24"/>
      <w:szCs w:val="24"/>
    </w:rPr>
  </w:style>
  <w:style w:type="paragraph" w:customStyle="1" w:styleId="41">
    <w:name w:val="表格式"/>
    <w:basedOn w:val="19"/>
    <w:qFormat/>
    <w:uiPriority w:val="0"/>
    <w:pPr>
      <w:spacing w:line="400" w:lineRule="exact"/>
      <w:ind w:left="0" w:firstLine="0" w:firstLineChars="0"/>
      <w:jc w:val="center"/>
    </w:pPr>
    <w:rPr>
      <w:rFonts w:ascii="宋体"/>
      <w:sz w:val="21"/>
    </w:rPr>
  </w:style>
  <w:style w:type="character" w:customStyle="1" w:styleId="42">
    <w:name w:val="contentwordstext1"/>
    <w:basedOn w:val="28"/>
    <w:qFormat/>
    <w:uiPriority w:val="0"/>
    <w:rPr>
      <w:rFonts w:hint="default" w:ascii="ˎ̥" w:hAnsi="ˎ̥"/>
      <w:sz w:val="21"/>
      <w:szCs w:val="21"/>
    </w:rPr>
  </w:style>
  <w:style w:type="paragraph" w:customStyle="1" w:styleId="43">
    <w:name w:val="Char"/>
    <w:basedOn w:val="1"/>
    <w:qFormat/>
    <w:uiPriority w:val="0"/>
    <w:pPr>
      <w:snapToGrid w:val="0"/>
      <w:spacing w:line="360" w:lineRule="auto"/>
      <w:ind w:firstLine="529" w:firstLineChars="200"/>
    </w:pPr>
    <w:rPr>
      <w:rFonts w:ascii="宋体" w:hAnsi="宋体"/>
      <w:b/>
      <w:sz w:val="21"/>
      <w:szCs w:val="24"/>
    </w:rPr>
  </w:style>
  <w:style w:type="paragraph" w:customStyle="1" w:styleId="44">
    <w:name w:val="Body Text 21"/>
    <w:basedOn w:val="1"/>
    <w:qFormat/>
    <w:uiPriority w:val="0"/>
    <w:pPr>
      <w:autoSpaceDE w:val="0"/>
      <w:autoSpaceDN w:val="0"/>
      <w:adjustRightInd w:val="0"/>
      <w:spacing w:line="480" w:lineRule="exact"/>
      <w:ind w:firstLine="540"/>
      <w:textAlignment w:val="baseline"/>
    </w:pPr>
    <w:rPr>
      <w:rFonts w:ascii="宋体" w:hAnsi="Tms Rmn"/>
      <w:kern w:val="0"/>
      <w:sz w:val="24"/>
    </w:rPr>
  </w:style>
  <w:style w:type="paragraph" w:customStyle="1" w:styleId="45">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46">
    <w:name w:val="0"/>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47">
    <w:name w:val="style21"/>
    <w:basedOn w:val="28"/>
    <w:qFormat/>
    <w:uiPriority w:val="0"/>
    <w:rPr>
      <w:b/>
      <w:bCs/>
      <w:sz w:val="21"/>
      <w:szCs w:val="21"/>
    </w:rPr>
  </w:style>
  <w:style w:type="character" w:customStyle="1" w:styleId="48">
    <w:name w:val="正文文本首行缩进 字符"/>
    <w:basedOn w:val="28"/>
    <w:link w:val="25"/>
    <w:qFormat/>
    <w:uiPriority w:val="0"/>
    <w:rPr>
      <w:rFonts w:eastAsia="宋体"/>
      <w:kern w:val="2"/>
      <w:sz w:val="30"/>
      <w:lang w:val="en-US" w:eastAsia="zh-CN" w:bidi="ar-SA"/>
    </w:rPr>
  </w:style>
  <w:style w:type="paragraph" w:customStyle="1" w:styleId="49">
    <w:name w:val="章标题"/>
    <w:basedOn w:val="1"/>
    <w:qFormat/>
    <w:uiPriority w:val="0"/>
    <w:pPr>
      <w:jc w:val="center"/>
    </w:pPr>
    <w:rPr>
      <w:rFonts w:ascii="宋体" w:hAnsi="宋体" w:eastAsia="黑体"/>
      <w:b/>
      <w:sz w:val="36"/>
    </w:rPr>
  </w:style>
  <w:style w:type="character" w:customStyle="1" w:styleId="50">
    <w:name w:val="apple-converted-space"/>
    <w:basedOn w:val="28"/>
    <w:qFormat/>
    <w:uiPriority w:val="0"/>
  </w:style>
  <w:style w:type="character" w:customStyle="1" w:styleId="51">
    <w:name w:val="HTML 预设格式 字符"/>
    <w:basedOn w:val="28"/>
    <w:link w:val="22"/>
    <w:qFormat/>
    <w:uiPriority w:val="99"/>
    <w:rPr>
      <w:rFonts w:ascii="宋体" w:hAnsi="宋体" w:cs="宋体"/>
      <w:sz w:val="24"/>
      <w:szCs w:val="24"/>
    </w:rPr>
  </w:style>
  <w:style w:type="character" w:customStyle="1" w:styleId="52">
    <w:name w:val="正文缩进 字符"/>
    <w:link w:val="5"/>
    <w:qFormat/>
    <w:uiPriority w:val="0"/>
    <w:rPr>
      <w:rFonts w:ascii="仿宋_GB2312" w:eastAsia="仿宋_GB2312"/>
      <w:color w:val="000000"/>
      <w:kern w:val="2"/>
      <w:sz w:val="30"/>
      <w:szCs w:val="24"/>
    </w:rPr>
  </w:style>
  <w:style w:type="paragraph" w:customStyle="1" w:styleId="53">
    <w:name w:val="纯文本1"/>
    <w:basedOn w:val="1"/>
    <w:qFormat/>
    <w:uiPriority w:val="0"/>
    <w:pPr>
      <w:autoSpaceDE w:val="0"/>
      <w:autoSpaceDN w:val="0"/>
      <w:adjustRightInd w:val="0"/>
      <w:textAlignment w:val="baseline"/>
    </w:pPr>
    <w:rPr>
      <w:rFonts w:ascii="宋体"/>
      <w:sz w:val="21"/>
    </w:rPr>
  </w:style>
  <w:style w:type="character" w:customStyle="1" w:styleId="54">
    <w:name w:val="纯文本 字符"/>
    <w:link w:val="11"/>
    <w:qFormat/>
    <w:uiPriority w:val="0"/>
    <w:rPr>
      <w:rFonts w:ascii="宋体" w:hAnsi="Courier New" w:cs="Courier New"/>
      <w:kern w:val="2"/>
      <w:sz w:val="21"/>
      <w:szCs w:val="21"/>
    </w:rPr>
  </w:style>
  <w:style w:type="character" w:customStyle="1" w:styleId="55">
    <w:name w:val="表头 Char"/>
    <w:link w:val="56"/>
    <w:qFormat/>
    <w:uiPriority w:val="0"/>
    <w:rPr>
      <w:rFonts w:eastAsia="黑体"/>
      <w:color w:val="000000"/>
      <w:sz w:val="24"/>
      <w:szCs w:val="24"/>
    </w:rPr>
  </w:style>
  <w:style w:type="paragraph" w:customStyle="1" w:styleId="56">
    <w:name w:val="表头"/>
    <w:basedOn w:val="1"/>
    <w:link w:val="55"/>
    <w:qFormat/>
    <w:uiPriority w:val="0"/>
    <w:pPr>
      <w:adjustRightInd w:val="0"/>
      <w:snapToGrid w:val="0"/>
      <w:jc w:val="center"/>
    </w:pPr>
    <w:rPr>
      <w:rFonts w:eastAsia="黑体"/>
      <w:color w:val="000000"/>
      <w:kern w:val="0"/>
      <w:sz w:val="24"/>
      <w:szCs w:val="24"/>
    </w:rPr>
  </w:style>
  <w:style w:type="paragraph" w:customStyle="1" w:styleId="57">
    <w:name w:val="封面正文"/>
    <w:qFormat/>
    <w:uiPriority w:val="0"/>
    <w:pPr>
      <w:jc w:val="both"/>
    </w:pPr>
    <w:rPr>
      <w:rFonts w:ascii="Times New Roman" w:hAnsi="Times New Roman" w:eastAsia="宋体" w:cs="Times New Roman"/>
      <w:lang w:val="en-US" w:eastAsia="zh-CN" w:bidi="ar-SA"/>
    </w:rPr>
  </w:style>
  <w:style w:type="paragraph" w:customStyle="1" w:styleId="58">
    <w:name w:val="注居中"/>
    <w:basedOn w:val="1"/>
    <w:qFormat/>
    <w:uiPriority w:val="0"/>
    <w:pPr>
      <w:spacing w:before="120" w:after="120" w:line="240" w:lineRule="exact"/>
      <w:jc w:val="center"/>
    </w:pPr>
    <w:rPr>
      <w:rFonts w:ascii="黑体" w:eastAsia="黑体"/>
      <w:color w:val="000000"/>
      <w:kern w:val="0"/>
      <w:sz w:val="21"/>
    </w:rPr>
  </w:style>
  <w:style w:type="character" w:customStyle="1" w:styleId="59">
    <w:name w:val="文档结构图 字符"/>
    <w:basedOn w:val="28"/>
    <w:link w:val="6"/>
    <w:qFormat/>
    <w:uiPriority w:val="0"/>
    <w:rPr>
      <w:rFonts w:ascii="宋体"/>
      <w:kern w:val="2"/>
      <w:sz w:val="18"/>
      <w:szCs w:val="18"/>
    </w:rPr>
  </w:style>
  <w:style w:type="character" w:customStyle="1" w:styleId="60">
    <w:name w:val="正文文本_"/>
    <w:basedOn w:val="28"/>
    <w:link w:val="61"/>
    <w:qFormat/>
    <w:uiPriority w:val="0"/>
    <w:rPr>
      <w:rFonts w:ascii="MingLiU" w:hAnsi="MingLiU" w:eastAsia="MingLiU" w:cs="MingLiU"/>
      <w:spacing w:val="10"/>
      <w:sz w:val="21"/>
      <w:szCs w:val="21"/>
      <w:shd w:val="clear" w:color="auto" w:fill="FFFFFF"/>
    </w:rPr>
  </w:style>
  <w:style w:type="paragraph" w:customStyle="1" w:styleId="61">
    <w:name w:val="正文文本3"/>
    <w:basedOn w:val="1"/>
    <w:link w:val="60"/>
    <w:qFormat/>
    <w:uiPriority w:val="0"/>
    <w:pPr>
      <w:shd w:val="clear" w:color="auto" w:fill="FFFFFF"/>
      <w:spacing w:before="1320" w:line="538" w:lineRule="exact"/>
      <w:jc w:val="distribute"/>
    </w:pPr>
    <w:rPr>
      <w:rFonts w:ascii="MingLiU" w:hAnsi="MingLiU" w:eastAsia="MingLiU" w:cs="MingLiU"/>
      <w:spacing w:val="10"/>
      <w:kern w:val="0"/>
      <w:sz w:val="21"/>
      <w:szCs w:val="21"/>
    </w:rPr>
  </w:style>
  <w:style w:type="character" w:customStyle="1" w:styleId="62">
    <w:name w:val="正文文本 Exact"/>
    <w:basedOn w:val="28"/>
    <w:qFormat/>
    <w:uiPriority w:val="0"/>
    <w:rPr>
      <w:rFonts w:ascii="MingLiU" w:hAnsi="MingLiU" w:eastAsia="MingLiU" w:cs="MingLiU"/>
      <w:spacing w:val="12"/>
      <w:sz w:val="21"/>
      <w:szCs w:val="21"/>
      <w:u w:val="none"/>
    </w:rPr>
  </w:style>
  <w:style w:type="character" w:customStyle="1" w:styleId="63">
    <w:name w:val="正文文本 + 10 pt"/>
    <w:basedOn w:val="60"/>
    <w:qFormat/>
    <w:uiPriority w:val="0"/>
    <w:rPr>
      <w:rFonts w:ascii="MingLiU" w:hAnsi="MingLiU" w:eastAsia="MingLiU" w:cs="MingLiU"/>
      <w:color w:val="000000"/>
      <w:spacing w:val="-3"/>
      <w:w w:val="100"/>
      <w:position w:val="0"/>
      <w:sz w:val="20"/>
      <w:szCs w:val="20"/>
      <w:shd w:val="clear" w:color="auto" w:fill="FFFFFF"/>
      <w:lang w:val="en-US"/>
    </w:rPr>
  </w:style>
  <w:style w:type="character" w:customStyle="1" w:styleId="64">
    <w:name w:val="正文文本 + 间距 0 pt"/>
    <w:basedOn w:val="60"/>
    <w:qFormat/>
    <w:uiPriority w:val="0"/>
    <w:rPr>
      <w:rFonts w:ascii="MingLiU" w:hAnsi="MingLiU" w:eastAsia="MingLiU" w:cs="MingLiU"/>
      <w:color w:val="000000"/>
      <w:spacing w:val="0"/>
      <w:w w:val="100"/>
      <w:position w:val="0"/>
      <w:sz w:val="21"/>
      <w:szCs w:val="21"/>
      <w:u w:val="none"/>
      <w:shd w:val="clear" w:color="auto" w:fill="FFFFFF"/>
      <w:lang w:val="en-US"/>
    </w:rPr>
  </w:style>
  <w:style w:type="character" w:customStyle="1" w:styleId="65">
    <w:name w:val="正文文本 (8)_"/>
    <w:basedOn w:val="28"/>
    <w:link w:val="66"/>
    <w:qFormat/>
    <w:uiPriority w:val="0"/>
    <w:rPr>
      <w:rFonts w:ascii="MingLiU" w:hAnsi="MingLiU" w:eastAsia="MingLiU" w:cs="MingLiU"/>
      <w:b/>
      <w:bCs/>
      <w:sz w:val="23"/>
      <w:szCs w:val="23"/>
      <w:shd w:val="clear" w:color="auto" w:fill="FFFFFF"/>
    </w:rPr>
  </w:style>
  <w:style w:type="paragraph" w:customStyle="1" w:styleId="66">
    <w:name w:val="正文文本 (8)"/>
    <w:basedOn w:val="1"/>
    <w:link w:val="65"/>
    <w:qFormat/>
    <w:uiPriority w:val="0"/>
    <w:pPr>
      <w:shd w:val="clear" w:color="auto" w:fill="FFFFFF"/>
      <w:spacing w:line="437" w:lineRule="exact"/>
      <w:jc w:val="distribute"/>
    </w:pPr>
    <w:rPr>
      <w:rFonts w:ascii="MingLiU" w:hAnsi="MingLiU" w:eastAsia="MingLiU" w:cs="MingLiU"/>
      <w:b/>
      <w:bCs/>
      <w:kern w:val="0"/>
      <w:sz w:val="23"/>
      <w:szCs w:val="23"/>
    </w:rPr>
  </w:style>
  <w:style w:type="character" w:customStyle="1" w:styleId="67">
    <w:name w:val="表格标题_"/>
    <w:basedOn w:val="28"/>
    <w:qFormat/>
    <w:uiPriority w:val="0"/>
    <w:rPr>
      <w:rFonts w:ascii="MingLiU" w:hAnsi="MingLiU" w:eastAsia="MingLiU" w:cs="MingLiU"/>
      <w:spacing w:val="10"/>
      <w:sz w:val="21"/>
      <w:szCs w:val="21"/>
      <w:shd w:val="clear" w:color="auto" w:fill="FFFFFF"/>
    </w:rPr>
  </w:style>
  <w:style w:type="character" w:customStyle="1" w:styleId="68">
    <w:name w:val="表格标题 + 间距 0 pt"/>
    <w:basedOn w:val="67"/>
    <w:qFormat/>
    <w:uiPriority w:val="0"/>
    <w:rPr>
      <w:rFonts w:ascii="MingLiU" w:hAnsi="MingLiU" w:eastAsia="MingLiU" w:cs="MingLiU"/>
      <w:color w:val="000000"/>
      <w:spacing w:val="0"/>
      <w:w w:val="100"/>
      <w:position w:val="0"/>
      <w:sz w:val="21"/>
      <w:szCs w:val="21"/>
      <w:shd w:val="clear" w:color="auto" w:fill="FFFFFF"/>
      <w:lang w:val="zh-TW"/>
    </w:rPr>
  </w:style>
  <w:style w:type="character" w:customStyle="1" w:styleId="69">
    <w:name w:val="正文文本1"/>
    <w:basedOn w:val="60"/>
    <w:qFormat/>
    <w:uiPriority w:val="0"/>
    <w:rPr>
      <w:rFonts w:ascii="MingLiU" w:hAnsi="MingLiU" w:eastAsia="MingLiU" w:cs="MingLiU"/>
      <w:color w:val="000000"/>
      <w:spacing w:val="10"/>
      <w:w w:val="100"/>
      <w:position w:val="0"/>
      <w:sz w:val="21"/>
      <w:szCs w:val="21"/>
      <w:u w:val="none"/>
      <w:shd w:val="clear" w:color="auto" w:fill="FFFFFF"/>
      <w:lang w:val="zh-TW"/>
    </w:rPr>
  </w:style>
  <w:style w:type="character" w:customStyle="1" w:styleId="70">
    <w:name w:val="标题 #7_"/>
    <w:basedOn w:val="28"/>
    <w:link w:val="71"/>
    <w:qFormat/>
    <w:uiPriority w:val="0"/>
    <w:rPr>
      <w:rFonts w:ascii="MingLiU" w:hAnsi="MingLiU" w:eastAsia="MingLiU" w:cs="MingLiU"/>
      <w:b/>
      <w:bCs/>
      <w:sz w:val="23"/>
      <w:szCs w:val="23"/>
      <w:shd w:val="clear" w:color="auto" w:fill="FFFFFF"/>
    </w:rPr>
  </w:style>
  <w:style w:type="paragraph" w:customStyle="1" w:styleId="71">
    <w:name w:val="标题 #7"/>
    <w:basedOn w:val="1"/>
    <w:link w:val="70"/>
    <w:qFormat/>
    <w:uiPriority w:val="0"/>
    <w:pPr>
      <w:shd w:val="clear" w:color="auto" w:fill="FFFFFF"/>
      <w:spacing w:line="437" w:lineRule="exact"/>
      <w:ind w:firstLine="480"/>
      <w:jc w:val="distribute"/>
      <w:outlineLvl w:val="6"/>
    </w:pPr>
    <w:rPr>
      <w:rFonts w:ascii="MingLiU" w:hAnsi="MingLiU" w:eastAsia="MingLiU" w:cs="MingLiU"/>
      <w:b/>
      <w:bCs/>
      <w:kern w:val="0"/>
      <w:sz w:val="23"/>
      <w:szCs w:val="23"/>
    </w:rPr>
  </w:style>
  <w:style w:type="character" w:customStyle="1" w:styleId="72">
    <w:name w:val="正文文本 (4)_"/>
    <w:basedOn w:val="28"/>
    <w:link w:val="73"/>
    <w:qFormat/>
    <w:uiPriority w:val="0"/>
    <w:rPr>
      <w:rFonts w:ascii="MingLiU" w:hAnsi="MingLiU" w:eastAsia="MingLiU" w:cs="MingLiU"/>
      <w:sz w:val="21"/>
      <w:szCs w:val="21"/>
      <w:shd w:val="clear" w:color="auto" w:fill="FFFFFF"/>
    </w:rPr>
  </w:style>
  <w:style w:type="paragraph" w:customStyle="1" w:styleId="73">
    <w:name w:val="正文文本 (4)"/>
    <w:basedOn w:val="1"/>
    <w:link w:val="72"/>
    <w:qFormat/>
    <w:uiPriority w:val="0"/>
    <w:pPr>
      <w:shd w:val="clear" w:color="auto" w:fill="FFFFFF"/>
      <w:spacing w:line="0" w:lineRule="atLeast"/>
      <w:jc w:val="left"/>
    </w:pPr>
    <w:rPr>
      <w:rFonts w:ascii="MingLiU" w:hAnsi="MingLiU" w:eastAsia="MingLiU" w:cs="MingLiU"/>
      <w:kern w:val="0"/>
      <w:sz w:val="21"/>
      <w:szCs w:val="21"/>
    </w:rPr>
  </w:style>
  <w:style w:type="character" w:customStyle="1" w:styleId="74">
    <w:name w:val="正文文本 (4) + 间距 0 pt"/>
    <w:basedOn w:val="72"/>
    <w:qFormat/>
    <w:uiPriority w:val="0"/>
    <w:rPr>
      <w:rFonts w:ascii="MingLiU" w:hAnsi="MingLiU" w:eastAsia="MingLiU" w:cs="MingLiU"/>
      <w:color w:val="000000"/>
      <w:spacing w:val="10"/>
      <w:w w:val="100"/>
      <w:position w:val="0"/>
      <w:sz w:val="21"/>
      <w:szCs w:val="21"/>
      <w:shd w:val="clear" w:color="auto" w:fill="FFFFFF"/>
      <w:lang w:val="zh-TW"/>
    </w:rPr>
  </w:style>
  <w:style w:type="character" w:customStyle="1" w:styleId="75">
    <w:name w:val="正文文本 + 间距 -1 pt"/>
    <w:basedOn w:val="60"/>
    <w:qFormat/>
    <w:uiPriority w:val="0"/>
    <w:rPr>
      <w:rFonts w:ascii="MingLiU" w:hAnsi="MingLiU" w:eastAsia="MingLiU" w:cs="MingLiU"/>
      <w:color w:val="000000"/>
      <w:spacing w:val="-20"/>
      <w:w w:val="100"/>
      <w:position w:val="0"/>
      <w:sz w:val="21"/>
      <w:szCs w:val="21"/>
      <w:u w:val="none"/>
      <w:shd w:val="clear" w:color="auto" w:fill="FFFFFF"/>
      <w:lang w:val="zh-TW"/>
    </w:rPr>
  </w:style>
  <w:style w:type="paragraph" w:customStyle="1" w:styleId="76">
    <w:name w:val="Char Char Char Char Char Char Char"/>
    <w:basedOn w:val="1"/>
    <w:qFormat/>
    <w:uiPriority w:val="0"/>
    <w:pPr>
      <w:widowControl/>
      <w:jc w:val="left"/>
    </w:pPr>
    <w:rPr>
      <w:rFonts w:ascii="Tahoma" w:hAnsi="Tahoma" w:cs="仿宋_GB2312"/>
      <w:kern w:val="0"/>
      <w:sz w:val="24"/>
    </w:rPr>
  </w:style>
  <w:style w:type="character" w:customStyle="1" w:styleId="77">
    <w:name w:val="表头 1 Char"/>
    <w:basedOn w:val="28"/>
    <w:link w:val="78"/>
    <w:qFormat/>
    <w:uiPriority w:val="0"/>
    <w:rPr>
      <w:b/>
      <w:kern w:val="2"/>
      <w:sz w:val="24"/>
      <w:szCs w:val="24"/>
    </w:rPr>
  </w:style>
  <w:style w:type="paragraph" w:customStyle="1" w:styleId="78">
    <w:name w:val="表头 1"/>
    <w:basedOn w:val="8"/>
    <w:next w:val="8"/>
    <w:link w:val="77"/>
    <w:qFormat/>
    <w:uiPriority w:val="0"/>
    <w:pPr>
      <w:adjustRightInd w:val="0"/>
      <w:snapToGrid w:val="0"/>
      <w:spacing w:before="0" w:line="240" w:lineRule="auto"/>
      <w:jc w:val="center"/>
    </w:pPr>
    <w:rPr>
      <w:b/>
      <w:spacing w:val="0"/>
      <w:sz w:val="24"/>
      <w:szCs w:val="24"/>
    </w:rPr>
  </w:style>
  <w:style w:type="paragraph" w:customStyle="1" w:styleId="79">
    <w:name w:val="流程文字"/>
    <w:basedOn w:val="1"/>
    <w:qFormat/>
    <w:uiPriority w:val="99"/>
    <w:pPr>
      <w:tabs>
        <w:tab w:val="left" w:pos="6480"/>
      </w:tabs>
      <w:topLinePunct/>
      <w:adjustRightInd w:val="0"/>
      <w:snapToGrid w:val="0"/>
      <w:jc w:val="center"/>
    </w:pPr>
    <w:rPr>
      <w:rFonts w:eastAsia="仿宋_GB2312"/>
      <w:sz w:val="21"/>
    </w:rPr>
  </w:style>
  <w:style w:type="paragraph" w:customStyle="1" w:styleId="80">
    <w:name w:val="Char Char Char4 Char Char Char Char"/>
    <w:basedOn w:val="1"/>
    <w:qFormat/>
    <w:uiPriority w:val="0"/>
    <w:rPr>
      <w:rFonts w:ascii="宋体" w:hAnsi="宋体"/>
      <w:kern w:val="36"/>
      <w:sz w:val="24"/>
    </w:rPr>
  </w:style>
  <w:style w:type="paragraph" w:customStyle="1" w:styleId="81">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82">
    <w:name w:val="CM3"/>
    <w:basedOn w:val="81"/>
    <w:next w:val="81"/>
    <w:qFormat/>
    <w:uiPriority w:val="0"/>
    <w:pPr>
      <w:spacing w:line="603" w:lineRule="atLeast"/>
    </w:pPr>
    <w:rPr>
      <w:rFonts w:ascii="楷体_GB2312" w:eastAsia="楷体_GB2312" w:cs="楷体_GB2312"/>
      <w:color w:val="auto"/>
    </w:rPr>
  </w:style>
  <w:style w:type="paragraph" w:customStyle="1" w:styleId="83">
    <w:name w:val="样式4"/>
    <w:basedOn w:val="1"/>
    <w:link w:val="99"/>
    <w:qFormat/>
    <w:uiPriority w:val="0"/>
    <w:pPr>
      <w:spacing w:line="480" w:lineRule="exact"/>
    </w:pPr>
    <w:rPr>
      <w:rFonts w:eastAsia="华康简宋"/>
      <w:spacing w:val="-10"/>
      <w:sz w:val="24"/>
      <w:szCs w:val="24"/>
    </w:rPr>
  </w:style>
  <w:style w:type="paragraph" w:customStyle="1" w:styleId="84">
    <w:name w:val="正文1"/>
    <w:basedOn w:val="1"/>
    <w:qFormat/>
    <w:uiPriority w:val="0"/>
    <w:pPr>
      <w:adjustRightInd w:val="0"/>
      <w:snapToGrid w:val="0"/>
      <w:spacing w:line="500" w:lineRule="atLeast"/>
      <w:ind w:firstLine="567"/>
    </w:pPr>
    <w:rPr>
      <w:sz w:val="28"/>
      <w:szCs w:val="24"/>
    </w:rPr>
  </w:style>
  <w:style w:type="character" w:customStyle="1" w:styleId="85">
    <w:name w:val="标题 #6_"/>
    <w:basedOn w:val="28"/>
    <w:link w:val="86"/>
    <w:qFormat/>
    <w:uiPriority w:val="0"/>
    <w:rPr>
      <w:rFonts w:ascii="MingLiU" w:hAnsi="MingLiU" w:eastAsia="MingLiU" w:cs="MingLiU"/>
      <w:b/>
      <w:bCs/>
      <w:sz w:val="22"/>
      <w:szCs w:val="22"/>
      <w:shd w:val="clear" w:color="auto" w:fill="FFFFFF"/>
    </w:rPr>
  </w:style>
  <w:style w:type="paragraph" w:customStyle="1" w:styleId="86">
    <w:name w:val="标题 #6"/>
    <w:basedOn w:val="1"/>
    <w:link w:val="85"/>
    <w:qFormat/>
    <w:uiPriority w:val="0"/>
    <w:pPr>
      <w:shd w:val="clear" w:color="auto" w:fill="FFFFFF"/>
      <w:spacing w:before="120" w:line="437" w:lineRule="exact"/>
      <w:ind w:firstLine="460"/>
      <w:jc w:val="distribute"/>
      <w:outlineLvl w:val="5"/>
    </w:pPr>
    <w:rPr>
      <w:rFonts w:ascii="MingLiU" w:hAnsi="MingLiU" w:eastAsia="MingLiU" w:cs="MingLiU"/>
      <w:b/>
      <w:bCs/>
      <w:kern w:val="0"/>
      <w:sz w:val="22"/>
      <w:szCs w:val="22"/>
    </w:rPr>
  </w:style>
  <w:style w:type="character" w:customStyle="1" w:styleId="87">
    <w:name w:val="标题 #6 + Times New Roman"/>
    <w:basedOn w:val="85"/>
    <w:qFormat/>
    <w:uiPriority w:val="0"/>
    <w:rPr>
      <w:rFonts w:ascii="Times New Roman" w:hAnsi="Times New Roman" w:eastAsia="Times New Roman" w:cs="Times New Roman"/>
      <w:color w:val="000000"/>
      <w:spacing w:val="-10"/>
      <w:w w:val="100"/>
      <w:position w:val="0"/>
      <w:sz w:val="23"/>
      <w:szCs w:val="23"/>
      <w:shd w:val="clear" w:color="auto" w:fill="FFFFFF"/>
      <w:lang w:val="zh-TW"/>
    </w:rPr>
  </w:style>
  <w:style w:type="character" w:customStyle="1" w:styleId="88">
    <w:name w:val="正文文本 + 间距 2 pt"/>
    <w:basedOn w:val="60"/>
    <w:qFormat/>
    <w:uiPriority w:val="0"/>
    <w:rPr>
      <w:rFonts w:ascii="MingLiU" w:hAnsi="MingLiU" w:eastAsia="MingLiU" w:cs="MingLiU"/>
      <w:color w:val="000000"/>
      <w:spacing w:val="50"/>
      <w:w w:val="100"/>
      <w:position w:val="0"/>
      <w:sz w:val="21"/>
      <w:szCs w:val="21"/>
      <w:u w:val="none"/>
      <w:shd w:val="clear" w:color="auto" w:fill="FFFFFF"/>
      <w:lang w:val="zh-TW"/>
    </w:rPr>
  </w:style>
  <w:style w:type="paragraph" w:customStyle="1" w:styleId="89">
    <w:name w:val="Char Char Char Char Char Char Char Char Char Char Char Char Char Char Char Char"/>
    <w:basedOn w:val="1"/>
    <w:qFormat/>
    <w:uiPriority w:val="0"/>
    <w:pPr>
      <w:spacing w:line="360" w:lineRule="auto"/>
      <w:ind w:firstLine="200" w:firstLineChars="200"/>
    </w:pPr>
    <w:rPr>
      <w:rFonts w:ascii="宋体" w:hAnsi="宋体" w:cs="宋体"/>
      <w:sz w:val="24"/>
      <w:szCs w:val="24"/>
    </w:rPr>
  </w:style>
  <w:style w:type="character" w:customStyle="1" w:styleId="90">
    <w:name w:val="正文文本 2 字符"/>
    <w:basedOn w:val="28"/>
    <w:link w:val="21"/>
    <w:qFormat/>
    <w:uiPriority w:val="0"/>
    <w:rPr>
      <w:rFonts w:ascii="宋体" w:hAnsi="宋体"/>
      <w:kern w:val="36"/>
      <w:sz w:val="24"/>
    </w:rPr>
  </w:style>
  <w:style w:type="paragraph" w:styleId="91">
    <w:name w:val="List Paragraph"/>
    <w:basedOn w:val="1"/>
    <w:qFormat/>
    <w:uiPriority w:val="34"/>
    <w:pPr>
      <w:ind w:firstLine="420" w:firstLineChars="200"/>
    </w:pPr>
  </w:style>
  <w:style w:type="character" w:customStyle="1" w:styleId="92">
    <w:name w:val="副标题 字符"/>
    <w:basedOn w:val="28"/>
    <w:link w:val="18"/>
    <w:qFormat/>
    <w:uiPriority w:val="0"/>
    <w:rPr>
      <w:rFonts w:asciiTheme="majorHAnsi" w:hAnsiTheme="majorHAnsi" w:cstheme="majorBidi"/>
      <w:b/>
      <w:bCs/>
      <w:kern w:val="28"/>
      <w:sz w:val="32"/>
      <w:szCs w:val="32"/>
    </w:rPr>
  </w:style>
  <w:style w:type="character" w:customStyle="1" w:styleId="93">
    <w:name w:val="批注文字 字符"/>
    <w:basedOn w:val="28"/>
    <w:link w:val="7"/>
    <w:semiHidden/>
    <w:qFormat/>
    <w:locked/>
    <w:uiPriority w:val="99"/>
    <w:rPr>
      <w:kern w:val="2"/>
      <w:sz w:val="30"/>
    </w:rPr>
  </w:style>
  <w:style w:type="paragraph" w:customStyle="1" w:styleId="94">
    <w:name w:val="正文4"/>
    <w:basedOn w:val="1"/>
    <w:qFormat/>
    <w:uiPriority w:val="0"/>
    <w:pPr>
      <w:widowControl/>
      <w:adjustRightInd w:val="0"/>
      <w:snapToGrid w:val="0"/>
      <w:spacing w:line="360" w:lineRule="auto"/>
      <w:ind w:firstLine="480" w:firstLineChars="200"/>
    </w:pPr>
    <w:rPr>
      <w:rFonts w:hAnsi="宋体"/>
      <w:kern w:val="0"/>
      <w:sz w:val="24"/>
    </w:rPr>
  </w:style>
  <w:style w:type="character" w:customStyle="1" w:styleId="95">
    <w:name w:val="正文 4 Char"/>
    <w:basedOn w:val="28"/>
    <w:link w:val="96"/>
    <w:qFormat/>
    <w:uiPriority w:val="0"/>
    <w:rPr>
      <w:rFonts w:hAnsi="宋体"/>
      <w:sz w:val="24"/>
      <w:szCs w:val="24"/>
    </w:rPr>
  </w:style>
  <w:style w:type="paragraph" w:customStyle="1" w:styleId="96">
    <w:name w:val="正文 4"/>
    <w:basedOn w:val="1"/>
    <w:link w:val="95"/>
    <w:qFormat/>
    <w:uiPriority w:val="0"/>
    <w:pPr>
      <w:autoSpaceDE w:val="0"/>
      <w:autoSpaceDN w:val="0"/>
      <w:adjustRightInd w:val="0"/>
      <w:snapToGrid w:val="0"/>
      <w:spacing w:line="360" w:lineRule="auto"/>
      <w:jc w:val="center"/>
    </w:pPr>
    <w:rPr>
      <w:rFonts w:hAnsi="宋体"/>
      <w:kern w:val="0"/>
      <w:sz w:val="24"/>
      <w:szCs w:val="24"/>
    </w:rPr>
  </w:style>
  <w:style w:type="character" w:customStyle="1" w:styleId="97">
    <w:name w:val="正文文本缩进 3 字符"/>
    <w:basedOn w:val="28"/>
    <w:link w:val="20"/>
    <w:qFormat/>
    <w:uiPriority w:val="0"/>
    <w:rPr>
      <w:spacing w:val="-6"/>
      <w:kern w:val="2"/>
      <w:sz w:val="24"/>
    </w:rPr>
  </w:style>
  <w:style w:type="paragraph" w:customStyle="1" w:styleId="98">
    <w:name w:val="文字"/>
    <w:basedOn w:val="1"/>
    <w:qFormat/>
    <w:uiPriority w:val="0"/>
    <w:pPr>
      <w:spacing w:after="120" w:line="360" w:lineRule="auto"/>
      <w:ind w:firstLine="420"/>
    </w:pPr>
    <w:rPr>
      <w:sz w:val="21"/>
    </w:rPr>
  </w:style>
  <w:style w:type="character" w:customStyle="1" w:styleId="99">
    <w:name w:val="样式4 Char"/>
    <w:link w:val="83"/>
    <w:qFormat/>
    <w:uiPriority w:val="0"/>
    <w:rPr>
      <w:rFonts w:eastAsia="华康简宋"/>
      <w:spacing w:val="-10"/>
      <w:kern w:val="2"/>
      <w:sz w:val="24"/>
      <w:szCs w:val="24"/>
    </w:rPr>
  </w:style>
  <w:style w:type="paragraph" w:customStyle="1" w:styleId="100">
    <w:name w:val="p0"/>
    <w:basedOn w:val="1"/>
    <w:qFormat/>
    <w:uiPriority w:val="0"/>
    <w:pPr>
      <w:widowControl/>
    </w:pPr>
    <w:rPr>
      <w:kern w:val="0"/>
      <w:sz w:val="21"/>
      <w:szCs w:val="21"/>
    </w:rPr>
  </w:style>
  <w:style w:type="character" w:customStyle="1" w:styleId="101">
    <w:name w:val="日期 字符"/>
    <w:basedOn w:val="28"/>
    <w:link w:val="12"/>
    <w:qFormat/>
    <w:uiPriority w:val="0"/>
    <w:rPr>
      <w:rFonts w:ascii="Calibri" w:hAnsi="Calibri"/>
      <w:kern w:val="2"/>
      <w:sz w:val="21"/>
      <w:szCs w:val="24"/>
    </w:rPr>
  </w:style>
  <w:style w:type="paragraph" w:customStyle="1" w:styleId="102">
    <w:name w:val="正文01"/>
    <w:basedOn w:val="1"/>
    <w:qFormat/>
    <w:uiPriority w:val="0"/>
    <w:pPr>
      <w:spacing w:before="60" w:line="460" w:lineRule="exact"/>
      <w:ind w:firstLine="200" w:firstLineChars="200"/>
    </w:pPr>
    <w:rPr>
      <w:rFonts w:ascii="Arial" w:hAnsi="Arial"/>
      <w:sz w:val="24"/>
      <w:szCs w:val="24"/>
    </w:rPr>
  </w:style>
  <w:style w:type="paragraph" w:customStyle="1" w:styleId="103">
    <w:name w:val="样式3"/>
    <w:basedOn w:val="1"/>
    <w:qFormat/>
    <w:uiPriority w:val="99"/>
    <w:pPr>
      <w:tabs>
        <w:tab w:val="left" w:pos="6780"/>
      </w:tabs>
      <w:snapToGrid w:val="0"/>
      <w:spacing w:line="360" w:lineRule="auto"/>
      <w:ind w:left="105" w:leftChars="50" w:right="105" w:rightChars="50" w:firstLine="480" w:firstLineChars="200"/>
    </w:pPr>
    <w:rPr>
      <w:sz w:val="24"/>
      <w:lang w:val="zh-CN"/>
    </w:rPr>
  </w:style>
  <w:style w:type="paragraph" w:customStyle="1" w:styleId="104">
    <w:name w:val="6表内"/>
    <w:basedOn w:val="1"/>
    <w:qFormat/>
    <w:uiPriority w:val="0"/>
    <w:pPr>
      <w:widowControl/>
      <w:jc w:val="center"/>
    </w:pPr>
    <w:rPr>
      <w:kern w:val="0"/>
      <w:sz w:val="21"/>
    </w:rPr>
  </w:style>
  <w:style w:type="paragraph" w:customStyle="1" w:styleId="105">
    <w:name w:val="Table Paragraph"/>
    <w:basedOn w:val="1"/>
    <w:qFormat/>
    <w:uiPriority w:val="1"/>
    <w:pPr>
      <w:jc w:val="left"/>
    </w:pPr>
    <w:rPr>
      <w:rFonts w:ascii="Calibri" w:hAnsi="Calibri"/>
      <w:kern w:val="0"/>
      <w:sz w:val="22"/>
      <w:szCs w:val="22"/>
      <w:lang w:eastAsia="en-US"/>
    </w:rPr>
  </w:style>
  <w:style w:type="character" w:customStyle="1" w:styleId="106">
    <w:name w:val="正文文本 字符"/>
    <w:link w:val="8"/>
    <w:qFormat/>
    <w:uiPriority w:val="0"/>
    <w:rPr>
      <w:spacing w:val="-6"/>
      <w:kern w:val="2"/>
      <w:sz w:val="28"/>
    </w:rPr>
  </w:style>
  <w:style w:type="paragraph" w:customStyle="1" w:styleId="107">
    <w:name w:val="1正文"/>
    <w:basedOn w:val="1"/>
    <w:qFormat/>
    <w:uiPriority w:val="0"/>
    <w:pPr>
      <w:widowControl/>
      <w:spacing w:line="360" w:lineRule="auto"/>
      <w:ind w:firstLine="200" w:firstLineChars="200"/>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emf"/><Relationship Id="rId20" Type="http://schemas.openxmlformats.org/officeDocument/2006/relationships/oleObject" Target="embeddings/oleObject4.bin"/><Relationship Id="rId2" Type="http://schemas.openxmlformats.org/officeDocument/2006/relationships/settings" Target="settings.xml"/><Relationship Id="rId19" Type="http://schemas.openxmlformats.org/officeDocument/2006/relationships/image" Target="media/image3.emf"/><Relationship Id="rId18" Type="http://schemas.openxmlformats.org/officeDocument/2006/relationships/oleObject" Target="embeddings/oleObject3.bin"/><Relationship Id="rId17" Type="http://schemas.openxmlformats.org/officeDocument/2006/relationships/image" Target="media/image2.emf"/><Relationship Id="rId16" Type="http://schemas.openxmlformats.org/officeDocument/2006/relationships/oleObject" Target="embeddings/oleObject2.bin"/><Relationship Id="rId15" Type="http://schemas.openxmlformats.org/officeDocument/2006/relationships/image" Target="media/image1.emf"/><Relationship Id="rId14" Type="http://schemas.openxmlformats.org/officeDocument/2006/relationships/oleObject" Target="embeddings/oleObject1.bin"/><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20020;&#27778;&#21452;&#27888;&#29943;&#19994;&#65288;&#32599;&#24196;&#652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1D9C26-1099-4A72-8717-809479CD4CB8}">
  <ds:schemaRefs/>
</ds:datastoreItem>
</file>

<file path=docProps/app.xml><?xml version="1.0" encoding="utf-8"?>
<Properties xmlns="http://schemas.openxmlformats.org/officeDocument/2006/extended-properties" xmlns:vt="http://schemas.openxmlformats.org/officeDocument/2006/docPropsVTypes">
  <Template>临沂双泰瓷业（罗庄）</Template>
  <Company>Sky123.Org</Company>
  <Pages>38</Pages>
  <Words>3688</Words>
  <Characters>21026</Characters>
  <Lines>175</Lines>
  <Paragraphs>49</Paragraphs>
  <TotalTime>17377</TotalTime>
  <ScaleCrop>false</ScaleCrop>
  <LinksUpToDate>false</LinksUpToDate>
  <CharactersWithSpaces>24665</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2010-05-07T08:11:00Z</dcterms:created>
  <dc:creator>lydc</dc:creator>
  <cp:lastModifiedBy>绿妆</cp:lastModifiedBy>
  <cp:lastPrinted>2017-06-16T01:34:00Z</cp:lastPrinted>
  <dcterms:modified xsi:type="dcterms:W3CDTF">2020-11-18T01:55:59Z</dcterms:modified>
  <dc:title>建设项目环境影响报告表</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