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2"/>
        <w:spacing w:line="600" w:lineRule="exact"/>
        <w:jc w:val="center"/>
        <w:rPr>
          <w:rFonts w:ascii="方正小标宋简体" w:hAnsi="微软雅黑" w:eastAsia="方正小标宋简体" w:cs="微软雅黑"/>
          <w:b w:val="0"/>
          <w:kern w:val="0"/>
          <w:szCs w:val="44"/>
        </w:rPr>
      </w:pPr>
      <w:bookmarkStart w:id="0" w:name="_Toc56774290"/>
      <w:r>
        <w:rPr>
          <w:rFonts w:hint="eastAsia" w:ascii="方正小标宋简体" w:hAnsi="微软雅黑" w:eastAsia="方正小标宋简体" w:cs="微软雅黑"/>
          <w:b w:val="0"/>
          <w:kern w:val="0"/>
          <w:szCs w:val="44"/>
        </w:rPr>
        <w:t>威海市建设用地土壤污染状况调查报告</w:t>
      </w:r>
      <w:bookmarkEnd w:id="0"/>
    </w:p>
    <w:p>
      <w:pPr>
        <w:widowControl/>
        <w:shd w:val="clear" w:color="auto" w:fill="FFFFFF"/>
        <w:spacing w:line="600" w:lineRule="exact"/>
        <w:contextualSpacing/>
        <w:jc w:val="center"/>
        <w:outlineLvl w:val="1"/>
        <w:rPr>
          <w:rFonts w:hint="default" w:ascii="方正小标宋简体" w:hAnsi="微软雅黑" w:eastAsia="方正小标宋简体" w:cs="微软雅黑"/>
          <w:kern w:val="0"/>
          <w:sz w:val="44"/>
          <w:szCs w:val="44"/>
          <w:lang w:val="en-US" w:eastAsia="zh-CN"/>
        </w:rPr>
      </w:pPr>
      <w:bookmarkStart w:id="1" w:name="_Toc56774291"/>
      <w:r>
        <w:rPr>
          <w:rFonts w:hint="eastAsia" w:ascii="方正小标宋简体" w:hAnsi="微软雅黑" w:eastAsia="方正小标宋简体" w:cs="微软雅黑"/>
          <w:kern w:val="0"/>
          <w:sz w:val="44"/>
          <w:szCs w:val="44"/>
        </w:rPr>
        <w:t>评审工作指南</w:t>
      </w:r>
      <w:bookmarkEnd w:id="1"/>
    </w:p>
    <w:p>
      <w:pPr>
        <w:widowControl/>
        <w:shd w:val="clear" w:color="auto" w:fill="FFFFFF"/>
        <w:spacing w:line="600" w:lineRule="exact"/>
        <w:ind w:firstLine="880" w:firstLineChars="200"/>
        <w:contextualSpacing/>
        <w:outlineLvl w:val="1"/>
        <w:rPr>
          <w:rFonts w:ascii="方正小标宋简体" w:hAnsi="微软雅黑" w:eastAsia="方正小标宋简体" w:cs="微软雅黑"/>
          <w:sz w:val="44"/>
          <w:szCs w:val="44"/>
        </w:rPr>
      </w:pP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为贯彻落实《中华人民共和国土壤污染防治法》《山东省土壤污染防治条例》等法律法规规章，指导和规范我市建设用地土壤污染状况调查报告评审工作，根据《生态环境部办公厅 自然资源部办公厅关于印发&lt;建设用地土壤污染状况调查、风险评估、风险管控及修复效果评估报告评审指南&gt;的通知》</w:t>
      </w:r>
      <w:bookmarkStart w:id="2" w:name="WenJianBiaoTi"/>
      <w:r>
        <w:rPr>
          <w:rFonts w:hint="eastAsia" w:ascii="Times New Roman" w:hAnsi="Times New Roman" w:eastAsia="仿宋_GB2312"/>
          <w:sz w:val="32"/>
          <w:szCs w:val="32"/>
          <w:lang w:val="en" w:eastAsia="zh-CN"/>
        </w:rPr>
        <w:t>（环办土壤</w:t>
      </w:r>
      <w:r>
        <w:rPr>
          <w:rFonts w:hint="eastAsia" w:ascii="Times New Roman" w:hAnsi="Times New Roman" w:eastAsia="方正隶书_GBK" w:cs="方正隶书_GBK"/>
          <w:sz w:val="32"/>
          <w:szCs w:val="32"/>
          <w:lang w:val="en" w:eastAsia="zh-CN"/>
        </w:rPr>
        <w:t>〔</w:t>
      </w:r>
      <w:r>
        <w:rPr>
          <w:rFonts w:hint="eastAsia" w:ascii="Times New Roman" w:hAnsi="Times New Roman" w:eastAsia="方正隶书_GBK" w:cs="方正隶书_GBK"/>
          <w:sz w:val="32"/>
          <w:szCs w:val="32"/>
          <w:lang w:val="en-US" w:eastAsia="zh-CN"/>
        </w:rPr>
        <w:t>2019</w:t>
      </w:r>
      <w:r>
        <w:rPr>
          <w:rFonts w:hint="eastAsia" w:ascii="Times New Roman" w:hAnsi="Times New Roman" w:eastAsia="方正隶书_GBK" w:cs="方正隶书_GBK"/>
          <w:sz w:val="32"/>
          <w:szCs w:val="32"/>
          <w:lang w:val="en" w:eastAsia="zh-CN"/>
        </w:rPr>
        <w:t>〕</w:t>
      </w:r>
      <w:r>
        <w:rPr>
          <w:rFonts w:hint="eastAsia" w:ascii="Times New Roman" w:hAnsi="Times New Roman" w:eastAsia="方正隶书_GBK" w:cs="方正隶书_GBK"/>
          <w:sz w:val="32"/>
          <w:szCs w:val="32"/>
          <w:lang w:val="en-US" w:eastAsia="zh-CN"/>
        </w:rPr>
        <w:t>63</w:t>
      </w:r>
      <w:r>
        <w:rPr>
          <w:rFonts w:hint="eastAsia" w:ascii="Times New Roman" w:hAnsi="Times New Roman" w:eastAsia="仿宋_GB2312" w:cs="Times New Roman"/>
          <w:sz w:val="32"/>
          <w:szCs w:val="32"/>
          <w:lang w:val="en-US" w:eastAsia="zh-CN"/>
        </w:rPr>
        <w:t>号</w:t>
      </w:r>
      <w:r>
        <w:rPr>
          <w:rFonts w:hint="eastAsia" w:ascii="Times New Roman" w:hAnsi="Times New Roman" w:eastAsia="仿宋_GB2312" w:cs="Times New Roman"/>
          <w:sz w:val="32"/>
          <w:szCs w:val="32"/>
          <w:lang w:val="en" w:eastAsia="zh-CN"/>
        </w:rPr>
        <w:t>）</w:t>
      </w:r>
      <w:r>
        <w:rPr>
          <w:rFonts w:hint="eastAsia" w:ascii="仿宋_GB2312" w:eastAsia="仿宋_GB2312" w:hAnsiTheme="minorEastAsia" w:cstheme="minorEastAsia"/>
          <w:sz w:val="32"/>
          <w:szCs w:val="32"/>
        </w:rPr>
        <w:t>《山东省生态环境厅 山东省自然资源厅关于印发山东省建设用地土壤污染防治专家库管理办法（试行）的通知</w:t>
      </w:r>
      <w:bookmarkEnd w:id="2"/>
      <w:bookmarkStart w:id="3" w:name="GongWenZiHao"/>
      <w:r>
        <w:rPr>
          <w:rFonts w:hint="eastAsia" w:ascii="仿宋_GB2312" w:eastAsia="仿宋_GB2312" w:hAnsiTheme="minorEastAsia" w:cstheme="minorEastAsia"/>
          <w:sz w:val="32"/>
          <w:szCs w:val="32"/>
        </w:rPr>
        <w:t>》</w:t>
      </w:r>
      <w:bookmarkEnd w:id="3"/>
      <w:r>
        <w:rPr>
          <w:rFonts w:ascii="仿宋_GB2312" w:eastAsia="仿宋_GB2312" w:hAnsiTheme="minorEastAsia" w:cstheme="minorEastAsia"/>
          <w:sz w:val="32"/>
          <w:szCs w:val="32"/>
        </w:rPr>
        <w:t>《山东省建设用地土壤污染风险管控和修复技术文件质量评价办法（试行）》</w:t>
      </w:r>
      <w:r>
        <w:rPr>
          <w:rFonts w:hint="eastAsia" w:ascii="仿宋_GB2312" w:eastAsia="仿宋_GB2312" w:hAnsiTheme="minorEastAsia" w:cstheme="minorEastAsia"/>
          <w:sz w:val="32"/>
          <w:szCs w:val="32"/>
        </w:rPr>
        <w:t>《山东省生态环境厅 山东省自然资源厅关于印发&lt;山东省建设用地土壤污染状况调查报告评审工作指南&gt;&lt;山东省建设用地土壤污染风险评估、风险管控及修复效果评估报告评审工作指南&gt;的通知》</w:t>
      </w:r>
      <w:r>
        <w:rPr>
          <w:rFonts w:hint="eastAsia" w:ascii="Times New Roman" w:hAnsi="Times New Roman" w:eastAsia="仿宋_GB2312"/>
          <w:sz w:val="32"/>
          <w:szCs w:val="32"/>
          <w:lang w:val="en" w:eastAsia="zh-CN"/>
        </w:rPr>
        <w:t>（鲁环发</w:t>
      </w:r>
      <w:r>
        <w:rPr>
          <w:rFonts w:hint="eastAsia" w:ascii="Times New Roman" w:hAnsi="Times New Roman" w:eastAsia="方正隶书_GBK" w:cs="方正隶书_GBK"/>
          <w:sz w:val="32"/>
          <w:szCs w:val="32"/>
          <w:lang w:val="en" w:eastAsia="zh-CN"/>
        </w:rPr>
        <w:t>〔</w:t>
      </w:r>
      <w:r>
        <w:rPr>
          <w:rFonts w:hint="eastAsia" w:ascii="Times New Roman" w:hAnsi="Times New Roman" w:eastAsia="方正隶书_GBK" w:cs="方正隶书_GBK"/>
          <w:sz w:val="32"/>
          <w:szCs w:val="32"/>
          <w:lang w:val="en-US" w:eastAsia="zh-CN"/>
        </w:rPr>
        <w:t>2020</w:t>
      </w:r>
      <w:r>
        <w:rPr>
          <w:rFonts w:hint="eastAsia" w:ascii="Times New Roman" w:hAnsi="Times New Roman" w:eastAsia="方正隶书_GBK" w:cs="方正隶书_GBK"/>
          <w:sz w:val="32"/>
          <w:szCs w:val="32"/>
          <w:lang w:val="en" w:eastAsia="zh-CN"/>
        </w:rPr>
        <w:t>〕</w:t>
      </w:r>
      <w:r>
        <w:rPr>
          <w:rFonts w:hint="eastAsia" w:ascii="Times New Roman" w:hAnsi="Times New Roman" w:eastAsia="方正隶书_GBK" w:cs="方正隶书_GBK"/>
          <w:sz w:val="32"/>
          <w:szCs w:val="32"/>
          <w:lang w:val="en-US" w:eastAsia="zh-CN"/>
        </w:rPr>
        <w:t>49</w:t>
      </w:r>
      <w:r>
        <w:rPr>
          <w:rFonts w:hint="eastAsia" w:ascii="Times New Roman" w:hAnsi="Times New Roman" w:eastAsia="仿宋_GB2312" w:cs="Times New Roman"/>
          <w:sz w:val="32"/>
          <w:szCs w:val="32"/>
          <w:lang w:val="en-US" w:eastAsia="zh-CN"/>
        </w:rPr>
        <w:t>号</w:t>
      </w:r>
      <w:r>
        <w:rPr>
          <w:rFonts w:hint="eastAsia" w:ascii="Times New Roman" w:hAnsi="Times New Roman" w:eastAsia="仿宋_GB2312"/>
          <w:sz w:val="32"/>
          <w:szCs w:val="32"/>
          <w:lang w:val="en" w:eastAsia="zh-CN"/>
        </w:rPr>
        <w:t>）</w:t>
      </w:r>
      <w:r>
        <w:rPr>
          <w:rFonts w:hint="eastAsia" w:ascii="仿宋_GB2312" w:eastAsia="仿宋_GB2312" w:hAnsiTheme="minorEastAsia" w:cstheme="minorEastAsia"/>
          <w:sz w:val="32"/>
          <w:szCs w:val="32"/>
        </w:rPr>
        <w:t>等有关规定，结合工作实际，制定本指南。</w:t>
      </w:r>
    </w:p>
    <w:p>
      <w:pPr>
        <w:pStyle w:val="2"/>
        <w:spacing w:line="600" w:lineRule="exact"/>
        <w:ind w:firstLine="640" w:firstLineChars="200"/>
        <w:contextualSpacing/>
        <w:rPr>
          <w:rFonts w:ascii="黑体" w:hAnsi="黑体" w:eastAsia="黑体" w:cstheme="minorEastAsia"/>
          <w:b w:val="0"/>
          <w:sz w:val="32"/>
          <w:szCs w:val="32"/>
        </w:rPr>
      </w:pPr>
      <w:bookmarkStart w:id="4" w:name="_Toc56774292"/>
      <w:r>
        <w:rPr>
          <w:rFonts w:hint="eastAsia" w:ascii="黑体" w:hAnsi="黑体" w:eastAsia="黑体" w:cstheme="minorEastAsia"/>
          <w:b w:val="0"/>
          <w:sz w:val="32"/>
          <w:szCs w:val="32"/>
        </w:rPr>
        <w:t>一、适用范围</w:t>
      </w:r>
      <w:bookmarkEnd w:id="4"/>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本指南适用于威海市行政区域内</w:t>
      </w:r>
      <w:r>
        <w:rPr>
          <w:rFonts w:ascii="仿宋_GB2312" w:eastAsia="仿宋_GB2312"/>
          <w:bCs/>
          <w:sz w:val="32"/>
          <w:szCs w:val="32"/>
        </w:rPr>
        <w:t>符合下列</w:t>
      </w:r>
      <w:r>
        <w:rPr>
          <w:rFonts w:hint="eastAsia" w:ascii="仿宋_GB2312" w:eastAsia="仿宋_GB2312"/>
          <w:bCs/>
          <w:sz w:val="32"/>
          <w:szCs w:val="32"/>
        </w:rPr>
        <w:t>情形</w:t>
      </w:r>
      <w:r>
        <w:rPr>
          <w:rFonts w:ascii="仿宋_GB2312" w:eastAsia="仿宋_GB2312"/>
          <w:bCs/>
          <w:sz w:val="32"/>
          <w:szCs w:val="32"/>
        </w:rPr>
        <w:t>的土壤污染状况调查</w:t>
      </w:r>
      <w:r>
        <w:rPr>
          <w:rFonts w:hint="eastAsia" w:ascii="仿宋_GB2312" w:eastAsia="仿宋_GB2312"/>
          <w:bCs/>
          <w:sz w:val="32"/>
          <w:szCs w:val="32"/>
        </w:rPr>
        <w:t>报告</w:t>
      </w:r>
      <w:r>
        <w:rPr>
          <w:rFonts w:hint="eastAsia" w:ascii="仿宋_GB2312" w:eastAsia="仿宋_GB2312" w:hAnsiTheme="minorEastAsia" w:cstheme="minorEastAsia"/>
          <w:sz w:val="32"/>
          <w:szCs w:val="32"/>
        </w:rPr>
        <w:t>评审工作：</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（一）经</w:t>
      </w:r>
      <w:r>
        <w:rPr>
          <w:rFonts w:ascii="仿宋_GB2312" w:eastAsia="仿宋_GB2312"/>
          <w:bCs/>
          <w:sz w:val="32"/>
          <w:szCs w:val="32"/>
        </w:rPr>
        <w:t>土壤污染状况普查</w:t>
      </w:r>
      <w:r>
        <w:rPr>
          <w:rFonts w:ascii="仿宋_GB2312" w:eastAsia="仿宋_GB2312"/>
          <w:sz w:val="32"/>
          <w:szCs w:val="32"/>
        </w:rPr>
        <w:t>、详查和监测、</w:t>
      </w:r>
      <w:r>
        <w:rPr>
          <w:rFonts w:ascii="仿宋_GB2312" w:eastAsia="仿宋_GB2312"/>
          <w:bCs/>
          <w:sz w:val="32"/>
          <w:szCs w:val="32"/>
        </w:rPr>
        <w:t>现场检查</w:t>
      </w:r>
      <w:r>
        <w:rPr>
          <w:rFonts w:hint="eastAsia" w:ascii="仿宋_GB2312" w:eastAsia="仿宋_GB2312"/>
          <w:bCs/>
          <w:sz w:val="32"/>
          <w:szCs w:val="32"/>
        </w:rPr>
        <w:t>等方式</w:t>
      </w:r>
      <w:r>
        <w:rPr>
          <w:rFonts w:ascii="仿宋_GB2312" w:eastAsia="仿宋_GB2312"/>
          <w:bCs/>
          <w:sz w:val="32"/>
          <w:szCs w:val="32"/>
        </w:rPr>
        <w:t>表明有土壤污染风险的</w:t>
      </w:r>
      <w:r>
        <w:rPr>
          <w:rFonts w:hint="eastAsia" w:ascii="仿宋_GB2312" w:eastAsia="仿宋_GB2312"/>
          <w:bCs/>
          <w:sz w:val="32"/>
          <w:szCs w:val="32"/>
        </w:rPr>
        <w:t>建设用地</w:t>
      </w:r>
      <w:r>
        <w:rPr>
          <w:rFonts w:hint="eastAsia" w:ascii="仿宋_GB2312" w:eastAsia="仿宋_GB2312"/>
          <w:sz w:val="32"/>
          <w:szCs w:val="32"/>
        </w:rPr>
        <w:t>地块。</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（二）</w:t>
      </w:r>
      <w:r>
        <w:rPr>
          <w:rFonts w:ascii="仿宋_GB2312" w:eastAsia="仿宋_GB2312"/>
          <w:bCs/>
          <w:sz w:val="32"/>
          <w:szCs w:val="32"/>
        </w:rPr>
        <w:t>用途变更为住宅</w:t>
      </w:r>
      <w:r>
        <w:rPr>
          <w:rFonts w:ascii="仿宋_GB2312" w:eastAsia="仿宋_GB2312"/>
          <w:sz w:val="32"/>
          <w:szCs w:val="32"/>
        </w:rPr>
        <w:t>、公共管理与公共服务用地的</w:t>
      </w:r>
      <w:r>
        <w:rPr>
          <w:rFonts w:hint="eastAsia" w:ascii="仿宋_GB2312" w:eastAsia="仿宋_GB2312"/>
          <w:sz w:val="32"/>
          <w:szCs w:val="32"/>
        </w:rPr>
        <w:t>地块。</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（三）</w:t>
      </w:r>
      <w:r>
        <w:rPr>
          <w:rFonts w:ascii="仿宋_GB2312" w:eastAsia="仿宋_GB2312"/>
          <w:bCs/>
          <w:sz w:val="32"/>
          <w:szCs w:val="32"/>
        </w:rPr>
        <w:t>土壤污染重点监管单位生产经营用地用途</w:t>
      </w:r>
      <w:r>
        <w:rPr>
          <w:rFonts w:hint="eastAsia" w:ascii="仿宋_GB2312" w:eastAsia="仿宋_GB2312"/>
          <w:bCs/>
          <w:sz w:val="32"/>
          <w:szCs w:val="32"/>
        </w:rPr>
        <w:t>变更</w:t>
      </w:r>
      <w:r>
        <w:rPr>
          <w:rFonts w:ascii="仿宋_GB2312" w:eastAsia="仿宋_GB2312"/>
          <w:bCs/>
          <w:sz w:val="32"/>
          <w:szCs w:val="32"/>
        </w:rPr>
        <w:t>或者其土地使用权收回</w:t>
      </w:r>
      <w:r>
        <w:rPr>
          <w:rFonts w:ascii="仿宋_GB2312" w:eastAsia="仿宋_GB2312"/>
          <w:sz w:val="32"/>
          <w:szCs w:val="32"/>
        </w:rPr>
        <w:t>、转让</w:t>
      </w:r>
      <w:r>
        <w:rPr>
          <w:rFonts w:hint="eastAsia" w:ascii="仿宋_GB2312" w:eastAsia="仿宋_GB2312"/>
          <w:sz w:val="32"/>
          <w:szCs w:val="32"/>
        </w:rPr>
        <w:t>的建设用地地块</w:t>
      </w:r>
      <w:r>
        <w:rPr>
          <w:rFonts w:hint="eastAsia" w:ascii="仿宋_GB2312" w:eastAsia="仿宋_GB2312"/>
          <w:bCs/>
          <w:sz w:val="32"/>
          <w:szCs w:val="32"/>
        </w:rPr>
        <w:t>。</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（四）法律法规规章规定应当开展土壤污染状况调查及评审的其他情形的建设用地地块。</w:t>
      </w:r>
    </w:p>
    <w:p>
      <w:pPr>
        <w:pStyle w:val="2"/>
        <w:spacing w:line="600" w:lineRule="exact"/>
        <w:ind w:firstLine="640" w:firstLineChars="200"/>
        <w:contextualSpacing/>
        <w:rPr>
          <w:rFonts w:ascii="黑体" w:hAnsi="黑体" w:eastAsia="黑体" w:cstheme="minorEastAsia"/>
          <w:b w:val="0"/>
          <w:sz w:val="32"/>
          <w:szCs w:val="32"/>
        </w:rPr>
      </w:pPr>
      <w:bookmarkStart w:id="5" w:name="_Toc56774293"/>
      <w:r>
        <w:rPr>
          <w:rFonts w:hint="eastAsia" w:ascii="黑体" w:hAnsi="黑体" w:eastAsia="黑体" w:cstheme="minorEastAsia"/>
          <w:b w:val="0"/>
          <w:sz w:val="32"/>
          <w:szCs w:val="32"/>
        </w:rPr>
        <w:t>二、组织评审机制</w:t>
      </w:r>
      <w:bookmarkEnd w:id="5"/>
    </w:p>
    <w:p>
      <w:pPr>
        <w:pStyle w:val="3"/>
        <w:spacing w:line="600" w:lineRule="exact"/>
        <w:ind w:firstLine="640" w:firstLineChars="200"/>
        <w:contextualSpacing/>
        <w:rPr>
          <w:rFonts w:ascii="楷体_GB2312" w:hAnsi="仿宋_GB2312" w:eastAsia="楷体_GB2312" w:cs="仿宋_GB2312"/>
          <w:b w:val="0"/>
          <w:kern w:val="0"/>
          <w:szCs w:val="32"/>
        </w:rPr>
      </w:pPr>
      <w:bookmarkStart w:id="6" w:name="_Toc56774294"/>
      <w:r>
        <w:rPr>
          <w:rFonts w:hint="eastAsia" w:ascii="楷体_GB2312" w:hAnsi="仿宋_GB2312" w:eastAsia="楷体_GB2312" w:cs="仿宋_GB2312"/>
          <w:b w:val="0"/>
          <w:kern w:val="0"/>
          <w:szCs w:val="32"/>
        </w:rPr>
        <w:t>（一）组织评审</w:t>
      </w:r>
      <w:bookmarkEnd w:id="6"/>
      <w:r>
        <w:rPr>
          <w:rFonts w:hint="eastAsia" w:ascii="楷体_GB2312" w:hAnsi="仿宋_GB2312" w:eastAsia="楷体_GB2312" w:cs="仿宋_GB2312"/>
          <w:b w:val="0"/>
          <w:kern w:val="0"/>
          <w:szCs w:val="32"/>
        </w:rPr>
        <w:t>方式</w:t>
      </w:r>
    </w:p>
    <w:p>
      <w:pPr>
        <w:spacing w:line="600" w:lineRule="exact"/>
        <w:ind w:firstLine="640" w:firstLineChars="200"/>
        <w:contextualSpacing/>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市生态环境部门会同市自然资源部门本着科学、合理、高效的原则，组织开展评审工作。</w:t>
      </w:r>
    </w:p>
    <w:p>
      <w:pPr>
        <w:spacing w:line="600" w:lineRule="exact"/>
        <w:ind w:firstLine="640" w:firstLineChars="200"/>
        <w:contextualSpacing/>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指定或委托第三方专业机构组织评审。</w:t>
      </w:r>
    </w:p>
    <w:p>
      <w:pPr>
        <w:pStyle w:val="3"/>
        <w:spacing w:line="600" w:lineRule="exact"/>
        <w:ind w:firstLine="640" w:firstLineChars="200"/>
        <w:contextualSpacing/>
        <w:rPr>
          <w:rFonts w:ascii="楷体_GB2312" w:hAnsi="仿宋_GB2312" w:eastAsia="楷体_GB2312" w:cs="仿宋_GB2312"/>
          <w:b w:val="0"/>
          <w:kern w:val="0"/>
          <w:szCs w:val="32"/>
        </w:rPr>
      </w:pPr>
      <w:bookmarkStart w:id="7" w:name="_Toc56774296"/>
      <w:r>
        <w:rPr>
          <w:rFonts w:hint="eastAsia" w:ascii="楷体_GB2312" w:hAnsi="仿宋_GB2312" w:eastAsia="楷体_GB2312" w:cs="仿宋_GB2312"/>
          <w:b w:val="0"/>
          <w:kern w:val="0"/>
          <w:szCs w:val="32"/>
        </w:rPr>
        <w:t>（二）部门分工</w:t>
      </w:r>
      <w:bookmarkEnd w:id="7"/>
    </w:p>
    <w:p>
      <w:pPr>
        <w:spacing w:line="600" w:lineRule="exact"/>
        <w:ind w:firstLine="640" w:firstLineChars="200"/>
        <w:contextualSpacing/>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市生态环境主管部门职责：1.确定组织评审方式；2.受理申请；3.建立和更新专家库；4.档案、信息管理；5.报告质量信息公开。</w:t>
      </w:r>
    </w:p>
    <w:p>
      <w:pPr>
        <w:spacing w:line="600" w:lineRule="exact"/>
        <w:ind w:firstLine="640" w:firstLineChars="200"/>
        <w:contextualSpacing/>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市自然资源主管部门职责：1.核实地块用地面积（四至范围）、历史、现状、土地使用权人、规划用途、用途变更、有关用地审批和规划许可等信息；2.推荐本系统专家进入专家库；3.确定本部门代表参加评审。</w:t>
      </w:r>
    </w:p>
    <w:p>
      <w:pPr>
        <w:spacing w:line="600" w:lineRule="exact"/>
        <w:ind w:firstLine="640" w:firstLineChars="200"/>
        <w:contextualSpacing/>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区（市）生态环境主管部门职责：1.核实申请表内容；2. 核实地块及周边污染源情况、是否存在环境信访举报及环境违法行为等情况。</w:t>
      </w:r>
    </w:p>
    <w:p>
      <w:pPr>
        <w:spacing w:line="600" w:lineRule="exact"/>
        <w:ind w:firstLine="640" w:firstLineChars="200"/>
        <w:contextualSpacing/>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区（市）自然资源主管部门职责：1.核实申请表内容；2.核实地块用地面积（四至范围）、历史、现状、土地使用权人、规划用途、用途变更、有关用地审批和规划许可等信息。</w:t>
      </w:r>
    </w:p>
    <w:p>
      <w:pPr>
        <w:spacing w:line="600" w:lineRule="exact"/>
        <w:ind w:firstLine="640" w:firstLineChars="200"/>
        <w:contextualSpacing/>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生态环境部门和自然资源部门加强管理，认真做好土壤污染状况调查报告评审工作，建立以敏感、存疑地块为重点的抽样检测鉴定机制和对组织评审机构、评审专家、调查机构的监督考核机制，加强日常监管，发现违法行为的，依法查处。市生态环境部门于每年1月底前，将行政区域内上一年度技术文件质量评分排名情况对外公示，并将</w:t>
      </w:r>
      <w:bookmarkStart w:id="28" w:name="_GoBack"/>
      <w:bookmarkEnd w:id="28"/>
      <w:r>
        <w:rPr>
          <w:rFonts w:hint="eastAsia" w:ascii="仿宋_GB2312" w:hAnsi="仿宋_GB2312" w:eastAsia="仿宋_GB2312" w:cs="仿宋_GB2312"/>
          <w:kern w:val="0"/>
          <w:sz w:val="32"/>
          <w:szCs w:val="32"/>
        </w:rPr>
        <w:t>评分排名情况以及调查机构出现的重大问题进行总结，形成报告，连同支撑材料报省生态环境厅。</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kern w:val="0"/>
          <w:sz w:val="32"/>
          <w:szCs w:val="32"/>
        </w:rPr>
        <w:t>会议组织单位职责：1.接收</w:t>
      </w:r>
      <w:r>
        <w:rPr>
          <w:rFonts w:hint="eastAsia" w:ascii="仿宋_GB2312" w:eastAsia="仿宋_GB2312" w:hAnsiTheme="minorEastAsia" w:cstheme="minorEastAsia"/>
          <w:sz w:val="32"/>
          <w:szCs w:val="32"/>
        </w:rPr>
        <w:t>建设用地土壤污染状况调查报告评审相关材料；2.联络评审专家，签署保密承诺书，送达报告或修改完善的报告；3.组织现场踏勘，组织会议评审；4.整理专家评审意见和专家复核意见；5.安排专家与评审相关的其他事宜；6.执行评审经费；7.建立档案。</w:t>
      </w:r>
    </w:p>
    <w:p>
      <w:pPr>
        <w:pStyle w:val="3"/>
        <w:spacing w:line="600" w:lineRule="exact"/>
        <w:ind w:firstLine="640" w:firstLineChars="200"/>
        <w:contextualSpacing/>
        <w:rPr>
          <w:rFonts w:ascii="楷体_GB2312" w:hAnsi="仿宋_GB2312" w:eastAsia="楷体_GB2312" w:cs="仿宋_GB2312"/>
          <w:b w:val="0"/>
          <w:kern w:val="0"/>
          <w:szCs w:val="32"/>
        </w:rPr>
      </w:pPr>
      <w:r>
        <w:rPr>
          <w:rFonts w:hint="eastAsia" w:ascii="楷体_GB2312" w:hAnsi="仿宋_GB2312" w:eastAsia="楷体_GB2312" w:cs="仿宋_GB2312"/>
          <w:b w:val="0"/>
          <w:kern w:val="0"/>
          <w:szCs w:val="32"/>
        </w:rPr>
        <w:t>（三）组织评审经费</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hAnsi="仿宋_GB2312" w:eastAsia="仿宋_GB2312" w:cs="仿宋_GB2312"/>
          <w:kern w:val="0"/>
          <w:sz w:val="32"/>
          <w:szCs w:val="32"/>
        </w:rPr>
        <w:t>组织评审的经费列入市生态环境主管部门和市自然资源主管部门预算。</w:t>
      </w:r>
    </w:p>
    <w:p>
      <w:pPr>
        <w:pStyle w:val="2"/>
        <w:spacing w:line="600" w:lineRule="exact"/>
        <w:ind w:firstLine="640" w:firstLineChars="200"/>
        <w:contextualSpacing/>
        <w:rPr>
          <w:rFonts w:ascii="仿宋_GB2312" w:eastAsia="仿宋_GB2312" w:hAnsiTheme="minorEastAsia" w:cstheme="minorEastAsia"/>
          <w:b w:val="0"/>
          <w:sz w:val="32"/>
          <w:szCs w:val="32"/>
        </w:rPr>
      </w:pPr>
      <w:bookmarkStart w:id="8" w:name="_Toc56774297"/>
      <w:r>
        <w:rPr>
          <w:rFonts w:hint="eastAsia" w:ascii="黑体" w:hAnsi="黑体" w:eastAsia="黑体" w:cstheme="minorEastAsia"/>
          <w:b w:val="0"/>
          <w:sz w:val="32"/>
          <w:szCs w:val="32"/>
        </w:rPr>
        <w:t>三、评审程序及时限</w:t>
      </w:r>
      <w:bookmarkEnd w:id="8"/>
    </w:p>
    <w:p>
      <w:pPr>
        <w:pStyle w:val="3"/>
        <w:spacing w:line="600" w:lineRule="exact"/>
        <w:ind w:firstLine="640" w:firstLineChars="200"/>
        <w:contextualSpacing/>
        <w:rPr>
          <w:rFonts w:ascii="楷体_GB2312" w:eastAsia="楷体_GB2312" w:hAnsiTheme="minorEastAsia" w:cstheme="minorEastAsia"/>
          <w:b w:val="0"/>
          <w:szCs w:val="32"/>
        </w:rPr>
      </w:pPr>
      <w:bookmarkStart w:id="9" w:name="_Toc56774298"/>
      <w:r>
        <w:rPr>
          <w:rFonts w:hint="eastAsia" w:ascii="楷体_GB2312" w:eastAsia="楷体_GB2312" w:hAnsiTheme="minorEastAsia" w:cstheme="minorEastAsia"/>
          <w:b w:val="0"/>
          <w:szCs w:val="32"/>
        </w:rPr>
        <w:t>（一）</w:t>
      </w:r>
      <w:bookmarkEnd w:id="9"/>
      <w:r>
        <w:rPr>
          <w:rFonts w:hint="eastAsia" w:ascii="楷体_GB2312" w:eastAsia="楷体_GB2312" w:hAnsiTheme="minorEastAsia" w:cstheme="minorEastAsia"/>
          <w:b w:val="0"/>
          <w:szCs w:val="32"/>
        </w:rPr>
        <w:t>申请</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1.申请人</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（1）按照规定进行土壤污染状况调查的土地使用权人；</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（2）依法组织实施土壤污染状况调查的地方人民政府以及有关部门和单位。</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2.申请材料提交</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申请人以适当方式向市生态环境主管部门提出申请，提交下列材料，并对材料真实性负责：</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（1）建设用地土壤污染状况调查报告评审申请表（附件1</w:t>
      </w:r>
      <w:r>
        <w:rPr>
          <w:rFonts w:ascii="仿宋_GB2312" w:eastAsia="仿宋_GB2312" w:hAnsiTheme="minorEastAsia" w:cstheme="minorEastAsia"/>
          <w:sz w:val="32"/>
          <w:szCs w:val="32"/>
        </w:rPr>
        <w:t>）</w:t>
      </w:r>
      <w:r>
        <w:rPr>
          <w:rFonts w:hint="eastAsia" w:ascii="仿宋_GB2312" w:eastAsia="仿宋_GB2312" w:hAnsiTheme="minorEastAsia" w:cstheme="minorEastAsia"/>
          <w:sz w:val="32"/>
          <w:szCs w:val="32"/>
        </w:rPr>
        <w:t>；</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（2）申请人承诺书（附件2）；</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（3）报告出具单位承诺书（附件3）；</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（4）土壤污染状况调查报告及相关附件；</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（5）生态环境主管部门、自然资源主管部门规定的其他相关资料。</w:t>
      </w:r>
    </w:p>
    <w:p>
      <w:pPr>
        <w:pStyle w:val="9"/>
        <w:spacing w:line="600" w:lineRule="exact"/>
        <w:ind w:firstLine="640" w:firstLineChars="200"/>
        <w:contextualSpacing/>
        <w:jc w:val="both"/>
        <w:outlineLvl w:val="1"/>
        <w:rPr>
          <w:rFonts w:ascii="楷体_GB2312" w:eastAsia="楷体_GB2312" w:hAnsiTheme="minorEastAsia" w:cstheme="minorEastAsia"/>
          <w:sz w:val="32"/>
          <w:szCs w:val="32"/>
        </w:rPr>
      </w:pPr>
      <w:bookmarkStart w:id="10" w:name="_Toc56774299"/>
      <w:r>
        <w:rPr>
          <w:rFonts w:hint="eastAsia" w:ascii="楷体_GB2312" w:eastAsia="楷体_GB2312" w:hAnsiTheme="minorEastAsia" w:cstheme="minorEastAsia"/>
          <w:sz w:val="32"/>
          <w:szCs w:val="32"/>
        </w:rPr>
        <w:t>（二）受理</w:t>
      </w:r>
      <w:bookmarkEnd w:id="10"/>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区（市）生态环境部门、自然资源部门对申请是否属于受理范围、申请材料的完整性等进行初审，市生态环境部门进行审核，于5个工作日内做出受理或不予受理的决定。申请材料不完整的，应一次性告知需要补正的材料。</w:t>
      </w:r>
    </w:p>
    <w:p>
      <w:pPr>
        <w:spacing w:line="600" w:lineRule="exact"/>
        <w:ind w:firstLine="640" w:firstLineChars="200"/>
        <w:contextualSpacing/>
        <w:rPr>
          <w:rFonts w:ascii="仿宋_GB2312" w:eastAsia="仿宋_GB2312" w:hAnsiTheme="minorEastAsia" w:cstheme="minorEastAsia"/>
          <w:spacing w:val="-2"/>
          <w:sz w:val="32"/>
          <w:szCs w:val="32"/>
        </w:rPr>
      </w:pPr>
      <w:r>
        <w:rPr>
          <w:rFonts w:hint="eastAsia" w:ascii="仿宋_GB2312" w:eastAsia="仿宋_GB2312" w:hAnsiTheme="minorEastAsia" w:cstheme="minorEastAsia"/>
          <w:sz w:val="32"/>
          <w:szCs w:val="32"/>
        </w:rPr>
        <w:t>具有下列情形之一的，不予受理，出具</w:t>
      </w:r>
      <w:r>
        <w:rPr>
          <w:rFonts w:hint="eastAsia" w:ascii="仿宋_GB2312" w:eastAsia="仿宋_GB2312" w:hAnsiTheme="minorEastAsia" w:cstheme="minorEastAsia"/>
          <w:spacing w:val="-2"/>
          <w:sz w:val="32"/>
          <w:szCs w:val="32"/>
        </w:rPr>
        <w:t>土壤污染状况调查报告评审申请不予受理通知书</w:t>
      </w:r>
      <w:r>
        <w:rPr>
          <w:rFonts w:hint="eastAsia" w:ascii="仿宋_GB2312" w:eastAsia="仿宋_GB2312" w:hAnsiTheme="minorEastAsia" w:cstheme="minorEastAsia"/>
          <w:sz w:val="32"/>
          <w:szCs w:val="32"/>
        </w:rPr>
        <w:t>（附件4）：</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（1）建设用地不在威海市行政区域内的；</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（2）不属于评审范围的；</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（3）提交的土壤污染状况调查报告有作假嫌疑、报告内容不完整等问题的；</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（4）其他依法不予受理的情形。</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符合受理条件的，区（市）生态环境部门为申请人在全国污染地块土壤环境管理系统建立账号，督促申请人完善基本信息，并上传相应的材料。</w:t>
      </w:r>
    </w:p>
    <w:p>
      <w:pPr>
        <w:pStyle w:val="3"/>
        <w:spacing w:line="600" w:lineRule="exact"/>
        <w:ind w:firstLine="640" w:firstLineChars="200"/>
        <w:contextualSpacing/>
        <w:rPr>
          <w:rFonts w:ascii="楷体_GB2312" w:eastAsia="楷体_GB2312" w:hAnsiTheme="minorEastAsia" w:cstheme="minorEastAsia"/>
          <w:b w:val="0"/>
          <w:szCs w:val="32"/>
        </w:rPr>
      </w:pPr>
      <w:bookmarkStart w:id="11" w:name="_Toc56774300"/>
      <w:r>
        <w:rPr>
          <w:rFonts w:hint="eastAsia" w:ascii="楷体_GB2312" w:eastAsia="楷体_GB2312" w:hAnsiTheme="minorEastAsia" w:cstheme="minorEastAsia"/>
          <w:b w:val="0"/>
          <w:szCs w:val="32"/>
        </w:rPr>
        <w:t>（三）组织评审</w:t>
      </w:r>
      <w:bookmarkEnd w:id="11"/>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市生态环境部门下达评审会议通知，主要内容应包括评审时间地点、参会人员要求、会议议程等。</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组织评审机构应当在收到通知15个工作日内组织完成评审。开展抽样检测鉴定等工作的，其时间不计算在内。评审方式以专家会议为主，对于情况不复杂的地块（涉及有色金属冶炼、石油加工、化工、医药、焦化、电镀、制革等行业或者从事过危险废物贮存、利用、处置核固体废物填埋等活动的地块除外），也可以通过函审或者视频会议的方式进行。</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1.专家组成</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评审专家原则上不少于3人，复杂或者高风险地块的报告可以适当增加专家组人数。涉及地下水污染的，至少有1名地下水污染防治专家；涉及环境监测的，至少有1名环境监测专家；涉及有色金属冶炼、石油加工、化工、医药、焦化、电镀、制革等行业或者从事过危险废物贮存、利用、处置和固体废物填埋等相关地块，至少有1名行业环保专家。</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评审专家可以从省级或者市级专家库随机抽取，行业环保专家可以从山东省环境影响评价专家库中抽取。</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2.参会人员</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专家评审会参会人员应包括：评审专家，组织评审机构代表，市、区（市）生态环境部门、自然资源部门代表，</w:t>
      </w:r>
      <w:r>
        <w:rPr>
          <w:rFonts w:hint="eastAsia" w:ascii="仿宋_GB2312" w:eastAsia="仿宋_GB2312" w:hAnsiTheme="minorEastAsia" w:cstheme="minorEastAsia"/>
          <w:sz w:val="32"/>
          <w:szCs w:val="32"/>
        </w:rPr>
        <w:t>申请人代表，土壤污染状况调查机构（含采样、检测机构）</w:t>
      </w:r>
      <w:r>
        <w:rPr>
          <w:rFonts w:hint="eastAsia" w:ascii="仿宋_GB2312" w:eastAsia="仿宋_GB2312" w:hAnsiTheme="minorEastAsia" w:cstheme="minorEastAsia"/>
          <w:kern w:val="2"/>
          <w:sz w:val="32"/>
          <w:szCs w:val="32"/>
        </w:rPr>
        <w:t>代表等。</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3.评审会议</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评审会议由评审机构组织。</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议程包括：地块现场踏勘和会议评审两个阶段。</w:t>
      </w:r>
    </w:p>
    <w:p>
      <w:pPr>
        <w:pStyle w:val="9"/>
        <w:spacing w:line="600" w:lineRule="exact"/>
        <w:ind w:firstLine="632"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spacing w:val="-2"/>
          <w:sz w:val="32"/>
          <w:szCs w:val="32"/>
        </w:rPr>
        <w:t>土壤污染状况调查地块的</w:t>
      </w:r>
      <w:r>
        <w:rPr>
          <w:rFonts w:hint="eastAsia" w:ascii="仿宋_GB2312" w:eastAsia="仿宋_GB2312" w:hAnsiTheme="minorEastAsia" w:cstheme="minorEastAsia"/>
          <w:kern w:val="2"/>
          <w:sz w:val="32"/>
          <w:szCs w:val="32"/>
        </w:rPr>
        <w:t>现场踏勘</w:t>
      </w:r>
      <w:r>
        <w:rPr>
          <w:rFonts w:hint="eastAsia" w:ascii="仿宋_GB2312" w:eastAsia="仿宋_GB2312" w:hAnsiTheme="minorEastAsia" w:cstheme="minorEastAsia"/>
          <w:spacing w:val="-2"/>
          <w:sz w:val="32"/>
          <w:szCs w:val="32"/>
        </w:rPr>
        <w:t>过程由申请人（土地使用权人）召集，由调查机构现场答疑，会议组织单位应保留</w:t>
      </w:r>
      <w:r>
        <w:rPr>
          <w:rFonts w:hint="eastAsia" w:ascii="仿宋_GB2312" w:eastAsia="仿宋_GB2312" w:hAnsiTheme="minorEastAsia" w:cstheme="minorEastAsia"/>
          <w:kern w:val="2"/>
          <w:sz w:val="32"/>
          <w:szCs w:val="32"/>
        </w:rPr>
        <w:t>现场踏勘</w:t>
      </w:r>
      <w:r>
        <w:rPr>
          <w:rFonts w:hint="eastAsia" w:ascii="仿宋_GB2312" w:eastAsia="仿宋_GB2312" w:hAnsiTheme="minorEastAsia" w:cstheme="minorEastAsia"/>
          <w:spacing w:val="-2"/>
          <w:sz w:val="32"/>
          <w:szCs w:val="32"/>
        </w:rPr>
        <w:t>过程的影像资料，记录现场</w:t>
      </w:r>
      <w:r>
        <w:rPr>
          <w:rFonts w:hint="eastAsia" w:ascii="仿宋_GB2312" w:eastAsia="仿宋_GB2312" w:hAnsiTheme="minorEastAsia" w:cstheme="minorEastAsia"/>
          <w:kern w:val="2"/>
          <w:sz w:val="32"/>
          <w:szCs w:val="32"/>
        </w:rPr>
        <w:t>踏勘</w:t>
      </w:r>
      <w:r>
        <w:rPr>
          <w:rFonts w:hint="eastAsia" w:ascii="仿宋_GB2312" w:eastAsia="仿宋_GB2312" w:hAnsiTheme="minorEastAsia" w:cstheme="minorEastAsia"/>
          <w:spacing w:val="-2"/>
          <w:sz w:val="32"/>
          <w:szCs w:val="32"/>
        </w:rPr>
        <w:t>情况，由专家签字确认。</w:t>
      </w:r>
      <w:r>
        <w:rPr>
          <w:rFonts w:hint="eastAsia" w:ascii="仿宋_GB2312" w:eastAsia="仿宋_GB2312" w:hAnsiTheme="minorEastAsia" w:cstheme="minorEastAsia"/>
          <w:kern w:val="2"/>
          <w:sz w:val="32"/>
          <w:szCs w:val="32"/>
        </w:rPr>
        <w:t>经专家同意，无必要或不具备现场踏勘条件的，可以查看现场影像资料。视频会议评审可以查看现场影像资料。</w:t>
      </w:r>
    </w:p>
    <w:p>
      <w:pPr>
        <w:spacing w:line="600" w:lineRule="exact"/>
        <w:ind w:firstLine="632" w:firstLineChars="200"/>
        <w:contextualSpacing/>
        <w:rPr>
          <w:rFonts w:ascii="仿宋_GB2312" w:eastAsia="仿宋_GB2312" w:hAnsiTheme="minorEastAsia" w:cstheme="minorEastAsia"/>
          <w:spacing w:val="-2"/>
          <w:sz w:val="32"/>
          <w:szCs w:val="32"/>
        </w:rPr>
      </w:pPr>
      <w:r>
        <w:rPr>
          <w:rFonts w:hint="eastAsia" w:ascii="仿宋_GB2312" w:eastAsia="仿宋_GB2312" w:hAnsiTheme="minorEastAsia" w:cstheme="minorEastAsia"/>
          <w:spacing w:val="-2"/>
          <w:sz w:val="32"/>
          <w:szCs w:val="32"/>
        </w:rPr>
        <w:t>会议评审议程：</w:t>
      </w:r>
    </w:p>
    <w:p>
      <w:pPr>
        <w:spacing w:line="600" w:lineRule="exact"/>
        <w:ind w:firstLine="640" w:firstLineChars="200"/>
        <w:contextualSpacing/>
        <w:rPr>
          <w:rFonts w:ascii="仿宋_GB2312" w:hAnsi="仿宋_GB2312" w:eastAsia="仿宋_GB2312" w:cs="仿宋_GB2312"/>
          <w:snapToGrid w:val="0"/>
          <w:sz w:val="32"/>
          <w:szCs w:val="32"/>
        </w:rPr>
      </w:pPr>
      <w:r>
        <w:rPr>
          <w:rFonts w:hint="eastAsia" w:ascii="仿宋_GB2312" w:hAnsi="仿宋_GB2312" w:eastAsia="仿宋_GB2312" w:cs="仿宋_GB2312"/>
          <w:snapToGrid w:val="0"/>
          <w:sz w:val="32"/>
          <w:szCs w:val="32"/>
        </w:rPr>
        <w:t>（1）介绍专家产生过程、参会专家及代表、会议议程等；</w:t>
      </w:r>
    </w:p>
    <w:p>
      <w:pPr>
        <w:spacing w:line="600" w:lineRule="exact"/>
        <w:ind w:firstLine="640" w:firstLineChars="200"/>
        <w:contextualSpacing/>
        <w:rPr>
          <w:rFonts w:ascii="仿宋_GB2312" w:hAnsi="仿宋_GB2312" w:eastAsia="仿宋_GB2312" w:cs="仿宋_GB2312"/>
          <w:snapToGrid w:val="0"/>
          <w:sz w:val="32"/>
          <w:szCs w:val="32"/>
        </w:rPr>
      </w:pPr>
      <w:r>
        <w:rPr>
          <w:rFonts w:hint="eastAsia" w:ascii="仿宋_GB2312" w:hAnsi="仿宋_GB2312" w:eastAsia="仿宋_GB2312" w:cs="仿宋_GB2312"/>
          <w:snapToGrid w:val="0"/>
          <w:sz w:val="32"/>
          <w:szCs w:val="32"/>
        </w:rPr>
        <w:t>（2）</w:t>
      </w:r>
      <w:r>
        <w:rPr>
          <w:rFonts w:hint="eastAsia" w:ascii="仿宋_GB2312" w:eastAsia="仿宋_GB2312" w:hAnsiTheme="minorEastAsia" w:cstheme="minorEastAsia"/>
          <w:spacing w:val="-2"/>
          <w:sz w:val="32"/>
          <w:szCs w:val="32"/>
        </w:rPr>
        <w:t>申请人、土壤污染状况调查机构（含采样、检测机构）</w:t>
      </w:r>
      <w:r>
        <w:rPr>
          <w:rFonts w:hint="eastAsia" w:ascii="仿宋_GB2312" w:hAnsi="仿宋_GB2312" w:eastAsia="仿宋_GB2312" w:cs="仿宋_GB2312"/>
          <w:snapToGrid w:val="0"/>
          <w:sz w:val="32"/>
          <w:szCs w:val="32"/>
        </w:rPr>
        <w:t>陈述土壤污染状况调查报告；</w:t>
      </w:r>
    </w:p>
    <w:p>
      <w:pPr>
        <w:spacing w:line="600" w:lineRule="exact"/>
        <w:ind w:firstLine="640" w:firstLineChars="200"/>
        <w:contextualSpacing/>
        <w:rPr>
          <w:rFonts w:ascii="仿宋_GB2312" w:eastAsia="仿宋_GB2312" w:hAnsiTheme="minorEastAsia" w:cstheme="minorEastAsia"/>
          <w:spacing w:val="-2"/>
          <w:sz w:val="32"/>
          <w:szCs w:val="32"/>
        </w:rPr>
      </w:pPr>
      <w:r>
        <w:rPr>
          <w:rFonts w:hint="eastAsia" w:ascii="仿宋_GB2312" w:hAnsi="仿宋_GB2312" w:eastAsia="仿宋_GB2312" w:cs="仿宋_GB2312"/>
          <w:snapToGrid w:val="0"/>
          <w:sz w:val="32"/>
          <w:szCs w:val="32"/>
        </w:rPr>
        <w:t>（3）与会部门代表发表意见；</w:t>
      </w:r>
    </w:p>
    <w:p>
      <w:pPr>
        <w:pStyle w:val="9"/>
        <w:spacing w:line="600" w:lineRule="exact"/>
        <w:ind w:left="315" w:leftChars="150"/>
        <w:contextualSpacing/>
        <w:jc w:val="both"/>
        <w:rPr>
          <w:rFonts w:ascii="仿宋_GB2312" w:eastAsia="仿宋_GB2312" w:hAnsiTheme="minorEastAsia" w:cstheme="minorEastAsia"/>
          <w:spacing w:val="-2"/>
          <w:sz w:val="32"/>
          <w:szCs w:val="32"/>
        </w:rPr>
      </w:pPr>
      <w:r>
        <w:rPr>
          <w:rFonts w:hint="eastAsia" w:ascii="仿宋_GB2312" w:hAnsi="仿宋_GB2312" w:eastAsia="仿宋_GB2312" w:cs="仿宋_GB2312"/>
          <w:snapToGrid w:val="0"/>
          <w:sz w:val="32"/>
          <w:szCs w:val="32"/>
        </w:rPr>
        <w:t xml:space="preserve">  （4）专家质询与讨论</w:t>
      </w:r>
      <w:r>
        <w:rPr>
          <w:rFonts w:hint="eastAsia" w:ascii="仿宋_GB2312" w:eastAsia="仿宋_GB2312" w:hAnsiTheme="minorEastAsia" w:cstheme="minorEastAsia"/>
          <w:spacing w:val="-2"/>
          <w:sz w:val="32"/>
          <w:szCs w:val="32"/>
        </w:rPr>
        <w:t>；</w:t>
      </w:r>
    </w:p>
    <w:p>
      <w:pPr>
        <w:pStyle w:val="9"/>
        <w:spacing w:line="600" w:lineRule="exact"/>
        <w:ind w:left="315" w:leftChars="150"/>
        <w:contextualSpacing/>
        <w:jc w:val="both"/>
        <w:rPr>
          <w:rFonts w:ascii="仿宋_GB2312" w:hAnsi="仿宋_GB2312" w:eastAsia="仿宋_GB2312" w:cs="仿宋_GB2312"/>
          <w:snapToGrid w:val="0"/>
          <w:sz w:val="32"/>
          <w:szCs w:val="32"/>
        </w:rPr>
      </w:pPr>
      <w:r>
        <w:rPr>
          <w:rFonts w:hint="eastAsia" w:ascii="仿宋_GB2312" w:eastAsia="仿宋_GB2312" w:hAnsiTheme="minorEastAsia" w:cstheme="minorEastAsia"/>
          <w:sz w:val="32"/>
          <w:szCs w:val="32"/>
        </w:rPr>
        <w:t xml:space="preserve">  （5）形成专家组评审意见等。</w:t>
      </w:r>
    </w:p>
    <w:p>
      <w:pPr>
        <w:pStyle w:val="9"/>
        <w:spacing w:line="600" w:lineRule="exact"/>
        <w:ind w:firstLine="632" w:firstLineChars="200"/>
        <w:contextualSpacing/>
        <w:jc w:val="both"/>
        <w:rPr>
          <w:rFonts w:ascii="仿宋_GB2312" w:eastAsia="仿宋_GB2312" w:hAnsiTheme="minorEastAsia" w:cstheme="minorEastAsia"/>
          <w:spacing w:val="-2"/>
          <w:sz w:val="32"/>
          <w:szCs w:val="32"/>
        </w:rPr>
      </w:pPr>
      <w:r>
        <w:rPr>
          <w:rFonts w:hint="eastAsia" w:ascii="仿宋_GB2312" w:eastAsia="仿宋_GB2312" w:hAnsiTheme="minorEastAsia" w:cstheme="minorEastAsia"/>
          <w:spacing w:val="-2"/>
          <w:sz w:val="32"/>
          <w:szCs w:val="32"/>
        </w:rPr>
        <w:t>会议评审现场材料还应包括：参会人员和专家签到表、专家评审保密承诺书</w:t>
      </w:r>
      <w:r>
        <w:rPr>
          <w:rFonts w:hint="eastAsia" w:ascii="仿宋_GB2312" w:eastAsia="仿宋_GB2312" w:hAnsiTheme="minorEastAsia" w:cstheme="minorEastAsia"/>
          <w:sz w:val="32"/>
          <w:szCs w:val="32"/>
        </w:rPr>
        <w:t>（附件5）</w:t>
      </w:r>
      <w:r>
        <w:rPr>
          <w:rFonts w:hint="eastAsia" w:ascii="仿宋_GB2312" w:eastAsia="仿宋_GB2312" w:hAnsiTheme="minorEastAsia" w:cstheme="minorEastAsia"/>
          <w:spacing w:val="-2"/>
          <w:sz w:val="32"/>
          <w:szCs w:val="32"/>
        </w:rPr>
        <w:t>。</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highlight w:val="yellow"/>
        </w:rPr>
        <w:t>组织机构应当至少提前1日将需要评审的报告及相关材料送达专家组所有成员。</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生态环境部门、自然资源部门、组织评审机构、土地使用权人和调查报告编制单位不得干预专家评审。</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4.专家函审</w:t>
      </w:r>
    </w:p>
    <w:p>
      <w:pPr>
        <w:pStyle w:val="9"/>
        <w:spacing w:line="600" w:lineRule="exact"/>
        <w:ind w:firstLine="640" w:firstLineChars="200"/>
        <w:contextualSpacing/>
        <w:jc w:val="both"/>
        <w:rPr>
          <w:rFonts w:ascii="仿宋_GB2312" w:eastAsia="仿宋_GB2312" w:hAnsiTheme="minorEastAsia" w:cstheme="minorEastAsia"/>
          <w:kern w:val="2"/>
          <w:sz w:val="32"/>
          <w:szCs w:val="32"/>
        </w:rPr>
      </w:pPr>
      <w:r>
        <w:rPr>
          <w:rFonts w:hint="eastAsia" w:ascii="仿宋_GB2312" w:eastAsia="仿宋_GB2312" w:hAnsiTheme="minorEastAsia" w:cstheme="minorEastAsia"/>
          <w:kern w:val="2"/>
          <w:sz w:val="32"/>
          <w:szCs w:val="32"/>
        </w:rPr>
        <w:t>对前述情况不复杂的地块，组织评审机构可以组织3名专家进行函审。自然资源部门应当及时将地块信息书面核实情况发送给同级生态环境部门，供专家函审时查阅。</w:t>
      </w:r>
    </w:p>
    <w:p>
      <w:pPr>
        <w:pStyle w:val="3"/>
        <w:spacing w:line="600" w:lineRule="exact"/>
        <w:ind w:firstLine="640" w:firstLineChars="200"/>
        <w:contextualSpacing/>
        <w:rPr>
          <w:rFonts w:ascii="楷体_GB2312" w:eastAsia="楷体_GB2312" w:hAnsiTheme="minorEastAsia" w:cstheme="minorEastAsia"/>
          <w:b w:val="0"/>
          <w:szCs w:val="32"/>
        </w:rPr>
      </w:pPr>
      <w:bookmarkStart w:id="12" w:name="_Toc56774301"/>
      <w:r>
        <w:rPr>
          <w:rFonts w:hint="eastAsia" w:ascii="楷体_GB2312" w:eastAsia="楷体_GB2312" w:hAnsiTheme="minorEastAsia" w:cstheme="minorEastAsia"/>
          <w:b w:val="0"/>
          <w:szCs w:val="32"/>
        </w:rPr>
        <w:t>（四）评审意见</w:t>
      </w:r>
      <w:bookmarkEnd w:id="12"/>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评审专家独立出具个人评审意见（附件6），并按照《山东省建设用地土壤污染风险管控和修复技术文件质量评价办法（试行）》对报告质量进行评分（附件7）。经专家会审后，专家组综合形成评审意见，由专家组所有成员签字确认。</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评审应当对报告就下列问题给出明确意见和结论：</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1土壤污染状况调查程序与方法是否符合国家相关标准规范要求,土壤污染状况调查是否遵循分阶段调查的原则,土壤污染状况调查报告是否为根据国家相关标准规范可以结束调查时的完整调查报告。</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2土壤污染状况调查报告是否包括下列主要内容:地块基本信息、土壤是否受到污染、污染物含量是否超过土壤污染风险管控标准等内容。污染物含量超过土壤污染风险管控标准的,土壤染状况调查报告还应当包括污染类型、主要污染物、污染来源以及地下水是否受到污染等内容。</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3.污染物含量是否超过土壤污染风险管控标准的结论。一般存在3种情况:土壤污染物超过风险管控标准;未超过,且无需进一步补充调查;无法得出结论,需要进一步补充调查。</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4.报告是否通过。包括3种情况:通过,无需修改;通过但需修改,并提出修改要求和修改后的审核方式;未通过,并提出明确具体的整改要求。</w:t>
      </w:r>
    </w:p>
    <w:p>
      <w:pPr>
        <w:pStyle w:val="9"/>
        <w:spacing w:line="600" w:lineRule="exact"/>
        <w:ind w:firstLine="640" w:firstLineChars="200"/>
        <w:contextualSpacing/>
        <w:jc w:val="both"/>
        <w:outlineLvl w:val="1"/>
        <w:rPr>
          <w:rFonts w:ascii="楷体_GB2312" w:eastAsia="楷体_GB2312" w:hAnsiTheme="minorEastAsia" w:cstheme="minorEastAsia"/>
          <w:sz w:val="32"/>
          <w:szCs w:val="32"/>
        </w:rPr>
      </w:pPr>
      <w:bookmarkStart w:id="13" w:name="_Toc56774302"/>
      <w:r>
        <w:rPr>
          <w:rFonts w:hint="eastAsia" w:ascii="楷体_GB2312" w:eastAsia="楷体_GB2312" w:hAnsiTheme="minorEastAsia" w:cstheme="minorEastAsia"/>
          <w:sz w:val="32"/>
          <w:szCs w:val="32"/>
        </w:rPr>
        <w:t>(五)报告修改及结果告知</w:t>
      </w:r>
      <w:bookmarkEnd w:id="13"/>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市生态环境局会同市自然资源和规划部门于评审会议结束之日起5个工作日内，将评审意见告知申请人。</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评审结论为“通过”的,如需修改,申请人应当于评审结束之日起30日内根据专家意见进一步修改完善,修改完善的报告及修改说明（附件8）提交专家复核确认。经复核确认通过后,申请人应当将修改完善后的调查报告及相关材料上传全国土壤环境管理信息平台,将归档材料报市生态环境部门，抄报市自然资源部门。</w:t>
      </w: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评审结论为“未通过”的，申请人需要重新编制报告并上报评审，需重新提交评审申请材料。</w:t>
      </w:r>
    </w:p>
    <w:p>
      <w:pPr>
        <w:pStyle w:val="2"/>
        <w:spacing w:line="600" w:lineRule="exact"/>
        <w:ind w:firstLine="640" w:firstLineChars="200"/>
        <w:contextualSpacing/>
        <w:rPr>
          <w:rFonts w:ascii="黑体" w:hAnsi="黑体" w:eastAsia="黑体" w:cstheme="minorEastAsia"/>
          <w:b w:val="0"/>
          <w:kern w:val="0"/>
          <w:sz w:val="32"/>
          <w:szCs w:val="32"/>
        </w:rPr>
      </w:pPr>
      <w:bookmarkStart w:id="14" w:name="_Toc56774304"/>
      <w:r>
        <w:rPr>
          <w:rFonts w:hint="eastAsia" w:ascii="黑体" w:hAnsi="黑体" w:eastAsia="黑体" w:cstheme="minorEastAsia"/>
          <w:b w:val="0"/>
          <w:kern w:val="0"/>
          <w:sz w:val="32"/>
          <w:szCs w:val="32"/>
        </w:rPr>
        <w:t>四、其他要求</w:t>
      </w:r>
      <w:bookmarkEnd w:id="14"/>
    </w:p>
    <w:p>
      <w:pPr>
        <w:pStyle w:val="3"/>
        <w:spacing w:line="600" w:lineRule="exact"/>
        <w:ind w:firstLine="640" w:firstLineChars="200"/>
        <w:contextualSpacing/>
        <w:rPr>
          <w:rFonts w:ascii="仿宋_GB2312" w:eastAsia="仿宋_GB2312" w:hAnsiTheme="minorEastAsia" w:cstheme="minorEastAsia"/>
          <w:kern w:val="0"/>
          <w:szCs w:val="32"/>
        </w:rPr>
      </w:pPr>
      <w:bookmarkStart w:id="15" w:name="_Toc56774305"/>
      <w:r>
        <w:rPr>
          <w:rFonts w:hint="eastAsia" w:ascii="楷体_GB2312" w:eastAsia="楷体_GB2312" w:hAnsiTheme="minorEastAsia" w:cstheme="minorEastAsia"/>
          <w:b w:val="0"/>
          <w:kern w:val="0"/>
          <w:szCs w:val="32"/>
        </w:rPr>
        <w:t>(一)避免过度调查</w:t>
      </w:r>
      <w:bookmarkEnd w:id="15"/>
    </w:p>
    <w:p>
      <w:pPr>
        <w:spacing w:line="600" w:lineRule="exact"/>
        <w:ind w:firstLine="640" w:firstLineChars="200"/>
        <w:contextualSpacing/>
        <w:rPr>
          <w:rFonts w:ascii="仿宋_GB2312" w:eastAsia="仿宋_GB2312" w:hAnsiTheme="minorEastAsia" w:cstheme="minorEastAsia"/>
          <w:kern w:val="0"/>
          <w:sz w:val="32"/>
          <w:szCs w:val="32"/>
        </w:rPr>
      </w:pPr>
      <w:r>
        <w:rPr>
          <w:rFonts w:hint="eastAsia" w:ascii="仿宋_GB2312" w:eastAsia="仿宋_GB2312" w:hAnsiTheme="minorEastAsia" w:cstheme="minorEastAsia"/>
          <w:kern w:val="0"/>
          <w:sz w:val="32"/>
          <w:szCs w:val="32"/>
        </w:rPr>
        <w:t>按照国家相关导则要求,通过第一阶段的污染识别(资料收集、现场踏勘、人员访谈)确认地块内及周围区域当前和历史上均无可能的污染源,则认为地块的环境状况可以接受,直接从第一阶段的调查分析中得出结论,结束调查活动。</w:t>
      </w:r>
    </w:p>
    <w:p>
      <w:pPr>
        <w:pStyle w:val="3"/>
        <w:spacing w:line="600" w:lineRule="exact"/>
        <w:ind w:firstLine="640" w:firstLineChars="200"/>
        <w:contextualSpacing/>
        <w:rPr>
          <w:rFonts w:ascii="楷体_GB2312" w:eastAsia="楷体_GB2312" w:hAnsiTheme="minorEastAsia" w:cstheme="minorEastAsia"/>
          <w:b w:val="0"/>
          <w:kern w:val="0"/>
          <w:szCs w:val="32"/>
        </w:rPr>
      </w:pPr>
      <w:bookmarkStart w:id="16" w:name="_Toc56774306"/>
      <w:r>
        <w:rPr>
          <w:rFonts w:hint="eastAsia" w:ascii="楷体_GB2312" w:eastAsia="楷体_GB2312" w:hAnsiTheme="minorEastAsia" w:cstheme="minorEastAsia"/>
          <w:b w:val="0"/>
          <w:kern w:val="0"/>
          <w:szCs w:val="32"/>
        </w:rPr>
        <w:t>(二)重新评审</w:t>
      </w:r>
      <w:bookmarkEnd w:id="16"/>
    </w:p>
    <w:p>
      <w:pPr>
        <w:spacing w:line="600" w:lineRule="exact"/>
        <w:ind w:firstLine="640" w:firstLineChars="200"/>
        <w:contextualSpacing/>
        <w:rPr>
          <w:rFonts w:ascii="仿宋_GB2312" w:eastAsia="仿宋_GB2312" w:hAnsiTheme="minorEastAsia" w:cstheme="minorEastAsia"/>
          <w:kern w:val="0"/>
          <w:sz w:val="32"/>
          <w:szCs w:val="32"/>
        </w:rPr>
      </w:pPr>
      <w:r>
        <w:rPr>
          <w:rFonts w:hint="eastAsia" w:ascii="仿宋_GB2312" w:eastAsia="仿宋_GB2312" w:hAnsiTheme="minorEastAsia" w:cstheme="minorEastAsia"/>
          <w:kern w:val="0"/>
          <w:sz w:val="32"/>
          <w:szCs w:val="32"/>
        </w:rPr>
        <w:t>土壤污染状况调查报告通过评审后,在监督性审查中发现存在未查明的污染(包括污染物或者污染区域),组织评审部门可要求补充开展土壤污染状况调查并重新评审；如在施工等过程中发现存在未查明的污染(包括污染物或者污染区域)，施工方应当履行法律义务,立即停止施工等活动,立即采取必要的防护措施,并立即向所在地生态环境部门报告。生态环境部门现场核查后,认为有必要开展重新调查的, 应当要求补充开展土壤污染状况调查并重新评审。</w:t>
      </w:r>
    </w:p>
    <w:p>
      <w:pPr>
        <w:pStyle w:val="3"/>
        <w:spacing w:line="600" w:lineRule="exact"/>
        <w:ind w:firstLine="640" w:firstLineChars="200"/>
        <w:contextualSpacing/>
        <w:rPr>
          <w:rFonts w:ascii="楷体_GB2312" w:eastAsia="楷体_GB2312" w:hAnsiTheme="minorEastAsia" w:cstheme="minorEastAsia"/>
          <w:b w:val="0"/>
          <w:kern w:val="0"/>
          <w:szCs w:val="32"/>
        </w:rPr>
      </w:pPr>
      <w:bookmarkStart w:id="17" w:name="_Toc56774307"/>
      <w:r>
        <w:rPr>
          <w:rFonts w:hint="eastAsia" w:ascii="楷体_GB2312" w:eastAsia="楷体_GB2312" w:hAnsiTheme="minorEastAsia" w:cstheme="minorEastAsia"/>
          <w:b w:val="0"/>
          <w:kern w:val="0"/>
          <w:szCs w:val="32"/>
        </w:rPr>
        <w:t>（三）评审结果应用</w:t>
      </w:r>
      <w:bookmarkEnd w:id="17"/>
    </w:p>
    <w:p>
      <w:pPr>
        <w:spacing w:line="600" w:lineRule="exact"/>
        <w:ind w:firstLine="640" w:firstLineChars="200"/>
        <w:contextualSpacing/>
        <w:rPr>
          <w:rFonts w:ascii="仿宋_GB2312" w:eastAsia="仿宋_GB2312" w:hAnsiTheme="minorEastAsia" w:cstheme="minorEastAsia"/>
          <w:kern w:val="0"/>
          <w:sz w:val="32"/>
          <w:szCs w:val="32"/>
        </w:rPr>
      </w:pPr>
      <w:r>
        <w:rPr>
          <w:rFonts w:hint="eastAsia" w:ascii="仿宋_GB2312" w:eastAsia="仿宋_GB2312" w:hAnsiTheme="minorEastAsia" w:cstheme="minorEastAsia"/>
          <w:kern w:val="0"/>
          <w:sz w:val="32"/>
          <w:szCs w:val="32"/>
        </w:rPr>
        <w:t>对土壤污染状况调查报告评审表明污染物含量超过土壤污染风险管控标准的建设用地地块,土壤污染责任人、土地使用权人应当按照国家相关规定进行土壤污染风险评估。</w:t>
      </w:r>
    </w:p>
    <w:p>
      <w:pPr>
        <w:pStyle w:val="3"/>
        <w:spacing w:line="600" w:lineRule="exact"/>
        <w:ind w:firstLine="640" w:firstLineChars="200"/>
        <w:contextualSpacing/>
        <w:rPr>
          <w:rFonts w:ascii="楷体_GB2312" w:eastAsia="楷体_GB2312" w:hAnsiTheme="minorEastAsia" w:cstheme="minorEastAsia"/>
          <w:b w:val="0"/>
          <w:kern w:val="0"/>
          <w:szCs w:val="32"/>
        </w:rPr>
      </w:pPr>
      <w:bookmarkStart w:id="18" w:name="_Toc56774308"/>
      <w:r>
        <w:rPr>
          <w:rFonts w:hint="eastAsia" w:ascii="楷体_GB2312" w:eastAsia="楷体_GB2312" w:hAnsiTheme="minorEastAsia" w:cstheme="minorEastAsia"/>
          <w:b w:val="0"/>
          <w:kern w:val="0"/>
          <w:szCs w:val="32"/>
        </w:rPr>
        <w:t>(四)档案、信息管理</w:t>
      </w:r>
      <w:bookmarkEnd w:id="18"/>
    </w:p>
    <w:p>
      <w:pPr>
        <w:spacing w:line="600" w:lineRule="exact"/>
        <w:ind w:firstLine="640" w:firstLineChars="200"/>
        <w:contextualSpacing/>
        <w:rPr>
          <w:rFonts w:ascii="仿宋_GB2312" w:eastAsia="仿宋_GB2312" w:hAnsiTheme="minorEastAsia" w:cstheme="minorEastAsia"/>
          <w:kern w:val="0"/>
          <w:sz w:val="32"/>
          <w:szCs w:val="32"/>
        </w:rPr>
      </w:pPr>
      <w:r>
        <w:rPr>
          <w:rFonts w:hint="eastAsia" w:ascii="仿宋_GB2312" w:eastAsia="仿宋_GB2312" w:hAnsiTheme="minorEastAsia" w:cstheme="minorEastAsia"/>
          <w:kern w:val="0"/>
          <w:sz w:val="32"/>
          <w:szCs w:val="32"/>
        </w:rPr>
        <w:t>市生态环境部门、自然资源部门和组织评审机构应当建立相应的档案管理制度,妥善保存申请材料、评审意见等相关材料,档案保存期限不少于30年。开展重新评审的,相关材料与之前评审的材料均需存档。</w:t>
      </w:r>
    </w:p>
    <w:p>
      <w:pPr>
        <w:spacing w:line="600" w:lineRule="exact"/>
        <w:ind w:firstLine="640" w:firstLineChars="200"/>
        <w:contextualSpacing/>
        <w:rPr>
          <w:rFonts w:ascii="仿宋_GB2312" w:eastAsia="仿宋_GB2312" w:hAnsiTheme="minorEastAsia" w:cstheme="minorEastAsia"/>
          <w:kern w:val="0"/>
          <w:sz w:val="32"/>
          <w:szCs w:val="32"/>
        </w:rPr>
      </w:pPr>
      <w:r>
        <w:rPr>
          <w:rFonts w:hint="eastAsia" w:ascii="仿宋_GB2312" w:eastAsia="仿宋_GB2312" w:hAnsiTheme="minorEastAsia" w:cstheme="minorEastAsia"/>
          <w:kern w:val="0"/>
          <w:sz w:val="32"/>
          <w:szCs w:val="32"/>
        </w:rPr>
        <w:t>申请人将归档材料报市生态环境部门、自然资源部门和组织评审机构;生态环境部门对申请人提报材料确认无误后,在5个工作日内将评审意见等相关资料上传全国土壤环境管理信息平台。</w:t>
      </w:r>
    </w:p>
    <w:p>
      <w:pPr>
        <w:pStyle w:val="3"/>
        <w:spacing w:line="600" w:lineRule="exact"/>
        <w:ind w:firstLine="640" w:firstLineChars="200"/>
        <w:contextualSpacing/>
        <w:rPr>
          <w:rFonts w:ascii="楷体_GB2312" w:eastAsia="楷体_GB2312" w:hAnsiTheme="minorEastAsia" w:cstheme="minorEastAsia"/>
          <w:b w:val="0"/>
          <w:kern w:val="0"/>
          <w:szCs w:val="32"/>
        </w:rPr>
      </w:pPr>
      <w:bookmarkStart w:id="19" w:name="_Toc56774309"/>
      <w:r>
        <w:rPr>
          <w:rFonts w:hint="eastAsia" w:ascii="楷体_GB2312" w:eastAsia="楷体_GB2312" w:hAnsiTheme="minorEastAsia" w:cstheme="minorEastAsia"/>
          <w:b w:val="0"/>
          <w:kern w:val="0"/>
          <w:szCs w:val="32"/>
        </w:rPr>
        <w:t>(五)保密管理</w:t>
      </w:r>
      <w:bookmarkEnd w:id="19"/>
    </w:p>
    <w:p>
      <w:pPr>
        <w:spacing w:line="600" w:lineRule="exact"/>
        <w:ind w:firstLine="640" w:firstLineChars="200"/>
        <w:contextualSpacing/>
        <w:rPr>
          <w:rFonts w:ascii="仿宋_GB2312" w:eastAsia="仿宋_GB2312" w:hAnsiTheme="minorEastAsia" w:cstheme="minorEastAsia"/>
          <w:kern w:val="0"/>
          <w:sz w:val="32"/>
          <w:szCs w:val="32"/>
        </w:rPr>
      </w:pPr>
      <w:r>
        <w:rPr>
          <w:rFonts w:hint="eastAsia" w:ascii="仿宋_GB2312" w:eastAsia="仿宋_GB2312" w:hAnsiTheme="minorEastAsia" w:cstheme="minorEastAsia"/>
          <w:kern w:val="0"/>
          <w:sz w:val="32"/>
          <w:szCs w:val="32"/>
        </w:rPr>
        <w:t>参与建设用地土壤污染状况调查和评审各环节的机构和个人,对所掌握的信息和数据负有保密义务。</w:t>
      </w:r>
    </w:p>
    <w:p>
      <w:pPr>
        <w:pStyle w:val="3"/>
        <w:spacing w:line="600" w:lineRule="exact"/>
        <w:ind w:firstLine="640" w:firstLineChars="200"/>
        <w:contextualSpacing/>
        <w:rPr>
          <w:rFonts w:ascii="楷体_GB2312" w:eastAsia="楷体_GB2312" w:hAnsiTheme="minorEastAsia" w:cstheme="minorEastAsia"/>
          <w:b w:val="0"/>
          <w:kern w:val="0"/>
          <w:szCs w:val="32"/>
        </w:rPr>
      </w:pPr>
      <w:bookmarkStart w:id="20" w:name="_Toc56774310"/>
      <w:r>
        <w:rPr>
          <w:rFonts w:hint="eastAsia" w:ascii="楷体_GB2312" w:eastAsia="楷体_GB2312" w:hAnsiTheme="minorEastAsia" w:cstheme="minorEastAsia"/>
          <w:b w:val="0"/>
          <w:kern w:val="0"/>
          <w:szCs w:val="32"/>
        </w:rPr>
        <w:t>(六)相关责任</w:t>
      </w:r>
      <w:bookmarkEnd w:id="20"/>
    </w:p>
    <w:p>
      <w:pPr>
        <w:spacing w:line="600" w:lineRule="exact"/>
        <w:ind w:firstLine="640" w:firstLineChars="200"/>
        <w:contextualSpacing/>
        <w:rPr>
          <w:rFonts w:ascii="仿宋_GB2312" w:eastAsia="仿宋_GB2312" w:hAnsiTheme="minorEastAsia" w:cstheme="minorEastAsia"/>
          <w:kern w:val="0"/>
          <w:sz w:val="32"/>
          <w:szCs w:val="32"/>
        </w:rPr>
      </w:pPr>
      <w:r>
        <w:rPr>
          <w:rFonts w:hint="eastAsia" w:ascii="仿宋_GB2312" w:eastAsia="仿宋_GB2312" w:hAnsiTheme="minorEastAsia" w:cstheme="minorEastAsia"/>
          <w:kern w:val="0"/>
          <w:sz w:val="32"/>
          <w:szCs w:val="32"/>
        </w:rPr>
        <w:t>1.土地使用权人应当依法开展土壤污染状况调查。未按照规定进行土壤污染状况调查的、与土壤污染状况调查机构恶意串通出具虚假报告的,承担相应法律责任。</w:t>
      </w:r>
    </w:p>
    <w:p>
      <w:pPr>
        <w:spacing w:line="600" w:lineRule="exact"/>
        <w:ind w:firstLine="640" w:firstLineChars="200"/>
        <w:contextualSpacing/>
        <w:rPr>
          <w:rFonts w:ascii="仿宋_GB2312" w:eastAsia="仿宋_GB2312" w:hAnsiTheme="minorEastAsia" w:cstheme="minorEastAsia"/>
          <w:kern w:val="0"/>
          <w:sz w:val="32"/>
          <w:szCs w:val="32"/>
        </w:rPr>
      </w:pPr>
      <w:r>
        <w:rPr>
          <w:rFonts w:hint="eastAsia" w:ascii="仿宋_GB2312" w:eastAsia="仿宋_GB2312" w:hAnsiTheme="minorEastAsia" w:cstheme="minorEastAsia"/>
          <w:kern w:val="0"/>
          <w:sz w:val="32"/>
          <w:szCs w:val="32"/>
        </w:rPr>
        <w:t>2.从事土壤污染状况调查、检测的机构应当具备相应专业能力,对出具的调查、检测报告的真实性、准确性、完整性负责机构编造</w:t>
      </w:r>
      <w:r>
        <w:rPr>
          <w:rFonts w:hint="eastAsia" w:ascii="宋体" w:hAnsi="宋体" w:cs="宋体"/>
          <w:kern w:val="0"/>
          <w:sz w:val="32"/>
          <w:szCs w:val="32"/>
        </w:rPr>
        <w:t>虛</w:t>
      </w:r>
      <w:r>
        <w:rPr>
          <w:rFonts w:hint="eastAsia" w:ascii="仿宋_GB2312" w:hAnsi="仿宋_GB2312" w:eastAsia="仿宋_GB2312" w:cs="仿宋_GB2312"/>
          <w:kern w:val="0"/>
          <w:sz w:val="32"/>
          <w:szCs w:val="32"/>
        </w:rPr>
        <w:t>假人员访谈记录、历史文件资料和现场图片、检验检</w:t>
      </w:r>
      <w:r>
        <w:rPr>
          <w:rFonts w:hint="eastAsia" w:ascii="仿宋_GB2312" w:eastAsia="仿宋_GB2312" w:hAnsiTheme="minorEastAsia" w:cstheme="minorEastAsia"/>
          <w:kern w:val="0"/>
          <w:sz w:val="32"/>
          <w:szCs w:val="32"/>
        </w:rPr>
        <w:t>测数据的,承担相应法律责任。</w:t>
      </w:r>
    </w:p>
    <w:p>
      <w:pPr>
        <w:spacing w:line="600" w:lineRule="exact"/>
        <w:ind w:firstLine="640" w:firstLineChars="200"/>
        <w:contextualSpacing/>
        <w:rPr>
          <w:rFonts w:ascii="仿宋_GB2312" w:eastAsia="仿宋_GB2312" w:hAnsiTheme="minorEastAsia" w:cstheme="minorEastAsia"/>
          <w:kern w:val="0"/>
          <w:sz w:val="32"/>
          <w:szCs w:val="32"/>
        </w:rPr>
      </w:pPr>
      <w:r>
        <w:rPr>
          <w:rFonts w:hint="eastAsia" w:ascii="仿宋_GB2312" w:eastAsia="仿宋_GB2312" w:hAnsiTheme="minorEastAsia" w:cstheme="minorEastAsia"/>
          <w:kern w:val="0"/>
          <w:sz w:val="32"/>
          <w:szCs w:val="32"/>
        </w:rPr>
        <w:t>3.参加评审的专家应当按照规定的评审程序,客观公正、科学严谨地出具评审意见,对出具的评审意见终身负责。同时,应当主动回避与自身有利害关系的评审项目。</w:t>
      </w:r>
    </w:p>
    <w:p>
      <w:pPr>
        <w:spacing w:line="600" w:lineRule="exact"/>
        <w:ind w:firstLine="640" w:firstLineChars="200"/>
        <w:contextualSpacing/>
        <w:rPr>
          <w:rFonts w:ascii="仿宋_GB2312" w:eastAsia="仿宋_GB2312" w:hAnsiTheme="minorEastAsia" w:cstheme="minorEastAsia"/>
          <w:kern w:val="0"/>
          <w:sz w:val="32"/>
          <w:szCs w:val="32"/>
        </w:rPr>
      </w:pPr>
      <w:r>
        <w:rPr>
          <w:rFonts w:hint="eastAsia" w:ascii="仿宋_GB2312" w:eastAsia="仿宋_GB2312" w:hAnsiTheme="minorEastAsia" w:cstheme="minorEastAsia"/>
          <w:kern w:val="0"/>
          <w:sz w:val="32"/>
          <w:szCs w:val="32"/>
        </w:rPr>
        <w:t>4.组织评审机构对评审过程合规性负责，应当确保评审过程独立、客观、公正。与评审项目有重大利益关系或存在影响评审客观公正性等情形的，组织评审机构应当申请回避。对于违反本指南程序规定、弄虚作假或者不公正组织评审的，承担相应法律责任。</w:t>
      </w:r>
    </w:p>
    <w:p>
      <w:pPr>
        <w:spacing w:line="600" w:lineRule="exact"/>
        <w:ind w:firstLine="640" w:firstLineChars="200"/>
        <w:contextualSpacing/>
        <w:rPr>
          <w:rFonts w:ascii="仿宋_GB2312" w:eastAsia="仿宋_GB2312" w:hAnsiTheme="minorEastAsia" w:cstheme="minorEastAsia"/>
          <w:kern w:val="0"/>
          <w:sz w:val="32"/>
          <w:szCs w:val="32"/>
        </w:rPr>
      </w:pPr>
    </w:p>
    <w:p>
      <w:pPr>
        <w:pStyle w:val="9"/>
        <w:spacing w:line="600" w:lineRule="exact"/>
        <w:ind w:firstLine="640" w:firstLineChars="200"/>
        <w:contextualSpacing/>
        <w:jc w:val="both"/>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附件：1.建设用地土壤污染状况调查报告评审申请表</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 xml:space="preserve">      2.申请人承诺书</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 xml:space="preserve">      3.报告出具单位承诺书</w:t>
      </w:r>
    </w:p>
    <w:p>
      <w:pPr>
        <w:spacing w:line="600" w:lineRule="exact"/>
        <w:ind w:firstLine="632" w:firstLineChars="200"/>
        <w:contextualSpacing/>
        <w:rPr>
          <w:rFonts w:ascii="仿宋_GB2312" w:eastAsia="仿宋_GB2312" w:hAnsiTheme="minorEastAsia" w:cstheme="minorEastAsia"/>
          <w:spacing w:val="-2"/>
          <w:sz w:val="32"/>
          <w:szCs w:val="32"/>
        </w:rPr>
      </w:pPr>
      <w:r>
        <w:rPr>
          <w:rFonts w:hint="eastAsia" w:ascii="仿宋_GB2312" w:eastAsia="仿宋_GB2312" w:hAnsiTheme="minorEastAsia" w:cstheme="minorEastAsia"/>
          <w:spacing w:val="-2"/>
          <w:sz w:val="32"/>
          <w:szCs w:val="32"/>
        </w:rPr>
        <w:t xml:space="preserve">      4.土壤污染状况调查报告评审申请不予受理通知书</w:t>
      </w:r>
    </w:p>
    <w:p>
      <w:pPr>
        <w:spacing w:line="600" w:lineRule="exact"/>
        <w:ind w:firstLine="632" w:firstLineChars="200"/>
        <w:contextualSpacing/>
        <w:rPr>
          <w:rFonts w:ascii="仿宋_GB2312" w:eastAsia="仿宋_GB2312" w:hAnsiTheme="minorEastAsia" w:cstheme="minorEastAsia"/>
          <w:spacing w:val="-2"/>
          <w:sz w:val="32"/>
          <w:szCs w:val="32"/>
        </w:rPr>
      </w:pPr>
      <w:r>
        <w:rPr>
          <w:rFonts w:hint="eastAsia" w:ascii="仿宋_GB2312" w:eastAsia="仿宋_GB2312" w:hAnsiTheme="minorEastAsia" w:cstheme="minorEastAsia"/>
          <w:spacing w:val="-2"/>
          <w:sz w:val="32"/>
          <w:szCs w:val="32"/>
        </w:rPr>
        <w:t xml:space="preserve">      5.专家评审保密承诺书</w:t>
      </w:r>
    </w:p>
    <w:p>
      <w:pPr>
        <w:spacing w:line="600" w:lineRule="exact"/>
        <w:ind w:firstLine="632" w:firstLineChars="200"/>
        <w:contextualSpacing/>
        <w:rPr>
          <w:rFonts w:ascii="仿宋_GB2312" w:eastAsia="仿宋_GB2312" w:hAnsiTheme="minorEastAsia" w:cstheme="minorEastAsia"/>
          <w:spacing w:val="-2"/>
          <w:sz w:val="32"/>
          <w:szCs w:val="32"/>
        </w:rPr>
      </w:pPr>
      <w:r>
        <w:rPr>
          <w:rFonts w:hint="eastAsia" w:ascii="仿宋_GB2312" w:eastAsia="仿宋_GB2312" w:hAnsiTheme="minorEastAsia" w:cstheme="minorEastAsia"/>
          <w:spacing w:val="-2"/>
          <w:sz w:val="32"/>
          <w:szCs w:val="32"/>
        </w:rPr>
        <w:t xml:space="preserve">      6.专家技术评审意见表</w:t>
      </w:r>
    </w:p>
    <w:p>
      <w:pPr>
        <w:spacing w:line="600" w:lineRule="exact"/>
        <w:ind w:firstLine="632" w:firstLineChars="200"/>
        <w:contextualSpacing/>
        <w:rPr>
          <w:rFonts w:ascii="仿宋_GB2312" w:eastAsia="仿宋_GB2312" w:hAnsiTheme="minorEastAsia" w:cstheme="minorEastAsia"/>
          <w:spacing w:val="-2"/>
          <w:sz w:val="32"/>
          <w:szCs w:val="32"/>
        </w:rPr>
      </w:pPr>
      <w:r>
        <w:rPr>
          <w:rFonts w:hint="eastAsia" w:ascii="仿宋_GB2312" w:eastAsia="仿宋_GB2312" w:hAnsiTheme="minorEastAsia" w:cstheme="minorEastAsia"/>
          <w:spacing w:val="-2"/>
          <w:sz w:val="32"/>
          <w:szCs w:val="32"/>
        </w:rPr>
        <w:t xml:space="preserve">      7.报告质量评分表</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 xml:space="preserve">      8.报告修改说明</w:t>
      </w:r>
    </w:p>
    <w:p>
      <w:pPr>
        <w:spacing w:line="600" w:lineRule="exact"/>
        <w:ind w:firstLine="640" w:firstLineChars="200"/>
        <w:contextualSpacing/>
        <w:rPr>
          <w:rFonts w:ascii="仿宋_GB2312" w:eastAsia="仿宋_GB2312" w:hAnsiTheme="minorEastAsia" w:cstheme="minorEastAsia"/>
          <w:kern w:val="0"/>
          <w:sz w:val="32"/>
          <w:szCs w:val="32"/>
        </w:rPr>
        <w:sectPr>
          <w:footerReference r:id="rId3" w:type="default"/>
          <w:pgSz w:w="11906" w:h="16838"/>
          <w:pgMar w:top="2098" w:right="1474" w:bottom="1985" w:left="1588" w:header="851" w:footer="992" w:gutter="0"/>
          <w:pgNumType w:fmt="numberInDash"/>
          <w:cols w:space="720" w:num="1"/>
          <w:docGrid w:type="lines" w:linePitch="312" w:charSpace="0"/>
        </w:sectPr>
      </w:pPr>
      <w:r>
        <w:rPr>
          <w:rFonts w:ascii="仿宋_GB2312" w:eastAsia="仿宋_GB2312" w:hAnsiTheme="minorEastAsia" w:cstheme="minorEastAsia"/>
          <w:kern w:val="0"/>
          <w:sz w:val="32"/>
          <w:szCs w:val="32"/>
        </w:rPr>
        <w:br w:type="page"/>
      </w:r>
    </w:p>
    <w:p>
      <w:pPr>
        <w:pStyle w:val="2"/>
        <w:spacing w:line="600" w:lineRule="exact"/>
        <w:contextualSpacing/>
        <w:rPr>
          <w:rFonts w:ascii="黑体" w:hAnsi="黑体" w:eastAsia="黑体"/>
          <w:b w:val="0"/>
          <w:sz w:val="32"/>
          <w:szCs w:val="28"/>
        </w:rPr>
      </w:pPr>
      <w:bookmarkStart w:id="21" w:name="_Toc56774311"/>
      <w:r>
        <w:rPr>
          <w:rFonts w:hint="eastAsia" w:ascii="黑体" w:hAnsi="黑体" w:eastAsia="黑体"/>
          <w:b w:val="0"/>
          <w:sz w:val="32"/>
          <w:szCs w:val="28"/>
        </w:rPr>
        <w:t>附件1</w:t>
      </w:r>
      <w:bookmarkEnd w:id="21"/>
    </w:p>
    <w:p>
      <w:pPr>
        <w:spacing w:line="600" w:lineRule="exact"/>
        <w:contextualSpacing/>
        <w:jc w:val="center"/>
        <w:rPr>
          <w:rFonts w:ascii="方正小标宋简体" w:eastAsia="方正小标宋简体"/>
          <w:sz w:val="40"/>
          <w:szCs w:val="44"/>
        </w:rPr>
      </w:pPr>
      <w:r>
        <w:rPr>
          <w:rFonts w:hint="eastAsia" w:ascii="方正小标宋简体" w:eastAsia="方正小标宋简体"/>
          <w:sz w:val="40"/>
          <w:szCs w:val="44"/>
        </w:rPr>
        <w:t>建设用地土壤污染状况调查报告评审申请表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42"/>
        <w:gridCol w:w="1053"/>
        <w:gridCol w:w="908"/>
        <w:gridCol w:w="218"/>
        <w:gridCol w:w="1210"/>
        <w:gridCol w:w="202"/>
        <w:gridCol w:w="814"/>
        <w:gridCol w:w="95"/>
        <w:gridCol w:w="672"/>
        <w:gridCol w:w="12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vAlign w:val="center"/>
          </w:tcPr>
          <w:p>
            <w:pPr>
              <w:spacing w:line="240" w:lineRule="atLeast"/>
              <w:ind w:firstLine="360" w:firstLineChars="200"/>
              <w:contextualSpacing/>
              <w:rPr>
                <w:sz w:val="18"/>
                <w:szCs w:val="18"/>
              </w:rPr>
            </w:pPr>
            <w:r>
              <w:rPr>
                <w:rFonts w:hint="eastAsia"/>
                <w:sz w:val="18"/>
                <w:szCs w:val="18"/>
              </w:rPr>
              <w:t>项目名称</w:t>
            </w:r>
          </w:p>
        </w:tc>
        <w:tc>
          <w:tcPr>
            <w:tcW w:w="6662" w:type="dxa"/>
            <w:gridSpan w:val="9"/>
          </w:tcPr>
          <w:p>
            <w:pPr>
              <w:spacing w:line="240" w:lineRule="atLeast"/>
              <w:ind w:firstLine="360" w:firstLineChars="200"/>
              <w:contextualSpacing/>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vAlign w:val="center"/>
          </w:tcPr>
          <w:p>
            <w:pPr>
              <w:spacing w:line="240" w:lineRule="atLeast"/>
              <w:ind w:firstLine="360" w:firstLineChars="200"/>
              <w:contextualSpacing/>
              <w:rPr>
                <w:sz w:val="18"/>
                <w:szCs w:val="18"/>
              </w:rPr>
            </w:pPr>
            <w:r>
              <w:rPr>
                <w:rFonts w:hint="eastAsia"/>
                <w:sz w:val="18"/>
                <w:szCs w:val="18"/>
              </w:rPr>
              <w:t>联系人</w:t>
            </w:r>
          </w:p>
        </w:tc>
        <w:tc>
          <w:tcPr>
            <w:tcW w:w="1100" w:type="dxa"/>
          </w:tcPr>
          <w:p>
            <w:pPr>
              <w:spacing w:line="240" w:lineRule="atLeast"/>
              <w:ind w:firstLine="360" w:firstLineChars="200"/>
              <w:contextualSpacing/>
              <w:rPr>
                <w:sz w:val="18"/>
                <w:szCs w:val="18"/>
              </w:rPr>
            </w:pPr>
          </w:p>
        </w:tc>
        <w:tc>
          <w:tcPr>
            <w:tcW w:w="1168" w:type="dxa"/>
            <w:gridSpan w:val="2"/>
          </w:tcPr>
          <w:p>
            <w:pPr>
              <w:spacing w:line="240" w:lineRule="atLeast"/>
              <w:contextualSpacing/>
              <w:rPr>
                <w:sz w:val="18"/>
                <w:szCs w:val="18"/>
              </w:rPr>
            </w:pPr>
            <w:r>
              <w:rPr>
                <w:rFonts w:hint="eastAsia"/>
                <w:sz w:val="18"/>
                <w:szCs w:val="18"/>
              </w:rPr>
              <w:t>联系电话</w:t>
            </w:r>
          </w:p>
        </w:tc>
        <w:tc>
          <w:tcPr>
            <w:tcW w:w="1272" w:type="dxa"/>
          </w:tcPr>
          <w:p>
            <w:pPr>
              <w:spacing w:line="240" w:lineRule="atLeast"/>
              <w:ind w:firstLine="360" w:firstLineChars="200"/>
              <w:contextualSpacing/>
              <w:rPr>
                <w:sz w:val="18"/>
                <w:szCs w:val="18"/>
              </w:rPr>
            </w:pPr>
          </w:p>
        </w:tc>
        <w:tc>
          <w:tcPr>
            <w:tcW w:w="1137" w:type="dxa"/>
            <w:gridSpan w:val="3"/>
          </w:tcPr>
          <w:p>
            <w:pPr>
              <w:spacing w:line="240" w:lineRule="atLeast"/>
              <w:contextualSpacing/>
              <w:rPr>
                <w:sz w:val="18"/>
                <w:szCs w:val="18"/>
              </w:rPr>
            </w:pPr>
            <w:r>
              <w:rPr>
                <w:rFonts w:hint="eastAsia"/>
                <w:sz w:val="18"/>
                <w:szCs w:val="18"/>
              </w:rPr>
              <w:t>电子邮箱</w:t>
            </w:r>
          </w:p>
        </w:tc>
        <w:tc>
          <w:tcPr>
            <w:tcW w:w="1985" w:type="dxa"/>
            <w:gridSpan w:val="2"/>
          </w:tcPr>
          <w:p>
            <w:pPr>
              <w:spacing w:line="240" w:lineRule="atLeast"/>
              <w:ind w:firstLine="360" w:firstLineChars="200"/>
              <w:contextualSpacing/>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vAlign w:val="center"/>
          </w:tcPr>
          <w:p>
            <w:pPr>
              <w:spacing w:line="240" w:lineRule="atLeast"/>
              <w:ind w:firstLine="360" w:firstLineChars="200"/>
              <w:contextualSpacing/>
              <w:rPr>
                <w:sz w:val="18"/>
                <w:szCs w:val="18"/>
              </w:rPr>
            </w:pPr>
            <w:r>
              <w:rPr>
                <w:rFonts w:hint="eastAsia"/>
                <w:sz w:val="18"/>
                <w:szCs w:val="18"/>
              </w:rPr>
              <w:t>地块类型</w:t>
            </w:r>
          </w:p>
        </w:tc>
        <w:tc>
          <w:tcPr>
            <w:tcW w:w="6662" w:type="dxa"/>
            <w:gridSpan w:val="9"/>
          </w:tcPr>
          <w:p>
            <w:pPr>
              <w:spacing w:line="240" w:lineRule="atLeast"/>
              <w:ind w:firstLine="360" w:firstLineChars="200"/>
              <w:contextualSpacing/>
              <w:rPr>
                <w:rFonts w:ascii="宋体" w:hAnsi="宋体"/>
                <w:sz w:val="18"/>
                <w:szCs w:val="18"/>
              </w:rPr>
            </w:pPr>
            <w:r>
              <w:rPr>
                <w:rFonts w:hint="eastAsia" w:ascii="宋体" w:hAnsi="宋体"/>
                <w:sz w:val="18"/>
                <w:szCs w:val="18"/>
              </w:rPr>
              <w:t>□</w:t>
            </w:r>
            <w:r>
              <w:rPr>
                <w:rFonts w:ascii="宋体" w:hAnsi="宋体"/>
                <w:sz w:val="18"/>
                <w:szCs w:val="18"/>
              </w:rPr>
              <w:t>土壤污染重点监管单位生产经营用地的用途变更或者土地使用权收回、转让</w:t>
            </w:r>
            <w:r>
              <w:rPr>
                <w:rFonts w:hint="eastAsia" w:ascii="宋体" w:hAnsi="宋体"/>
                <w:sz w:val="18"/>
                <w:szCs w:val="18"/>
              </w:rPr>
              <w:t>的地块</w:t>
            </w:r>
          </w:p>
          <w:p>
            <w:pPr>
              <w:spacing w:line="240" w:lineRule="atLeast"/>
              <w:ind w:firstLine="360" w:firstLineChars="200"/>
              <w:contextualSpacing/>
              <w:rPr>
                <w:rFonts w:ascii="宋体" w:hAnsi="宋体"/>
                <w:sz w:val="18"/>
                <w:szCs w:val="18"/>
              </w:rPr>
            </w:pPr>
            <w:r>
              <w:rPr>
                <w:rFonts w:hint="eastAsia" w:ascii="宋体" w:hAnsi="宋体"/>
                <w:sz w:val="18"/>
                <w:szCs w:val="18"/>
              </w:rPr>
              <w:t>□</w:t>
            </w:r>
            <w:r>
              <w:rPr>
                <w:rFonts w:ascii="宋体" w:hAnsi="宋体"/>
                <w:sz w:val="18"/>
                <w:szCs w:val="18"/>
              </w:rPr>
              <w:t>土壤污染状况普查、详查和监测、现场检查表明有土壤污染风险的</w:t>
            </w:r>
            <w:r>
              <w:rPr>
                <w:rFonts w:hint="eastAsia" w:ascii="宋体" w:hAnsi="宋体"/>
                <w:sz w:val="18"/>
                <w:szCs w:val="18"/>
              </w:rPr>
              <w:t>建设用地</w:t>
            </w:r>
          </w:p>
          <w:p>
            <w:pPr>
              <w:spacing w:line="240" w:lineRule="atLeast"/>
              <w:ind w:firstLine="360" w:firstLineChars="200"/>
              <w:contextualSpacing/>
              <w:rPr>
                <w:rFonts w:ascii="宋体" w:hAnsi="宋体"/>
                <w:sz w:val="18"/>
                <w:szCs w:val="18"/>
              </w:rPr>
            </w:pPr>
            <w:r>
              <w:rPr>
                <w:rFonts w:hint="eastAsia" w:ascii="宋体" w:hAnsi="宋体"/>
                <w:sz w:val="18"/>
                <w:szCs w:val="18"/>
              </w:rPr>
              <w:t>□</w:t>
            </w:r>
            <w:r>
              <w:rPr>
                <w:rFonts w:ascii="宋体" w:hAnsi="宋体"/>
                <w:sz w:val="18"/>
                <w:szCs w:val="18"/>
              </w:rPr>
              <w:t>用途拟变更为住宅、公共管理与公共服务用地的</w:t>
            </w:r>
          </w:p>
          <w:p>
            <w:pPr>
              <w:spacing w:line="240" w:lineRule="atLeast"/>
              <w:ind w:firstLine="360" w:firstLineChars="200"/>
              <w:contextualSpacing/>
              <w:rPr>
                <w:rFonts w:ascii="宋体" w:hAnsi="宋体"/>
                <w:sz w:val="18"/>
                <w:szCs w:val="18"/>
              </w:rPr>
            </w:pPr>
            <w:r>
              <w:rPr>
                <w:rFonts w:hint="eastAsia" w:ascii="宋体" w:hAnsi="宋体"/>
                <w:sz w:val="18"/>
                <w:szCs w:val="18"/>
              </w:rPr>
              <w:t>□法律法规规章规定应当开展土壤污染状况调查及评审的其他情形地块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tcPr>
          <w:p>
            <w:pPr>
              <w:spacing w:line="240" w:lineRule="atLeast"/>
              <w:ind w:firstLine="360" w:firstLineChars="200"/>
              <w:contextualSpacing/>
              <w:rPr>
                <w:sz w:val="18"/>
                <w:szCs w:val="18"/>
              </w:rPr>
            </w:pPr>
            <w:r>
              <w:rPr>
                <w:rFonts w:hint="eastAsia"/>
                <w:sz w:val="18"/>
                <w:szCs w:val="18"/>
              </w:rPr>
              <w:t>土地使用权取得时间（地方人民政府以及有关部门申请的，填写土地使用权收回时间）</w:t>
            </w:r>
          </w:p>
        </w:tc>
        <w:tc>
          <w:tcPr>
            <w:tcW w:w="2040" w:type="dxa"/>
            <w:gridSpan w:val="2"/>
          </w:tcPr>
          <w:p>
            <w:pPr>
              <w:spacing w:line="240" w:lineRule="atLeast"/>
              <w:ind w:firstLine="360" w:firstLineChars="200"/>
              <w:contextualSpacing/>
              <w:rPr>
                <w:sz w:val="18"/>
                <w:szCs w:val="18"/>
              </w:rPr>
            </w:pPr>
          </w:p>
          <w:p>
            <w:pPr>
              <w:spacing w:line="240" w:lineRule="atLeast"/>
              <w:ind w:firstLine="360" w:firstLineChars="200"/>
              <w:contextualSpacing/>
              <w:rPr>
                <w:sz w:val="18"/>
                <w:szCs w:val="18"/>
              </w:rPr>
            </w:pPr>
            <w:r>
              <w:rPr>
                <w:rFonts w:hint="eastAsia"/>
                <w:sz w:val="18"/>
                <w:szCs w:val="18"/>
              </w:rPr>
              <w:t>年  月  日</w:t>
            </w:r>
          </w:p>
        </w:tc>
        <w:tc>
          <w:tcPr>
            <w:tcW w:w="2540" w:type="dxa"/>
            <w:gridSpan w:val="4"/>
          </w:tcPr>
          <w:p>
            <w:pPr>
              <w:spacing w:line="240" w:lineRule="atLeast"/>
              <w:ind w:firstLine="360" w:firstLineChars="200"/>
              <w:contextualSpacing/>
              <w:rPr>
                <w:sz w:val="18"/>
                <w:szCs w:val="18"/>
              </w:rPr>
            </w:pPr>
          </w:p>
          <w:p>
            <w:pPr>
              <w:spacing w:line="240" w:lineRule="atLeast"/>
              <w:ind w:firstLine="360" w:firstLineChars="200"/>
              <w:contextualSpacing/>
              <w:rPr>
                <w:sz w:val="18"/>
                <w:szCs w:val="18"/>
              </w:rPr>
            </w:pPr>
            <w:r>
              <w:rPr>
                <w:rFonts w:hint="eastAsia"/>
                <w:sz w:val="18"/>
                <w:szCs w:val="18"/>
              </w:rPr>
              <w:t>前土地使用权人</w:t>
            </w:r>
          </w:p>
        </w:tc>
        <w:tc>
          <w:tcPr>
            <w:tcW w:w="2082" w:type="dxa"/>
            <w:gridSpan w:val="3"/>
          </w:tcPr>
          <w:p>
            <w:pPr>
              <w:spacing w:line="240" w:lineRule="atLeast"/>
              <w:ind w:firstLine="360" w:firstLineChars="200"/>
              <w:contextualSpacing/>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70" w:hRule="atLeast"/>
        </w:trPr>
        <w:tc>
          <w:tcPr>
            <w:tcW w:w="2235" w:type="dxa"/>
            <w:vMerge w:val="restart"/>
          </w:tcPr>
          <w:p>
            <w:pPr>
              <w:spacing w:line="240" w:lineRule="atLeast"/>
              <w:ind w:firstLine="360" w:firstLineChars="200"/>
              <w:contextualSpacing/>
              <w:rPr>
                <w:sz w:val="18"/>
                <w:szCs w:val="18"/>
              </w:rPr>
            </w:pPr>
          </w:p>
          <w:p>
            <w:pPr>
              <w:spacing w:line="240" w:lineRule="atLeast"/>
              <w:ind w:firstLine="360" w:firstLineChars="200"/>
              <w:contextualSpacing/>
              <w:rPr>
                <w:sz w:val="18"/>
                <w:szCs w:val="18"/>
              </w:rPr>
            </w:pPr>
          </w:p>
          <w:p>
            <w:pPr>
              <w:spacing w:line="240" w:lineRule="atLeast"/>
              <w:ind w:firstLine="360" w:firstLineChars="200"/>
              <w:contextualSpacing/>
              <w:rPr>
                <w:sz w:val="18"/>
                <w:szCs w:val="18"/>
              </w:rPr>
            </w:pPr>
            <w:r>
              <w:rPr>
                <w:rFonts w:hint="eastAsia"/>
                <w:sz w:val="18"/>
                <w:szCs w:val="18"/>
              </w:rPr>
              <w:t>建设用地地点</w:t>
            </w:r>
          </w:p>
        </w:tc>
        <w:tc>
          <w:tcPr>
            <w:tcW w:w="6662" w:type="dxa"/>
            <w:gridSpan w:val="9"/>
          </w:tcPr>
          <w:p>
            <w:pPr>
              <w:spacing w:line="240" w:lineRule="atLeast"/>
              <w:ind w:firstLine="360" w:firstLineChars="200"/>
              <w:contextualSpacing/>
              <w:rPr>
                <w:sz w:val="18"/>
                <w:szCs w:val="18"/>
              </w:rPr>
            </w:pPr>
            <w:r>
              <w:rPr>
                <w:rFonts w:hint="eastAsia"/>
                <w:sz w:val="18"/>
                <w:szCs w:val="18"/>
              </w:rPr>
              <w:t>_____省______ 市 _______  区（市）（开发区）________乡（镇） ________ 街（村）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2235" w:type="dxa"/>
            <w:vMerge w:val="continue"/>
          </w:tcPr>
          <w:p>
            <w:pPr>
              <w:spacing w:line="240" w:lineRule="atLeast"/>
              <w:ind w:firstLine="360" w:firstLineChars="200"/>
              <w:contextualSpacing/>
              <w:rPr>
                <w:sz w:val="18"/>
                <w:szCs w:val="18"/>
              </w:rPr>
            </w:pPr>
          </w:p>
        </w:tc>
        <w:tc>
          <w:tcPr>
            <w:tcW w:w="6662" w:type="dxa"/>
            <w:gridSpan w:val="9"/>
          </w:tcPr>
          <w:p>
            <w:pPr>
              <w:spacing w:line="240" w:lineRule="atLeast"/>
              <w:ind w:firstLine="360" w:firstLineChars="200"/>
              <w:contextualSpacing/>
              <w:rPr>
                <w:sz w:val="18"/>
                <w:szCs w:val="18"/>
              </w:rPr>
            </w:pPr>
            <w:r>
              <w:rPr>
                <w:rFonts w:hint="eastAsia"/>
                <w:sz w:val="18"/>
                <w:szCs w:val="18"/>
              </w:rPr>
              <w:t>经度：_________维度：_________</w:t>
            </w:r>
            <w:r>
              <w:rPr>
                <w:rFonts w:hint="eastAsia" w:ascii="宋体" w:hAnsi="宋体"/>
                <w:sz w:val="18"/>
                <w:szCs w:val="18"/>
              </w:rPr>
              <w:t>□</w:t>
            </w:r>
            <w:r>
              <w:rPr>
                <w:rFonts w:hint="eastAsia"/>
                <w:sz w:val="18"/>
                <w:szCs w:val="18"/>
              </w:rPr>
              <w:t xml:space="preserve">项目中心    </w:t>
            </w:r>
            <w:r>
              <w:rPr>
                <w:rFonts w:hint="eastAsia" w:ascii="宋体" w:hAnsi="宋体"/>
                <w:sz w:val="18"/>
                <w:szCs w:val="18"/>
              </w:rPr>
              <w:t>□</w:t>
            </w:r>
            <w:r>
              <w:rPr>
                <w:rFonts w:hint="eastAsia"/>
                <w:sz w:val="18"/>
                <w:szCs w:val="18"/>
              </w:rPr>
              <w:t>其他（简要说明）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vAlign w:val="center"/>
          </w:tcPr>
          <w:p>
            <w:pPr>
              <w:spacing w:line="240" w:lineRule="atLeast"/>
              <w:ind w:firstLine="360" w:firstLineChars="200"/>
              <w:contextualSpacing/>
              <w:rPr>
                <w:sz w:val="18"/>
                <w:szCs w:val="18"/>
              </w:rPr>
            </w:pPr>
            <w:r>
              <w:rPr>
                <w:rFonts w:hint="eastAsia"/>
                <w:sz w:val="18"/>
                <w:szCs w:val="18"/>
              </w:rPr>
              <w:t>四至范围</w:t>
            </w:r>
          </w:p>
        </w:tc>
        <w:tc>
          <w:tcPr>
            <w:tcW w:w="3750" w:type="dxa"/>
            <w:gridSpan w:val="5"/>
          </w:tcPr>
          <w:p>
            <w:pPr>
              <w:spacing w:line="240" w:lineRule="atLeast"/>
              <w:ind w:firstLine="360" w:firstLineChars="200"/>
              <w:contextualSpacing/>
              <w:rPr>
                <w:sz w:val="18"/>
                <w:szCs w:val="18"/>
              </w:rPr>
            </w:pPr>
            <w:r>
              <w:rPr>
                <w:rFonts w:hint="eastAsia"/>
                <w:sz w:val="18"/>
                <w:szCs w:val="18"/>
              </w:rPr>
              <w:t>（可另附图）注明拐点坐标（2000国家大地坐标系）</w:t>
            </w:r>
          </w:p>
        </w:tc>
        <w:tc>
          <w:tcPr>
            <w:tcW w:w="1636" w:type="dxa"/>
            <w:gridSpan w:val="3"/>
            <w:vAlign w:val="center"/>
          </w:tcPr>
          <w:p>
            <w:pPr>
              <w:widowControl/>
              <w:spacing w:line="240" w:lineRule="atLeast"/>
              <w:contextualSpacing/>
              <w:rPr>
                <w:sz w:val="18"/>
                <w:szCs w:val="18"/>
              </w:rPr>
            </w:pPr>
            <w:r>
              <w:rPr>
                <w:rFonts w:hint="eastAsia"/>
                <w:sz w:val="18"/>
                <w:szCs w:val="18"/>
              </w:rPr>
              <w:t>占地面积（m</w:t>
            </w:r>
            <w:r>
              <w:rPr>
                <w:rFonts w:hint="eastAsia" w:ascii="宋体" w:hAnsi="宋体"/>
                <w:sz w:val="18"/>
                <w:szCs w:val="18"/>
              </w:rPr>
              <w:t>²</w:t>
            </w:r>
            <w:r>
              <w:rPr>
                <w:rFonts w:hint="eastAsia"/>
                <w:sz w:val="18"/>
                <w:szCs w:val="18"/>
              </w:rPr>
              <w:t>）</w:t>
            </w:r>
          </w:p>
          <w:p>
            <w:pPr>
              <w:spacing w:line="240" w:lineRule="atLeast"/>
              <w:ind w:firstLine="360" w:firstLineChars="200"/>
              <w:contextualSpacing/>
              <w:rPr>
                <w:sz w:val="18"/>
                <w:szCs w:val="18"/>
              </w:rPr>
            </w:pPr>
          </w:p>
        </w:tc>
        <w:tc>
          <w:tcPr>
            <w:tcW w:w="1276" w:type="dxa"/>
          </w:tcPr>
          <w:p>
            <w:pPr>
              <w:widowControl/>
              <w:spacing w:line="240" w:lineRule="atLeast"/>
              <w:ind w:firstLine="360" w:firstLineChars="200"/>
              <w:contextualSpacing/>
              <w:rPr>
                <w:sz w:val="18"/>
                <w:szCs w:val="18"/>
              </w:rPr>
            </w:pPr>
          </w:p>
          <w:p>
            <w:pPr>
              <w:spacing w:line="240" w:lineRule="atLeast"/>
              <w:ind w:firstLine="360" w:firstLineChars="200"/>
              <w:contextualSpacing/>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35" w:type="dxa"/>
          </w:tcPr>
          <w:p>
            <w:pPr>
              <w:spacing w:line="240" w:lineRule="atLeast"/>
              <w:ind w:firstLine="360" w:firstLineChars="200"/>
              <w:contextualSpacing/>
              <w:rPr>
                <w:sz w:val="18"/>
                <w:szCs w:val="18"/>
              </w:rPr>
            </w:pPr>
            <w:r>
              <w:rPr>
                <w:rFonts w:hint="eastAsia"/>
                <w:sz w:val="18"/>
                <w:szCs w:val="18"/>
              </w:rPr>
              <w:t>行业类别（现状为工矿用地的填写该栏）</w:t>
            </w:r>
          </w:p>
        </w:tc>
        <w:tc>
          <w:tcPr>
            <w:tcW w:w="6662" w:type="dxa"/>
            <w:gridSpan w:val="9"/>
          </w:tcPr>
          <w:p>
            <w:pPr>
              <w:spacing w:line="240" w:lineRule="atLeast"/>
              <w:ind w:firstLine="360" w:firstLineChars="200"/>
              <w:contextualSpacing/>
              <w:rPr>
                <w:sz w:val="18"/>
                <w:szCs w:val="18"/>
              </w:rPr>
            </w:pPr>
            <w:r>
              <w:rPr>
                <w:rFonts w:hint="eastAsia" w:ascii="宋体" w:hAnsi="宋体"/>
                <w:sz w:val="18"/>
                <w:szCs w:val="18"/>
              </w:rPr>
              <w:t>□有色金属矿采选□</w:t>
            </w:r>
            <w:r>
              <w:rPr>
                <w:rFonts w:hint="eastAsia"/>
                <w:sz w:val="18"/>
                <w:szCs w:val="18"/>
              </w:rPr>
              <w:t>有色金属冶炼</w:t>
            </w:r>
            <w:r>
              <w:rPr>
                <w:rFonts w:hint="eastAsia" w:ascii="宋体" w:hAnsi="宋体"/>
                <w:sz w:val="18"/>
                <w:szCs w:val="18"/>
              </w:rPr>
              <w:t>□</w:t>
            </w:r>
            <w:r>
              <w:rPr>
                <w:rFonts w:hint="eastAsia"/>
                <w:sz w:val="18"/>
                <w:szCs w:val="18"/>
              </w:rPr>
              <w:t>石油开采加工</w:t>
            </w:r>
            <w:r>
              <w:rPr>
                <w:rFonts w:hint="eastAsia" w:ascii="宋体" w:hAnsi="宋体"/>
                <w:sz w:val="18"/>
                <w:szCs w:val="18"/>
              </w:rPr>
              <w:t>□</w:t>
            </w:r>
            <w:r>
              <w:rPr>
                <w:rFonts w:hint="eastAsia"/>
                <w:sz w:val="18"/>
                <w:szCs w:val="18"/>
              </w:rPr>
              <w:t>化工</w:t>
            </w:r>
            <w:r>
              <w:rPr>
                <w:rFonts w:hint="eastAsia" w:ascii="宋体" w:hAnsi="宋体"/>
                <w:sz w:val="18"/>
                <w:szCs w:val="18"/>
              </w:rPr>
              <w:t>□</w:t>
            </w:r>
            <w:r>
              <w:rPr>
                <w:rFonts w:hint="eastAsia"/>
                <w:sz w:val="18"/>
                <w:szCs w:val="18"/>
              </w:rPr>
              <w:t>医药</w:t>
            </w:r>
            <w:r>
              <w:rPr>
                <w:rFonts w:hint="eastAsia" w:ascii="宋体" w:hAnsi="宋体"/>
                <w:sz w:val="18"/>
                <w:szCs w:val="18"/>
              </w:rPr>
              <w:t>□</w:t>
            </w:r>
            <w:r>
              <w:rPr>
                <w:rFonts w:hint="eastAsia"/>
                <w:sz w:val="18"/>
                <w:szCs w:val="18"/>
              </w:rPr>
              <w:t>焦化</w:t>
            </w:r>
            <w:r>
              <w:rPr>
                <w:rFonts w:hint="eastAsia" w:ascii="宋体" w:hAnsi="宋体"/>
                <w:sz w:val="18"/>
                <w:szCs w:val="18"/>
              </w:rPr>
              <w:t>□</w:t>
            </w:r>
            <w:r>
              <w:rPr>
                <w:rFonts w:hint="eastAsia"/>
                <w:sz w:val="18"/>
                <w:szCs w:val="18"/>
              </w:rPr>
              <w:t>电镀</w:t>
            </w:r>
            <w:r>
              <w:rPr>
                <w:rFonts w:hint="eastAsia" w:ascii="宋体" w:hAnsi="宋体"/>
                <w:sz w:val="18"/>
                <w:szCs w:val="18"/>
              </w:rPr>
              <w:t>□</w:t>
            </w:r>
            <w:r>
              <w:rPr>
                <w:rFonts w:hint="eastAsia"/>
                <w:sz w:val="18"/>
                <w:szCs w:val="18"/>
              </w:rPr>
              <w:t>制革</w:t>
            </w:r>
            <w:r>
              <w:rPr>
                <w:rFonts w:hint="eastAsia" w:ascii="宋体" w:hAnsi="宋体"/>
                <w:sz w:val="18"/>
                <w:szCs w:val="18"/>
              </w:rPr>
              <w:t>□</w:t>
            </w:r>
            <w:r>
              <w:rPr>
                <w:rFonts w:hint="eastAsia"/>
                <w:sz w:val="18"/>
                <w:szCs w:val="18"/>
              </w:rPr>
              <w:t>危险废物经营、固体废物填埋等行业的生产经营用地</w:t>
            </w:r>
            <w:r>
              <w:rPr>
                <w:rFonts w:hint="eastAsia" w:ascii="宋体" w:hAnsi="宋体"/>
                <w:sz w:val="18"/>
                <w:szCs w:val="18"/>
              </w:rPr>
              <w:t>□</w:t>
            </w:r>
            <w:r>
              <w:rPr>
                <w:rFonts w:hint="eastAsia"/>
                <w:sz w:val="18"/>
                <w:szCs w:val="18"/>
              </w:rPr>
              <w:t>其他_________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tcPr>
          <w:p>
            <w:pPr>
              <w:spacing w:line="240" w:lineRule="atLeast"/>
              <w:ind w:firstLine="360" w:firstLineChars="200"/>
              <w:contextualSpacing/>
              <w:rPr>
                <w:sz w:val="18"/>
                <w:szCs w:val="18"/>
              </w:rPr>
            </w:pPr>
            <w:r>
              <w:rPr>
                <w:rFonts w:hint="eastAsia"/>
                <w:sz w:val="18"/>
                <w:szCs w:val="18"/>
              </w:rPr>
              <w:t>有关用地审批和规划许可情况</w:t>
            </w:r>
          </w:p>
        </w:tc>
        <w:tc>
          <w:tcPr>
            <w:tcW w:w="6662" w:type="dxa"/>
            <w:gridSpan w:val="9"/>
          </w:tcPr>
          <w:p>
            <w:pPr>
              <w:spacing w:line="240" w:lineRule="atLeast"/>
              <w:ind w:firstLine="360" w:firstLineChars="200"/>
              <w:contextualSpacing/>
              <w:rPr>
                <w:rFonts w:ascii="宋体" w:hAnsi="宋体"/>
                <w:sz w:val="18"/>
                <w:szCs w:val="18"/>
              </w:rPr>
            </w:pPr>
            <w:r>
              <w:rPr>
                <w:rFonts w:hint="eastAsia" w:ascii="宋体" w:hAnsi="宋体"/>
                <w:sz w:val="18"/>
                <w:szCs w:val="18"/>
              </w:rPr>
              <w:t>□已依法办理建设用地审批手续□已核发建设用地规划许可证</w:t>
            </w:r>
          </w:p>
          <w:p>
            <w:pPr>
              <w:spacing w:line="240" w:lineRule="atLeast"/>
              <w:ind w:firstLine="360" w:firstLineChars="200"/>
              <w:contextualSpacing/>
              <w:rPr>
                <w:rFonts w:ascii="宋体" w:hAnsi="宋体"/>
                <w:sz w:val="18"/>
                <w:szCs w:val="18"/>
              </w:rPr>
            </w:pPr>
            <w:r>
              <w:rPr>
                <w:rFonts w:hint="eastAsia" w:ascii="宋体" w:hAnsi="宋体"/>
                <w:sz w:val="18"/>
                <w:szCs w:val="18"/>
              </w:rPr>
              <w:t>□已核发建设工程规划许可证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tcPr>
          <w:p>
            <w:pPr>
              <w:spacing w:line="240" w:lineRule="atLeast"/>
              <w:ind w:firstLine="360" w:firstLineChars="200"/>
              <w:contextualSpacing/>
              <w:rPr>
                <w:sz w:val="18"/>
                <w:szCs w:val="18"/>
              </w:rPr>
            </w:pPr>
          </w:p>
          <w:p>
            <w:pPr>
              <w:spacing w:line="240" w:lineRule="atLeast"/>
              <w:ind w:firstLine="360" w:firstLineChars="200"/>
              <w:contextualSpacing/>
              <w:rPr>
                <w:sz w:val="18"/>
                <w:szCs w:val="18"/>
              </w:rPr>
            </w:pPr>
          </w:p>
          <w:p>
            <w:pPr>
              <w:spacing w:line="240" w:lineRule="atLeast"/>
              <w:ind w:firstLine="360" w:firstLineChars="200"/>
              <w:contextualSpacing/>
              <w:rPr>
                <w:sz w:val="18"/>
                <w:szCs w:val="18"/>
              </w:rPr>
            </w:pPr>
          </w:p>
          <w:p>
            <w:pPr>
              <w:spacing w:line="240" w:lineRule="atLeast"/>
              <w:ind w:firstLine="360" w:firstLineChars="200"/>
              <w:contextualSpacing/>
              <w:rPr>
                <w:sz w:val="18"/>
                <w:szCs w:val="18"/>
              </w:rPr>
            </w:pPr>
            <w:r>
              <w:rPr>
                <w:rFonts w:hint="eastAsia"/>
                <w:sz w:val="18"/>
                <w:szCs w:val="18"/>
              </w:rPr>
              <w:t>规划用途</w:t>
            </w:r>
          </w:p>
        </w:tc>
        <w:tc>
          <w:tcPr>
            <w:tcW w:w="6662" w:type="dxa"/>
            <w:gridSpan w:val="9"/>
          </w:tcPr>
          <w:p>
            <w:pPr>
              <w:spacing w:line="240" w:lineRule="atLeast"/>
              <w:ind w:firstLine="360" w:firstLineChars="200"/>
              <w:contextualSpacing/>
              <w:rPr>
                <w:rFonts w:ascii="宋体" w:hAnsi="宋体"/>
                <w:sz w:val="18"/>
                <w:szCs w:val="18"/>
              </w:rPr>
            </w:pPr>
            <w:r>
              <w:rPr>
                <w:rFonts w:hint="eastAsia" w:ascii="宋体" w:hAnsi="宋体"/>
                <w:sz w:val="18"/>
                <w:szCs w:val="18"/>
              </w:rPr>
              <w:t>□第一类用地：</w:t>
            </w:r>
          </w:p>
          <w:p>
            <w:pPr>
              <w:spacing w:line="240" w:lineRule="atLeast"/>
              <w:ind w:firstLine="360" w:firstLineChars="200"/>
              <w:contextualSpacing/>
              <w:rPr>
                <w:rFonts w:ascii="宋体" w:hAnsi="宋体"/>
                <w:sz w:val="18"/>
                <w:szCs w:val="18"/>
              </w:rPr>
            </w:pPr>
            <w:r>
              <w:rPr>
                <w:rFonts w:hint="eastAsia" w:ascii="宋体" w:hAnsi="宋体"/>
                <w:sz w:val="18"/>
                <w:szCs w:val="18"/>
              </w:rPr>
              <w:t>包括GB50137规定的 □居住用地R □中小学用地A33 □医疗卫生用地A5 □社会福利设施用地A6 □公园绿地G1中的社区公园或者儿童公园用地</w:t>
            </w:r>
          </w:p>
          <w:p>
            <w:pPr>
              <w:spacing w:line="240" w:lineRule="atLeast"/>
              <w:ind w:firstLine="360" w:firstLineChars="200"/>
              <w:contextualSpacing/>
              <w:rPr>
                <w:rFonts w:ascii="宋体" w:hAnsi="宋体"/>
                <w:sz w:val="18"/>
                <w:szCs w:val="18"/>
              </w:rPr>
            </w:pPr>
            <w:r>
              <w:rPr>
                <w:rFonts w:hint="eastAsia" w:ascii="宋体" w:hAnsi="宋体"/>
                <w:sz w:val="18"/>
                <w:szCs w:val="18"/>
              </w:rPr>
              <w:t>□第二类用地：</w:t>
            </w:r>
          </w:p>
          <w:p>
            <w:pPr>
              <w:spacing w:line="240" w:lineRule="atLeast"/>
              <w:ind w:firstLine="360" w:firstLineChars="200"/>
              <w:contextualSpacing/>
              <w:rPr>
                <w:rFonts w:ascii="宋体" w:hAnsi="宋体"/>
                <w:sz w:val="18"/>
                <w:szCs w:val="18"/>
              </w:rPr>
            </w:pPr>
            <w:r>
              <w:rPr>
                <w:rFonts w:hint="eastAsia" w:ascii="宋体" w:hAnsi="宋体"/>
                <w:sz w:val="18"/>
                <w:szCs w:val="18"/>
              </w:rPr>
              <w:t>包括GB50137规定的 □工业用地M □物流仓储用地W □商业服务业设施用地B □道路与交通设施用地S □公共设施用地U □公共管理与公共服务用地A(A33、</w:t>
            </w:r>
            <w:r>
              <w:rPr>
                <w:rFonts w:ascii="宋体" w:hAnsi="宋体"/>
                <w:sz w:val="18"/>
                <w:szCs w:val="18"/>
              </w:rPr>
              <w:t>A5</w:t>
            </w:r>
            <w:r>
              <w:rPr>
                <w:rFonts w:hint="eastAsia" w:ascii="宋体" w:hAnsi="宋体"/>
                <w:sz w:val="18"/>
                <w:szCs w:val="18"/>
              </w:rPr>
              <w:t>、</w:t>
            </w:r>
            <w:r>
              <w:rPr>
                <w:rFonts w:ascii="宋体" w:hAnsi="宋体"/>
                <w:sz w:val="18"/>
                <w:szCs w:val="18"/>
              </w:rPr>
              <w:t>A6</w:t>
            </w:r>
            <w:r>
              <w:rPr>
                <w:rFonts w:hint="eastAsia" w:ascii="宋体" w:hAnsi="宋体"/>
                <w:sz w:val="18"/>
                <w:szCs w:val="18"/>
              </w:rPr>
              <w:t>除外</w:t>
            </w:r>
            <w:r>
              <w:rPr>
                <w:rFonts w:ascii="宋体" w:hAnsi="宋体"/>
                <w:sz w:val="18"/>
                <w:szCs w:val="18"/>
              </w:rPr>
              <w:t>)</w:t>
            </w:r>
            <w:r>
              <w:rPr>
                <w:rFonts w:hint="eastAsia" w:ascii="宋体" w:hAnsi="宋体"/>
                <w:sz w:val="18"/>
                <w:szCs w:val="18"/>
              </w:rPr>
              <w:t xml:space="preserve"> □绿地与广场用地G(G1中的社区公园或者儿童公园用地除外)</w:t>
            </w:r>
          </w:p>
          <w:p>
            <w:pPr>
              <w:spacing w:line="240" w:lineRule="atLeast"/>
              <w:ind w:firstLine="360" w:firstLineChars="200"/>
              <w:contextualSpacing/>
              <w:rPr>
                <w:rFonts w:ascii="宋体" w:hAnsi="宋体"/>
                <w:sz w:val="18"/>
                <w:szCs w:val="18"/>
              </w:rPr>
            </w:pPr>
            <w:r>
              <w:rPr>
                <w:rFonts w:hint="eastAsia" w:ascii="宋体" w:hAnsi="宋体"/>
                <w:sz w:val="18"/>
                <w:szCs w:val="18"/>
              </w:rPr>
              <w:t>□不确定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tcPr>
          <w:p>
            <w:pPr>
              <w:spacing w:line="240" w:lineRule="atLeast"/>
              <w:ind w:firstLine="360" w:firstLineChars="200"/>
              <w:contextualSpacing/>
              <w:rPr>
                <w:sz w:val="18"/>
                <w:szCs w:val="18"/>
              </w:rPr>
            </w:pPr>
            <w:r>
              <w:rPr>
                <w:rFonts w:hint="eastAsia"/>
                <w:sz w:val="18"/>
                <w:szCs w:val="18"/>
              </w:rPr>
              <w:t>报告主要结论</w:t>
            </w:r>
          </w:p>
        </w:tc>
        <w:tc>
          <w:tcPr>
            <w:tcW w:w="6662" w:type="dxa"/>
            <w:gridSpan w:val="9"/>
          </w:tcPr>
          <w:p>
            <w:pPr>
              <w:spacing w:line="240" w:lineRule="atLeast"/>
              <w:ind w:firstLine="360" w:firstLineChars="200"/>
              <w:contextualSpacing/>
              <w:rPr>
                <w:rFonts w:ascii="宋体" w:hAnsi="宋体"/>
                <w:sz w:val="18"/>
                <w:szCs w:val="18"/>
              </w:rPr>
            </w:pPr>
            <w:r>
              <w:rPr>
                <w:rFonts w:hint="eastAsia" w:ascii="宋体" w:hAnsi="宋体"/>
                <w:sz w:val="18"/>
                <w:szCs w:val="18"/>
              </w:rPr>
              <w:t>可另附页</w:t>
            </w:r>
          </w:p>
        </w:tc>
      </w:tr>
    </w:tbl>
    <w:p>
      <w:pPr>
        <w:spacing w:line="240" w:lineRule="atLeast"/>
        <w:ind w:firstLine="360" w:firstLineChars="200"/>
        <w:contextualSpacing/>
        <w:rPr>
          <w:sz w:val="18"/>
          <w:szCs w:val="18"/>
        </w:rPr>
      </w:pPr>
      <w:r>
        <w:rPr>
          <w:rFonts w:hint="eastAsia"/>
          <w:sz w:val="18"/>
          <w:szCs w:val="18"/>
        </w:rPr>
        <w:t xml:space="preserve">                             申请人：（申请人为单位的盖章，申请人为个人的签字）</w:t>
      </w:r>
    </w:p>
    <w:p>
      <w:pPr>
        <w:spacing w:line="240" w:lineRule="atLeast"/>
        <w:ind w:firstLine="360" w:firstLineChars="200"/>
        <w:contextualSpacing/>
        <w:rPr>
          <w:sz w:val="18"/>
          <w:szCs w:val="18"/>
        </w:rPr>
      </w:pPr>
    </w:p>
    <w:p>
      <w:pPr>
        <w:spacing w:line="240" w:lineRule="atLeast"/>
        <w:ind w:firstLine="360" w:firstLineChars="200"/>
        <w:contextualSpacing/>
        <w:sectPr>
          <w:pgSz w:w="11906" w:h="16838"/>
          <w:pgMar w:top="1440" w:right="1800" w:bottom="1440" w:left="1800" w:header="851" w:footer="992" w:gutter="0"/>
          <w:pgNumType w:fmt="numberInDash"/>
          <w:cols w:space="720" w:num="1"/>
          <w:docGrid w:type="lines" w:linePitch="312" w:charSpace="0"/>
        </w:sectPr>
      </w:pPr>
      <w:r>
        <w:rPr>
          <w:rFonts w:hint="eastAsia"/>
          <w:sz w:val="18"/>
          <w:szCs w:val="18"/>
        </w:rPr>
        <w:t xml:space="preserve">                              申请日期：     年  月</w:t>
      </w:r>
      <w:r>
        <w:rPr>
          <w:rFonts w:hint="eastAsia"/>
        </w:rPr>
        <w:t xml:space="preserve">  日</w:t>
      </w:r>
    </w:p>
    <w:p>
      <w:pPr>
        <w:pStyle w:val="2"/>
        <w:spacing w:line="600" w:lineRule="exact"/>
        <w:contextualSpacing/>
        <w:rPr>
          <w:rFonts w:ascii="黑体" w:hAnsi="黑体" w:eastAsia="黑体"/>
          <w:b w:val="0"/>
          <w:sz w:val="32"/>
          <w:szCs w:val="28"/>
        </w:rPr>
      </w:pPr>
      <w:bookmarkStart w:id="22" w:name="_Toc56774312"/>
      <w:r>
        <w:rPr>
          <w:rFonts w:hint="eastAsia" w:ascii="黑体" w:hAnsi="黑体" w:eastAsia="黑体"/>
          <w:b w:val="0"/>
          <w:sz w:val="32"/>
          <w:szCs w:val="28"/>
        </w:rPr>
        <w:t>附件2</w:t>
      </w:r>
      <w:bookmarkEnd w:id="22"/>
    </w:p>
    <w:p>
      <w:pPr>
        <w:spacing w:line="600" w:lineRule="exact"/>
        <w:contextualSpacing/>
        <w:jc w:val="center"/>
        <w:rPr>
          <w:rFonts w:ascii="方正小标宋简体" w:eastAsia="方正小标宋简体"/>
          <w:sz w:val="44"/>
          <w:szCs w:val="44"/>
        </w:rPr>
      </w:pPr>
      <w:r>
        <w:rPr>
          <w:rFonts w:hint="eastAsia" w:ascii="方正小标宋简体" w:eastAsia="方正小标宋简体"/>
          <w:sz w:val="44"/>
          <w:szCs w:val="44"/>
        </w:rPr>
        <w:t>申请人承诺书</w:t>
      </w:r>
    </w:p>
    <w:p>
      <w:pPr>
        <w:spacing w:line="600" w:lineRule="exact"/>
        <w:ind w:firstLine="880" w:firstLineChars="200"/>
        <w:contextualSpacing/>
        <w:rPr>
          <w:rFonts w:ascii="方正小标宋简体" w:eastAsia="方正小标宋简体"/>
          <w:sz w:val="44"/>
          <w:szCs w:val="44"/>
        </w:rPr>
      </w:pP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本单位（或者本人）郑重承诺：</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我单位（或者本人）对申请材料的真实性负责；为报告出具单位提供的相应资料、全部数据及内容真实有效，绝不弄虚作假。</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如有违反，愿意为提供虚假资料和信息引发的一切后果承担全部法律责任。</w:t>
      </w:r>
    </w:p>
    <w:p>
      <w:pPr>
        <w:spacing w:line="600" w:lineRule="exact"/>
        <w:ind w:firstLine="640" w:firstLineChars="200"/>
        <w:contextualSpacing/>
        <w:rPr>
          <w:rFonts w:ascii="仿宋_GB2312" w:eastAsia="仿宋_GB2312"/>
          <w:sz w:val="32"/>
          <w:szCs w:val="32"/>
        </w:rPr>
      </w:pPr>
    </w:p>
    <w:p>
      <w:pPr>
        <w:spacing w:line="600" w:lineRule="exact"/>
        <w:ind w:firstLine="640" w:firstLineChars="200"/>
        <w:contextualSpacing/>
        <w:rPr>
          <w:rFonts w:ascii="仿宋_GB2312" w:eastAsia="仿宋_GB2312"/>
          <w:sz w:val="32"/>
          <w:szCs w:val="32"/>
        </w:rPr>
      </w:pPr>
    </w:p>
    <w:p>
      <w:pPr>
        <w:spacing w:line="600" w:lineRule="exact"/>
        <w:ind w:firstLine="640" w:firstLineChars="200"/>
        <w:contextualSpacing/>
        <w:rPr>
          <w:rFonts w:ascii="仿宋_GB2312" w:eastAsia="仿宋_GB2312"/>
          <w:sz w:val="32"/>
          <w:szCs w:val="32"/>
        </w:rPr>
      </w:pP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 xml:space="preserve">                            承诺单位：（公章）</w:t>
      </w:r>
    </w:p>
    <w:p>
      <w:pPr>
        <w:spacing w:line="600" w:lineRule="exact"/>
        <w:ind w:firstLine="640" w:firstLineChars="200"/>
        <w:contextualSpacing/>
        <w:rPr>
          <w:rFonts w:ascii="仿宋_GB2312" w:eastAsia="仿宋_GB2312"/>
          <w:sz w:val="32"/>
          <w:szCs w:val="32"/>
        </w:rPr>
      </w:pPr>
    </w:p>
    <w:p>
      <w:pPr>
        <w:spacing w:line="600" w:lineRule="exact"/>
        <w:ind w:firstLine="640" w:firstLineChars="200"/>
        <w:contextualSpacing/>
        <w:rPr>
          <w:rFonts w:ascii="仿宋_GB2312" w:eastAsia="仿宋_GB2312"/>
          <w:sz w:val="32"/>
          <w:szCs w:val="32"/>
        </w:rPr>
      </w:pP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 xml:space="preserve">           法定代表人（或者申请个人）：（签名）</w:t>
      </w:r>
    </w:p>
    <w:p>
      <w:pPr>
        <w:spacing w:line="600" w:lineRule="exact"/>
        <w:ind w:firstLine="640" w:firstLineChars="200"/>
        <w:contextualSpacing/>
        <w:rPr>
          <w:rFonts w:ascii="仿宋_GB2312" w:eastAsia="仿宋_GB2312"/>
          <w:sz w:val="32"/>
          <w:szCs w:val="32"/>
        </w:rPr>
      </w:pPr>
    </w:p>
    <w:p>
      <w:pPr>
        <w:spacing w:line="600" w:lineRule="exact"/>
        <w:ind w:firstLine="640" w:firstLineChars="200"/>
        <w:contextualSpacing/>
        <w:rPr>
          <w:rFonts w:ascii="仿宋_GB2312" w:eastAsia="仿宋_GB2312"/>
          <w:sz w:val="32"/>
          <w:szCs w:val="32"/>
        </w:rPr>
      </w:pP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 xml:space="preserve">                              年   月    日</w:t>
      </w:r>
    </w:p>
    <w:p>
      <w:pPr>
        <w:spacing w:line="600" w:lineRule="exact"/>
        <w:ind w:firstLine="640" w:firstLineChars="200"/>
        <w:contextualSpacing/>
        <w:rPr>
          <w:rFonts w:ascii="仿宋_GB2312" w:eastAsia="仿宋_GB2312"/>
          <w:sz w:val="32"/>
          <w:szCs w:val="32"/>
        </w:rPr>
        <w:sectPr>
          <w:pgSz w:w="11906" w:h="16838"/>
          <w:pgMar w:top="2098" w:right="1474" w:bottom="1985" w:left="1588" w:header="851" w:footer="992" w:gutter="0"/>
          <w:pgNumType w:fmt="numberInDash"/>
          <w:cols w:space="720" w:num="1"/>
          <w:docGrid w:type="lines" w:linePitch="312" w:charSpace="0"/>
        </w:sectPr>
      </w:pPr>
    </w:p>
    <w:p>
      <w:pPr>
        <w:pStyle w:val="2"/>
        <w:spacing w:line="600" w:lineRule="exact"/>
        <w:contextualSpacing/>
        <w:rPr>
          <w:rFonts w:ascii="黑体" w:hAnsi="黑体" w:eastAsia="黑体"/>
          <w:b w:val="0"/>
          <w:sz w:val="32"/>
          <w:szCs w:val="28"/>
        </w:rPr>
      </w:pPr>
      <w:bookmarkStart w:id="23" w:name="_Toc56774313"/>
      <w:r>
        <w:rPr>
          <w:rFonts w:hint="eastAsia" w:ascii="黑体" w:hAnsi="黑体" w:eastAsia="黑体"/>
          <w:b w:val="0"/>
          <w:sz w:val="32"/>
          <w:szCs w:val="28"/>
        </w:rPr>
        <w:t>附件3</w:t>
      </w:r>
      <w:bookmarkEnd w:id="23"/>
    </w:p>
    <w:p>
      <w:pPr>
        <w:spacing w:line="600" w:lineRule="exact"/>
        <w:contextualSpacing/>
        <w:jc w:val="center"/>
        <w:rPr>
          <w:rFonts w:ascii="方正小标宋简体" w:eastAsia="方正小标宋简体"/>
          <w:sz w:val="44"/>
          <w:szCs w:val="44"/>
        </w:rPr>
      </w:pPr>
      <w:r>
        <w:rPr>
          <w:rFonts w:hint="eastAsia" w:ascii="方正小标宋简体" w:eastAsia="方正小标宋简体"/>
          <w:sz w:val="44"/>
          <w:szCs w:val="44"/>
        </w:rPr>
        <w:t>报告出具单位承诺书</w:t>
      </w:r>
    </w:p>
    <w:p>
      <w:pPr>
        <w:spacing w:line="600" w:lineRule="exact"/>
        <w:ind w:firstLine="880" w:firstLineChars="200"/>
        <w:contextualSpacing/>
        <w:rPr>
          <w:rFonts w:ascii="方正小标宋简体" w:eastAsia="方正小标宋简体"/>
          <w:sz w:val="44"/>
          <w:szCs w:val="44"/>
        </w:rPr>
      </w:pP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本单位郑重承诺：</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我单位对</w:t>
      </w:r>
      <w:r>
        <w:rPr>
          <w:rFonts w:hint="eastAsia" w:ascii="仿宋_GB2312" w:eastAsia="仿宋_GB2312"/>
          <w:sz w:val="32"/>
          <w:szCs w:val="32"/>
          <w:u w:val="single"/>
        </w:rPr>
        <w:t xml:space="preserve">                     </w:t>
      </w:r>
      <w:r>
        <w:rPr>
          <w:rFonts w:hint="eastAsia" w:ascii="仿宋_GB2312" w:eastAsia="仿宋_GB2312"/>
          <w:sz w:val="32"/>
          <w:szCs w:val="32"/>
        </w:rPr>
        <w:t>报告的真实性、准确性、完整性负责。</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本报告的直接负责的主管人员是：</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 xml:space="preserve">    姓名：   身份证号：        负责篇章：       签名：</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本报告的其他直接负责人员包括：</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 xml:space="preserve">    姓名：   身份证号：        负责篇章：       签名：</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 xml:space="preserve">    姓名：   身份证号：        负责篇章：       签名：</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 xml:space="preserve">    姓名：   身份证号：        负责篇章：       签名：</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 xml:space="preserve">    姓名：   身份证号：        负责篇章：       签名：</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 xml:space="preserve">    姓名：   身份证号：        负责篇章：       签名：</w:t>
      </w:r>
    </w:p>
    <w:p>
      <w:pPr>
        <w:spacing w:line="600" w:lineRule="exact"/>
        <w:ind w:firstLine="640" w:firstLineChars="200"/>
        <w:contextualSpacing/>
        <w:rPr>
          <w:rFonts w:ascii="仿宋_GB2312" w:eastAsia="仿宋_GB2312"/>
          <w:sz w:val="32"/>
          <w:szCs w:val="32"/>
        </w:rPr>
      </w:pPr>
      <w:r>
        <w:rPr>
          <w:rFonts w:hint="eastAsia" w:ascii="仿宋_GB2312" w:eastAsia="仿宋_GB2312"/>
          <w:sz w:val="32"/>
          <w:szCs w:val="32"/>
        </w:rPr>
        <w:t xml:space="preserve">    如出具虚假报告，愿意承担全部法律责任。</w:t>
      </w:r>
    </w:p>
    <w:p>
      <w:pPr>
        <w:spacing w:line="600" w:lineRule="exact"/>
        <w:ind w:firstLine="640" w:firstLineChars="200"/>
        <w:contextualSpacing/>
        <w:rPr>
          <w:rFonts w:ascii="仿宋_GB2312" w:eastAsia="仿宋_GB2312"/>
          <w:sz w:val="32"/>
          <w:szCs w:val="32"/>
        </w:rPr>
      </w:pPr>
    </w:p>
    <w:p>
      <w:pPr>
        <w:spacing w:line="600" w:lineRule="exact"/>
        <w:ind w:firstLine="4960" w:firstLineChars="1550"/>
        <w:contextualSpacing/>
        <w:rPr>
          <w:rFonts w:ascii="仿宋_GB2312" w:eastAsia="仿宋_GB2312"/>
          <w:sz w:val="32"/>
          <w:szCs w:val="32"/>
        </w:rPr>
      </w:pPr>
      <w:r>
        <w:rPr>
          <w:rFonts w:hint="eastAsia" w:ascii="仿宋_GB2312" w:eastAsia="仿宋_GB2312"/>
          <w:sz w:val="32"/>
          <w:szCs w:val="32"/>
        </w:rPr>
        <w:t>承诺单位：（公章）</w:t>
      </w:r>
    </w:p>
    <w:p>
      <w:pPr>
        <w:spacing w:line="600" w:lineRule="exact"/>
        <w:ind w:firstLine="640" w:firstLineChars="200"/>
        <w:contextualSpacing/>
        <w:rPr>
          <w:rFonts w:ascii="仿宋_GB2312" w:eastAsia="仿宋_GB2312"/>
          <w:sz w:val="32"/>
          <w:szCs w:val="32"/>
        </w:rPr>
      </w:pPr>
    </w:p>
    <w:p>
      <w:pPr>
        <w:spacing w:line="600" w:lineRule="exact"/>
        <w:ind w:firstLine="4640" w:firstLineChars="1450"/>
        <w:contextualSpacing/>
        <w:rPr>
          <w:rFonts w:ascii="仿宋_GB2312" w:eastAsia="仿宋_GB2312"/>
          <w:sz w:val="32"/>
          <w:szCs w:val="32"/>
        </w:rPr>
      </w:pPr>
      <w:r>
        <w:rPr>
          <w:rFonts w:hint="eastAsia" w:ascii="仿宋_GB2312" w:eastAsia="仿宋_GB2312"/>
          <w:sz w:val="32"/>
          <w:szCs w:val="32"/>
        </w:rPr>
        <w:t>法定代表人：（签名）</w:t>
      </w:r>
    </w:p>
    <w:p>
      <w:pPr>
        <w:spacing w:line="600" w:lineRule="exact"/>
        <w:ind w:firstLine="640" w:firstLineChars="200"/>
        <w:contextualSpacing/>
        <w:rPr>
          <w:rFonts w:ascii="仿宋_GB2312" w:eastAsia="仿宋_GB2312"/>
          <w:sz w:val="32"/>
          <w:szCs w:val="32"/>
        </w:rPr>
        <w:sectPr>
          <w:pgSz w:w="11906" w:h="16838"/>
          <w:pgMar w:top="2098" w:right="1474" w:bottom="1985" w:left="1588" w:header="851" w:footer="992" w:gutter="0"/>
          <w:pgNumType w:fmt="numberInDash"/>
          <w:cols w:space="720" w:num="1"/>
          <w:docGrid w:type="lines" w:linePitch="312" w:charSpace="0"/>
        </w:sectPr>
      </w:pPr>
      <w:r>
        <w:rPr>
          <w:rFonts w:hint="eastAsia" w:ascii="仿宋_GB2312" w:eastAsia="仿宋_GB2312"/>
          <w:sz w:val="32"/>
          <w:szCs w:val="32"/>
        </w:rPr>
        <w:t xml:space="preserve">                          年   月   日</w:t>
      </w:r>
    </w:p>
    <w:p>
      <w:pPr>
        <w:pStyle w:val="2"/>
        <w:spacing w:line="600" w:lineRule="exact"/>
        <w:contextualSpacing/>
        <w:rPr>
          <w:rFonts w:ascii="黑体" w:hAnsi="黑体" w:eastAsia="黑体"/>
          <w:b w:val="0"/>
          <w:sz w:val="32"/>
          <w:szCs w:val="28"/>
        </w:rPr>
      </w:pPr>
      <w:r>
        <w:rPr>
          <w:rFonts w:hint="eastAsia" w:ascii="黑体" w:hAnsi="黑体" w:eastAsia="黑体"/>
          <w:b w:val="0"/>
          <w:sz w:val="32"/>
          <w:szCs w:val="28"/>
        </w:rPr>
        <w:t>附件4</w:t>
      </w:r>
    </w:p>
    <w:p>
      <w:pPr>
        <w:spacing w:line="600" w:lineRule="exact"/>
        <w:contextualSpacing/>
        <w:jc w:val="center"/>
        <w:rPr>
          <w:rFonts w:ascii="方正小标宋简体" w:hAnsi="黑体" w:eastAsia="方正小标宋简体" w:cstheme="minorEastAsia"/>
          <w:sz w:val="44"/>
          <w:szCs w:val="44"/>
        </w:rPr>
      </w:pPr>
      <w:r>
        <w:rPr>
          <w:rFonts w:hint="eastAsia" w:ascii="方正小标宋简体" w:hAnsi="黑体" w:eastAsia="方正小标宋简体" w:cstheme="minorEastAsia"/>
          <w:sz w:val="44"/>
          <w:szCs w:val="44"/>
        </w:rPr>
        <w:t>土壤污染状况调查报告评审申请</w:t>
      </w:r>
    </w:p>
    <w:p>
      <w:pPr>
        <w:spacing w:line="600" w:lineRule="exact"/>
        <w:contextualSpacing/>
        <w:jc w:val="center"/>
        <w:rPr>
          <w:rFonts w:ascii="方正小标宋简体" w:hAnsi="黑体" w:eastAsia="方正小标宋简体" w:cstheme="minorEastAsia"/>
          <w:sz w:val="44"/>
          <w:szCs w:val="44"/>
        </w:rPr>
      </w:pPr>
      <w:r>
        <w:rPr>
          <w:rFonts w:hint="eastAsia" w:ascii="方正小标宋简体" w:hAnsi="黑体" w:eastAsia="方正小标宋简体" w:cstheme="minorEastAsia"/>
          <w:sz w:val="44"/>
          <w:szCs w:val="44"/>
        </w:rPr>
        <w:t>不予受理通知书</w:t>
      </w:r>
    </w:p>
    <w:p>
      <w:pPr>
        <w:spacing w:line="600" w:lineRule="exact"/>
        <w:ind w:firstLine="560" w:firstLineChars="200"/>
        <w:contextualSpacing/>
        <w:rPr>
          <w:rFonts w:asciiTheme="minorEastAsia" w:hAnsiTheme="minorEastAsia" w:eastAsiaTheme="minorEastAsia" w:cstheme="minorEastAsia"/>
          <w:sz w:val="28"/>
          <w:szCs w:val="28"/>
        </w:rPr>
      </w:pP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申请人：</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你（单位）于年月日申请</w:t>
      </w:r>
      <w:r>
        <w:rPr>
          <w:rFonts w:hint="eastAsia" w:ascii="仿宋_GB2312" w:hAnsi="仿宋_GB2312" w:eastAsia="仿宋_GB2312" w:cs="仿宋_GB2312"/>
          <w:sz w:val="32"/>
          <w:szCs w:val="32"/>
        </w:rPr>
        <w:t>***</w:t>
      </w:r>
      <w:r>
        <w:rPr>
          <w:rFonts w:hint="eastAsia" w:ascii="仿宋_GB2312" w:eastAsia="仿宋_GB2312" w:hAnsiTheme="minorEastAsia" w:cstheme="minorEastAsia"/>
          <w:sz w:val="32"/>
          <w:szCs w:val="32"/>
        </w:rPr>
        <w:t>地块土壤污染状况调查报告评审事项，已提交申请材料。经审查，决定不予受理。理由如下：</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1.</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2.</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w:t>
      </w:r>
    </w:p>
    <w:p>
      <w:pPr>
        <w:spacing w:line="600" w:lineRule="exact"/>
        <w:ind w:firstLine="640" w:firstLineChars="200"/>
        <w:contextualSpacing/>
        <w:rPr>
          <w:rFonts w:ascii="仿宋_GB2312" w:eastAsia="仿宋_GB2312" w:hAnsiTheme="minorEastAsia" w:cstheme="minorEastAsia"/>
          <w:sz w:val="32"/>
          <w:szCs w:val="32"/>
        </w:rPr>
      </w:pP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经办人：               联系电话：</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 xml:space="preserve">  </w:t>
      </w:r>
    </w:p>
    <w:p>
      <w:pPr>
        <w:spacing w:line="600" w:lineRule="exact"/>
        <w:ind w:firstLine="640" w:firstLineChars="200"/>
        <w:contextualSpacing/>
        <w:rPr>
          <w:rFonts w:ascii="仿宋_GB2312" w:eastAsia="仿宋_GB2312" w:hAnsiTheme="minorEastAsia" w:cstheme="minorEastAsia"/>
          <w:sz w:val="32"/>
          <w:szCs w:val="32"/>
        </w:rPr>
      </w:pPr>
    </w:p>
    <w:p>
      <w:pPr>
        <w:spacing w:line="600" w:lineRule="exact"/>
        <w:ind w:firstLine="5920" w:firstLineChars="185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（盖章）</w:t>
      </w:r>
    </w:p>
    <w:p>
      <w:pPr>
        <w:spacing w:line="600" w:lineRule="exact"/>
        <w:ind w:firstLine="640" w:firstLineChars="200"/>
        <w:contextualSpacing/>
        <w:rPr>
          <w:rFonts w:ascii="仿宋_GB2312" w:eastAsia="仿宋_GB2312" w:hAnsiTheme="minorEastAsia" w:cstheme="minorEastAsia"/>
          <w:sz w:val="32"/>
          <w:szCs w:val="32"/>
        </w:rPr>
      </w:pPr>
      <w:r>
        <w:rPr>
          <w:rFonts w:hint="eastAsia" w:ascii="仿宋_GB2312" w:eastAsia="仿宋_GB2312" w:hAnsiTheme="minorEastAsia" w:cstheme="minorEastAsia"/>
          <w:sz w:val="32"/>
          <w:szCs w:val="32"/>
        </w:rPr>
        <w:t xml:space="preserve">                              年   月   日</w:t>
      </w:r>
    </w:p>
    <w:p>
      <w:pPr>
        <w:pStyle w:val="2"/>
        <w:spacing w:line="600" w:lineRule="exact"/>
        <w:contextualSpacing/>
        <w:rPr>
          <w:rFonts w:ascii="黑体" w:hAnsi="黑体" w:eastAsia="黑体"/>
          <w:b w:val="0"/>
          <w:sz w:val="32"/>
          <w:szCs w:val="28"/>
        </w:rPr>
      </w:pPr>
      <w:r>
        <w:rPr>
          <w:rFonts w:hint="eastAsia" w:asciiTheme="minorEastAsia" w:hAnsiTheme="minorEastAsia" w:eastAsiaTheme="minorEastAsia" w:cstheme="minorEastAsia"/>
          <w:bCs/>
          <w:sz w:val="28"/>
          <w:szCs w:val="28"/>
        </w:rPr>
        <w:br w:type="page"/>
      </w:r>
      <w:bookmarkStart w:id="24" w:name="_Toc56774314"/>
      <w:r>
        <w:rPr>
          <w:rFonts w:hint="eastAsia" w:ascii="黑体" w:hAnsi="黑体" w:eastAsia="黑体"/>
          <w:b w:val="0"/>
          <w:sz w:val="32"/>
          <w:szCs w:val="28"/>
        </w:rPr>
        <w:t>附件</w:t>
      </w:r>
      <w:bookmarkEnd w:id="24"/>
      <w:r>
        <w:rPr>
          <w:rFonts w:hint="eastAsia" w:ascii="黑体" w:hAnsi="黑体" w:eastAsia="黑体"/>
          <w:b w:val="0"/>
          <w:sz w:val="32"/>
          <w:szCs w:val="28"/>
        </w:rPr>
        <w:t>5</w:t>
      </w:r>
    </w:p>
    <w:p>
      <w:pPr>
        <w:jc w:val="center"/>
        <w:rPr>
          <w:rFonts w:ascii="方正小标宋简体" w:eastAsia="方正小标宋简体"/>
          <w:sz w:val="44"/>
          <w:szCs w:val="44"/>
        </w:rPr>
      </w:pPr>
      <w:r>
        <w:rPr>
          <w:rFonts w:hint="eastAsia" w:ascii="方正小标宋简体" w:eastAsia="方正小标宋简体" w:hAnsiTheme="minorEastAsia" w:cstheme="minorEastAsia"/>
          <w:spacing w:val="-2"/>
          <w:sz w:val="44"/>
          <w:szCs w:val="44"/>
        </w:rPr>
        <w:t>专家评审保密承诺书</w:t>
      </w:r>
    </w:p>
    <w:p>
      <w:pPr>
        <w:spacing w:line="540" w:lineRule="exact"/>
        <w:ind w:firstLine="640" w:firstLineChars="200"/>
        <w:rPr>
          <w:rFonts w:ascii="仿宋_GB2312" w:eastAsia="仿宋_GB2312" w:hAnsiTheme="minorEastAsia"/>
          <w:sz w:val="32"/>
          <w:szCs w:val="32"/>
        </w:rPr>
      </w:pPr>
      <w:r>
        <w:rPr>
          <w:rFonts w:hint="eastAsia" w:ascii="仿宋_GB2312" w:eastAsia="仿宋_GB2312" w:hAnsiTheme="minorEastAsia"/>
          <w:sz w:val="32"/>
          <w:szCs w:val="32"/>
        </w:rPr>
        <w:t>本人参加**地块土壤污染状况调查报告评审，对以下事项做出承诺:</w:t>
      </w:r>
    </w:p>
    <w:p>
      <w:pPr>
        <w:spacing w:line="540" w:lineRule="exact"/>
        <w:ind w:firstLine="640" w:firstLineChars="200"/>
        <w:rPr>
          <w:rFonts w:hint="eastAsia" w:ascii="仿宋_GB2312" w:eastAsia="仿宋_GB2312" w:hAnsiTheme="minorEastAsia"/>
          <w:sz w:val="32"/>
          <w:szCs w:val="32"/>
        </w:rPr>
      </w:pPr>
      <w:r>
        <w:rPr>
          <w:rFonts w:hint="eastAsia" w:ascii="仿宋_GB2312" w:eastAsia="仿宋_GB2312" w:hAnsiTheme="minorEastAsia"/>
          <w:sz w:val="32"/>
          <w:szCs w:val="32"/>
        </w:rPr>
        <w:t>一、认真遵守国家法律、法规和规章制度，履行保密义务；</w:t>
      </w:r>
    </w:p>
    <w:p>
      <w:pPr>
        <w:spacing w:line="540" w:lineRule="exact"/>
        <w:ind w:firstLine="640" w:firstLineChars="200"/>
        <w:rPr>
          <w:rFonts w:hint="eastAsia" w:ascii="仿宋_GB2312" w:eastAsia="仿宋_GB2312" w:hAnsiTheme="minorEastAsia"/>
          <w:sz w:val="32"/>
          <w:szCs w:val="32"/>
        </w:rPr>
      </w:pPr>
      <w:r>
        <w:rPr>
          <w:rFonts w:hint="eastAsia" w:ascii="仿宋_GB2312" w:eastAsia="仿宋_GB2312" w:hAnsiTheme="minorEastAsia"/>
          <w:sz w:val="32"/>
          <w:szCs w:val="32"/>
        </w:rPr>
        <w:t>二、不违规记录、存储、复制技术秘密和业务秘密信息；</w:t>
      </w:r>
    </w:p>
    <w:p>
      <w:pPr>
        <w:spacing w:line="540" w:lineRule="exact"/>
        <w:ind w:firstLine="640" w:firstLineChars="200"/>
        <w:rPr>
          <w:rFonts w:hint="eastAsia" w:ascii="仿宋_GB2312" w:eastAsia="仿宋_GB2312" w:hAnsiTheme="minorEastAsia"/>
          <w:sz w:val="32"/>
          <w:szCs w:val="32"/>
        </w:rPr>
      </w:pPr>
      <w:r>
        <w:rPr>
          <w:rFonts w:hint="eastAsia" w:ascii="仿宋_GB2312" w:eastAsia="仿宋_GB2312" w:hAnsiTheme="minorEastAsia"/>
          <w:sz w:val="32"/>
          <w:szCs w:val="32"/>
        </w:rPr>
        <w:t>三、不以任何方式泄露所接触和知悉的技术秘密及商业秘密；</w:t>
      </w:r>
    </w:p>
    <w:p>
      <w:pPr>
        <w:spacing w:line="540" w:lineRule="exact"/>
        <w:ind w:firstLine="640" w:firstLineChars="200"/>
        <w:rPr>
          <w:rFonts w:hint="eastAsia" w:ascii="仿宋_GB2312" w:eastAsia="仿宋_GB2312" w:hAnsiTheme="minorEastAsia"/>
          <w:sz w:val="32"/>
          <w:szCs w:val="32"/>
        </w:rPr>
      </w:pPr>
      <w:r>
        <w:rPr>
          <w:rFonts w:hint="eastAsia" w:ascii="仿宋_GB2312" w:eastAsia="仿宋_GB2312" w:hAnsiTheme="minorEastAsia"/>
          <w:sz w:val="32"/>
          <w:szCs w:val="32"/>
        </w:rPr>
        <w:t>四、未经评审组织方许可，不发表涉及评审内容的文章、著述；</w:t>
      </w:r>
    </w:p>
    <w:p>
      <w:pPr>
        <w:spacing w:line="540" w:lineRule="exact"/>
        <w:ind w:firstLine="640" w:firstLineChars="200"/>
        <w:rPr>
          <w:rFonts w:hint="eastAsia" w:ascii="仿宋_GB2312" w:eastAsia="仿宋_GB2312" w:hAnsiTheme="minorEastAsia"/>
          <w:sz w:val="32"/>
          <w:szCs w:val="32"/>
        </w:rPr>
      </w:pPr>
      <w:r>
        <w:rPr>
          <w:rFonts w:hint="eastAsia" w:ascii="仿宋_GB2312" w:eastAsia="仿宋_GB2312" w:hAnsiTheme="minorEastAsia"/>
          <w:sz w:val="32"/>
          <w:szCs w:val="32"/>
        </w:rPr>
        <w:t>五、与土地使用权人或污染责任人存在利益关系、法律纠纷，或受委托参与咨询等情况时，承诺主动提出回避；</w:t>
      </w:r>
    </w:p>
    <w:p>
      <w:pPr>
        <w:spacing w:line="540" w:lineRule="exact"/>
        <w:ind w:firstLine="640" w:firstLineChars="200"/>
        <w:rPr>
          <w:rFonts w:hint="eastAsia" w:ascii="仿宋_GB2312" w:eastAsia="仿宋_GB2312" w:hAnsiTheme="minorEastAsia"/>
          <w:sz w:val="32"/>
          <w:szCs w:val="32"/>
        </w:rPr>
      </w:pPr>
      <w:r>
        <w:rPr>
          <w:rFonts w:hint="eastAsia" w:ascii="仿宋_GB2312" w:eastAsia="仿宋_GB2312" w:hAnsiTheme="minorEastAsia"/>
          <w:sz w:val="32"/>
          <w:szCs w:val="32"/>
        </w:rPr>
        <w:t>六、不收受土地使用权人或污染责任人给予的财物或者其他好处；</w:t>
      </w:r>
    </w:p>
    <w:p>
      <w:pPr>
        <w:spacing w:line="540" w:lineRule="exact"/>
        <w:ind w:firstLine="640" w:firstLineChars="200"/>
        <w:rPr>
          <w:rFonts w:hint="eastAsia" w:ascii="仿宋_GB2312" w:eastAsia="仿宋_GB2312" w:hAnsiTheme="minorEastAsia"/>
          <w:sz w:val="32"/>
          <w:szCs w:val="32"/>
        </w:rPr>
      </w:pPr>
      <w:r>
        <w:rPr>
          <w:rFonts w:hint="eastAsia" w:ascii="仿宋_GB2312" w:eastAsia="仿宋_GB2312" w:hAnsiTheme="minorEastAsia"/>
          <w:sz w:val="32"/>
          <w:szCs w:val="32"/>
        </w:rPr>
        <w:t>七、</w:t>
      </w:r>
      <w:r>
        <w:rPr>
          <w:rFonts w:hint="eastAsia" w:ascii="仿宋_GB2312" w:eastAsia="仿宋_GB2312" w:hAnsiTheme="minorEastAsia" w:cstheme="minorEastAsia"/>
          <w:sz w:val="32"/>
          <w:szCs w:val="32"/>
        </w:rPr>
        <w:t>知晓《山东省建设用地土壤污染防治专家库管理办法（试行）》第七条规定的专家权利，履行第八条规定的专家义务；</w:t>
      </w:r>
    </w:p>
    <w:p>
      <w:pPr>
        <w:spacing w:line="540" w:lineRule="exact"/>
        <w:ind w:firstLine="640" w:firstLineChars="200"/>
        <w:rPr>
          <w:rFonts w:hint="eastAsia" w:ascii="仿宋_GB2312" w:eastAsia="仿宋_GB2312" w:hAnsiTheme="minorEastAsia"/>
          <w:sz w:val="32"/>
          <w:szCs w:val="32"/>
        </w:rPr>
      </w:pPr>
      <w:r>
        <w:rPr>
          <w:rFonts w:hint="eastAsia" w:ascii="仿宋_GB2312" w:eastAsia="仿宋_GB2312" w:hAnsiTheme="minorEastAsia"/>
          <w:sz w:val="32"/>
          <w:szCs w:val="32"/>
        </w:rPr>
        <w:t>八、及时向生态环境部门报告土壤调查评估、治理修复等从业单位在编制报告等活动中的违法行为；</w:t>
      </w:r>
    </w:p>
    <w:p>
      <w:pPr>
        <w:spacing w:line="540" w:lineRule="exact"/>
        <w:ind w:firstLine="640" w:firstLineChars="200"/>
        <w:rPr>
          <w:rFonts w:ascii="仿宋_GB2312" w:eastAsia="仿宋_GB2312" w:hAnsiTheme="minorEastAsia"/>
          <w:sz w:val="32"/>
          <w:szCs w:val="32"/>
        </w:rPr>
      </w:pPr>
      <w:r>
        <w:rPr>
          <w:rFonts w:hint="eastAsia" w:ascii="仿宋_GB2312" w:eastAsia="仿宋_GB2312" w:hAnsiTheme="minorEastAsia"/>
          <w:sz w:val="32"/>
          <w:szCs w:val="32"/>
        </w:rPr>
        <w:t>九、配合威海市生态环境、自然资源和规划部门处理有关责任方的询问、质疑和投诉。</w:t>
      </w:r>
    </w:p>
    <w:p>
      <w:pPr>
        <w:spacing w:line="560" w:lineRule="exact"/>
        <w:ind w:firstLine="200"/>
        <w:rPr>
          <w:rFonts w:hint="eastAsia" w:ascii="仿宋_GB2312" w:eastAsia="仿宋_GB2312" w:hAnsiTheme="minorEastAsia"/>
          <w:sz w:val="32"/>
          <w:szCs w:val="32"/>
        </w:rPr>
      </w:pPr>
      <w:r>
        <w:rPr>
          <w:rFonts w:hint="eastAsia" w:ascii="仿宋_GB2312" w:eastAsia="仿宋_GB2312" w:hAnsiTheme="minorEastAsia"/>
          <w:sz w:val="32"/>
          <w:szCs w:val="32"/>
        </w:rPr>
        <w:t xml:space="preserve">                         </w:t>
      </w:r>
    </w:p>
    <w:p>
      <w:pPr>
        <w:spacing w:line="560" w:lineRule="exact"/>
        <w:ind w:firstLine="4960" w:firstLineChars="1550"/>
        <w:rPr>
          <w:rFonts w:ascii="仿宋_GB2312" w:eastAsia="仿宋_GB2312" w:hAnsiTheme="minorEastAsia"/>
          <w:sz w:val="32"/>
          <w:szCs w:val="32"/>
        </w:rPr>
      </w:pPr>
      <w:r>
        <w:rPr>
          <w:rFonts w:hint="eastAsia" w:ascii="仿宋_GB2312" w:eastAsia="仿宋_GB2312" w:hAnsiTheme="minorEastAsia"/>
          <w:sz w:val="32"/>
          <w:szCs w:val="32"/>
        </w:rPr>
        <w:t>承诺人签名：</w:t>
      </w:r>
    </w:p>
    <w:p>
      <w:pPr>
        <w:spacing w:line="560" w:lineRule="exact"/>
        <w:jc w:val="center"/>
        <w:rPr>
          <w:rFonts w:ascii="仿宋_GB2312" w:eastAsia="仿宋_GB2312" w:hAnsiTheme="minorEastAsia"/>
          <w:sz w:val="32"/>
          <w:szCs w:val="32"/>
        </w:rPr>
      </w:pPr>
      <w:r>
        <w:rPr>
          <w:rFonts w:hint="eastAsia" w:ascii="仿宋_GB2312" w:eastAsia="仿宋_GB2312" w:hAnsiTheme="minorEastAsia"/>
          <w:sz w:val="32"/>
          <w:szCs w:val="32"/>
        </w:rPr>
        <w:t xml:space="preserve">                 年   月   日</w:t>
      </w:r>
    </w:p>
    <w:p>
      <w:pPr>
        <w:pStyle w:val="2"/>
        <w:spacing w:line="600" w:lineRule="exact"/>
        <w:contextualSpacing/>
        <w:rPr>
          <w:rFonts w:ascii="黑体" w:hAnsi="黑体" w:eastAsia="黑体"/>
          <w:sz w:val="32"/>
          <w:szCs w:val="28"/>
        </w:rPr>
      </w:pPr>
      <w:bookmarkStart w:id="25" w:name="_Toc56774315"/>
      <w:r>
        <w:rPr>
          <w:rFonts w:hint="eastAsia" w:ascii="黑体" w:hAnsi="黑体" w:eastAsia="黑体"/>
          <w:b w:val="0"/>
          <w:sz w:val="32"/>
          <w:szCs w:val="28"/>
        </w:rPr>
        <w:t>附件</w:t>
      </w:r>
      <w:bookmarkEnd w:id="25"/>
      <w:r>
        <w:rPr>
          <w:rFonts w:hint="eastAsia" w:ascii="黑体" w:hAnsi="黑体" w:eastAsia="黑体"/>
          <w:b w:val="0"/>
          <w:sz w:val="32"/>
          <w:szCs w:val="28"/>
        </w:rPr>
        <w:t>6</w:t>
      </w:r>
    </w:p>
    <w:p>
      <w:pPr>
        <w:pStyle w:val="9"/>
        <w:spacing w:line="600" w:lineRule="exact"/>
        <w:contextualSpacing/>
        <w:jc w:val="center"/>
        <w:rPr>
          <w:rFonts w:ascii="方正小标宋简体" w:hAnsi="黑体" w:eastAsia="方正小标宋简体" w:cs="方正小标宋简体"/>
          <w:color w:val="000000"/>
          <w:sz w:val="44"/>
          <w:szCs w:val="44"/>
        </w:rPr>
      </w:pPr>
      <w:r>
        <w:rPr>
          <w:rFonts w:hint="eastAsia" w:ascii="方正小标宋简体" w:hAnsi="黑体" w:eastAsia="方正小标宋简体" w:cs="方正小标宋简体"/>
          <w:color w:val="000000"/>
          <w:sz w:val="44"/>
          <w:szCs w:val="44"/>
        </w:rPr>
        <w:t>专家技术评审意见表</w:t>
      </w:r>
    </w:p>
    <w:tbl>
      <w:tblPr>
        <w:tblStyle w:val="10"/>
        <w:tblW w:w="887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1313"/>
        <w:gridCol w:w="674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exact"/>
        </w:trPr>
        <w:tc>
          <w:tcPr>
            <w:tcW w:w="2130" w:type="dxa"/>
            <w:gridSpan w:val="2"/>
            <w:vAlign w:val="center"/>
          </w:tcPr>
          <w:p>
            <w:pPr>
              <w:spacing w:line="240" w:lineRule="atLeast"/>
              <w:ind w:firstLine="420" w:firstLineChars="200"/>
              <w:contextualSpacing/>
              <w:rPr>
                <w:rFonts w:cs="宋体" w:asciiTheme="minorEastAsia" w:hAnsiTheme="minorEastAsia" w:eastAsiaTheme="minorEastAsia"/>
                <w:szCs w:val="21"/>
              </w:rPr>
            </w:pPr>
            <w:r>
              <w:rPr>
                <w:rFonts w:hint="eastAsia" w:cs="宋体" w:asciiTheme="minorEastAsia" w:hAnsiTheme="minorEastAsia" w:eastAsiaTheme="minorEastAsia"/>
                <w:kern w:val="0"/>
                <w:szCs w:val="21"/>
              </w:rPr>
              <w:t>项目名称</w:t>
            </w:r>
          </w:p>
        </w:tc>
        <w:tc>
          <w:tcPr>
            <w:tcW w:w="6741" w:type="dxa"/>
            <w:vAlign w:val="center"/>
          </w:tcPr>
          <w:p>
            <w:pPr>
              <w:pStyle w:val="18"/>
              <w:adjustRightInd/>
              <w:spacing w:line="600" w:lineRule="exact"/>
              <w:ind w:firstLine="560" w:firstLineChars="200"/>
              <w:contextualSpacing/>
              <w:jc w:val="both"/>
              <w:rPr>
                <w:rFonts w:cs="宋体" w:asciiTheme="minorEastAsia" w:hAnsiTheme="minorEastAsia" w:eastAsiaTheme="minorEastAsia"/>
                <w:sz w:val="28"/>
                <w:szCs w:val="28"/>
              </w:rPr>
            </w:pPr>
            <w:r>
              <w:rPr>
                <w:rFonts w:hint="eastAsia" w:asciiTheme="minorEastAsia" w:hAnsiTheme="minorEastAsia" w:eastAsiaTheme="minorEastAsia"/>
                <w:sz w:val="28"/>
                <w:szCs w:val="28"/>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exact"/>
        </w:trPr>
        <w:tc>
          <w:tcPr>
            <w:tcW w:w="2130" w:type="dxa"/>
            <w:gridSpan w:val="2"/>
            <w:vAlign w:val="center"/>
          </w:tcPr>
          <w:p>
            <w:pPr>
              <w:spacing w:line="240" w:lineRule="atLeast"/>
              <w:ind w:firstLine="420" w:firstLineChars="200"/>
              <w:contextualSpacing/>
              <w:rPr>
                <w:rFonts w:cs="宋体" w:asciiTheme="minorEastAsia" w:hAnsiTheme="minorEastAsia" w:eastAsiaTheme="minorEastAsia"/>
                <w:szCs w:val="21"/>
              </w:rPr>
            </w:pPr>
            <w:r>
              <w:rPr>
                <w:rFonts w:hint="eastAsia" w:cs="宋体" w:asciiTheme="minorEastAsia" w:hAnsiTheme="minorEastAsia" w:eastAsiaTheme="minorEastAsia"/>
                <w:kern w:val="0"/>
                <w:szCs w:val="21"/>
              </w:rPr>
              <w:t>编制单位</w:t>
            </w:r>
          </w:p>
        </w:tc>
        <w:tc>
          <w:tcPr>
            <w:tcW w:w="6741" w:type="dxa"/>
            <w:vAlign w:val="center"/>
          </w:tcPr>
          <w:p>
            <w:pPr>
              <w:pStyle w:val="18"/>
              <w:adjustRightInd/>
              <w:spacing w:line="600" w:lineRule="exact"/>
              <w:ind w:firstLine="560" w:firstLineChars="200"/>
              <w:contextualSpacing/>
              <w:jc w:val="both"/>
              <w:rPr>
                <w:rFonts w:cs="宋体" w:asciiTheme="minorEastAsia" w:hAnsiTheme="minorEastAsia" w:eastAsiaTheme="minorEastAsia"/>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exact"/>
        </w:trPr>
        <w:tc>
          <w:tcPr>
            <w:tcW w:w="817" w:type="dxa"/>
            <w:vMerge w:val="restart"/>
            <w:vAlign w:val="center"/>
          </w:tcPr>
          <w:p>
            <w:pPr>
              <w:spacing w:line="240" w:lineRule="atLeast"/>
              <w:contextualSpacing/>
              <w:jc w:val="center"/>
              <w:rPr>
                <w:rFonts w:cs="宋体" w:asciiTheme="minorEastAsia" w:hAnsiTheme="minorEastAsia" w:eastAsiaTheme="minorEastAsia"/>
                <w:szCs w:val="21"/>
              </w:rPr>
            </w:pPr>
            <w:r>
              <w:rPr>
                <w:rFonts w:hint="eastAsia" w:cs="宋体" w:asciiTheme="minorEastAsia" w:hAnsiTheme="minorEastAsia" w:eastAsiaTheme="minorEastAsia"/>
                <w:kern w:val="0"/>
                <w:szCs w:val="21"/>
              </w:rPr>
              <w:t>评审专家</w:t>
            </w:r>
          </w:p>
        </w:tc>
        <w:tc>
          <w:tcPr>
            <w:tcW w:w="1313" w:type="dxa"/>
            <w:vAlign w:val="center"/>
          </w:tcPr>
          <w:p>
            <w:pPr>
              <w:spacing w:line="240" w:lineRule="atLeast"/>
              <w:contextualSpacing/>
              <w:rPr>
                <w:rFonts w:cs="宋体" w:asciiTheme="minorEastAsia" w:hAnsiTheme="minorEastAsia" w:eastAsiaTheme="minorEastAsia"/>
                <w:szCs w:val="21"/>
              </w:rPr>
            </w:pPr>
            <w:r>
              <w:rPr>
                <w:rFonts w:hint="eastAsia" w:cs="宋体" w:asciiTheme="minorEastAsia" w:hAnsiTheme="minorEastAsia" w:eastAsiaTheme="minorEastAsia"/>
                <w:kern w:val="0"/>
                <w:szCs w:val="21"/>
              </w:rPr>
              <w:t>姓    名</w:t>
            </w:r>
          </w:p>
        </w:tc>
        <w:tc>
          <w:tcPr>
            <w:tcW w:w="6741" w:type="dxa"/>
            <w:vAlign w:val="center"/>
          </w:tcPr>
          <w:p>
            <w:pPr>
              <w:spacing w:line="600" w:lineRule="exact"/>
              <w:ind w:firstLine="560" w:firstLineChars="200"/>
              <w:contextualSpacing/>
              <w:rPr>
                <w:rFonts w:cs="宋体" w:asciiTheme="minorEastAsia" w:hAnsiTheme="minorEastAsia" w:eastAsiaTheme="minorEastAsia"/>
                <w:sz w:val="28"/>
                <w:szCs w:val="28"/>
              </w:rPr>
            </w:pPr>
            <w:r>
              <w:rPr>
                <w:rFonts w:hint="eastAsia" w:cs="宋体" w:asciiTheme="minorEastAsia" w:hAnsiTheme="minorEastAsia" w:eastAsiaTheme="minorEastAsia"/>
                <w:sz w:val="28"/>
                <w:szCs w:val="28"/>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exact"/>
        </w:trPr>
        <w:tc>
          <w:tcPr>
            <w:tcW w:w="817" w:type="dxa"/>
            <w:vMerge w:val="continue"/>
            <w:vAlign w:val="center"/>
          </w:tcPr>
          <w:p>
            <w:pPr>
              <w:spacing w:line="240" w:lineRule="atLeast"/>
              <w:ind w:firstLine="420" w:firstLineChars="200"/>
              <w:contextualSpacing/>
              <w:rPr>
                <w:rFonts w:cs="宋体" w:asciiTheme="minorEastAsia" w:hAnsiTheme="minorEastAsia" w:eastAsiaTheme="minorEastAsia"/>
                <w:szCs w:val="21"/>
              </w:rPr>
            </w:pPr>
          </w:p>
        </w:tc>
        <w:tc>
          <w:tcPr>
            <w:tcW w:w="1313" w:type="dxa"/>
            <w:vAlign w:val="center"/>
          </w:tcPr>
          <w:p>
            <w:pPr>
              <w:spacing w:line="240" w:lineRule="atLeast"/>
              <w:contextualSpacing/>
              <w:rPr>
                <w:rFonts w:cs="宋体" w:asciiTheme="minorEastAsia" w:hAnsiTheme="minorEastAsia" w:eastAsiaTheme="minorEastAsia"/>
                <w:szCs w:val="21"/>
              </w:rPr>
            </w:pPr>
            <w:r>
              <w:rPr>
                <w:rFonts w:hint="eastAsia" w:cs="宋体" w:asciiTheme="minorEastAsia" w:hAnsiTheme="minorEastAsia" w:eastAsiaTheme="minorEastAsia"/>
                <w:kern w:val="0"/>
                <w:szCs w:val="21"/>
              </w:rPr>
              <w:t>职务/职称</w:t>
            </w:r>
          </w:p>
        </w:tc>
        <w:tc>
          <w:tcPr>
            <w:tcW w:w="6741" w:type="dxa"/>
            <w:vAlign w:val="center"/>
          </w:tcPr>
          <w:p>
            <w:pPr>
              <w:spacing w:line="600" w:lineRule="exact"/>
              <w:ind w:firstLine="560" w:firstLineChars="200"/>
              <w:contextualSpacing/>
              <w:rPr>
                <w:rFonts w:cs="宋体" w:asciiTheme="minorEastAsia" w:hAnsiTheme="minorEastAsia" w:eastAsiaTheme="minorEastAsia"/>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exact"/>
        </w:trPr>
        <w:tc>
          <w:tcPr>
            <w:tcW w:w="817" w:type="dxa"/>
            <w:vMerge w:val="continue"/>
            <w:vAlign w:val="center"/>
          </w:tcPr>
          <w:p>
            <w:pPr>
              <w:spacing w:line="240" w:lineRule="atLeast"/>
              <w:ind w:firstLine="420" w:firstLineChars="200"/>
              <w:contextualSpacing/>
              <w:rPr>
                <w:rFonts w:cs="宋体" w:asciiTheme="minorEastAsia" w:hAnsiTheme="minorEastAsia" w:eastAsiaTheme="minorEastAsia"/>
                <w:szCs w:val="21"/>
              </w:rPr>
            </w:pPr>
          </w:p>
        </w:tc>
        <w:tc>
          <w:tcPr>
            <w:tcW w:w="1313" w:type="dxa"/>
            <w:vAlign w:val="center"/>
          </w:tcPr>
          <w:p>
            <w:pPr>
              <w:spacing w:line="240" w:lineRule="atLeast"/>
              <w:contextualSpacing/>
              <w:rPr>
                <w:rFonts w:cs="宋体" w:asciiTheme="minorEastAsia" w:hAnsiTheme="minorEastAsia" w:eastAsiaTheme="minorEastAsia"/>
                <w:szCs w:val="21"/>
              </w:rPr>
            </w:pPr>
            <w:r>
              <w:rPr>
                <w:rFonts w:hint="eastAsia" w:cs="宋体" w:asciiTheme="minorEastAsia" w:hAnsiTheme="minorEastAsia" w:eastAsiaTheme="minorEastAsia"/>
                <w:kern w:val="0"/>
                <w:szCs w:val="21"/>
              </w:rPr>
              <w:t>所在单位</w:t>
            </w:r>
          </w:p>
        </w:tc>
        <w:tc>
          <w:tcPr>
            <w:tcW w:w="6741" w:type="dxa"/>
            <w:vAlign w:val="center"/>
          </w:tcPr>
          <w:p>
            <w:pPr>
              <w:spacing w:line="600" w:lineRule="exact"/>
              <w:ind w:firstLine="560" w:firstLineChars="200"/>
              <w:contextualSpacing/>
              <w:rPr>
                <w:rFonts w:cs="宋体" w:asciiTheme="minorEastAsia" w:hAnsiTheme="minorEastAsia" w:eastAsiaTheme="minorEastAsia"/>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129" w:hRule="atLeast"/>
        </w:trPr>
        <w:tc>
          <w:tcPr>
            <w:tcW w:w="8871" w:type="dxa"/>
            <w:gridSpan w:val="3"/>
          </w:tcPr>
          <w:p>
            <w:pPr>
              <w:spacing w:line="240" w:lineRule="atLeast"/>
              <w:ind w:firstLine="420" w:firstLineChars="200"/>
              <w:contextualSpacing/>
              <w:rPr>
                <w:rFonts w:cs="宋体" w:asciiTheme="minorEastAsia" w:hAnsiTheme="minorEastAsia" w:eastAsiaTheme="minorEastAsia"/>
                <w:szCs w:val="21"/>
              </w:rPr>
            </w:pPr>
            <w:r>
              <w:rPr>
                <w:rFonts w:hint="eastAsia" w:cs="宋体" w:asciiTheme="minorEastAsia" w:hAnsiTheme="minorEastAsia" w:eastAsiaTheme="minorEastAsia"/>
                <w:kern w:val="0"/>
                <w:szCs w:val="21"/>
              </w:rPr>
              <w:t>总体评价：</w:t>
            </w:r>
          </w:p>
          <w:p>
            <w:pPr>
              <w:spacing w:line="240" w:lineRule="atLeast"/>
              <w:ind w:firstLine="420" w:firstLineChars="200"/>
              <w:contextualSpacing/>
              <w:rPr>
                <w:rFonts w:cs="宋体" w:asciiTheme="minorEastAsia" w:hAnsiTheme="minorEastAsia" w:eastAsiaTheme="minorEastAsia"/>
                <w:szCs w:val="21"/>
              </w:rPr>
            </w:pPr>
            <w:r>
              <w:rPr>
                <w:rFonts w:hint="eastAsia" w:cs="宋体" w:asciiTheme="minorEastAsia" w:hAnsiTheme="minorEastAsia" w:eastAsiaTheme="minorEastAsia"/>
                <w:szCs w:val="21"/>
              </w:rPr>
              <w:t>报告结构完整性（□完整   □基本完整  □不完整）</w:t>
            </w:r>
          </w:p>
          <w:p>
            <w:pPr>
              <w:spacing w:line="240" w:lineRule="atLeast"/>
              <w:ind w:firstLine="420" w:firstLineChars="200"/>
              <w:contextualSpacing/>
              <w:rPr>
                <w:rFonts w:cs="宋体" w:asciiTheme="minorEastAsia" w:hAnsiTheme="minorEastAsia" w:eastAsiaTheme="minorEastAsia"/>
                <w:szCs w:val="21"/>
              </w:rPr>
            </w:pPr>
            <w:r>
              <w:rPr>
                <w:rFonts w:hint="eastAsia" w:cs="宋体" w:asciiTheme="minorEastAsia" w:hAnsiTheme="minorEastAsia" w:eastAsiaTheme="minorEastAsia"/>
                <w:szCs w:val="21"/>
              </w:rPr>
              <w:t>报告内容全面性（□全面   □基本全面  □不全面）</w:t>
            </w:r>
          </w:p>
          <w:p>
            <w:pPr>
              <w:spacing w:line="240" w:lineRule="atLeast"/>
              <w:ind w:firstLine="420" w:firstLineChars="200"/>
              <w:contextualSpacing/>
              <w:rPr>
                <w:rFonts w:cs="宋体" w:asciiTheme="minorEastAsia" w:hAnsiTheme="minorEastAsia" w:eastAsiaTheme="minorEastAsia"/>
                <w:szCs w:val="21"/>
              </w:rPr>
            </w:pPr>
            <w:r>
              <w:rPr>
                <w:rFonts w:hint="eastAsia" w:cs="宋体" w:asciiTheme="minorEastAsia" w:hAnsiTheme="minorEastAsia" w:eastAsiaTheme="minorEastAsia"/>
                <w:szCs w:val="21"/>
              </w:rPr>
              <w:t>报告结论可信性（□可信   □基本可信  □不可信）</w:t>
            </w:r>
          </w:p>
          <w:p>
            <w:pPr>
              <w:spacing w:line="240" w:lineRule="atLeast"/>
              <w:ind w:firstLine="420" w:firstLineChars="200"/>
              <w:contextualSpacing/>
              <w:rPr>
                <w:rFonts w:cs="宋体" w:asciiTheme="minorEastAsia" w:hAnsiTheme="minorEastAsia" w:eastAsiaTheme="minorEastAsia"/>
                <w:szCs w:val="21"/>
              </w:rPr>
            </w:pPr>
            <w:r>
              <w:rPr>
                <w:rFonts w:hint="eastAsia" w:cs="宋体" w:asciiTheme="minorEastAsia" w:hAnsiTheme="minorEastAsia" w:eastAsiaTheme="minorEastAsia"/>
                <w:szCs w:val="21"/>
              </w:rPr>
              <w:t>是否通过审查  （□是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98" w:hRule="atLeast"/>
        </w:trPr>
        <w:tc>
          <w:tcPr>
            <w:tcW w:w="8871" w:type="dxa"/>
            <w:gridSpan w:val="3"/>
          </w:tcPr>
          <w:p>
            <w:pPr>
              <w:spacing w:line="240" w:lineRule="atLeast"/>
              <w:contextualSpacing/>
              <w:rPr>
                <w:rFonts w:cs="宋体" w:asciiTheme="minorEastAsia" w:hAnsiTheme="minorEastAsia" w:eastAsiaTheme="minorEastAsia"/>
                <w:kern w:val="0"/>
                <w:sz w:val="24"/>
                <w:szCs w:val="24"/>
              </w:rPr>
            </w:pPr>
          </w:p>
          <w:p>
            <w:pPr>
              <w:spacing w:line="240" w:lineRule="atLeast"/>
              <w:ind w:firstLine="480" w:firstLineChars="200"/>
              <w:contextualSpacing/>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评审意见：</w:t>
            </w:r>
          </w:p>
          <w:p>
            <w:pPr>
              <w:spacing w:line="240" w:lineRule="atLeast"/>
              <w:ind w:firstLine="480" w:firstLineChars="200"/>
              <w:contextualSpacing/>
              <w:rPr>
                <w:rFonts w:cs="宋体" w:asciiTheme="minorEastAsia" w:hAnsiTheme="minorEastAsia" w:eastAsiaTheme="minorEastAsia"/>
                <w:kern w:val="0"/>
                <w:sz w:val="24"/>
                <w:szCs w:val="24"/>
              </w:rPr>
            </w:pPr>
          </w:p>
          <w:p>
            <w:pPr>
              <w:spacing w:line="240" w:lineRule="atLeast"/>
              <w:ind w:firstLine="480" w:firstLineChars="200"/>
              <w:contextualSpacing/>
              <w:rPr>
                <w:rFonts w:cs="宋体" w:asciiTheme="minorEastAsia" w:hAnsiTheme="minorEastAsia" w:eastAsiaTheme="minorEastAsia"/>
                <w:kern w:val="0"/>
                <w:sz w:val="24"/>
                <w:szCs w:val="24"/>
              </w:rPr>
            </w:pPr>
          </w:p>
          <w:p>
            <w:pPr>
              <w:spacing w:line="240" w:lineRule="atLeast"/>
              <w:ind w:firstLine="480" w:firstLineChars="200"/>
              <w:contextualSpacing/>
              <w:rPr>
                <w:rFonts w:cs="宋体" w:asciiTheme="minorEastAsia" w:hAnsiTheme="minorEastAsia" w:eastAsiaTheme="minorEastAsia"/>
                <w:sz w:val="24"/>
                <w:szCs w:val="24"/>
              </w:rPr>
            </w:pPr>
          </w:p>
          <w:p>
            <w:pPr>
              <w:spacing w:line="240" w:lineRule="atLeast"/>
              <w:ind w:firstLine="480" w:firstLineChars="200"/>
              <w:contextualSpacing/>
              <w:rPr>
                <w:rFonts w:cs="宋体" w:asciiTheme="minorEastAsia" w:hAnsiTheme="minorEastAsia" w:eastAsiaTheme="minorEastAsia"/>
                <w:sz w:val="24"/>
                <w:szCs w:val="24"/>
              </w:rPr>
            </w:pPr>
          </w:p>
          <w:p>
            <w:pPr>
              <w:spacing w:line="240" w:lineRule="atLeast"/>
              <w:ind w:firstLine="480" w:firstLineChars="200"/>
              <w:contextualSpacing/>
              <w:rPr>
                <w:rFonts w:cs="宋体" w:asciiTheme="minorEastAsia" w:hAnsiTheme="minorEastAsia" w:eastAsiaTheme="minorEastAsia"/>
                <w:sz w:val="24"/>
                <w:szCs w:val="24"/>
              </w:rPr>
            </w:pPr>
          </w:p>
          <w:p>
            <w:pPr>
              <w:spacing w:line="240" w:lineRule="atLeast"/>
              <w:ind w:firstLine="480" w:firstLineChars="200"/>
              <w:contextualSpacing/>
              <w:rPr>
                <w:rFonts w:cs="宋体" w:asciiTheme="minorEastAsia" w:hAnsiTheme="minorEastAsia" w:eastAsiaTheme="minorEastAsia"/>
                <w:sz w:val="24"/>
                <w:szCs w:val="24"/>
              </w:rPr>
            </w:pPr>
          </w:p>
          <w:p>
            <w:pPr>
              <w:spacing w:line="240" w:lineRule="atLeast"/>
              <w:ind w:firstLine="480" w:firstLineChars="200"/>
              <w:contextualSpacing/>
              <w:rPr>
                <w:rFonts w:cs="宋体" w:asciiTheme="minorEastAsia" w:hAnsiTheme="minorEastAsia" w:eastAsiaTheme="minorEastAsia"/>
                <w:sz w:val="24"/>
                <w:szCs w:val="24"/>
              </w:rPr>
            </w:pPr>
          </w:p>
          <w:p>
            <w:pPr>
              <w:spacing w:line="240" w:lineRule="atLeast"/>
              <w:ind w:firstLine="480" w:firstLineChars="200"/>
              <w:contextualSpacing/>
              <w:rPr>
                <w:rFonts w:cs="宋体" w:asciiTheme="minorEastAsia" w:hAnsiTheme="minorEastAsia" w:eastAsiaTheme="minorEastAsia"/>
                <w:sz w:val="24"/>
                <w:szCs w:val="24"/>
              </w:rPr>
            </w:pPr>
          </w:p>
          <w:p>
            <w:pPr>
              <w:spacing w:line="240" w:lineRule="atLeast"/>
              <w:ind w:firstLine="480" w:firstLineChars="200"/>
              <w:contextualSpacing/>
              <w:rPr>
                <w:rFonts w:cs="宋体" w:asciiTheme="minorEastAsia" w:hAnsiTheme="minorEastAsia" w:eastAsiaTheme="minorEastAsia"/>
                <w:sz w:val="24"/>
                <w:szCs w:val="24"/>
              </w:rPr>
            </w:pPr>
          </w:p>
          <w:p>
            <w:pPr>
              <w:spacing w:line="240" w:lineRule="atLeast"/>
              <w:ind w:firstLine="480" w:firstLineChars="200"/>
              <w:contextualSpacing/>
              <w:rPr>
                <w:rFonts w:cs="宋体" w:asciiTheme="minorEastAsia" w:hAnsiTheme="minorEastAsia" w:eastAsiaTheme="minorEastAsia"/>
                <w:sz w:val="24"/>
                <w:szCs w:val="24"/>
              </w:rPr>
            </w:pPr>
          </w:p>
          <w:p>
            <w:pPr>
              <w:spacing w:line="240" w:lineRule="atLeast"/>
              <w:ind w:firstLine="480" w:firstLineChars="200"/>
              <w:contextualSpacing/>
              <w:rPr>
                <w:rFonts w:cs="宋体" w:asciiTheme="minorEastAsia" w:hAnsiTheme="minorEastAsia" w:eastAsiaTheme="minorEastAsia"/>
                <w:sz w:val="24"/>
                <w:szCs w:val="24"/>
              </w:rPr>
            </w:pPr>
          </w:p>
          <w:p>
            <w:pPr>
              <w:spacing w:line="240" w:lineRule="atLeast"/>
              <w:ind w:firstLine="480" w:firstLineChars="200"/>
              <w:contextualSpacing/>
              <w:rPr>
                <w:rFonts w:cs="宋体" w:asciiTheme="minorEastAsia" w:hAnsiTheme="minorEastAsia" w:eastAsiaTheme="minorEastAsia"/>
                <w:sz w:val="24"/>
                <w:szCs w:val="24"/>
              </w:rPr>
            </w:pPr>
          </w:p>
          <w:p>
            <w:pPr>
              <w:spacing w:line="240" w:lineRule="atLeast"/>
              <w:ind w:firstLine="480" w:firstLineChars="200"/>
              <w:contextualSpacing/>
              <w:rPr>
                <w:rFonts w:cs="宋体" w:asciiTheme="minorEastAsia" w:hAnsiTheme="minorEastAsia" w:eastAsiaTheme="minorEastAsia"/>
                <w:sz w:val="24"/>
                <w:szCs w:val="24"/>
              </w:rPr>
            </w:pPr>
          </w:p>
          <w:p>
            <w:pPr>
              <w:spacing w:line="240" w:lineRule="atLeast"/>
              <w:ind w:firstLine="480" w:firstLineChars="200"/>
              <w:contextualSpacing/>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 xml:space="preserve">                                        签名：</w:t>
            </w:r>
            <w:r>
              <w:rPr>
                <w:rFonts w:hint="eastAsia" w:cs="宋体" w:asciiTheme="minorEastAsia" w:hAnsiTheme="minorEastAsia" w:eastAsiaTheme="minorEastAsia"/>
                <w:sz w:val="24"/>
                <w:szCs w:val="24"/>
                <w:u w:val="single"/>
              </w:rPr>
              <w:t xml:space="preserve">        </w:t>
            </w:r>
          </w:p>
          <w:p>
            <w:pPr>
              <w:spacing w:line="240" w:lineRule="atLeast"/>
              <w:ind w:firstLine="480" w:firstLineChars="200"/>
              <w:contextualSpacing/>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 xml:space="preserve">                           </w:t>
            </w:r>
          </w:p>
          <w:p>
            <w:pPr>
              <w:spacing w:line="240" w:lineRule="atLeast"/>
              <w:ind w:firstLine="3840" w:firstLineChars="1600"/>
              <w:contextualSpacing/>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 xml:space="preserve">            </w:t>
            </w:r>
            <w:r>
              <w:rPr>
                <w:rFonts w:hint="eastAsia" w:cs="宋体" w:asciiTheme="minorEastAsia" w:hAnsiTheme="minorEastAsia" w:eastAsiaTheme="minorEastAsia"/>
                <w:sz w:val="24"/>
                <w:szCs w:val="24"/>
                <w:u w:val="single"/>
              </w:rPr>
              <w:t xml:space="preserve">   </w:t>
            </w:r>
            <w:r>
              <w:rPr>
                <w:rFonts w:hint="eastAsia" w:cs="宋体" w:asciiTheme="minorEastAsia" w:hAnsiTheme="minorEastAsia" w:eastAsiaTheme="minorEastAsia"/>
                <w:sz w:val="24"/>
                <w:szCs w:val="24"/>
              </w:rPr>
              <w:t>年</w:t>
            </w:r>
            <w:r>
              <w:rPr>
                <w:rFonts w:hint="eastAsia" w:cs="宋体" w:asciiTheme="minorEastAsia" w:hAnsiTheme="minorEastAsia" w:eastAsiaTheme="minorEastAsia"/>
                <w:sz w:val="24"/>
                <w:szCs w:val="24"/>
                <w:u w:val="single"/>
              </w:rPr>
              <w:t xml:space="preserve">   </w:t>
            </w:r>
            <w:r>
              <w:rPr>
                <w:rFonts w:hint="eastAsia" w:cs="宋体" w:asciiTheme="minorEastAsia" w:hAnsiTheme="minorEastAsia" w:eastAsiaTheme="minorEastAsia"/>
                <w:sz w:val="24"/>
                <w:szCs w:val="24"/>
              </w:rPr>
              <w:t>月</w:t>
            </w:r>
            <w:r>
              <w:rPr>
                <w:rFonts w:hint="eastAsia" w:cs="宋体" w:asciiTheme="minorEastAsia" w:hAnsiTheme="minorEastAsia" w:eastAsiaTheme="minorEastAsia"/>
                <w:sz w:val="24"/>
                <w:szCs w:val="24"/>
                <w:u w:val="single"/>
              </w:rPr>
              <w:t xml:space="preserve">   </w:t>
            </w:r>
            <w:r>
              <w:rPr>
                <w:rFonts w:hint="eastAsia" w:cs="宋体" w:asciiTheme="minorEastAsia" w:hAnsiTheme="minorEastAsia" w:eastAsiaTheme="minorEastAsia"/>
                <w:sz w:val="24"/>
                <w:szCs w:val="24"/>
              </w:rPr>
              <w:t>日</w:t>
            </w:r>
          </w:p>
        </w:tc>
      </w:tr>
    </w:tbl>
    <w:p>
      <w:pPr>
        <w:spacing w:line="600" w:lineRule="exact"/>
        <w:ind w:firstLine="480" w:firstLineChars="200"/>
        <w:contextualSpacing/>
        <w:rPr>
          <w:rFonts w:asciiTheme="minorEastAsia" w:hAnsiTheme="minorEastAsia" w:eastAsiaTheme="minorEastAsia"/>
          <w:sz w:val="24"/>
          <w:szCs w:val="24"/>
        </w:rPr>
        <w:sectPr>
          <w:footerReference r:id="rId4" w:type="default"/>
          <w:pgSz w:w="11906" w:h="16838"/>
          <w:pgMar w:top="2098" w:right="1474" w:bottom="1985" w:left="1588" w:header="851" w:footer="992" w:gutter="0"/>
          <w:pgNumType w:fmt="numberInDash"/>
          <w:cols w:space="720" w:num="1"/>
          <w:docGrid w:type="lines" w:linePitch="312" w:charSpace="0"/>
        </w:sectPr>
      </w:pPr>
      <w:r>
        <w:rPr>
          <w:rFonts w:hint="eastAsia" w:asciiTheme="minorEastAsia" w:hAnsiTheme="minorEastAsia" w:eastAsiaTheme="minorEastAsia"/>
          <w:sz w:val="24"/>
          <w:szCs w:val="24"/>
        </w:rPr>
        <w:t>本文件双面打印，可添加附页</w:t>
      </w:r>
    </w:p>
    <w:p>
      <w:pPr>
        <w:pStyle w:val="2"/>
        <w:spacing w:line="600" w:lineRule="exact"/>
        <w:contextualSpacing/>
        <w:rPr>
          <w:rFonts w:ascii="黑体" w:hAnsi="黑体" w:eastAsia="黑体" w:cs="黑体"/>
          <w:sz w:val="36"/>
          <w:szCs w:val="32"/>
        </w:rPr>
      </w:pPr>
      <w:bookmarkStart w:id="26" w:name="_Toc56774317"/>
      <w:r>
        <w:rPr>
          <w:rFonts w:hint="eastAsia" w:ascii="黑体" w:hAnsi="黑体" w:eastAsia="黑体"/>
          <w:b w:val="0"/>
          <w:sz w:val="32"/>
          <w:szCs w:val="28"/>
        </w:rPr>
        <w:t>附件7</w:t>
      </w:r>
      <w:bookmarkEnd w:id="26"/>
    </w:p>
    <w:p>
      <w:pPr>
        <w:spacing w:line="600" w:lineRule="exact"/>
        <w:contextualSpacing/>
        <w:jc w:val="center"/>
        <w:rPr>
          <w:rFonts w:ascii="方正小标宋简体" w:hAnsi="黑体" w:eastAsia="方正小标宋简体" w:cstheme="minorEastAsia"/>
          <w:sz w:val="44"/>
          <w:szCs w:val="44"/>
        </w:rPr>
      </w:pPr>
      <w:r>
        <w:rPr>
          <w:rFonts w:hint="eastAsia" w:ascii="方正小标宋简体" w:hAnsi="黑体" w:eastAsia="方正小标宋简体" w:cstheme="minorEastAsia"/>
          <w:sz w:val="44"/>
          <w:szCs w:val="44"/>
        </w:rPr>
        <w:t>报告质量评分表</w:t>
      </w:r>
    </w:p>
    <w:tbl>
      <w:tblPr>
        <w:tblStyle w:val="10"/>
        <w:tblW w:w="88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4"/>
        <w:gridCol w:w="1455"/>
        <w:gridCol w:w="67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exact"/>
          <w:jc w:val="center"/>
        </w:trPr>
        <w:tc>
          <w:tcPr>
            <w:tcW w:w="2129" w:type="dxa"/>
            <w:gridSpan w:val="2"/>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420" w:firstLineChars="200"/>
              <w:contextualSpacing/>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kern w:val="0"/>
                <w:szCs w:val="21"/>
              </w:rPr>
              <w:t>项目名称</w:t>
            </w:r>
          </w:p>
        </w:tc>
        <w:tc>
          <w:tcPr>
            <w:tcW w:w="6736" w:type="dxa"/>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360" w:firstLineChars="200"/>
              <w:contextualSpacing/>
              <w:jc w:val="center"/>
              <w:rPr>
                <w:rFonts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exact"/>
          <w:jc w:val="center"/>
        </w:trPr>
        <w:tc>
          <w:tcPr>
            <w:tcW w:w="2129" w:type="dxa"/>
            <w:gridSpan w:val="2"/>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420" w:firstLineChars="200"/>
              <w:contextualSpacing/>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kern w:val="0"/>
                <w:szCs w:val="21"/>
              </w:rPr>
              <w:t>编制单位</w:t>
            </w:r>
          </w:p>
        </w:tc>
        <w:tc>
          <w:tcPr>
            <w:tcW w:w="6736" w:type="dxa"/>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360" w:firstLineChars="200"/>
              <w:contextualSpacing/>
              <w:jc w:val="center"/>
              <w:rPr>
                <w:rFonts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exact"/>
          <w:jc w:val="center"/>
        </w:trPr>
        <w:tc>
          <w:tcPr>
            <w:tcW w:w="674"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tLeast"/>
              <w:contextualSpacing/>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kern w:val="0"/>
                <w:szCs w:val="21"/>
              </w:rPr>
              <w:t>评审专家</w:t>
            </w:r>
          </w:p>
        </w:tc>
        <w:tc>
          <w:tcPr>
            <w:tcW w:w="1455" w:type="dxa"/>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420" w:firstLineChars="200"/>
              <w:contextualSpacing/>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kern w:val="0"/>
                <w:szCs w:val="21"/>
              </w:rPr>
              <w:t>姓  名</w:t>
            </w:r>
          </w:p>
        </w:tc>
        <w:tc>
          <w:tcPr>
            <w:tcW w:w="6736" w:type="dxa"/>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360" w:firstLineChars="200"/>
              <w:contextualSpacing/>
              <w:jc w:val="center"/>
              <w:rPr>
                <w:rFonts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exact"/>
          <w:jc w:val="center"/>
        </w:trPr>
        <w:tc>
          <w:tcPr>
            <w:tcW w:w="674"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tLeast"/>
              <w:ind w:firstLine="420" w:firstLineChars="200"/>
              <w:contextualSpacing/>
              <w:jc w:val="center"/>
              <w:rPr>
                <w:rFonts w:asciiTheme="minorEastAsia" w:hAnsiTheme="minorEastAsia" w:eastAsiaTheme="minorEastAsia" w:cstheme="minorEastAsia"/>
                <w:szCs w:val="21"/>
              </w:rPr>
            </w:pPr>
          </w:p>
        </w:tc>
        <w:tc>
          <w:tcPr>
            <w:tcW w:w="1455" w:type="dxa"/>
            <w:tcBorders>
              <w:top w:val="single" w:color="000000" w:sz="4" w:space="0"/>
              <w:left w:val="single" w:color="000000" w:sz="4" w:space="0"/>
              <w:bottom w:val="single" w:color="000000" w:sz="4" w:space="0"/>
              <w:right w:val="single" w:color="000000" w:sz="4" w:space="0"/>
            </w:tcBorders>
            <w:vAlign w:val="center"/>
          </w:tcPr>
          <w:p>
            <w:pPr>
              <w:spacing w:line="240" w:lineRule="atLeast"/>
              <w:contextualSpacing/>
              <w:jc w:val="center"/>
              <w:rPr>
                <w:rFonts w:asciiTheme="minorEastAsia" w:hAnsiTheme="minorEastAsia" w:eastAsiaTheme="minorEastAsia" w:cstheme="minorEastAsia"/>
                <w:szCs w:val="21"/>
              </w:rPr>
            </w:pPr>
            <w:r>
              <w:rPr>
                <w:rFonts w:hint="eastAsia" w:cs="宋体" w:asciiTheme="minorEastAsia" w:hAnsiTheme="minorEastAsia" w:eastAsiaTheme="minorEastAsia"/>
                <w:kern w:val="0"/>
                <w:szCs w:val="21"/>
              </w:rPr>
              <w:t>职务/职称</w:t>
            </w:r>
          </w:p>
        </w:tc>
        <w:tc>
          <w:tcPr>
            <w:tcW w:w="6736" w:type="dxa"/>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360" w:firstLineChars="200"/>
              <w:contextualSpacing/>
              <w:jc w:val="center"/>
              <w:rPr>
                <w:rFonts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exact"/>
          <w:jc w:val="center"/>
        </w:trPr>
        <w:tc>
          <w:tcPr>
            <w:tcW w:w="674"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tLeast"/>
              <w:ind w:firstLine="420" w:firstLineChars="200"/>
              <w:contextualSpacing/>
              <w:jc w:val="center"/>
              <w:rPr>
                <w:rFonts w:asciiTheme="minorEastAsia" w:hAnsiTheme="minorEastAsia" w:eastAsiaTheme="minorEastAsia" w:cstheme="minorEastAsia"/>
                <w:szCs w:val="21"/>
              </w:rPr>
            </w:pPr>
          </w:p>
        </w:tc>
        <w:tc>
          <w:tcPr>
            <w:tcW w:w="1455" w:type="dxa"/>
            <w:tcBorders>
              <w:top w:val="single" w:color="000000" w:sz="4" w:space="0"/>
              <w:left w:val="single" w:color="000000" w:sz="4" w:space="0"/>
              <w:bottom w:val="single" w:color="000000" w:sz="4" w:space="0"/>
              <w:right w:val="single" w:color="000000" w:sz="4" w:space="0"/>
            </w:tcBorders>
            <w:vAlign w:val="center"/>
          </w:tcPr>
          <w:p>
            <w:pPr>
              <w:spacing w:line="240" w:lineRule="atLeast"/>
              <w:contextualSpacing/>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kern w:val="0"/>
                <w:szCs w:val="21"/>
              </w:rPr>
              <w:t>所在单位</w:t>
            </w:r>
          </w:p>
        </w:tc>
        <w:tc>
          <w:tcPr>
            <w:tcW w:w="6736" w:type="dxa"/>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360" w:firstLineChars="200"/>
              <w:contextualSpacing/>
              <w:jc w:val="center"/>
              <w:rPr>
                <w:rFonts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129" w:hRule="atLeast"/>
          <w:jc w:val="center"/>
        </w:trPr>
        <w:tc>
          <w:tcPr>
            <w:tcW w:w="8865" w:type="dxa"/>
            <w:gridSpan w:val="3"/>
            <w:tcBorders>
              <w:top w:val="single" w:color="000000" w:sz="4" w:space="0"/>
              <w:left w:val="single" w:color="000000" w:sz="4" w:space="0"/>
              <w:bottom w:val="single" w:color="000000" w:sz="4" w:space="0"/>
              <w:right w:val="single" w:color="000000" w:sz="4" w:space="0"/>
            </w:tcBorders>
          </w:tcPr>
          <w:p>
            <w:pPr>
              <w:spacing w:line="240" w:lineRule="atLeast"/>
              <w:ind w:firstLine="360" w:firstLineChars="200"/>
              <w:contextualSpacing/>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报告评价要点</w:t>
            </w:r>
          </w:p>
          <w:tbl>
            <w:tblPr>
              <w:tblStyle w:val="10"/>
              <w:tblW w:w="89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0" w:type="dxa"/>
                <w:bottom w:w="0" w:type="dxa"/>
                <w:right w:w="30" w:type="dxa"/>
              </w:tblCellMar>
            </w:tblPr>
            <w:tblGrid>
              <w:gridCol w:w="689"/>
              <w:gridCol w:w="1200"/>
              <w:gridCol w:w="2369"/>
              <w:gridCol w:w="3260"/>
              <w:gridCol w:w="709"/>
              <w:gridCol w:w="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6" w:hRule="exact"/>
                <w:tblHeader/>
                <w:jc w:val="center"/>
              </w:trPr>
              <w:tc>
                <w:tcPr>
                  <w:tcW w:w="689" w:type="dxa"/>
                  <w:vAlign w:val="center"/>
                </w:tcPr>
                <w:p>
                  <w:pPr>
                    <w:autoSpaceDE w:val="0"/>
                    <w:autoSpaceDN w:val="0"/>
                    <w:spacing w:line="240" w:lineRule="atLeast"/>
                    <w:contextualSpacing/>
                    <w:jc w:val="center"/>
                    <w:rPr>
                      <w:rFonts w:ascii="黑体" w:hAnsi="黑体" w:eastAsia="黑体"/>
                      <w:color w:val="000000"/>
                      <w:sz w:val="18"/>
                      <w:szCs w:val="18"/>
                      <w:lang w:eastAsia="zh-TW"/>
                    </w:rPr>
                  </w:pPr>
                  <w:r>
                    <w:rPr>
                      <w:rFonts w:ascii="黑体" w:hAnsi="黑体" w:eastAsia="黑体"/>
                      <w:color w:val="000000"/>
                      <w:sz w:val="18"/>
                      <w:szCs w:val="18"/>
                    </w:rPr>
                    <w:t>序号</w:t>
                  </w:r>
                </w:p>
              </w:tc>
              <w:tc>
                <w:tcPr>
                  <w:tcW w:w="1200" w:type="dxa"/>
                  <w:vAlign w:val="center"/>
                </w:tcPr>
                <w:p>
                  <w:pPr>
                    <w:autoSpaceDE w:val="0"/>
                    <w:autoSpaceDN w:val="0"/>
                    <w:spacing w:line="240" w:lineRule="atLeast"/>
                    <w:contextualSpacing/>
                    <w:jc w:val="center"/>
                    <w:rPr>
                      <w:rFonts w:ascii="黑体" w:hAnsi="黑体" w:eastAsia="黑体"/>
                      <w:color w:val="000000"/>
                      <w:sz w:val="18"/>
                      <w:szCs w:val="18"/>
                      <w:lang w:eastAsia="zh-TW"/>
                    </w:rPr>
                  </w:pPr>
                  <w:r>
                    <w:rPr>
                      <w:rFonts w:ascii="黑体" w:hAnsi="黑体" w:eastAsia="黑体"/>
                      <w:color w:val="000000"/>
                      <w:sz w:val="18"/>
                      <w:szCs w:val="18"/>
                    </w:rPr>
                    <w:t>主要项目</w:t>
                  </w:r>
                </w:p>
              </w:tc>
              <w:tc>
                <w:tcPr>
                  <w:tcW w:w="2369" w:type="dxa"/>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r>
                    <w:rPr>
                      <w:rFonts w:ascii="黑体" w:hAnsi="黑体" w:eastAsia="黑体"/>
                      <w:snapToGrid w:val="0"/>
                      <w:color w:val="000000"/>
                      <w:sz w:val="18"/>
                      <w:szCs w:val="18"/>
                    </w:rPr>
                    <w:t>编制内容</w:t>
                  </w:r>
                </w:p>
              </w:tc>
              <w:tc>
                <w:tcPr>
                  <w:tcW w:w="3260" w:type="dxa"/>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lang w:eastAsia="zh-TW"/>
                    </w:rPr>
                  </w:pPr>
                  <w:r>
                    <w:rPr>
                      <w:rFonts w:ascii="黑体" w:hAnsi="黑体" w:eastAsia="黑体"/>
                      <w:snapToGrid w:val="0"/>
                      <w:color w:val="000000"/>
                      <w:sz w:val="18"/>
                      <w:szCs w:val="18"/>
                    </w:rPr>
                    <w:t>技术要点</w:t>
                  </w:r>
                </w:p>
              </w:tc>
              <w:tc>
                <w:tcPr>
                  <w:tcW w:w="709" w:type="dxa"/>
                  <w:vAlign w:val="center"/>
                </w:tcPr>
                <w:p>
                  <w:pPr>
                    <w:autoSpaceDE w:val="0"/>
                    <w:autoSpaceDN w:val="0"/>
                    <w:spacing w:line="240" w:lineRule="atLeast"/>
                    <w:contextualSpacing/>
                    <w:jc w:val="center"/>
                    <w:rPr>
                      <w:rFonts w:ascii="黑体" w:hAnsi="黑体" w:eastAsia="黑体"/>
                      <w:snapToGrid w:val="0"/>
                      <w:color w:val="000000"/>
                      <w:sz w:val="18"/>
                      <w:szCs w:val="18"/>
                    </w:rPr>
                  </w:pPr>
                  <w:r>
                    <w:rPr>
                      <w:rFonts w:ascii="黑体" w:hAnsi="黑体" w:eastAsia="黑体"/>
                      <w:snapToGrid w:val="0"/>
                      <w:color w:val="000000"/>
                      <w:sz w:val="18"/>
                      <w:szCs w:val="18"/>
                    </w:rPr>
                    <w:t>分值</w:t>
                  </w:r>
                </w:p>
              </w:tc>
              <w:tc>
                <w:tcPr>
                  <w:tcW w:w="709" w:type="dxa"/>
                </w:tcPr>
                <w:p>
                  <w:pPr>
                    <w:autoSpaceDE w:val="0"/>
                    <w:autoSpaceDN w:val="0"/>
                    <w:spacing w:line="240" w:lineRule="atLeast"/>
                    <w:contextualSpacing/>
                    <w:jc w:val="center"/>
                    <w:rPr>
                      <w:rFonts w:ascii="黑体" w:hAnsi="黑体" w:eastAsia="黑体"/>
                      <w:snapToGrid w:val="0"/>
                      <w:color w:val="000000"/>
                      <w:sz w:val="18"/>
                      <w:szCs w:val="18"/>
                    </w:rPr>
                  </w:pPr>
                  <w:r>
                    <w:rPr>
                      <w:rFonts w:hint="eastAsia" w:ascii="黑体" w:hAnsi="黑体" w:eastAsia="黑体"/>
                      <w:snapToGrid w:val="0"/>
                      <w:color w:val="000000"/>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39" w:hRule="exact"/>
                <w:jc w:val="center"/>
              </w:trPr>
              <w:tc>
                <w:tcPr>
                  <w:tcW w:w="689" w:type="dxa"/>
                  <w:vMerge w:val="restart"/>
                  <w:vAlign w:val="center"/>
                </w:tcPr>
                <w:p>
                  <w:pPr>
                    <w:autoSpaceDE w:val="0"/>
                    <w:autoSpaceDN w:val="0"/>
                    <w:spacing w:line="240" w:lineRule="atLeast"/>
                    <w:ind w:firstLine="360" w:firstLineChars="200"/>
                    <w:contextualSpacing/>
                    <w:rPr>
                      <w:rFonts w:ascii="黑体" w:hAnsi="黑体" w:eastAsia="黑体"/>
                      <w:color w:val="000000"/>
                      <w:sz w:val="18"/>
                      <w:szCs w:val="18"/>
                    </w:rPr>
                  </w:pPr>
                  <w:r>
                    <w:rPr>
                      <w:rFonts w:ascii="黑体" w:hAnsi="黑体" w:eastAsia="黑体"/>
                      <w:color w:val="000000"/>
                      <w:sz w:val="18"/>
                      <w:szCs w:val="18"/>
                    </w:rPr>
                    <w:t>1</w:t>
                  </w:r>
                </w:p>
              </w:tc>
              <w:tc>
                <w:tcPr>
                  <w:tcW w:w="1200" w:type="dxa"/>
                  <w:vMerge w:val="restart"/>
                  <w:vAlign w:val="center"/>
                </w:tcPr>
                <w:p>
                  <w:pPr>
                    <w:autoSpaceDE w:val="0"/>
                    <w:autoSpaceDN w:val="0"/>
                    <w:spacing w:line="240" w:lineRule="atLeast"/>
                    <w:contextualSpacing/>
                    <w:rPr>
                      <w:rFonts w:ascii="黑体" w:hAnsi="黑体" w:eastAsia="黑体"/>
                      <w:color w:val="000000"/>
                      <w:sz w:val="18"/>
                      <w:szCs w:val="18"/>
                    </w:rPr>
                  </w:pPr>
                  <w:r>
                    <w:rPr>
                      <w:rFonts w:ascii="黑体" w:hAnsi="黑体" w:eastAsia="黑体"/>
                      <w:color w:val="000000"/>
                      <w:sz w:val="18"/>
                      <w:szCs w:val="18"/>
                    </w:rPr>
                    <w:t>封面及扉页</w:t>
                  </w: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（1）项目名称、报告编制机构（加盖公章）**</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709" w:type="dxa"/>
                  <w:vMerge w:val="restart"/>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r>
                    <w:rPr>
                      <w:rFonts w:ascii="黑体" w:hAnsi="黑体" w:eastAsia="黑体"/>
                      <w:snapToGrid w:val="0"/>
                      <w:color w:val="000000"/>
                      <w:sz w:val="18"/>
                      <w:szCs w:val="18"/>
                    </w:rPr>
                    <w:t>10</w:t>
                  </w:r>
                </w:p>
              </w:tc>
              <w:tc>
                <w:tcPr>
                  <w:tcW w:w="709" w:type="dxa"/>
                  <w:vMerge w:val="restart"/>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exac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（2）项目负责人**、报告编制日期</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exac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（3）章节编制人、身份信息</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身份信息包括职称、专业等。</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exac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（4）营业执照**</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exac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restart"/>
                  <w:vAlign w:val="center"/>
                </w:tcPr>
                <w:p>
                  <w:pPr>
                    <w:autoSpaceDE w:val="0"/>
                    <w:autoSpaceDN w:val="0"/>
                    <w:spacing w:line="240" w:lineRule="atLeast"/>
                    <w:ind w:firstLine="360" w:firstLineChars="200"/>
                    <w:contextualSpacing/>
                    <w:rPr>
                      <w:rFonts w:ascii="黑体" w:hAnsi="黑体" w:eastAsia="黑体"/>
                      <w:color w:val="000000"/>
                      <w:sz w:val="18"/>
                      <w:szCs w:val="18"/>
                    </w:rPr>
                  </w:pPr>
                  <w:r>
                    <w:rPr>
                      <w:rFonts w:ascii="黑体" w:hAnsi="黑体" w:eastAsia="黑体"/>
                      <w:color w:val="000000"/>
                      <w:sz w:val="18"/>
                      <w:szCs w:val="18"/>
                    </w:rPr>
                    <w:t>概述</w:t>
                  </w: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（1）项目背景、报告编制目的</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exac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（2）项目委托方</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767" w:hRule="exac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lang w:eastAsia="zh-TW"/>
                    </w:rPr>
                  </w:pPr>
                  <w:r>
                    <w:rPr>
                      <w:rFonts w:ascii="黑体" w:hAnsi="黑体" w:eastAsia="黑体"/>
                      <w:snapToGrid w:val="0"/>
                      <w:color w:val="000000"/>
                      <w:sz w:val="18"/>
                      <w:szCs w:val="18"/>
                    </w:rPr>
                    <w:t>（3）调查人员、报告编写人员</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exac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lang w:eastAsia="zh-TW"/>
                    </w:rPr>
                  </w:pPr>
                  <w:r>
                    <w:rPr>
                      <w:rFonts w:ascii="黑体" w:hAnsi="黑体" w:eastAsia="黑体"/>
                      <w:snapToGrid w:val="0"/>
                      <w:color w:val="000000"/>
                      <w:sz w:val="18"/>
                      <w:szCs w:val="18"/>
                    </w:rPr>
                    <w:t>（4）报告</w:t>
                  </w:r>
                  <w:r>
                    <w:rPr>
                      <w:rFonts w:ascii="黑体" w:hAnsi="黑体" w:eastAsia="黑体"/>
                      <w:snapToGrid w:val="0"/>
                      <w:color w:val="000000"/>
                      <w:sz w:val="18"/>
                      <w:szCs w:val="18"/>
                      <w:lang w:eastAsia="zh-TW"/>
                    </w:rPr>
                    <w:t>编制原则</w:t>
                  </w:r>
                  <w:r>
                    <w:rPr>
                      <w:rFonts w:ascii="黑体" w:hAnsi="黑体" w:eastAsia="黑体"/>
                      <w:snapToGrid w:val="0"/>
                      <w:color w:val="000000"/>
                      <w:sz w:val="18"/>
                      <w:szCs w:val="18"/>
                    </w:rPr>
                    <w:t>和</w:t>
                  </w:r>
                  <w:r>
                    <w:rPr>
                      <w:rFonts w:ascii="黑体" w:hAnsi="黑体" w:eastAsia="黑体"/>
                      <w:snapToGrid w:val="0"/>
                      <w:color w:val="000000"/>
                      <w:sz w:val="18"/>
                      <w:szCs w:val="18"/>
                      <w:lang w:eastAsia="zh-TW"/>
                    </w:rPr>
                    <w:t>依据</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exac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lang w:eastAsia="zh-TW"/>
                    </w:rPr>
                  </w:pPr>
                  <w:r>
                    <w:rPr>
                      <w:rFonts w:ascii="黑体" w:hAnsi="黑体" w:eastAsia="黑体"/>
                      <w:snapToGrid w:val="0"/>
                      <w:color w:val="000000"/>
                      <w:sz w:val="18"/>
                      <w:szCs w:val="18"/>
                    </w:rPr>
                    <w:t>（5）简述调查程序</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exac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lang w:eastAsia="zh-TW"/>
                    </w:rPr>
                  </w:pPr>
                  <w:r>
                    <w:rPr>
                      <w:rFonts w:ascii="黑体" w:hAnsi="黑体" w:eastAsia="黑体"/>
                      <w:snapToGrid w:val="0"/>
                      <w:color w:val="000000"/>
                      <w:sz w:val="18"/>
                      <w:szCs w:val="18"/>
                    </w:rPr>
                    <w:t>（6）简述调查结果</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lang w:eastAsia="zh-TW"/>
                    </w:rPr>
                  </w:pP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lang w:eastAsia="zh-TW"/>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lang w:eastAsia="zh-T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23" w:hRule="exact"/>
                <w:jc w:val="center"/>
              </w:trPr>
              <w:tc>
                <w:tcPr>
                  <w:tcW w:w="689" w:type="dxa"/>
                  <w:vMerge w:val="restart"/>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r>
                    <w:rPr>
                      <w:rFonts w:ascii="黑体" w:hAnsi="黑体" w:eastAsia="黑体"/>
                      <w:color w:val="000000"/>
                      <w:sz w:val="18"/>
                      <w:szCs w:val="18"/>
                    </w:rPr>
                    <w:t>2</w:t>
                  </w:r>
                </w:p>
              </w:tc>
              <w:tc>
                <w:tcPr>
                  <w:tcW w:w="1200" w:type="dxa"/>
                  <w:vMerge w:val="restart"/>
                  <w:vAlign w:val="center"/>
                </w:tcPr>
                <w:p>
                  <w:pPr>
                    <w:autoSpaceDE w:val="0"/>
                    <w:autoSpaceDN w:val="0"/>
                    <w:spacing w:line="240" w:lineRule="atLeast"/>
                    <w:contextualSpacing/>
                    <w:rPr>
                      <w:rFonts w:ascii="黑体" w:hAnsi="黑体" w:eastAsia="黑体"/>
                      <w:snapToGrid w:val="0"/>
                      <w:color w:val="000000"/>
                      <w:sz w:val="18"/>
                      <w:szCs w:val="18"/>
                    </w:rPr>
                  </w:pPr>
                  <w:r>
                    <w:rPr>
                      <w:rFonts w:ascii="黑体" w:hAnsi="黑体" w:eastAsia="黑体"/>
                      <w:snapToGrid w:val="0"/>
                      <w:color w:val="000000"/>
                      <w:sz w:val="18"/>
                      <w:szCs w:val="18"/>
                    </w:rPr>
                    <w:t>地块基本情况</w:t>
                  </w: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lang w:eastAsia="zh-TW"/>
                    </w:rPr>
                  </w:pPr>
                  <w:r>
                    <w:rPr>
                      <w:rFonts w:ascii="黑体" w:hAnsi="黑体" w:eastAsia="黑体"/>
                      <w:snapToGrid w:val="0"/>
                      <w:color w:val="000000"/>
                      <w:sz w:val="18"/>
                      <w:szCs w:val="18"/>
                    </w:rPr>
                    <w:t>（</w:t>
                  </w:r>
                  <w:r>
                    <w:rPr>
                      <w:rFonts w:ascii="黑体" w:hAnsi="黑体" w:eastAsia="黑体"/>
                      <w:snapToGrid w:val="0"/>
                      <w:color w:val="000000"/>
                      <w:sz w:val="18"/>
                      <w:szCs w:val="18"/>
                      <w:lang w:eastAsia="zh-TW"/>
                    </w:rPr>
                    <w:t>1</w:t>
                  </w:r>
                  <w:r>
                    <w:rPr>
                      <w:rFonts w:ascii="黑体" w:hAnsi="黑体" w:eastAsia="黑体"/>
                      <w:snapToGrid w:val="0"/>
                      <w:color w:val="000000"/>
                      <w:sz w:val="18"/>
                      <w:szCs w:val="18"/>
                    </w:rPr>
                    <w:t>）</w:t>
                  </w:r>
                  <w:r>
                    <w:rPr>
                      <w:rFonts w:ascii="黑体" w:hAnsi="黑体" w:eastAsia="黑体"/>
                      <w:snapToGrid w:val="0"/>
                      <w:color w:val="000000"/>
                      <w:sz w:val="18"/>
                      <w:szCs w:val="18"/>
                      <w:lang w:eastAsia="zh-TW"/>
                    </w:rPr>
                    <w:t>地</w:t>
                  </w:r>
                  <w:r>
                    <w:rPr>
                      <w:rFonts w:ascii="黑体" w:hAnsi="黑体" w:eastAsia="黑体"/>
                      <w:snapToGrid w:val="0"/>
                      <w:color w:val="000000"/>
                      <w:sz w:val="18"/>
                      <w:szCs w:val="18"/>
                    </w:rPr>
                    <w:t>块基础资料或</w:t>
                  </w:r>
                  <w:r>
                    <w:rPr>
                      <w:rFonts w:ascii="黑体" w:hAnsi="黑体" w:eastAsia="黑体"/>
                      <w:snapToGrid w:val="0"/>
                      <w:color w:val="000000"/>
                      <w:sz w:val="18"/>
                      <w:szCs w:val="18"/>
                      <w:lang w:eastAsia="zh-TW"/>
                    </w:rPr>
                    <w:t>数据</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包含</w:t>
                  </w:r>
                  <w:r>
                    <w:rPr>
                      <w:rFonts w:ascii="黑体" w:hAnsi="黑体" w:eastAsia="黑体"/>
                      <w:snapToGrid w:val="0"/>
                      <w:color w:val="000000"/>
                      <w:sz w:val="18"/>
                      <w:szCs w:val="18"/>
                      <w:lang w:eastAsia="zh-TW"/>
                    </w:rPr>
                    <w:t>地块名称</w:t>
                  </w:r>
                  <w:r>
                    <w:rPr>
                      <w:rFonts w:ascii="黑体" w:hAnsi="黑体" w:eastAsia="黑体"/>
                      <w:snapToGrid w:val="0"/>
                      <w:color w:val="000000"/>
                      <w:sz w:val="18"/>
                      <w:szCs w:val="18"/>
                    </w:rPr>
                    <w:t>**，地块编码。</w:t>
                  </w:r>
                </w:p>
              </w:tc>
              <w:tc>
                <w:tcPr>
                  <w:tcW w:w="709" w:type="dxa"/>
                  <w:vMerge w:val="restart"/>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r>
                    <w:rPr>
                      <w:rFonts w:ascii="黑体" w:hAnsi="黑体" w:eastAsia="黑体"/>
                      <w:snapToGrid w:val="0"/>
                      <w:color w:val="000000"/>
                      <w:sz w:val="18"/>
                      <w:szCs w:val="18"/>
                    </w:rPr>
                    <w:t>10</w:t>
                  </w:r>
                </w:p>
              </w:tc>
              <w:tc>
                <w:tcPr>
                  <w:tcW w:w="709" w:type="dxa"/>
                  <w:vMerge w:val="restart"/>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26" w:hRule="exac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lang w:eastAsia="zh-TW"/>
                    </w:rPr>
                  </w:pPr>
                  <w:r>
                    <w:rPr>
                      <w:rFonts w:ascii="黑体" w:hAnsi="黑体" w:eastAsia="黑体"/>
                      <w:snapToGrid w:val="0"/>
                      <w:color w:val="000000"/>
                      <w:sz w:val="18"/>
                      <w:szCs w:val="18"/>
                    </w:rPr>
                    <w:t>（2）地块位置、面积和边界</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地块位置**、面积和边界，含场址位置图，地块范围图**，边界拐点坐标**，外围土地利用分布图。</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lang w:eastAsia="zh-TW"/>
                    </w:rPr>
                  </w:pPr>
                  <w:r>
                    <w:rPr>
                      <w:rFonts w:ascii="黑体" w:hAnsi="黑体" w:eastAsia="黑体"/>
                      <w:snapToGrid w:val="0"/>
                      <w:color w:val="000000"/>
                      <w:sz w:val="18"/>
                      <w:szCs w:val="18"/>
                    </w:rPr>
                    <w:t>（3）土地所有人或管理人资料</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历次所有人变更的时间和所有人信息。</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（4）地块目前使用状况和信息</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地块目前使用状况和信息，含场区平面布置图。</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599"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（5）地块使用历史及变迁</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地块使用、生产历史，变迁时间和信息，并含场址利用变迁图件，历次变化的场区平面布置图。</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468" w:hRule="atLeast"/>
                <w:jc w:val="center"/>
              </w:trPr>
              <w:tc>
                <w:tcPr>
                  <w:tcW w:w="689" w:type="dxa"/>
                  <w:vMerge w:val="restart"/>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restart"/>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（6）地块地面修建情况</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地块地面修建、改造时间和情况，并含修建和改造的文件、资料、图件，地块现状照片*。</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（7）地下设施</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地下设施、储罐、电缆（线）布设，并含地下设施布设图*。</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restart"/>
                  <w:vAlign w:val="center"/>
                </w:tcPr>
                <w:p>
                  <w:pPr>
                    <w:autoSpaceDE w:val="0"/>
                    <w:autoSpaceDN w:val="0"/>
                    <w:spacing w:line="240" w:lineRule="atLeast"/>
                    <w:contextualSpacing/>
                    <w:rPr>
                      <w:rFonts w:ascii="黑体" w:hAnsi="黑体" w:eastAsia="黑体"/>
                      <w:snapToGrid w:val="0"/>
                      <w:color w:val="000000"/>
                      <w:sz w:val="18"/>
                      <w:szCs w:val="18"/>
                    </w:rPr>
                  </w:pPr>
                  <w:r>
                    <w:rPr>
                      <w:rFonts w:ascii="黑体" w:hAnsi="黑体" w:eastAsia="黑体"/>
                      <w:snapToGrid w:val="0"/>
                      <w:color w:val="000000"/>
                      <w:sz w:val="18"/>
                      <w:szCs w:val="18"/>
                    </w:rPr>
                    <w:t>地块所在区域自然环境</w:t>
                  </w: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lang w:eastAsia="zh-TW"/>
                    </w:rPr>
                  </w:pPr>
                  <w:r>
                    <w:rPr>
                      <w:rFonts w:ascii="黑体" w:hAnsi="黑体" w:eastAsia="黑体"/>
                      <w:snapToGrid w:val="0"/>
                      <w:color w:val="000000"/>
                      <w:sz w:val="18"/>
                      <w:szCs w:val="18"/>
                    </w:rPr>
                    <w:t>（1）气象资料</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风向</w:t>
                  </w:r>
                  <w:r>
                    <w:rPr>
                      <w:rFonts w:hint="eastAsia" w:ascii="黑体" w:hAnsi="黑体" w:eastAsia="黑体"/>
                      <w:snapToGrid w:val="0"/>
                      <w:color w:val="000000"/>
                      <w:sz w:val="18"/>
                      <w:szCs w:val="18"/>
                    </w:rPr>
                    <w:t>、</w:t>
                  </w:r>
                  <w:r>
                    <w:rPr>
                      <w:rFonts w:ascii="黑体" w:hAnsi="黑体" w:eastAsia="黑体"/>
                      <w:snapToGrid w:val="0"/>
                      <w:color w:val="000000"/>
                      <w:sz w:val="18"/>
                      <w:szCs w:val="18"/>
                    </w:rPr>
                    <w:t>降雨</w:t>
                  </w:r>
                  <w:r>
                    <w:rPr>
                      <w:rFonts w:hint="eastAsia" w:ascii="黑体" w:hAnsi="黑体" w:eastAsia="黑体"/>
                      <w:snapToGrid w:val="0"/>
                      <w:color w:val="000000"/>
                      <w:sz w:val="18"/>
                      <w:szCs w:val="18"/>
                    </w:rPr>
                    <w:t>、</w:t>
                  </w:r>
                  <w:r>
                    <w:rPr>
                      <w:rFonts w:ascii="黑体" w:hAnsi="黑体" w:eastAsia="黑体"/>
                      <w:snapToGrid w:val="0"/>
                      <w:color w:val="000000"/>
                      <w:sz w:val="18"/>
                      <w:szCs w:val="18"/>
                    </w:rPr>
                    <w:t>气温等。</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（2）区域水文地质条件</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区域地层结构、河流分布和水流向等。</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（3）地下水使用状况</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包含区域地下水流向。</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（4）地块周围环境资料和社会信息</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包含地块周围分布图。</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（5）地块周围交通和敏感目标分布</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包含周围敏感目标分布图。</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（6）地块用地未来规划</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包含规划文件/图件。</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restart"/>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r>
                    <w:rPr>
                      <w:rFonts w:ascii="黑体" w:hAnsi="黑体" w:eastAsia="黑体"/>
                      <w:color w:val="000000"/>
                      <w:sz w:val="18"/>
                      <w:szCs w:val="18"/>
                    </w:rPr>
                    <w:t>3</w:t>
                  </w:r>
                </w:p>
              </w:tc>
              <w:tc>
                <w:tcPr>
                  <w:tcW w:w="1200" w:type="dxa"/>
                  <w:vMerge w:val="restart"/>
                  <w:vAlign w:val="center"/>
                </w:tcPr>
                <w:p>
                  <w:pPr>
                    <w:autoSpaceDE w:val="0"/>
                    <w:autoSpaceDN w:val="0"/>
                    <w:spacing w:line="240" w:lineRule="atLeast"/>
                    <w:contextualSpacing/>
                    <w:rPr>
                      <w:rFonts w:ascii="黑体" w:hAnsi="黑体" w:eastAsia="黑体"/>
                      <w:color w:val="000000"/>
                      <w:sz w:val="18"/>
                      <w:szCs w:val="18"/>
                      <w:lang w:eastAsia="zh-TW"/>
                    </w:rPr>
                  </w:pPr>
                  <w:r>
                    <w:rPr>
                      <w:rFonts w:ascii="黑体" w:hAnsi="黑体" w:eastAsia="黑体"/>
                      <w:snapToGrid w:val="0"/>
                      <w:color w:val="000000"/>
                      <w:sz w:val="18"/>
                      <w:szCs w:val="18"/>
                    </w:rPr>
                    <w:t>关注污染物和重点污染区分析</w:t>
                  </w: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（1）地块相关环境调查资料</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环评或以往调查报告等。</w:t>
                  </w:r>
                </w:p>
              </w:tc>
              <w:tc>
                <w:tcPr>
                  <w:tcW w:w="709" w:type="dxa"/>
                  <w:vMerge w:val="restart"/>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r>
                    <w:rPr>
                      <w:rFonts w:ascii="黑体" w:hAnsi="黑体" w:eastAsia="黑体"/>
                      <w:snapToGrid w:val="0"/>
                      <w:color w:val="000000"/>
                      <w:sz w:val="18"/>
                      <w:szCs w:val="18"/>
                    </w:rPr>
                    <w:t>20</w:t>
                  </w:r>
                </w:p>
              </w:tc>
              <w:tc>
                <w:tcPr>
                  <w:tcW w:w="709" w:type="dxa"/>
                  <w:vMerge w:val="restart"/>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（2）地块污染历史信息</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lang w:eastAsia="zh-TW"/>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lang w:eastAsia="zh-T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（3）过去泄漏和污染事故情况</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泄露和污染事故时间和位置等基本情况，包含污染区域图件。</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lang w:eastAsia="zh-TW"/>
                    </w:rPr>
                  </w:pPr>
                  <w:r>
                    <w:rPr>
                      <w:rFonts w:ascii="黑体" w:hAnsi="黑体" w:eastAsia="黑体"/>
                      <w:snapToGrid w:val="0"/>
                      <w:color w:val="000000"/>
                      <w:sz w:val="18"/>
                      <w:szCs w:val="18"/>
                    </w:rPr>
                    <w:t>（4）生产工艺和变更</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生产工艺和变更情况，包含</w:t>
                  </w:r>
                  <w:r>
                    <w:rPr>
                      <w:rFonts w:ascii="黑体" w:hAnsi="黑体" w:eastAsia="黑体"/>
                      <w:snapToGrid w:val="0"/>
                      <w:color w:val="000000"/>
                      <w:sz w:val="18"/>
                      <w:szCs w:val="18"/>
                      <w:lang w:eastAsia="zh-TW"/>
                    </w:rPr>
                    <w:t>各工艺变更平面布置图</w:t>
                  </w:r>
                  <w:r>
                    <w:rPr>
                      <w:rFonts w:ascii="黑体" w:hAnsi="黑体" w:eastAsia="黑体"/>
                      <w:snapToGrid w:val="0"/>
                      <w:color w:val="000000"/>
                      <w:sz w:val="18"/>
                      <w:szCs w:val="18"/>
                    </w:rPr>
                    <w:t>。</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（5）生产工艺分析</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各生产工艺流程图，原料、产品、辅料等。</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（6）地块关注污染物分析</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包含关注物质判定表，</w:t>
                  </w:r>
                  <w:r>
                    <w:rPr>
                      <w:rFonts w:ascii="黑体" w:hAnsi="黑体" w:eastAsia="黑体"/>
                      <w:color w:val="000000"/>
                      <w:sz w:val="18"/>
                      <w:szCs w:val="18"/>
                    </w:rPr>
                    <w:t>重点分析污染物毒性、用量、使用年限及渗漏可能性。</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488"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（7）废物填埋或堆放情况</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过去和现在废物填埋或堆放地点以及处理情况，包含</w:t>
                  </w:r>
                  <w:r>
                    <w:rPr>
                      <w:rFonts w:hint="eastAsia" w:ascii="黑体" w:hAnsi="黑体" w:eastAsia="黑体"/>
                      <w:snapToGrid w:val="0"/>
                      <w:color w:val="000000"/>
                      <w:sz w:val="18"/>
                      <w:szCs w:val="18"/>
                    </w:rPr>
                    <w:t>固体废物</w:t>
                  </w:r>
                  <w:r>
                    <w:rPr>
                      <w:rFonts w:ascii="黑体" w:hAnsi="黑体" w:eastAsia="黑体"/>
                      <w:snapToGrid w:val="0"/>
                      <w:color w:val="000000"/>
                      <w:sz w:val="18"/>
                      <w:szCs w:val="18"/>
                    </w:rPr>
                    <w:t>填埋或堆放位置图。</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509"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（8）排污地点和处理情况</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过去和现在排污地点和处理情况，包含废水（处理）池位置平面图。</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（9）残余废弃物和污染源</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调查区域内是否有残余废弃物，包含数量、位置、形状等。</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72" w:hRule="atLeast"/>
                <w:jc w:val="center"/>
              </w:trPr>
              <w:tc>
                <w:tcPr>
                  <w:tcW w:w="689" w:type="dxa"/>
                  <w:vMerge w:val="restart"/>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r>
                    <w:rPr>
                      <w:rFonts w:ascii="黑体" w:hAnsi="黑体" w:eastAsia="黑体"/>
                      <w:color w:val="000000"/>
                      <w:sz w:val="18"/>
                      <w:szCs w:val="18"/>
                    </w:rPr>
                    <w:t>4</w:t>
                  </w:r>
                </w:p>
              </w:tc>
              <w:tc>
                <w:tcPr>
                  <w:tcW w:w="1200" w:type="dxa"/>
                  <w:vMerge w:val="restart"/>
                  <w:vAlign w:val="center"/>
                </w:tcPr>
                <w:p>
                  <w:pPr>
                    <w:autoSpaceDE w:val="0"/>
                    <w:autoSpaceDN w:val="0"/>
                    <w:spacing w:line="240" w:lineRule="atLeast"/>
                    <w:contextualSpacing/>
                    <w:rPr>
                      <w:rFonts w:ascii="黑体" w:hAnsi="黑体" w:eastAsia="黑体"/>
                      <w:color w:val="000000"/>
                      <w:sz w:val="18"/>
                      <w:szCs w:val="18"/>
                      <w:lang w:eastAsia="zh-TW"/>
                    </w:rPr>
                  </w:pPr>
                  <w:r>
                    <w:rPr>
                      <w:rFonts w:ascii="黑体" w:hAnsi="黑体" w:eastAsia="黑体"/>
                      <w:snapToGrid w:val="0"/>
                      <w:color w:val="000000"/>
                      <w:sz w:val="18"/>
                      <w:szCs w:val="18"/>
                    </w:rPr>
                    <w:t>土壤/地下水调查布点取样</w:t>
                  </w: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lang w:eastAsia="zh-TW"/>
                    </w:rPr>
                  </w:pPr>
                  <w:r>
                    <w:rPr>
                      <w:rFonts w:ascii="黑体" w:hAnsi="黑体" w:eastAsia="黑体"/>
                      <w:snapToGrid w:val="0"/>
                      <w:color w:val="000000"/>
                      <w:sz w:val="18"/>
                      <w:szCs w:val="18"/>
                    </w:rPr>
                    <w:t>（1）布点依据和方法</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布点依据和方法具有针对性*、代表性*。</w:t>
                  </w:r>
                </w:p>
              </w:tc>
              <w:tc>
                <w:tcPr>
                  <w:tcW w:w="709" w:type="dxa"/>
                  <w:vMerge w:val="restart"/>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r>
                    <w:rPr>
                      <w:rFonts w:ascii="黑体" w:hAnsi="黑体" w:eastAsia="黑体"/>
                      <w:snapToGrid w:val="0"/>
                      <w:color w:val="000000"/>
                      <w:sz w:val="18"/>
                      <w:szCs w:val="18"/>
                    </w:rPr>
                    <w:t>30</w:t>
                  </w:r>
                </w:p>
              </w:tc>
              <w:tc>
                <w:tcPr>
                  <w:tcW w:w="709" w:type="dxa"/>
                  <w:vMerge w:val="restart"/>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7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（2）布点数量及位置</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含带坐标的点位布设图*。</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highlight w:val="yellow"/>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（3）地下水井布置与取样</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包含地下水井布设图及建井洗井过程*。</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highlight w:val="yellow"/>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（4）现场采样深度</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采样深度科学，包含现场采样图片和记录*。</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restart"/>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restart"/>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（5）现场采样方法</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样品采集过程规范，包含现场采样图片和记录。</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（6）地下水埋藏和分布特征</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包含地下水水位，地下水流向图。</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（7）地层分布特征</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包含地层分布图。</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76" w:hRule="exac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36" w:firstLineChars="200"/>
                    <w:contextualSpacing/>
                    <w:rPr>
                      <w:rFonts w:ascii="黑体" w:hAnsi="黑体" w:eastAsia="黑体"/>
                      <w:snapToGrid w:val="0"/>
                      <w:color w:val="000000"/>
                      <w:spacing w:val="-6"/>
                      <w:sz w:val="18"/>
                      <w:szCs w:val="18"/>
                    </w:rPr>
                  </w:pPr>
                  <w:r>
                    <w:rPr>
                      <w:rFonts w:ascii="黑体" w:hAnsi="黑体" w:eastAsia="黑体"/>
                      <w:snapToGrid w:val="0"/>
                      <w:color w:val="000000"/>
                      <w:spacing w:val="-6"/>
                      <w:sz w:val="18"/>
                      <w:szCs w:val="18"/>
                    </w:rPr>
                    <w:t>（8）水文地质数据和参数（第三阶段调查）</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土壤有机质含量、容重、含水率、土壤孔隙率和渗透系数，包括调查方法等。</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（9）样品保存、流转、运输过程</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简述样品保存、流转、运输过程。</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（10）样品检测指标</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全面的样品检测指标*，包含涉及危险废物监测项目。</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7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（11）检测机构资格和检测方法</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附有检测方法和检测限统计表、检测资质</w:t>
                  </w:r>
                  <w:r>
                    <w:rPr>
                      <w:rFonts w:hint="eastAsia" w:ascii="黑体" w:hAnsi="黑体" w:eastAsia="黑体" w:cs="方正小标宋简体"/>
                      <w:snapToGrid w:val="0"/>
                      <w:color w:val="000000"/>
                      <w:sz w:val="18"/>
                      <w:szCs w:val="18"/>
                    </w:rPr>
                    <w:t>〔</w:t>
                  </w:r>
                  <w:r>
                    <w:rPr>
                      <w:rFonts w:ascii="黑体" w:hAnsi="黑体" w:eastAsia="黑体"/>
                      <w:snapToGrid w:val="0"/>
                      <w:color w:val="000000"/>
                      <w:sz w:val="18"/>
                      <w:szCs w:val="18"/>
                    </w:rPr>
                    <w:t>对不具备《土壤环境质量 建设用地土壤污染风险管控标准（试行）》（GB 36600）中45项基本项目CMA检测资质的扣分</w:t>
                  </w:r>
                  <w:r>
                    <w:rPr>
                      <w:rFonts w:hint="eastAsia" w:ascii="黑体" w:hAnsi="黑体" w:eastAsia="黑体" w:cs="方正小标宋简体"/>
                      <w:snapToGrid w:val="0"/>
                      <w:color w:val="000000"/>
                      <w:sz w:val="18"/>
                      <w:szCs w:val="18"/>
                    </w:rPr>
                    <w:t>〕</w:t>
                  </w:r>
                  <w:r>
                    <w:rPr>
                      <w:rFonts w:ascii="黑体" w:hAnsi="黑体" w:eastAsia="黑体"/>
                      <w:snapToGrid w:val="0"/>
                      <w:color w:val="000000"/>
                      <w:sz w:val="18"/>
                      <w:szCs w:val="18"/>
                    </w:rPr>
                    <w:t>和涉及检测项目的认证明细**。</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（12）调查结束阶段</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□第一阶段调查</w:t>
                  </w:r>
                </w:p>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□第二阶段调查（□初步采样分析□详细采样分析）</w:t>
                  </w:r>
                </w:p>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□第三阶段调查</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restart"/>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r>
                    <w:rPr>
                      <w:rFonts w:ascii="黑体" w:hAnsi="黑体" w:eastAsia="黑体"/>
                      <w:color w:val="000000"/>
                      <w:sz w:val="18"/>
                      <w:szCs w:val="18"/>
                    </w:rPr>
                    <w:t>5</w:t>
                  </w:r>
                </w:p>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1200" w:type="dxa"/>
                  <w:vMerge w:val="restart"/>
                  <w:vAlign w:val="center"/>
                </w:tcPr>
                <w:p>
                  <w:pPr>
                    <w:autoSpaceDE w:val="0"/>
                    <w:autoSpaceDN w:val="0"/>
                    <w:spacing w:line="240" w:lineRule="atLeast"/>
                    <w:contextualSpacing/>
                    <w:rPr>
                      <w:rFonts w:ascii="黑体" w:hAnsi="黑体" w:eastAsia="黑体"/>
                      <w:color w:val="000000"/>
                      <w:sz w:val="18"/>
                      <w:szCs w:val="18"/>
                      <w:lang w:eastAsia="zh-TW"/>
                    </w:rPr>
                  </w:pPr>
                  <w:r>
                    <w:rPr>
                      <w:rFonts w:ascii="黑体" w:hAnsi="黑体" w:eastAsia="黑体"/>
                      <w:snapToGrid w:val="0"/>
                      <w:color w:val="000000"/>
                      <w:sz w:val="18"/>
                      <w:szCs w:val="18"/>
                    </w:rPr>
                    <w:t>调查结果分析和调查结论</w:t>
                  </w: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（1）水文地质报告和数据</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报告和数据准确、详实。</w:t>
                  </w:r>
                </w:p>
              </w:tc>
              <w:tc>
                <w:tcPr>
                  <w:tcW w:w="709" w:type="dxa"/>
                  <w:vMerge w:val="restart"/>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r>
                    <w:rPr>
                      <w:rFonts w:ascii="黑体" w:hAnsi="黑体" w:eastAsia="黑体"/>
                      <w:snapToGrid w:val="0"/>
                      <w:color w:val="000000"/>
                      <w:sz w:val="18"/>
                      <w:szCs w:val="18"/>
                    </w:rPr>
                    <w:t>30</w:t>
                  </w:r>
                </w:p>
              </w:tc>
              <w:tc>
                <w:tcPr>
                  <w:tcW w:w="709" w:type="dxa"/>
                  <w:vMerge w:val="restart"/>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（2）样品检测报告和数据</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报告和数据准确、详实**。</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（3）测绘报告</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报告准确、详实。</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（4）检测数据汇整和分析</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数据汇整、分析和表征科学合理，包含污染源解析**。</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（5）评价指标确定</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评价指标合理*。</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（6）污染范围和深度划定（详细调查）</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污染范围和深度的划定方法符合相关要求*。</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lang w:eastAsia="zh-TW"/>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lang w:eastAsia="zh-T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1200" w:type="dxa"/>
                  <w:vMerge w:val="continue"/>
                  <w:vAlign w:val="center"/>
                </w:tcPr>
                <w:p>
                  <w:pPr>
                    <w:autoSpaceDE w:val="0"/>
                    <w:autoSpaceDN w:val="0"/>
                    <w:spacing w:line="240" w:lineRule="atLeast"/>
                    <w:ind w:firstLine="360" w:firstLineChars="200"/>
                    <w:contextualSpacing/>
                    <w:rPr>
                      <w:rFonts w:ascii="黑体" w:hAnsi="黑体" w:eastAsia="黑体"/>
                      <w:color w:val="000000"/>
                      <w:sz w:val="18"/>
                      <w:szCs w:val="18"/>
                      <w:lang w:eastAsia="zh-TW"/>
                    </w:rPr>
                  </w:pPr>
                </w:p>
              </w:tc>
              <w:tc>
                <w:tcPr>
                  <w:tcW w:w="2369"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（7）调查结论</w:t>
                  </w:r>
                </w:p>
              </w:tc>
              <w:tc>
                <w:tcPr>
                  <w:tcW w:w="3260" w:type="dxa"/>
                  <w:vAlign w:val="center"/>
                </w:tcPr>
                <w:p>
                  <w:pPr>
                    <w:autoSpaceDE w:val="0"/>
                    <w:autoSpaceDN w:val="0"/>
                    <w:spacing w:line="240" w:lineRule="atLeast"/>
                    <w:ind w:firstLine="360" w:firstLineChars="200"/>
                    <w:contextualSpacing/>
                    <w:rPr>
                      <w:rFonts w:ascii="黑体" w:hAnsi="黑体" w:eastAsia="黑体"/>
                      <w:snapToGrid w:val="0"/>
                      <w:color w:val="000000"/>
                      <w:sz w:val="18"/>
                      <w:szCs w:val="18"/>
                    </w:rPr>
                  </w:pPr>
                  <w:r>
                    <w:rPr>
                      <w:rFonts w:ascii="黑体" w:hAnsi="黑体" w:eastAsia="黑体"/>
                      <w:snapToGrid w:val="0"/>
                      <w:color w:val="000000"/>
                      <w:sz w:val="18"/>
                      <w:szCs w:val="18"/>
                    </w:rPr>
                    <w:t>调查结论明确、可信，报告书、图件、附件及相关材料完整**。</w:t>
                  </w:r>
                </w:p>
              </w:tc>
              <w:tc>
                <w:tcPr>
                  <w:tcW w:w="709" w:type="dxa"/>
                  <w:vMerge w:val="continue"/>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Merge w:val="continue"/>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2" w:hRule="atLeast"/>
                <w:jc w:val="center"/>
              </w:trPr>
              <w:tc>
                <w:tcPr>
                  <w:tcW w:w="689" w:type="dxa"/>
                  <w:vAlign w:val="center"/>
                </w:tcPr>
                <w:p>
                  <w:pPr>
                    <w:autoSpaceDE w:val="0"/>
                    <w:autoSpaceDN w:val="0"/>
                    <w:spacing w:line="240" w:lineRule="atLeast"/>
                    <w:ind w:firstLine="360" w:firstLineChars="200"/>
                    <w:contextualSpacing/>
                    <w:jc w:val="center"/>
                    <w:rPr>
                      <w:rFonts w:ascii="黑体" w:hAnsi="黑体" w:eastAsia="黑体"/>
                      <w:color w:val="000000"/>
                      <w:sz w:val="18"/>
                      <w:szCs w:val="18"/>
                      <w:lang w:eastAsia="zh-TW"/>
                    </w:rPr>
                  </w:pPr>
                </w:p>
              </w:tc>
              <w:tc>
                <w:tcPr>
                  <w:tcW w:w="1200" w:type="dxa"/>
                  <w:vAlign w:val="center"/>
                </w:tcPr>
                <w:p>
                  <w:pPr>
                    <w:autoSpaceDE w:val="0"/>
                    <w:autoSpaceDN w:val="0"/>
                    <w:spacing w:line="240" w:lineRule="atLeast"/>
                    <w:ind w:firstLine="360" w:firstLineChars="200"/>
                    <w:contextualSpacing/>
                    <w:jc w:val="center"/>
                    <w:rPr>
                      <w:rFonts w:ascii="黑体" w:hAnsi="黑体" w:eastAsia="黑体"/>
                      <w:color w:val="000000"/>
                      <w:sz w:val="18"/>
                      <w:szCs w:val="18"/>
                      <w:lang w:eastAsia="zh-TW"/>
                    </w:rPr>
                  </w:pPr>
                  <w:r>
                    <w:rPr>
                      <w:rFonts w:hint="eastAsia" w:ascii="黑体" w:hAnsi="黑体" w:eastAsia="黑体"/>
                      <w:color w:val="000000"/>
                      <w:sz w:val="18"/>
                      <w:szCs w:val="18"/>
                    </w:rPr>
                    <w:t>总分</w:t>
                  </w:r>
                </w:p>
              </w:tc>
              <w:tc>
                <w:tcPr>
                  <w:tcW w:w="2369" w:type="dxa"/>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3260" w:type="dxa"/>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c>
                <w:tcPr>
                  <w:tcW w:w="709" w:type="dxa"/>
                  <w:vAlign w:val="center"/>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r>
                    <w:rPr>
                      <w:rFonts w:hint="eastAsia" w:ascii="黑体" w:hAnsi="黑体" w:eastAsia="黑体"/>
                      <w:snapToGrid w:val="0"/>
                      <w:color w:val="000000"/>
                      <w:sz w:val="18"/>
                      <w:szCs w:val="18"/>
                    </w:rPr>
                    <w:t>100</w:t>
                  </w:r>
                </w:p>
              </w:tc>
              <w:tc>
                <w:tcPr>
                  <w:tcW w:w="709" w:type="dxa"/>
                </w:tcPr>
                <w:p>
                  <w:pPr>
                    <w:autoSpaceDE w:val="0"/>
                    <w:autoSpaceDN w:val="0"/>
                    <w:spacing w:line="240" w:lineRule="atLeast"/>
                    <w:ind w:firstLine="360" w:firstLineChars="200"/>
                    <w:contextualSpacing/>
                    <w:jc w:val="center"/>
                    <w:rPr>
                      <w:rFonts w:ascii="黑体" w:hAnsi="黑体" w:eastAsia="黑体"/>
                      <w:snapToGrid w:val="0"/>
                      <w:color w:val="000000"/>
                      <w:sz w:val="18"/>
                      <w:szCs w:val="18"/>
                    </w:rPr>
                  </w:pPr>
                </w:p>
              </w:tc>
            </w:tr>
          </w:tbl>
          <w:p>
            <w:pPr>
              <w:spacing w:line="240" w:lineRule="atLeast"/>
              <w:ind w:firstLine="360" w:firstLineChars="200"/>
              <w:contextualSpacing/>
              <w:jc w:val="center"/>
              <w:rPr>
                <w:rFonts w:asciiTheme="minorEastAsia" w:hAnsiTheme="minorEastAsia" w:eastAsiaTheme="minorEastAsia" w:cstheme="minorEastAsia"/>
                <w:kern w:val="0"/>
                <w:sz w:val="18"/>
                <w:szCs w:val="18"/>
              </w:rPr>
            </w:pPr>
          </w:p>
          <w:p>
            <w:pPr>
              <w:spacing w:line="240" w:lineRule="atLeast"/>
              <w:ind w:firstLine="360" w:firstLineChars="200"/>
              <w:contextualSpacing/>
              <w:rPr>
                <w:rFonts w:ascii="黑体" w:hAnsi="黑体" w:eastAsia="黑体"/>
                <w:sz w:val="18"/>
                <w:szCs w:val="18"/>
              </w:rPr>
            </w:pPr>
            <w:r>
              <w:rPr>
                <w:rFonts w:ascii="黑体" w:hAnsi="黑体" w:eastAsia="黑体"/>
                <w:sz w:val="18"/>
                <w:szCs w:val="18"/>
              </w:rPr>
              <w:t>注：1.表格中分值为单件评价量化分值。</w:t>
            </w:r>
          </w:p>
          <w:p>
            <w:pPr>
              <w:spacing w:line="240" w:lineRule="atLeast"/>
              <w:ind w:firstLine="360" w:firstLineChars="200"/>
              <w:contextualSpacing/>
              <w:rPr>
                <w:rFonts w:ascii="黑体" w:hAnsi="黑体" w:eastAsia="黑体"/>
                <w:sz w:val="18"/>
                <w:szCs w:val="18"/>
              </w:rPr>
            </w:pPr>
            <w:r>
              <w:rPr>
                <w:rFonts w:ascii="黑体" w:hAnsi="黑体" w:eastAsia="黑体"/>
                <w:sz w:val="18"/>
                <w:szCs w:val="18"/>
              </w:rPr>
              <w:t>2.</w:t>
            </w:r>
            <w:r>
              <w:rPr>
                <w:rFonts w:hint="eastAsia" w:ascii="黑体" w:hAnsi="黑体" w:eastAsia="黑体"/>
                <w:sz w:val="18"/>
                <w:szCs w:val="18"/>
              </w:rPr>
              <w:t>评</w:t>
            </w:r>
            <w:r>
              <w:rPr>
                <w:rFonts w:ascii="黑体" w:hAnsi="黑体" w:eastAsia="黑体"/>
                <w:sz w:val="18"/>
                <w:szCs w:val="18"/>
              </w:rPr>
              <w:t>分为90分（含）以上的，技术文件</w:t>
            </w:r>
            <w:r>
              <w:rPr>
                <w:rFonts w:hint="eastAsia" w:ascii="黑体" w:hAnsi="黑体" w:eastAsia="黑体"/>
                <w:sz w:val="18"/>
                <w:szCs w:val="18"/>
              </w:rPr>
              <w:t>直接</w:t>
            </w:r>
            <w:r>
              <w:rPr>
                <w:rFonts w:ascii="黑体" w:hAnsi="黑体" w:eastAsia="黑体"/>
                <w:sz w:val="18"/>
                <w:szCs w:val="18"/>
              </w:rPr>
              <w:t>评审通过；</w:t>
            </w:r>
            <w:r>
              <w:rPr>
                <w:rFonts w:hint="eastAsia" w:ascii="黑体" w:hAnsi="黑体" w:eastAsia="黑体"/>
                <w:sz w:val="18"/>
                <w:szCs w:val="18"/>
              </w:rPr>
              <w:t>评</w:t>
            </w:r>
            <w:r>
              <w:rPr>
                <w:rFonts w:ascii="黑体" w:hAnsi="黑体" w:eastAsia="黑体"/>
                <w:sz w:val="18"/>
                <w:szCs w:val="18"/>
              </w:rPr>
              <w:t>分为60</w:t>
            </w:r>
            <w:r>
              <w:rPr>
                <w:rFonts w:hint="eastAsia" w:ascii="黑体" w:hAnsi="黑体" w:eastAsia="黑体"/>
                <w:sz w:val="18"/>
                <w:szCs w:val="18"/>
              </w:rPr>
              <w:t>分</w:t>
            </w:r>
            <w:r>
              <w:rPr>
                <w:rFonts w:ascii="黑体" w:hAnsi="黑体" w:eastAsia="黑体"/>
                <w:sz w:val="18"/>
                <w:szCs w:val="18"/>
              </w:rPr>
              <w:t>（含）至90分的，技术文件评审通过但需修改；</w:t>
            </w:r>
            <w:r>
              <w:rPr>
                <w:rFonts w:hint="eastAsia" w:ascii="黑体" w:hAnsi="黑体" w:eastAsia="黑体"/>
                <w:sz w:val="18"/>
                <w:szCs w:val="18"/>
              </w:rPr>
              <w:t>评</w:t>
            </w:r>
            <w:r>
              <w:rPr>
                <w:rFonts w:ascii="黑体" w:hAnsi="黑体" w:eastAsia="黑体"/>
                <w:sz w:val="18"/>
                <w:szCs w:val="18"/>
              </w:rPr>
              <w:t>分为60分以下的，技</w:t>
            </w:r>
          </w:p>
          <w:p>
            <w:pPr>
              <w:spacing w:line="240" w:lineRule="atLeast"/>
              <w:ind w:firstLine="360" w:firstLineChars="200"/>
              <w:contextualSpacing/>
              <w:rPr>
                <w:rFonts w:ascii="黑体" w:hAnsi="黑体" w:eastAsia="黑体"/>
                <w:sz w:val="18"/>
                <w:szCs w:val="18"/>
              </w:rPr>
            </w:pPr>
            <w:r>
              <w:rPr>
                <w:rFonts w:ascii="黑体" w:hAnsi="黑体" w:eastAsia="黑体"/>
                <w:sz w:val="18"/>
                <w:szCs w:val="18"/>
              </w:rPr>
              <w:t>术文件不予评审通过。</w:t>
            </w:r>
          </w:p>
          <w:p>
            <w:pPr>
              <w:spacing w:line="240" w:lineRule="atLeast"/>
              <w:ind w:firstLine="360" w:firstLineChars="200"/>
              <w:contextualSpacing/>
              <w:rPr>
                <w:rFonts w:ascii="黑体" w:hAnsi="黑体" w:eastAsia="黑体"/>
                <w:sz w:val="18"/>
                <w:szCs w:val="18"/>
              </w:rPr>
            </w:pPr>
            <w:r>
              <w:rPr>
                <w:rFonts w:ascii="黑体" w:hAnsi="黑体" w:eastAsia="黑体"/>
                <w:sz w:val="18"/>
                <w:szCs w:val="18"/>
              </w:rPr>
              <w:t>3.表格</w:t>
            </w:r>
            <w:r>
              <w:rPr>
                <w:rFonts w:hint="eastAsia" w:ascii="黑体" w:hAnsi="黑体" w:eastAsia="黑体"/>
                <w:sz w:val="18"/>
                <w:szCs w:val="18"/>
              </w:rPr>
              <w:t>中标记</w:t>
            </w:r>
            <w:r>
              <w:rPr>
                <w:rFonts w:ascii="黑体" w:hAnsi="黑体" w:eastAsia="黑体"/>
                <w:sz w:val="18"/>
                <w:szCs w:val="18"/>
              </w:rPr>
              <w:t>“**”</w:t>
            </w:r>
            <w:r>
              <w:rPr>
                <w:rFonts w:hint="eastAsia" w:ascii="黑体" w:hAnsi="黑体" w:eastAsia="黑体"/>
                <w:sz w:val="18"/>
                <w:szCs w:val="18"/>
              </w:rPr>
              <w:t>和</w:t>
            </w:r>
            <w:r>
              <w:rPr>
                <w:rFonts w:ascii="黑体" w:hAnsi="黑体" w:eastAsia="黑体"/>
                <w:sz w:val="18"/>
                <w:szCs w:val="18"/>
              </w:rPr>
              <w:t>“*”</w:t>
            </w:r>
            <w:r>
              <w:rPr>
                <w:rFonts w:hint="eastAsia" w:ascii="黑体" w:hAnsi="黑体" w:eastAsia="黑体"/>
                <w:sz w:val="18"/>
                <w:szCs w:val="18"/>
              </w:rPr>
              <w:t>的</w:t>
            </w:r>
            <w:r>
              <w:rPr>
                <w:rFonts w:ascii="黑体" w:hAnsi="黑体" w:eastAsia="黑体"/>
                <w:sz w:val="18"/>
                <w:szCs w:val="18"/>
              </w:rPr>
              <w:t>为重点</w:t>
            </w:r>
            <w:r>
              <w:rPr>
                <w:rFonts w:hint="eastAsia" w:ascii="黑体" w:hAnsi="黑体" w:eastAsia="黑体"/>
                <w:sz w:val="18"/>
                <w:szCs w:val="18"/>
              </w:rPr>
              <w:t>评价</w:t>
            </w:r>
            <w:r>
              <w:rPr>
                <w:rFonts w:ascii="黑体" w:hAnsi="黑体" w:eastAsia="黑体"/>
                <w:sz w:val="18"/>
                <w:szCs w:val="18"/>
              </w:rPr>
              <w:t>项</w:t>
            </w:r>
            <w:r>
              <w:rPr>
                <w:rFonts w:hint="eastAsia" w:ascii="黑体" w:hAnsi="黑体" w:eastAsia="黑体"/>
                <w:sz w:val="18"/>
                <w:szCs w:val="18"/>
              </w:rPr>
              <w:t>。</w:t>
            </w:r>
            <w:r>
              <w:rPr>
                <w:rFonts w:ascii="黑体" w:hAnsi="黑体" w:eastAsia="黑体"/>
                <w:sz w:val="18"/>
                <w:szCs w:val="18"/>
              </w:rPr>
              <w:t>其中</w:t>
            </w:r>
            <w:r>
              <w:rPr>
                <w:rFonts w:hint="eastAsia" w:ascii="黑体" w:hAnsi="黑体" w:eastAsia="黑体"/>
                <w:sz w:val="18"/>
                <w:szCs w:val="18"/>
              </w:rPr>
              <w:t>，</w:t>
            </w:r>
            <w:r>
              <w:rPr>
                <w:rFonts w:ascii="黑体" w:hAnsi="黑体" w:eastAsia="黑体"/>
                <w:sz w:val="18"/>
                <w:szCs w:val="18"/>
              </w:rPr>
              <w:t>有</w:t>
            </w:r>
            <w:r>
              <w:rPr>
                <w:rFonts w:hint="eastAsia" w:ascii="黑体" w:hAnsi="黑体" w:eastAsia="黑体"/>
                <w:sz w:val="18"/>
                <w:szCs w:val="18"/>
              </w:rPr>
              <w:t>1</w:t>
            </w:r>
            <w:r>
              <w:rPr>
                <w:rFonts w:ascii="黑体" w:hAnsi="黑体" w:eastAsia="黑体"/>
                <w:sz w:val="18"/>
                <w:szCs w:val="18"/>
              </w:rPr>
              <w:t>处</w:t>
            </w:r>
            <w:r>
              <w:rPr>
                <w:rFonts w:hint="eastAsia" w:ascii="黑体" w:hAnsi="黑体" w:eastAsia="黑体"/>
                <w:sz w:val="18"/>
                <w:szCs w:val="18"/>
              </w:rPr>
              <w:t>（含）以上</w:t>
            </w:r>
            <w:r>
              <w:rPr>
                <w:rFonts w:ascii="黑体" w:hAnsi="黑体" w:eastAsia="黑体"/>
                <w:sz w:val="18"/>
                <w:szCs w:val="18"/>
              </w:rPr>
              <w:t>“**”</w:t>
            </w:r>
            <w:r>
              <w:rPr>
                <w:rFonts w:hint="eastAsia" w:ascii="黑体" w:hAnsi="黑体" w:eastAsia="黑体"/>
                <w:sz w:val="18"/>
                <w:szCs w:val="18"/>
              </w:rPr>
              <w:t>事项不符合要求或有4处（含）以上“</w:t>
            </w:r>
            <w:r>
              <w:rPr>
                <w:rFonts w:ascii="黑体" w:hAnsi="黑体" w:eastAsia="黑体"/>
                <w:sz w:val="18"/>
                <w:szCs w:val="18"/>
              </w:rPr>
              <w:t>*</w:t>
            </w:r>
            <w:r>
              <w:rPr>
                <w:rFonts w:hint="eastAsia" w:ascii="黑体" w:hAnsi="黑体" w:eastAsia="黑体"/>
                <w:sz w:val="18"/>
                <w:szCs w:val="18"/>
              </w:rPr>
              <w:t>”事项</w:t>
            </w:r>
            <w:r>
              <w:rPr>
                <w:rFonts w:ascii="黑体" w:hAnsi="黑体" w:eastAsia="黑体"/>
                <w:sz w:val="18"/>
                <w:szCs w:val="18"/>
              </w:rPr>
              <w:t>不符合要求的，</w:t>
            </w:r>
            <w:r>
              <w:rPr>
                <w:rFonts w:hint="eastAsia" w:ascii="黑体" w:hAnsi="黑体" w:eastAsia="黑体"/>
                <w:sz w:val="18"/>
                <w:szCs w:val="18"/>
              </w:rPr>
              <w:t>该</w:t>
            </w:r>
          </w:p>
          <w:p>
            <w:pPr>
              <w:spacing w:line="240" w:lineRule="atLeast"/>
              <w:ind w:firstLine="360" w:firstLineChars="200"/>
              <w:contextualSpacing/>
              <w:rPr>
                <w:rFonts w:ascii="黑体" w:hAnsi="黑体" w:eastAsia="黑体"/>
                <w:sz w:val="18"/>
                <w:szCs w:val="18"/>
              </w:rPr>
            </w:pPr>
            <w:r>
              <w:rPr>
                <w:rFonts w:hint="eastAsia" w:ascii="黑体" w:hAnsi="黑体" w:eastAsia="黑体"/>
                <w:sz w:val="18"/>
                <w:szCs w:val="18"/>
              </w:rPr>
              <w:t>技术文件不予评审通过，在60分的基础上，每有1处“</w:t>
            </w:r>
            <w:r>
              <w:rPr>
                <w:rFonts w:ascii="黑体" w:hAnsi="黑体" w:eastAsia="黑体"/>
                <w:sz w:val="18"/>
                <w:szCs w:val="18"/>
              </w:rPr>
              <w:t>**</w:t>
            </w:r>
            <w:r>
              <w:rPr>
                <w:rFonts w:hint="eastAsia" w:ascii="黑体" w:hAnsi="黑体" w:eastAsia="黑体"/>
                <w:sz w:val="18"/>
                <w:szCs w:val="18"/>
              </w:rPr>
              <w:t>”事项不符合要求减10分，每有1处</w:t>
            </w:r>
            <w:r>
              <w:rPr>
                <w:rFonts w:ascii="黑体" w:hAnsi="黑体" w:eastAsia="黑体"/>
                <w:sz w:val="18"/>
                <w:szCs w:val="18"/>
              </w:rPr>
              <w:t>“</w:t>
            </w:r>
            <w:r>
              <w:rPr>
                <w:rFonts w:ascii="黑体" w:hAnsi="黑体" w:eastAsia="黑体"/>
                <w:snapToGrid w:val="0"/>
                <w:color w:val="000000"/>
                <w:sz w:val="18"/>
                <w:szCs w:val="18"/>
              </w:rPr>
              <w:t>*</w:t>
            </w:r>
            <w:r>
              <w:rPr>
                <w:rFonts w:ascii="黑体" w:hAnsi="黑体" w:eastAsia="黑体"/>
                <w:sz w:val="18"/>
                <w:szCs w:val="18"/>
              </w:rPr>
              <w:t>”</w:t>
            </w:r>
            <w:r>
              <w:rPr>
                <w:rFonts w:hint="eastAsia" w:ascii="黑体" w:hAnsi="黑体" w:eastAsia="黑体"/>
                <w:sz w:val="18"/>
                <w:szCs w:val="18"/>
              </w:rPr>
              <w:t>事项不符合</w:t>
            </w:r>
            <w:r>
              <w:rPr>
                <w:rFonts w:ascii="黑体" w:hAnsi="黑体" w:eastAsia="黑体"/>
                <w:sz w:val="18"/>
                <w:szCs w:val="18"/>
              </w:rPr>
              <w:t>要求减5分。有3处（含）</w:t>
            </w:r>
          </w:p>
          <w:p>
            <w:pPr>
              <w:spacing w:line="240" w:lineRule="atLeast"/>
              <w:ind w:firstLine="360" w:firstLineChars="200"/>
              <w:contextualSpacing/>
              <w:rPr>
                <w:rFonts w:asciiTheme="minorEastAsia" w:hAnsiTheme="minorEastAsia" w:eastAsiaTheme="minorEastAsia" w:cstheme="minorEastAsia"/>
                <w:kern w:val="0"/>
                <w:sz w:val="18"/>
                <w:szCs w:val="18"/>
              </w:rPr>
            </w:pPr>
            <w:r>
              <w:rPr>
                <w:rFonts w:ascii="黑体" w:hAnsi="黑体" w:eastAsia="黑体"/>
                <w:sz w:val="18"/>
                <w:szCs w:val="18"/>
              </w:rPr>
              <w:t>以下“</w:t>
            </w:r>
            <w:r>
              <w:rPr>
                <w:rFonts w:ascii="黑体" w:hAnsi="黑体" w:eastAsia="黑体"/>
                <w:snapToGrid w:val="0"/>
                <w:color w:val="000000"/>
                <w:sz w:val="18"/>
                <w:szCs w:val="18"/>
              </w:rPr>
              <w:t>*</w:t>
            </w:r>
            <w:r>
              <w:rPr>
                <w:rFonts w:ascii="黑体" w:hAnsi="黑体" w:eastAsia="黑体"/>
                <w:sz w:val="18"/>
                <w:szCs w:val="18"/>
              </w:rPr>
              <w:t>”</w:t>
            </w:r>
            <w:r>
              <w:rPr>
                <w:rFonts w:hint="eastAsia" w:ascii="黑体" w:hAnsi="黑体" w:eastAsia="黑体"/>
                <w:sz w:val="18"/>
                <w:szCs w:val="18"/>
              </w:rPr>
              <w:t>事项</w:t>
            </w:r>
            <w:r>
              <w:rPr>
                <w:rFonts w:ascii="黑体" w:hAnsi="黑体" w:eastAsia="黑体"/>
                <w:sz w:val="18"/>
                <w:szCs w:val="18"/>
              </w:rPr>
              <w:t>不符合</w:t>
            </w:r>
            <w:r>
              <w:rPr>
                <w:rFonts w:hint="eastAsia" w:ascii="黑体" w:hAnsi="黑体" w:eastAsia="黑体"/>
                <w:sz w:val="18"/>
                <w:szCs w:val="18"/>
              </w:rPr>
              <w:t>要求的，该技术文件需修改，在90分的基础上，每有1处</w:t>
            </w:r>
            <w:r>
              <w:rPr>
                <w:rFonts w:ascii="黑体" w:hAnsi="黑体" w:eastAsia="黑体"/>
                <w:sz w:val="18"/>
                <w:szCs w:val="18"/>
              </w:rPr>
              <w:t>“</w:t>
            </w:r>
            <w:r>
              <w:rPr>
                <w:rFonts w:ascii="黑体" w:hAnsi="黑体" w:eastAsia="黑体"/>
                <w:snapToGrid w:val="0"/>
                <w:color w:val="000000"/>
                <w:sz w:val="18"/>
                <w:szCs w:val="18"/>
              </w:rPr>
              <w:t>*</w:t>
            </w:r>
            <w:r>
              <w:rPr>
                <w:rFonts w:ascii="黑体" w:hAnsi="黑体" w:eastAsia="黑体"/>
                <w:sz w:val="18"/>
                <w:szCs w:val="18"/>
              </w:rPr>
              <w:t>”</w:t>
            </w:r>
            <w:r>
              <w:rPr>
                <w:rFonts w:hint="eastAsia" w:ascii="黑体" w:hAnsi="黑体" w:eastAsia="黑体"/>
                <w:sz w:val="18"/>
                <w:szCs w:val="18"/>
              </w:rPr>
              <w:t>事项不符合要求减5分。</w:t>
            </w:r>
          </w:p>
          <w:p>
            <w:pPr>
              <w:spacing w:line="240" w:lineRule="atLeast"/>
              <w:ind w:firstLine="360" w:firstLineChars="200"/>
              <w:contextualSpacing/>
              <w:rPr>
                <w:rFonts w:asciiTheme="minorEastAsia" w:hAnsiTheme="minorEastAsia" w:eastAsiaTheme="minorEastAsia" w:cstheme="minorEastAsia"/>
                <w:kern w:val="0"/>
                <w:sz w:val="18"/>
                <w:szCs w:val="18"/>
              </w:rPr>
            </w:pPr>
          </w:p>
          <w:p>
            <w:pPr>
              <w:spacing w:line="240" w:lineRule="atLeast"/>
              <w:ind w:firstLine="360" w:firstLineChars="200"/>
              <w:contextualSpacing/>
              <w:rPr>
                <w:rFonts w:asciiTheme="minorEastAsia" w:hAnsiTheme="minorEastAsia" w:eastAsiaTheme="minorEastAsia" w:cstheme="minorEastAsia"/>
                <w:kern w:val="0"/>
                <w:sz w:val="18"/>
                <w:szCs w:val="18"/>
              </w:rPr>
            </w:pPr>
          </w:p>
          <w:p>
            <w:pPr>
              <w:spacing w:line="240" w:lineRule="atLeast"/>
              <w:ind w:firstLine="360" w:firstLineChars="200"/>
              <w:contextualSpacing/>
              <w:rPr>
                <w:rFonts w:asciiTheme="minorEastAsia" w:hAnsiTheme="minorEastAsia" w:eastAsiaTheme="minorEastAsia" w:cstheme="minorEastAsia"/>
                <w:kern w:val="0"/>
                <w:sz w:val="18"/>
                <w:szCs w:val="18"/>
              </w:rPr>
            </w:pPr>
          </w:p>
          <w:p>
            <w:pPr>
              <w:spacing w:line="240" w:lineRule="atLeast"/>
              <w:ind w:firstLine="5400" w:firstLineChars="3000"/>
              <w:contextualSpacing/>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专家签名：</w:t>
            </w:r>
          </w:p>
          <w:p>
            <w:pPr>
              <w:spacing w:line="240" w:lineRule="atLeast"/>
              <w:ind w:firstLine="360" w:firstLineChars="200"/>
              <w:contextualSpacing/>
              <w:rPr>
                <w:rFonts w:asciiTheme="minorEastAsia" w:hAnsiTheme="minorEastAsia" w:eastAsiaTheme="minorEastAsia" w:cstheme="minorEastAsia"/>
                <w:kern w:val="0"/>
                <w:sz w:val="18"/>
                <w:szCs w:val="18"/>
              </w:rPr>
            </w:pPr>
          </w:p>
          <w:p>
            <w:pPr>
              <w:spacing w:line="240" w:lineRule="atLeast"/>
              <w:ind w:firstLine="5400" w:firstLineChars="3000"/>
              <w:contextualSpacing/>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年   月   日</w:t>
            </w:r>
          </w:p>
          <w:p>
            <w:pPr>
              <w:spacing w:line="240" w:lineRule="atLeast"/>
              <w:ind w:firstLine="360" w:firstLineChars="200"/>
              <w:contextualSpacing/>
              <w:jc w:val="center"/>
              <w:rPr>
                <w:rFonts w:asciiTheme="minorEastAsia" w:hAnsiTheme="minorEastAsia" w:eastAsiaTheme="minorEastAsia" w:cstheme="minorEastAsia"/>
                <w:kern w:val="0"/>
                <w:sz w:val="18"/>
                <w:szCs w:val="18"/>
              </w:rPr>
            </w:pPr>
          </w:p>
        </w:tc>
      </w:tr>
    </w:tbl>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spacing w:line="600" w:lineRule="exact"/>
        <w:ind w:firstLine="560" w:firstLineChars="200"/>
        <w:contextualSpacing/>
        <w:rPr>
          <w:rFonts w:ascii="黑体" w:hAnsi="黑体" w:eastAsia="黑体"/>
          <w:sz w:val="28"/>
          <w:szCs w:val="28"/>
        </w:rPr>
      </w:pPr>
    </w:p>
    <w:p>
      <w:pPr>
        <w:pStyle w:val="2"/>
        <w:spacing w:line="600" w:lineRule="exact"/>
        <w:contextualSpacing/>
        <w:rPr>
          <w:rFonts w:ascii="黑体" w:hAnsi="黑体" w:eastAsia="黑体"/>
          <w:b w:val="0"/>
          <w:sz w:val="32"/>
          <w:szCs w:val="28"/>
        </w:rPr>
      </w:pPr>
      <w:bookmarkStart w:id="27" w:name="_Toc56774318"/>
      <w:r>
        <w:rPr>
          <w:rFonts w:hint="eastAsia" w:ascii="黑体" w:hAnsi="黑体" w:eastAsia="黑体"/>
          <w:b w:val="0"/>
          <w:sz w:val="32"/>
          <w:szCs w:val="28"/>
        </w:rPr>
        <w:t>附件8</w:t>
      </w:r>
      <w:bookmarkEnd w:id="27"/>
    </w:p>
    <w:p>
      <w:pPr>
        <w:spacing w:line="600" w:lineRule="exact"/>
        <w:contextualSpacing/>
        <w:jc w:val="center"/>
        <w:rPr>
          <w:rFonts w:ascii="方正小标宋简体" w:eastAsia="方正小标宋简体" w:hAnsiTheme="minorEastAsia"/>
          <w:sz w:val="44"/>
          <w:szCs w:val="44"/>
        </w:rPr>
      </w:pPr>
      <w:r>
        <w:rPr>
          <w:rFonts w:hint="eastAsia" w:ascii="方正小标宋简体" w:eastAsia="方正小标宋简体" w:hAnsiTheme="minorEastAsia"/>
          <w:sz w:val="44"/>
          <w:szCs w:val="44"/>
        </w:rPr>
        <w:t>XX地块</w:t>
      </w:r>
    </w:p>
    <w:p>
      <w:pPr>
        <w:spacing w:line="600" w:lineRule="exact"/>
        <w:contextualSpacing/>
        <w:jc w:val="center"/>
        <w:rPr>
          <w:rFonts w:ascii="方正小标宋简体" w:eastAsia="方正小标宋简体" w:hAnsiTheme="minorEastAsia"/>
          <w:sz w:val="44"/>
          <w:szCs w:val="44"/>
        </w:rPr>
      </w:pPr>
      <w:r>
        <w:rPr>
          <w:rFonts w:hint="eastAsia" w:ascii="方正小标宋简体" w:eastAsia="方正小标宋简体" w:hAnsiTheme="minorEastAsia"/>
          <w:sz w:val="44"/>
          <w:szCs w:val="44"/>
        </w:rPr>
        <w:t>土壤污染状况调查报告修改说明</w:t>
      </w:r>
    </w:p>
    <w:p>
      <w:pPr>
        <w:spacing w:line="600" w:lineRule="exact"/>
        <w:ind w:firstLine="880" w:firstLineChars="200"/>
        <w:contextualSpacing/>
        <w:rPr>
          <w:rFonts w:ascii="方正小标宋简体" w:eastAsia="方正小标宋简体" w:hAnsiTheme="minorEastAsia"/>
          <w:sz w:val="44"/>
          <w:szCs w:val="44"/>
        </w:rPr>
      </w:pPr>
    </w:p>
    <w:tbl>
      <w:tblPr>
        <w:tblStyle w:val="11"/>
        <w:tblW w:w="9274" w:type="dxa"/>
        <w:tblInd w:w="-1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274" w:type="dxa"/>
          </w:tcPr>
          <w:p>
            <w:pPr>
              <w:spacing w:line="600" w:lineRule="exact"/>
              <w:ind w:firstLine="640" w:firstLineChars="200"/>
              <w:contextualSpacing/>
              <w:rPr>
                <w:rFonts w:ascii="仿宋_GB2312" w:eastAsia="仿宋_GB2312" w:cs="宋体" w:hAnsiTheme="minorEastAsia"/>
                <w:bCs/>
                <w:sz w:val="32"/>
                <w:szCs w:val="32"/>
              </w:rPr>
            </w:pPr>
            <w:r>
              <w:rPr>
                <w:rFonts w:hint="eastAsia" w:ascii="仿宋_GB2312" w:eastAsia="仿宋_GB2312" w:cs="宋体" w:hAnsiTheme="minorEastAsia"/>
                <w:bCs/>
                <w:sz w:val="32"/>
                <w:szCs w:val="32"/>
              </w:rPr>
              <w:t>报告修改情况如下：</w:t>
            </w: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560" w:firstLineChars="200"/>
              <w:contextualSpacing/>
              <w:rPr>
                <w:rFonts w:ascii="仿宋_GB2312" w:eastAsia="仿宋_GB2312" w:cs="宋体" w:hAnsiTheme="minorEastAsia"/>
                <w:sz w:val="28"/>
                <w:szCs w:val="28"/>
              </w:rPr>
            </w:pPr>
          </w:p>
          <w:p>
            <w:pPr>
              <w:spacing w:line="600" w:lineRule="exact"/>
              <w:ind w:firstLine="640" w:firstLineChars="200"/>
              <w:contextualSpacing/>
              <w:rPr>
                <w:rFonts w:ascii="仿宋_GB2312" w:eastAsia="仿宋_GB2312" w:cs="宋体" w:hAnsiTheme="minorEastAsia"/>
                <w:sz w:val="32"/>
                <w:szCs w:val="32"/>
              </w:rPr>
            </w:pPr>
            <w:r>
              <w:rPr>
                <w:rFonts w:hint="eastAsia" w:ascii="仿宋_GB2312" w:eastAsia="仿宋_GB2312" w:cs="宋体" w:hAnsiTheme="minorEastAsia"/>
                <w:sz w:val="32"/>
                <w:szCs w:val="32"/>
              </w:rPr>
              <w:t xml:space="preserve">                            报告出具单位： </w:t>
            </w:r>
          </w:p>
          <w:p>
            <w:pPr>
              <w:spacing w:line="600" w:lineRule="exact"/>
              <w:ind w:firstLine="640" w:firstLineChars="200"/>
              <w:contextualSpacing/>
              <w:rPr>
                <w:rFonts w:ascii="仿宋_GB2312" w:eastAsia="仿宋_GB2312" w:cs="宋体" w:hAnsiTheme="minorEastAsia"/>
                <w:sz w:val="32"/>
                <w:szCs w:val="32"/>
              </w:rPr>
            </w:pPr>
            <w:r>
              <w:rPr>
                <w:rFonts w:hint="eastAsia" w:ascii="仿宋_GB2312" w:eastAsia="仿宋_GB2312" w:cs="宋体" w:hAnsiTheme="minorEastAsia"/>
                <w:sz w:val="32"/>
                <w:szCs w:val="32"/>
              </w:rPr>
              <w:t xml:space="preserve">                             年   月  日</w:t>
            </w:r>
          </w:p>
          <w:p>
            <w:pPr>
              <w:spacing w:line="600" w:lineRule="exact"/>
              <w:ind w:firstLine="680" w:firstLineChars="200"/>
              <w:contextualSpacing/>
              <w:rPr>
                <w:rFonts w:ascii="仿宋_GB2312" w:eastAsia="仿宋_GB2312" w:hAnsiTheme="minorEastAsia" w:cstheme="minorEastAsia"/>
                <w:spacing w:val="30"/>
                <w:sz w:val="28"/>
                <w:szCs w:val="28"/>
              </w:rPr>
            </w:pPr>
          </w:p>
        </w:tc>
      </w:tr>
    </w:tbl>
    <w:p>
      <w:pPr>
        <w:tabs>
          <w:tab w:val="left" w:pos="3365"/>
        </w:tabs>
        <w:spacing w:line="600" w:lineRule="exact"/>
        <w:ind w:firstLine="640" w:firstLineChars="200"/>
        <w:contextualSpacing/>
        <w:rPr>
          <w:rFonts w:ascii="仿宋_GB2312" w:eastAsia="仿宋_GB2312"/>
          <w:sz w:val="32"/>
          <w:szCs w:val="32"/>
        </w:rPr>
      </w:pPr>
      <w:r>
        <w:rPr>
          <w:rFonts w:ascii="仿宋_GB2312" w:eastAsia="仿宋_GB2312"/>
          <w:sz w:val="32"/>
          <w:szCs w:val="32"/>
        </w:rPr>
        <w:tab/>
      </w:r>
    </w:p>
    <w:sectPr>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Cambria">
    <w:altName w:val="Noto Sans Syriac Eastern"/>
    <w:panose1 w:val="02040503050406030204"/>
    <w:charset w:val="00"/>
    <w:family w:val="roman"/>
    <w:pitch w:val="default"/>
    <w:sig w:usb0="00000000" w:usb1="00000000" w:usb2="00000000" w:usb3="00000000" w:csb0="0000019F" w:csb1="00000000"/>
  </w:font>
  <w:font w:name="方正小标宋简体">
    <w:panose1 w:val="02000000000000000000"/>
    <w:charset w:val="86"/>
    <w:family w:val="script"/>
    <w:pitch w:val="default"/>
    <w:sig w:usb0="A00002BF" w:usb1="184F6CFA" w:usb2="00000012" w:usb3="00000000" w:csb0="00040001" w:csb1="00000000"/>
  </w:font>
  <w:font w:name="微软雅黑">
    <w:altName w:val="黑体"/>
    <w:panose1 w:val="020B0503020204020204"/>
    <w:charset w:val="86"/>
    <w:family w:val="swiss"/>
    <w:pitch w:val="default"/>
    <w:sig w:usb0="00000000" w:usb1="0000000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NanumGothic">
    <w:panose1 w:val="020D0604000000000000"/>
    <w:charset w:val="81"/>
    <w:family w:val="auto"/>
    <w:pitch w:val="default"/>
    <w:sig w:usb0="900002A7" w:usb1="29D7FCFB" w:usb2="00000010" w:usb3="00000000" w:csb0="00080001" w:csb1="00000000"/>
  </w:font>
  <w:font w:name="方正宋体S-超大字符集">
    <w:panose1 w:val="02000000000000000000"/>
    <w:charset w:val="86"/>
    <w:family w:val="auto"/>
    <w:pitch w:val="default"/>
    <w:sig w:usb0="00000001" w:usb1="08000000" w:usb2="00000000" w:usb3="00000000" w:csb0="00040000" w:csb1="00000000"/>
  </w:font>
  <w:font w:name="方正隶书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0083796"/>
      <w:docPartObj>
        <w:docPartGallery w:val="autotext"/>
      </w:docPartObj>
    </w:sdtPr>
    <w:sdtContent>
      <w:p>
        <w:pPr>
          <w:pStyle w:val="5"/>
          <w:jc w:val="center"/>
        </w:pPr>
        <w:r>
          <w:fldChar w:fldCharType="begin"/>
        </w:r>
        <w:r>
          <w:instrText xml:space="preserve"> PAGE   \* MERGEFORMAT </w:instrText>
        </w:r>
        <w:r>
          <w:fldChar w:fldCharType="separate"/>
        </w:r>
        <w:r>
          <w:rPr>
            <w:lang w:val="zh-CN"/>
          </w:rPr>
          <w:t>-</w:t>
        </w:r>
        <w:r>
          <w:t xml:space="preserve"> 1 -</w:t>
        </w:r>
        <w:r>
          <w:fldChar w:fldCharType="end"/>
        </w:r>
      </w:p>
    </w:sdtContent>
  </w:sdt>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849935"/>
    </w:sdtPr>
    <w:sdtContent>
      <w:p>
        <w:pPr>
          <w:pStyle w:val="5"/>
          <w:jc w:val="center"/>
        </w:pPr>
        <w:r>
          <w:rPr>
            <w:rFonts w:asciiTheme="minorEastAsia" w:hAnsiTheme="minorEastAsia" w:eastAsiaTheme="minorEastAsia"/>
            <w:sz w:val="24"/>
            <w:szCs w:val="24"/>
          </w:rPr>
          <w:fldChar w:fldCharType="begin"/>
        </w:r>
        <w:r>
          <w:rPr>
            <w:rFonts w:asciiTheme="minorEastAsia" w:hAnsiTheme="minorEastAsia" w:eastAsiaTheme="minorEastAsia"/>
            <w:sz w:val="24"/>
            <w:szCs w:val="24"/>
          </w:rPr>
          <w:instrText xml:space="preserve"> PAGE   \* MERGEFORMAT </w:instrText>
        </w:r>
        <w:r>
          <w:rPr>
            <w:rFonts w:asciiTheme="minorEastAsia" w:hAnsiTheme="minorEastAsia" w:eastAsiaTheme="minorEastAsia"/>
            <w:sz w:val="24"/>
            <w:szCs w:val="24"/>
          </w:rPr>
          <w:fldChar w:fldCharType="separate"/>
        </w:r>
        <w:r>
          <w:rPr>
            <w:rFonts w:asciiTheme="minorEastAsia" w:hAnsiTheme="minorEastAsia" w:eastAsiaTheme="majorEastAsia"/>
            <w:sz w:val="24"/>
            <w:szCs w:val="24"/>
            <w:lang w:val="zh-CN"/>
          </w:rPr>
          <w:t>-</w:t>
        </w:r>
        <w:r>
          <w:rPr>
            <w:rFonts w:asciiTheme="minorEastAsia" w:hAnsiTheme="minorEastAsia" w:eastAsiaTheme="majorEastAsia"/>
            <w:sz w:val="24"/>
            <w:szCs w:val="24"/>
          </w:rPr>
          <w:t xml:space="preserve"> 15 -</w:t>
        </w:r>
        <w:r>
          <w:rPr>
            <w:rFonts w:asciiTheme="minorEastAsia" w:hAnsiTheme="minorEastAsia" w:eastAsiaTheme="minorEastAsia"/>
            <w:sz w:val="24"/>
            <w:szCs w:val="24"/>
          </w:rPr>
          <w:fldChar w:fldCharType="end"/>
        </w:r>
      </w:p>
    </w:sdtContent>
  </w:sdt>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rsids>
    <w:rsidRoot w:val="1D447688"/>
    <w:rsid w:val="00003536"/>
    <w:rsid w:val="00004684"/>
    <w:rsid w:val="000057AF"/>
    <w:rsid w:val="00006CBB"/>
    <w:rsid w:val="00006CBD"/>
    <w:rsid w:val="00010D17"/>
    <w:rsid w:val="000136F1"/>
    <w:rsid w:val="00013C71"/>
    <w:rsid w:val="00015699"/>
    <w:rsid w:val="000173B3"/>
    <w:rsid w:val="00021F13"/>
    <w:rsid w:val="00034E93"/>
    <w:rsid w:val="00037B14"/>
    <w:rsid w:val="0004279D"/>
    <w:rsid w:val="00043E03"/>
    <w:rsid w:val="000457B9"/>
    <w:rsid w:val="0006362F"/>
    <w:rsid w:val="0007019B"/>
    <w:rsid w:val="00082D7A"/>
    <w:rsid w:val="00084578"/>
    <w:rsid w:val="000847D7"/>
    <w:rsid w:val="0009506F"/>
    <w:rsid w:val="000A28AC"/>
    <w:rsid w:val="000A542D"/>
    <w:rsid w:val="000B5061"/>
    <w:rsid w:val="000B7099"/>
    <w:rsid w:val="000C0421"/>
    <w:rsid w:val="000C3BE9"/>
    <w:rsid w:val="000C55D1"/>
    <w:rsid w:val="000D3590"/>
    <w:rsid w:val="000D4853"/>
    <w:rsid w:val="000E09C5"/>
    <w:rsid w:val="000E2F49"/>
    <w:rsid w:val="000F4A68"/>
    <w:rsid w:val="00104B06"/>
    <w:rsid w:val="00107EED"/>
    <w:rsid w:val="00115ECC"/>
    <w:rsid w:val="00120109"/>
    <w:rsid w:val="00126E36"/>
    <w:rsid w:val="00150650"/>
    <w:rsid w:val="00156C37"/>
    <w:rsid w:val="00160B0F"/>
    <w:rsid w:val="00161E91"/>
    <w:rsid w:val="00166B61"/>
    <w:rsid w:val="00177B2F"/>
    <w:rsid w:val="001802F2"/>
    <w:rsid w:val="00190204"/>
    <w:rsid w:val="001908BC"/>
    <w:rsid w:val="00193463"/>
    <w:rsid w:val="00194862"/>
    <w:rsid w:val="001971E0"/>
    <w:rsid w:val="001A145C"/>
    <w:rsid w:val="001A56AB"/>
    <w:rsid w:val="001A6E59"/>
    <w:rsid w:val="001A7B14"/>
    <w:rsid w:val="001B41C4"/>
    <w:rsid w:val="001C0888"/>
    <w:rsid w:val="001C392E"/>
    <w:rsid w:val="001C5BA8"/>
    <w:rsid w:val="001D4031"/>
    <w:rsid w:val="001D6105"/>
    <w:rsid w:val="001E1096"/>
    <w:rsid w:val="001E20BF"/>
    <w:rsid w:val="001E49DA"/>
    <w:rsid w:val="001E4FE5"/>
    <w:rsid w:val="001F0054"/>
    <w:rsid w:val="001F56A6"/>
    <w:rsid w:val="002037D2"/>
    <w:rsid w:val="00213B5B"/>
    <w:rsid w:val="0021431C"/>
    <w:rsid w:val="00215A1B"/>
    <w:rsid w:val="00215F18"/>
    <w:rsid w:val="00217349"/>
    <w:rsid w:val="00220531"/>
    <w:rsid w:val="00234AD2"/>
    <w:rsid w:val="00237F1D"/>
    <w:rsid w:val="002415F0"/>
    <w:rsid w:val="002416D7"/>
    <w:rsid w:val="0025000E"/>
    <w:rsid w:val="002505BA"/>
    <w:rsid w:val="002529C6"/>
    <w:rsid w:val="002539FF"/>
    <w:rsid w:val="002553CB"/>
    <w:rsid w:val="00255AC8"/>
    <w:rsid w:val="00257DC1"/>
    <w:rsid w:val="002625F6"/>
    <w:rsid w:val="00270611"/>
    <w:rsid w:val="00280FEE"/>
    <w:rsid w:val="00283B76"/>
    <w:rsid w:val="00292DD5"/>
    <w:rsid w:val="00295A37"/>
    <w:rsid w:val="00296EA8"/>
    <w:rsid w:val="002A4387"/>
    <w:rsid w:val="002A60BA"/>
    <w:rsid w:val="002B5EEF"/>
    <w:rsid w:val="002B67C3"/>
    <w:rsid w:val="002C5A81"/>
    <w:rsid w:val="002D7E27"/>
    <w:rsid w:val="002E269E"/>
    <w:rsid w:val="002E399D"/>
    <w:rsid w:val="002E42BC"/>
    <w:rsid w:val="003049E6"/>
    <w:rsid w:val="00305338"/>
    <w:rsid w:val="003068D8"/>
    <w:rsid w:val="0031683B"/>
    <w:rsid w:val="00323BCB"/>
    <w:rsid w:val="00327C8A"/>
    <w:rsid w:val="0033230C"/>
    <w:rsid w:val="00332A95"/>
    <w:rsid w:val="00334A76"/>
    <w:rsid w:val="00335D53"/>
    <w:rsid w:val="00335E96"/>
    <w:rsid w:val="003513BE"/>
    <w:rsid w:val="00352703"/>
    <w:rsid w:val="0037172E"/>
    <w:rsid w:val="00382809"/>
    <w:rsid w:val="00383D67"/>
    <w:rsid w:val="00393FEE"/>
    <w:rsid w:val="00397667"/>
    <w:rsid w:val="003B3FF3"/>
    <w:rsid w:val="003B489D"/>
    <w:rsid w:val="003C2059"/>
    <w:rsid w:val="003C7EB5"/>
    <w:rsid w:val="003D3EF8"/>
    <w:rsid w:val="003D50FF"/>
    <w:rsid w:val="003E19EF"/>
    <w:rsid w:val="003E4F03"/>
    <w:rsid w:val="003F7E26"/>
    <w:rsid w:val="00407C31"/>
    <w:rsid w:val="00435986"/>
    <w:rsid w:val="00447255"/>
    <w:rsid w:val="00447693"/>
    <w:rsid w:val="00454BE3"/>
    <w:rsid w:val="0045707A"/>
    <w:rsid w:val="0046002E"/>
    <w:rsid w:val="00465422"/>
    <w:rsid w:val="00466D84"/>
    <w:rsid w:val="00477FDD"/>
    <w:rsid w:val="0048049B"/>
    <w:rsid w:val="00480538"/>
    <w:rsid w:val="00480E2A"/>
    <w:rsid w:val="00483A11"/>
    <w:rsid w:val="00485558"/>
    <w:rsid w:val="0049062B"/>
    <w:rsid w:val="00490924"/>
    <w:rsid w:val="004915FA"/>
    <w:rsid w:val="004947FC"/>
    <w:rsid w:val="004A43BC"/>
    <w:rsid w:val="004A6314"/>
    <w:rsid w:val="004B4F7C"/>
    <w:rsid w:val="004C0FF0"/>
    <w:rsid w:val="004C6AEE"/>
    <w:rsid w:val="004D3756"/>
    <w:rsid w:val="004F07B5"/>
    <w:rsid w:val="004F4023"/>
    <w:rsid w:val="004F47BD"/>
    <w:rsid w:val="00500E86"/>
    <w:rsid w:val="005069D9"/>
    <w:rsid w:val="00512E69"/>
    <w:rsid w:val="00512E9F"/>
    <w:rsid w:val="00521E05"/>
    <w:rsid w:val="0052769C"/>
    <w:rsid w:val="00532727"/>
    <w:rsid w:val="00541EB1"/>
    <w:rsid w:val="00542041"/>
    <w:rsid w:val="00544109"/>
    <w:rsid w:val="00550D6A"/>
    <w:rsid w:val="00552E60"/>
    <w:rsid w:val="00552ECB"/>
    <w:rsid w:val="00560DDD"/>
    <w:rsid w:val="00563445"/>
    <w:rsid w:val="005641F6"/>
    <w:rsid w:val="005650FD"/>
    <w:rsid w:val="00573817"/>
    <w:rsid w:val="00575B7C"/>
    <w:rsid w:val="00584293"/>
    <w:rsid w:val="00584DC0"/>
    <w:rsid w:val="00587363"/>
    <w:rsid w:val="00590F1F"/>
    <w:rsid w:val="005A0187"/>
    <w:rsid w:val="005A19D2"/>
    <w:rsid w:val="005A55F8"/>
    <w:rsid w:val="005D3ABA"/>
    <w:rsid w:val="005E6E9F"/>
    <w:rsid w:val="005F29B5"/>
    <w:rsid w:val="005F4EE2"/>
    <w:rsid w:val="005F5AA0"/>
    <w:rsid w:val="00603FBF"/>
    <w:rsid w:val="00626366"/>
    <w:rsid w:val="00626F32"/>
    <w:rsid w:val="00633751"/>
    <w:rsid w:val="00634638"/>
    <w:rsid w:val="00634B0D"/>
    <w:rsid w:val="00634D37"/>
    <w:rsid w:val="00637685"/>
    <w:rsid w:val="00645A68"/>
    <w:rsid w:val="006A1835"/>
    <w:rsid w:val="006A1C9E"/>
    <w:rsid w:val="006A3B5A"/>
    <w:rsid w:val="006A7668"/>
    <w:rsid w:val="006B1179"/>
    <w:rsid w:val="006B1C73"/>
    <w:rsid w:val="006B2DBE"/>
    <w:rsid w:val="006B321D"/>
    <w:rsid w:val="006B6270"/>
    <w:rsid w:val="006B6274"/>
    <w:rsid w:val="006B6E4E"/>
    <w:rsid w:val="006C11AF"/>
    <w:rsid w:val="006D0259"/>
    <w:rsid w:val="006D6407"/>
    <w:rsid w:val="006E6E72"/>
    <w:rsid w:val="006F1A8E"/>
    <w:rsid w:val="006F6DF5"/>
    <w:rsid w:val="007042FE"/>
    <w:rsid w:val="00706D08"/>
    <w:rsid w:val="00724D1A"/>
    <w:rsid w:val="00727415"/>
    <w:rsid w:val="00733AEA"/>
    <w:rsid w:val="00735B18"/>
    <w:rsid w:val="00740BA5"/>
    <w:rsid w:val="00743820"/>
    <w:rsid w:val="00750A27"/>
    <w:rsid w:val="00751C76"/>
    <w:rsid w:val="00752FF7"/>
    <w:rsid w:val="007561F7"/>
    <w:rsid w:val="00757B5A"/>
    <w:rsid w:val="00757D05"/>
    <w:rsid w:val="007646B7"/>
    <w:rsid w:val="007871D5"/>
    <w:rsid w:val="007914B8"/>
    <w:rsid w:val="007A726D"/>
    <w:rsid w:val="007B0159"/>
    <w:rsid w:val="007C4305"/>
    <w:rsid w:val="007C5A3D"/>
    <w:rsid w:val="007C6B51"/>
    <w:rsid w:val="007C7788"/>
    <w:rsid w:val="007D2FB4"/>
    <w:rsid w:val="007D4BE3"/>
    <w:rsid w:val="007E502A"/>
    <w:rsid w:val="00806755"/>
    <w:rsid w:val="00807851"/>
    <w:rsid w:val="008079D0"/>
    <w:rsid w:val="00811A02"/>
    <w:rsid w:val="00814923"/>
    <w:rsid w:val="00814D82"/>
    <w:rsid w:val="00830D3C"/>
    <w:rsid w:val="00831088"/>
    <w:rsid w:val="0083134C"/>
    <w:rsid w:val="00842712"/>
    <w:rsid w:val="00845E41"/>
    <w:rsid w:val="008513C2"/>
    <w:rsid w:val="00853AF1"/>
    <w:rsid w:val="00854249"/>
    <w:rsid w:val="00855BB7"/>
    <w:rsid w:val="0086046D"/>
    <w:rsid w:val="00860A70"/>
    <w:rsid w:val="0086470D"/>
    <w:rsid w:val="00884276"/>
    <w:rsid w:val="008842D5"/>
    <w:rsid w:val="00890BD5"/>
    <w:rsid w:val="00892BB6"/>
    <w:rsid w:val="00895478"/>
    <w:rsid w:val="008C00DB"/>
    <w:rsid w:val="008D22CE"/>
    <w:rsid w:val="008E60C3"/>
    <w:rsid w:val="008F50AB"/>
    <w:rsid w:val="008F5751"/>
    <w:rsid w:val="008F6FE9"/>
    <w:rsid w:val="009011AA"/>
    <w:rsid w:val="00904A10"/>
    <w:rsid w:val="00906472"/>
    <w:rsid w:val="00910048"/>
    <w:rsid w:val="0091161D"/>
    <w:rsid w:val="00921429"/>
    <w:rsid w:val="0093291C"/>
    <w:rsid w:val="00936073"/>
    <w:rsid w:val="009364CC"/>
    <w:rsid w:val="009368DE"/>
    <w:rsid w:val="00944033"/>
    <w:rsid w:val="00950FF7"/>
    <w:rsid w:val="009530FE"/>
    <w:rsid w:val="00955680"/>
    <w:rsid w:val="00960B00"/>
    <w:rsid w:val="009660F9"/>
    <w:rsid w:val="00966A8C"/>
    <w:rsid w:val="009675A0"/>
    <w:rsid w:val="00981F26"/>
    <w:rsid w:val="009907C2"/>
    <w:rsid w:val="009966F2"/>
    <w:rsid w:val="00997168"/>
    <w:rsid w:val="009A6B9A"/>
    <w:rsid w:val="009B7311"/>
    <w:rsid w:val="009C0A60"/>
    <w:rsid w:val="009C19CE"/>
    <w:rsid w:val="009C606F"/>
    <w:rsid w:val="009C63C7"/>
    <w:rsid w:val="009D161A"/>
    <w:rsid w:val="009D7E2C"/>
    <w:rsid w:val="009E16F8"/>
    <w:rsid w:val="009E7335"/>
    <w:rsid w:val="009F0B2B"/>
    <w:rsid w:val="009F24B0"/>
    <w:rsid w:val="00A0012E"/>
    <w:rsid w:val="00A01A6F"/>
    <w:rsid w:val="00A17AE2"/>
    <w:rsid w:val="00A20652"/>
    <w:rsid w:val="00A22EBF"/>
    <w:rsid w:val="00A252F0"/>
    <w:rsid w:val="00A31639"/>
    <w:rsid w:val="00A3192B"/>
    <w:rsid w:val="00A36917"/>
    <w:rsid w:val="00A375B2"/>
    <w:rsid w:val="00A612B2"/>
    <w:rsid w:val="00A72ACC"/>
    <w:rsid w:val="00A75492"/>
    <w:rsid w:val="00A76B96"/>
    <w:rsid w:val="00A76D8F"/>
    <w:rsid w:val="00A80E92"/>
    <w:rsid w:val="00A8149E"/>
    <w:rsid w:val="00A82A9E"/>
    <w:rsid w:val="00A87DC4"/>
    <w:rsid w:val="00AB5188"/>
    <w:rsid w:val="00AB5AFB"/>
    <w:rsid w:val="00AC3191"/>
    <w:rsid w:val="00AC3970"/>
    <w:rsid w:val="00AC73D2"/>
    <w:rsid w:val="00AD2393"/>
    <w:rsid w:val="00AD2B92"/>
    <w:rsid w:val="00AD45AF"/>
    <w:rsid w:val="00AE4A5A"/>
    <w:rsid w:val="00B01C9A"/>
    <w:rsid w:val="00B063A0"/>
    <w:rsid w:val="00B06D2B"/>
    <w:rsid w:val="00B20A39"/>
    <w:rsid w:val="00B23D90"/>
    <w:rsid w:val="00B32C0B"/>
    <w:rsid w:val="00B32E8F"/>
    <w:rsid w:val="00B331E3"/>
    <w:rsid w:val="00B340C1"/>
    <w:rsid w:val="00B4053C"/>
    <w:rsid w:val="00B5315C"/>
    <w:rsid w:val="00B55907"/>
    <w:rsid w:val="00B61D73"/>
    <w:rsid w:val="00B620F6"/>
    <w:rsid w:val="00B73821"/>
    <w:rsid w:val="00B758CB"/>
    <w:rsid w:val="00B81354"/>
    <w:rsid w:val="00B81862"/>
    <w:rsid w:val="00B8363E"/>
    <w:rsid w:val="00B97B70"/>
    <w:rsid w:val="00BA0170"/>
    <w:rsid w:val="00BA1BF1"/>
    <w:rsid w:val="00BA43E7"/>
    <w:rsid w:val="00BA4B1E"/>
    <w:rsid w:val="00BB15F1"/>
    <w:rsid w:val="00BB1D36"/>
    <w:rsid w:val="00BB5B74"/>
    <w:rsid w:val="00BB7B75"/>
    <w:rsid w:val="00BB7EAC"/>
    <w:rsid w:val="00BC7176"/>
    <w:rsid w:val="00BE00D0"/>
    <w:rsid w:val="00BF156F"/>
    <w:rsid w:val="00BF1A6B"/>
    <w:rsid w:val="00BF4D9D"/>
    <w:rsid w:val="00C00289"/>
    <w:rsid w:val="00C003DD"/>
    <w:rsid w:val="00C01F6F"/>
    <w:rsid w:val="00C12DCB"/>
    <w:rsid w:val="00C22A05"/>
    <w:rsid w:val="00C3514C"/>
    <w:rsid w:val="00C358AD"/>
    <w:rsid w:val="00C41414"/>
    <w:rsid w:val="00C437EB"/>
    <w:rsid w:val="00C64229"/>
    <w:rsid w:val="00C718AB"/>
    <w:rsid w:val="00C761EF"/>
    <w:rsid w:val="00C80B35"/>
    <w:rsid w:val="00C9232E"/>
    <w:rsid w:val="00C93B8E"/>
    <w:rsid w:val="00CA576A"/>
    <w:rsid w:val="00CB2FF6"/>
    <w:rsid w:val="00CB4A50"/>
    <w:rsid w:val="00CB5703"/>
    <w:rsid w:val="00CC0E5A"/>
    <w:rsid w:val="00CC146A"/>
    <w:rsid w:val="00CD0742"/>
    <w:rsid w:val="00CE582A"/>
    <w:rsid w:val="00CE75A5"/>
    <w:rsid w:val="00CF3E30"/>
    <w:rsid w:val="00D0267E"/>
    <w:rsid w:val="00D026FF"/>
    <w:rsid w:val="00D03AB9"/>
    <w:rsid w:val="00D054DE"/>
    <w:rsid w:val="00D137FC"/>
    <w:rsid w:val="00D17DF8"/>
    <w:rsid w:val="00D233C5"/>
    <w:rsid w:val="00D42DC6"/>
    <w:rsid w:val="00D443E9"/>
    <w:rsid w:val="00D4746F"/>
    <w:rsid w:val="00D5138A"/>
    <w:rsid w:val="00D53EEC"/>
    <w:rsid w:val="00D60A27"/>
    <w:rsid w:val="00D746F9"/>
    <w:rsid w:val="00D90B41"/>
    <w:rsid w:val="00D941B9"/>
    <w:rsid w:val="00D942C3"/>
    <w:rsid w:val="00D95952"/>
    <w:rsid w:val="00DA0DA9"/>
    <w:rsid w:val="00DA1146"/>
    <w:rsid w:val="00DA165D"/>
    <w:rsid w:val="00DA20A6"/>
    <w:rsid w:val="00DA2474"/>
    <w:rsid w:val="00DA5A1A"/>
    <w:rsid w:val="00DB38D0"/>
    <w:rsid w:val="00DC094F"/>
    <w:rsid w:val="00DC5F4A"/>
    <w:rsid w:val="00DC6FD6"/>
    <w:rsid w:val="00DC7FCF"/>
    <w:rsid w:val="00DE29E9"/>
    <w:rsid w:val="00DE3E52"/>
    <w:rsid w:val="00E00BA1"/>
    <w:rsid w:val="00E10B8E"/>
    <w:rsid w:val="00E1453A"/>
    <w:rsid w:val="00E22E5B"/>
    <w:rsid w:val="00E23495"/>
    <w:rsid w:val="00E23F3D"/>
    <w:rsid w:val="00E24F0D"/>
    <w:rsid w:val="00E33777"/>
    <w:rsid w:val="00E33F52"/>
    <w:rsid w:val="00E34B74"/>
    <w:rsid w:val="00E52519"/>
    <w:rsid w:val="00E54F29"/>
    <w:rsid w:val="00E553F7"/>
    <w:rsid w:val="00E56FC8"/>
    <w:rsid w:val="00E5720A"/>
    <w:rsid w:val="00E67543"/>
    <w:rsid w:val="00E7082C"/>
    <w:rsid w:val="00E722C8"/>
    <w:rsid w:val="00E86461"/>
    <w:rsid w:val="00E90FEA"/>
    <w:rsid w:val="00E94A5E"/>
    <w:rsid w:val="00E97078"/>
    <w:rsid w:val="00E972B8"/>
    <w:rsid w:val="00EA1A0F"/>
    <w:rsid w:val="00EA6431"/>
    <w:rsid w:val="00EA7171"/>
    <w:rsid w:val="00EB1C53"/>
    <w:rsid w:val="00EC5138"/>
    <w:rsid w:val="00EC69B0"/>
    <w:rsid w:val="00ED4BFA"/>
    <w:rsid w:val="00EE37AF"/>
    <w:rsid w:val="00EE7839"/>
    <w:rsid w:val="00EF2888"/>
    <w:rsid w:val="00EF52E8"/>
    <w:rsid w:val="00F018AC"/>
    <w:rsid w:val="00F0349D"/>
    <w:rsid w:val="00F05704"/>
    <w:rsid w:val="00F06D1A"/>
    <w:rsid w:val="00F17261"/>
    <w:rsid w:val="00F2747C"/>
    <w:rsid w:val="00F3311F"/>
    <w:rsid w:val="00F341A4"/>
    <w:rsid w:val="00F4150C"/>
    <w:rsid w:val="00F44362"/>
    <w:rsid w:val="00F469D4"/>
    <w:rsid w:val="00F545AB"/>
    <w:rsid w:val="00F666E5"/>
    <w:rsid w:val="00F7281B"/>
    <w:rsid w:val="00F804E6"/>
    <w:rsid w:val="00F81B2E"/>
    <w:rsid w:val="00F83527"/>
    <w:rsid w:val="00F9249C"/>
    <w:rsid w:val="00F92D83"/>
    <w:rsid w:val="00F936C1"/>
    <w:rsid w:val="00F9410C"/>
    <w:rsid w:val="00FB4411"/>
    <w:rsid w:val="00FB795B"/>
    <w:rsid w:val="00FB79CE"/>
    <w:rsid w:val="00FD36DE"/>
    <w:rsid w:val="0BB052B9"/>
    <w:rsid w:val="118B5AD6"/>
    <w:rsid w:val="13876F96"/>
    <w:rsid w:val="14D565C3"/>
    <w:rsid w:val="1D447688"/>
    <w:rsid w:val="210E207E"/>
    <w:rsid w:val="211A20DA"/>
    <w:rsid w:val="23C45873"/>
    <w:rsid w:val="2C365716"/>
    <w:rsid w:val="30032D23"/>
    <w:rsid w:val="36BE5C5D"/>
    <w:rsid w:val="382C02B5"/>
    <w:rsid w:val="385F708A"/>
    <w:rsid w:val="39070114"/>
    <w:rsid w:val="3C6C79F4"/>
    <w:rsid w:val="4F2339DC"/>
    <w:rsid w:val="518B5F7B"/>
    <w:rsid w:val="6B650E43"/>
    <w:rsid w:val="6D5D56FA"/>
    <w:rsid w:val="7F9F1611"/>
    <w:rsid w:val="E74D947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9"/>
    <w:pPr>
      <w:keepNext/>
      <w:keepLines/>
      <w:spacing w:line="576" w:lineRule="auto"/>
      <w:outlineLvl w:val="0"/>
    </w:pPr>
    <w:rPr>
      <w:b/>
      <w:kern w:val="44"/>
      <w:sz w:val="44"/>
    </w:rPr>
  </w:style>
  <w:style w:type="paragraph" w:styleId="3">
    <w:name w:val="heading 2"/>
    <w:basedOn w:val="1"/>
    <w:next w:val="1"/>
    <w:unhideWhenUsed/>
    <w:qFormat/>
    <w:uiPriority w:val="9"/>
    <w:pPr>
      <w:keepNext/>
      <w:keepLines/>
      <w:spacing w:line="413" w:lineRule="auto"/>
      <w:outlineLvl w:val="1"/>
    </w:pPr>
    <w:rPr>
      <w:rFonts w:ascii="Arial" w:hAnsi="Arial" w:eastAsia="黑体"/>
      <w:b/>
      <w:sz w:val="32"/>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5"/>
    <w:semiHidden/>
    <w:unhideWhenUsed/>
    <w:qFormat/>
    <w:uiPriority w:val="99"/>
    <w:rPr>
      <w:sz w:val="18"/>
      <w:szCs w:val="18"/>
    </w:rPr>
  </w:style>
  <w:style w:type="paragraph" w:styleId="5">
    <w:name w:val="footer"/>
    <w:basedOn w:val="1"/>
    <w:link w:val="16"/>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0"/>
    <w:pPr>
      <w:pBdr>
        <w:bottom w:val="single" w:color="auto" w:sz="6" w:space="1"/>
      </w:pBdr>
      <w:tabs>
        <w:tab w:val="center" w:pos="4153"/>
        <w:tab w:val="right" w:pos="8306"/>
      </w:tabs>
      <w:snapToGrid w:val="0"/>
      <w:jc w:val="center"/>
    </w:pPr>
    <w:rPr>
      <w:sz w:val="18"/>
      <w:szCs w:val="18"/>
    </w:rPr>
  </w:style>
  <w:style w:type="paragraph" w:styleId="7">
    <w:name w:val="toc 1"/>
    <w:basedOn w:val="1"/>
    <w:next w:val="1"/>
    <w:unhideWhenUsed/>
    <w:qFormat/>
    <w:uiPriority w:val="39"/>
  </w:style>
  <w:style w:type="paragraph" w:styleId="8">
    <w:name w:val="toc 2"/>
    <w:basedOn w:val="1"/>
    <w:next w:val="1"/>
    <w:unhideWhenUsed/>
    <w:qFormat/>
    <w:uiPriority w:val="39"/>
    <w:pPr>
      <w:ind w:left="420" w:leftChars="200"/>
    </w:pPr>
  </w:style>
  <w:style w:type="paragraph" w:styleId="9">
    <w:name w:val="Normal (Web)"/>
    <w:unhideWhenUsed/>
    <w:qFormat/>
    <w:uiPriority w:val="99"/>
    <w:rPr>
      <w:rFonts w:ascii="宋体" w:hAnsi="宋体" w:eastAsia="宋体" w:cs="宋体"/>
      <w:sz w:val="24"/>
      <w:szCs w:val="24"/>
      <w:lang w:val="en-US" w:eastAsia="zh-CN" w:bidi="ar-SA"/>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Hyperlink"/>
    <w:basedOn w:val="12"/>
    <w:unhideWhenUsed/>
    <w:qFormat/>
    <w:uiPriority w:val="99"/>
    <w:rPr>
      <w:color w:val="0000FF" w:themeColor="hyperlink"/>
      <w:u w:val="single"/>
    </w:rPr>
  </w:style>
  <w:style w:type="character" w:customStyle="1" w:styleId="14">
    <w:name w:val="页眉 Char"/>
    <w:basedOn w:val="12"/>
    <w:link w:val="6"/>
    <w:qFormat/>
    <w:uiPriority w:val="0"/>
    <w:rPr>
      <w:kern w:val="2"/>
      <w:sz w:val="18"/>
      <w:szCs w:val="18"/>
    </w:rPr>
  </w:style>
  <w:style w:type="character" w:customStyle="1" w:styleId="15">
    <w:name w:val="批注框文本 Char"/>
    <w:basedOn w:val="12"/>
    <w:link w:val="4"/>
    <w:semiHidden/>
    <w:qFormat/>
    <w:uiPriority w:val="99"/>
    <w:rPr>
      <w:kern w:val="2"/>
      <w:sz w:val="18"/>
      <w:szCs w:val="18"/>
    </w:rPr>
  </w:style>
  <w:style w:type="character" w:customStyle="1" w:styleId="16">
    <w:name w:val="页脚 Char"/>
    <w:basedOn w:val="12"/>
    <w:link w:val="5"/>
    <w:qFormat/>
    <w:uiPriority w:val="99"/>
    <w:rPr>
      <w:kern w:val="2"/>
      <w:sz w:val="18"/>
      <w:szCs w:val="18"/>
    </w:rPr>
  </w:style>
  <w:style w:type="paragraph" w:customStyle="1" w:styleId="17">
    <w:name w:val="列出段落1"/>
    <w:basedOn w:val="1"/>
    <w:qFormat/>
    <w:uiPriority w:val="34"/>
    <w:pPr>
      <w:ind w:firstLine="420" w:firstLineChars="200"/>
    </w:pPr>
    <w:rPr>
      <w:rFonts w:asciiTheme="minorHAnsi" w:hAnsiTheme="minorHAnsi" w:eastAsiaTheme="minorEastAsia" w:cstheme="minorBidi"/>
      <w:szCs w:val="22"/>
    </w:rPr>
  </w:style>
  <w:style w:type="paragraph" w:customStyle="1" w:styleId="18">
    <w:name w:val="Default"/>
    <w:qFormat/>
    <w:uiPriority w:val="0"/>
    <w:pPr>
      <w:widowControl w:val="0"/>
      <w:autoSpaceDE w:val="0"/>
      <w:autoSpaceDN w:val="0"/>
      <w:adjustRightInd w:val="0"/>
    </w:pPr>
    <w:rPr>
      <w:rFonts w:ascii="仿宋" w:eastAsia="仿宋" w:cs="仿宋" w:hAnsiTheme="minorHAnsi"/>
      <w:color w:val="000000"/>
      <w:sz w:val="24"/>
      <w:szCs w:val="24"/>
      <w:lang w:val="en-US" w:eastAsia="zh-CN" w:bidi="ar-SA"/>
    </w:rPr>
  </w:style>
  <w:style w:type="paragraph" w:customStyle="1" w:styleId="19">
    <w:name w:val="TOC 标题1"/>
    <w:basedOn w:val="2"/>
    <w:next w:val="1"/>
    <w:semiHidden/>
    <w:unhideWhenUsed/>
    <w:qFormat/>
    <w:uiPriority w:val="39"/>
    <w:pPr>
      <w:widowControl/>
      <w:spacing w:before="480" w:line="276" w:lineRule="auto"/>
      <w:jc w:val="left"/>
      <w:outlineLvl w:val="9"/>
    </w:pPr>
    <w:rPr>
      <w:rFonts w:asciiTheme="majorHAnsi" w:hAnsiTheme="majorHAnsi" w:eastAsiaTheme="majorEastAsia" w:cstheme="majorBidi"/>
      <w:bCs/>
      <w:color w:val="366091" w:themeColor="accent1" w:themeShade="BF"/>
      <w:kern w:val="0"/>
      <w:sz w:val="28"/>
      <w:szCs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22</Pages>
  <Words>1455</Words>
  <Characters>8296</Characters>
  <Lines>69</Lines>
  <Paragraphs>19</Paragraphs>
  <TotalTime>1</TotalTime>
  <ScaleCrop>false</ScaleCrop>
  <LinksUpToDate>false</LinksUpToDate>
  <CharactersWithSpaces>9732</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2020-08-13T19:29:00Z</dcterms:created>
  <dc:creator>xl-stc</dc:creator>
  <cp:lastModifiedBy>haodongge</cp:lastModifiedBy>
  <cp:lastPrinted>2020-05-27T19:39:00Z</cp:lastPrinted>
  <dcterms:modified xsi:type="dcterms:W3CDTF">2021-01-28T11:35:23Z</dcterms:modified>
  <dc:title>青岛市生态环境局</dc:title>
  <cp:revision>85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