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120"/>
        <w:rPr>
          <w:rFonts w:hint="default" w:ascii="Times New Roman" w:hAnsi="Times New Roman" w:eastAsia="方正姚体" w:cs="Times New Roman"/>
          <w:b/>
          <w:bCs/>
          <w:color w:val="auto"/>
          <w:spacing w:val="-94"/>
          <w:sz w:val="90"/>
          <w:szCs w:val="24"/>
        </w:rPr>
      </w:pPr>
    </w:p>
    <w:p>
      <w:pPr>
        <w:snapToGrid w:val="0"/>
        <w:spacing w:after="120"/>
        <w:jc w:val="center"/>
        <w:rPr>
          <w:rFonts w:hint="default" w:ascii="Times New Roman" w:hAnsi="Times New Roman" w:eastAsia="方正姚体" w:cs="Times New Roman"/>
          <w:b/>
          <w:bCs/>
          <w:color w:val="auto"/>
          <w:spacing w:val="-94"/>
          <w:sz w:val="24"/>
          <w:szCs w:val="24"/>
        </w:rPr>
      </w:pPr>
    </w:p>
    <w:p>
      <w:pPr>
        <w:ind w:firstLine="354" w:firstLineChars="49"/>
        <w:rPr>
          <w:rFonts w:hint="default" w:ascii="Times New Roman" w:hAnsi="Times New Roman" w:cs="Times New Roman"/>
          <w:b/>
          <w:bCs/>
          <w:color w:val="auto"/>
          <w:sz w:val="72"/>
        </w:rPr>
      </w:pPr>
      <w:r>
        <w:rPr>
          <w:rFonts w:hint="default" w:ascii="Times New Roman" w:hAnsi="Times New Roman" w:cs="Times New Roman"/>
          <w:b/>
          <w:bCs/>
          <w:color w:val="auto"/>
          <w:sz w:val="72"/>
        </w:rPr>
        <w:t>建设项目环境影响报告表</w:t>
      </w:r>
    </w:p>
    <w:p>
      <w:pPr>
        <w:jc w:val="center"/>
        <w:rPr>
          <w:rFonts w:hint="default" w:ascii="Times New Roman" w:hAnsi="Times New Roman" w:cs="Times New Roman"/>
          <w:b/>
          <w:bCs/>
          <w:color w:val="auto"/>
          <w:sz w:val="36"/>
          <w:szCs w:val="24"/>
        </w:rPr>
      </w:pPr>
    </w:p>
    <w:p>
      <w:pPr>
        <w:snapToGrid w:val="0"/>
        <w:jc w:val="center"/>
        <w:rPr>
          <w:rFonts w:hint="default" w:ascii="Times New Roman" w:hAnsi="Times New Roman" w:cs="Times New Roman"/>
          <w:color w:val="auto"/>
          <w:sz w:val="32"/>
        </w:rPr>
      </w:pPr>
    </w:p>
    <w:p>
      <w:pPr>
        <w:snapToGrid w:val="0"/>
        <w:jc w:val="center"/>
        <w:rPr>
          <w:rFonts w:hint="default" w:ascii="Times New Roman" w:hAnsi="Times New Roman" w:cs="Times New Roman"/>
          <w:color w:val="auto"/>
          <w:sz w:val="32"/>
        </w:rPr>
      </w:pPr>
    </w:p>
    <w:p>
      <w:pPr>
        <w:snapToGrid w:val="0"/>
        <w:jc w:val="center"/>
        <w:rPr>
          <w:rFonts w:hint="default" w:ascii="Times New Roman" w:hAnsi="Times New Roman" w:cs="Times New Roman"/>
          <w:color w:val="auto"/>
          <w:sz w:val="32"/>
        </w:rPr>
      </w:pPr>
    </w:p>
    <w:p>
      <w:pPr>
        <w:snapToGrid w:val="0"/>
        <w:jc w:val="center"/>
        <w:rPr>
          <w:rFonts w:hint="default" w:ascii="Times New Roman" w:hAnsi="Times New Roman" w:cs="Times New Roman"/>
          <w:color w:val="auto"/>
          <w:sz w:val="32"/>
        </w:rPr>
      </w:pPr>
    </w:p>
    <w:p>
      <w:pPr>
        <w:snapToGrid w:val="0"/>
        <w:jc w:val="center"/>
        <w:rPr>
          <w:rFonts w:hint="default" w:ascii="Times New Roman" w:hAnsi="Times New Roman" w:cs="Times New Roman"/>
          <w:color w:val="auto"/>
          <w:sz w:val="32"/>
        </w:rPr>
      </w:pPr>
    </w:p>
    <w:p>
      <w:pPr>
        <w:snapToGrid w:val="0"/>
        <w:spacing w:line="480" w:lineRule="auto"/>
        <w:ind w:firstLine="1155"/>
        <w:rPr>
          <w:rFonts w:hint="default" w:ascii="Times New Roman" w:hAnsi="Times New Roman" w:cs="Times New Roman"/>
          <w:b/>
          <w:color w:val="auto"/>
          <w:sz w:val="32"/>
        </w:rPr>
      </w:pPr>
    </w:p>
    <w:p>
      <w:pPr>
        <w:snapToGrid w:val="0"/>
        <w:spacing w:line="480" w:lineRule="auto"/>
        <w:rPr>
          <w:rFonts w:hint="default" w:ascii="Times New Roman" w:hAnsi="Times New Roman" w:cs="Times New Roman"/>
          <w:b/>
          <w:color w:val="auto"/>
          <w:sz w:val="32"/>
        </w:rPr>
      </w:pPr>
      <w:r>
        <w:rPr>
          <w:rFonts w:hint="default" w:ascii="Times New Roman" w:hAnsi="Times New Roman" w:cs="Times New Roman"/>
          <w:b/>
          <w:color w:val="auto"/>
          <w:sz w:val="32"/>
        </w:rPr>
        <w:t xml:space="preserve"> </w:t>
      </w:r>
    </w:p>
    <w:p>
      <w:pPr>
        <w:snapToGrid w:val="0"/>
        <w:spacing w:line="900" w:lineRule="exact"/>
        <w:rPr>
          <w:rFonts w:hint="default" w:ascii="Times New Roman" w:hAnsi="Times New Roman" w:cs="Times New Roman"/>
          <w:b/>
          <w:color w:val="auto"/>
          <w:sz w:val="32"/>
        </w:rPr>
      </w:pPr>
    </w:p>
    <w:p>
      <w:pPr>
        <w:ind w:firstLine="320" w:firstLineChars="100"/>
        <w:rPr>
          <w:rFonts w:hint="default" w:ascii="Times New Roman" w:hAnsi="Times New Roman" w:eastAsia="宋体" w:cs="Times New Roman"/>
          <w:b/>
          <w:bCs/>
          <w:color w:val="auto"/>
          <w:spacing w:val="30"/>
          <w:sz w:val="32"/>
          <w:szCs w:val="32"/>
          <w:u w:val="single"/>
          <w:lang w:eastAsia="zh-CN"/>
        </w:rPr>
      </w:pPr>
      <w:r>
        <w:rPr>
          <w:rFonts w:hint="default" w:ascii="Times New Roman" w:hAnsi="Times New Roman" w:cs="Times New Roman"/>
          <w:color w:val="auto"/>
          <w:sz w:val="32"/>
        </w:rPr>
        <mc:AlternateContent>
          <mc:Choice Requires="wps">
            <w:drawing>
              <wp:anchor distT="0" distB="0" distL="114300" distR="114300" simplePos="0" relativeHeight="251650048" behindDoc="0" locked="0" layoutInCell="1" allowOverlap="1">
                <wp:simplePos x="0" y="0"/>
                <wp:positionH relativeFrom="column">
                  <wp:posOffset>1427480</wp:posOffset>
                </wp:positionH>
                <wp:positionV relativeFrom="paragraph">
                  <wp:posOffset>318135</wp:posOffset>
                </wp:positionV>
                <wp:extent cx="2819400" cy="9525"/>
                <wp:effectExtent l="0" t="9525" r="0" b="9525"/>
                <wp:wrapNone/>
                <wp:docPr id="1" name="直线 692"/>
                <wp:cNvGraphicFramePr/>
                <a:graphic xmlns:a="http://schemas.openxmlformats.org/drawingml/2006/main">
                  <a:graphicData uri="http://schemas.microsoft.com/office/word/2010/wordprocessingShape">
                    <wps:wsp>
                      <wps:cNvCnPr/>
                      <wps:spPr>
                        <a:xfrm flipV="1">
                          <a:off x="0" y="0"/>
                          <a:ext cx="2819400" cy="952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直线 692" o:spid="_x0000_s1026" o:spt="32" type="#_x0000_t32" style="position:absolute;left:0pt;flip:y;margin-left:112.4pt;margin-top:25.05pt;height:0.75pt;width:222pt;z-index:251650048;mso-width-relative:page;mso-height-relative:page;" filled="f" stroked="t" coordsize="21600,21600" o:gfxdata="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HBFIV1wAAAAkBAAAPAAAAAAAAAAEA&#10;IAAAACIAAABkcnMvZG93bnJldi54bWxQSwECFAAUAAAACACHTuJA8LLpbtcBAACfAwAADgAAAAAA&#10;AAABACAAAAAmAQAAZHJzL2Uyb0RvYy54bWxQSwUGAAAAAAYABgBZAQAAbwUAAAAA&#10;">
                <v:fill on="f" focussize="0,0"/>
                <v:stroke weight="1.5pt" color="#000000" joinstyle="round"/>
                <v:imagedata o:title=""/>
                <o:lock v:ext="edit" aspectratio="f"/>
              </v:shape>
            </w:pict>
          </mc:Fallback>
        </mc:AlternateContent>
      </w:r>
      <w:r>
        <w:rPr>
          <w:rFonts w:hint="default" w:ascii="Times New Roman" w:hAnsi="Times New Roman" w:cs="Times New Roman"/>
          <w:b/>
          <w:color w:val="auto"/>
          <w:sz w:val="32"/>
          <w:szCs w:val="32"/>
        </w:rPr>
        <w:t>项目名称</w:t>
      </w:r>
      <w:r>
        <w:rPr>
          <w:rFonts w:hint="default" w:ascii="Times New Roman" w:hAnsi="Times New Roman" w:cs="Times New Roman"/>
          <w:b/>
          <w:color w:val="auto"/>
          <w:spacing w:val="30"/>
          <w:sz w:val="32"/>
          <w:szCs w:val="32"/>
        </w:rPr>
        <w:t>：</w:t>
      </w:r>
      <w:r>
        <w:rPr>
          <w:rFonts w:hint="default" w:ascii="Times New Roman" w:hAnsi="Times New Roman" w:cs="Times New Roman"/>
          <w:b/>
          <w:color w:val="auto"/>
          <w:spacing w:val="30"/>
          <w:sz w:val="32"/>
          <w:szCs w:val="32"/>
          <w:lang w:val="en-US" w:eastAsia="zh-CN"/>
        </w:rPr>
        <w:t xml:space="preserve">    </w:t>
      </w:r>
      <w:bookmarkStart w:id="7" w:name="_GoBack"/>
      <w:r>
        <w:rPr>
          <w:rFonts w:hint="eastAsia" w:cs="Times New Roman"/>
          <w:b/>
          <w:color w:val="auto"/>
          <w:sz w:val="32"/>
          <w:lang w:eastAsia="zh-CN"/>
        </w:rPr>
        <w:t>打印机塑料件加工项目</w:t>
      </w:r>
    </w:p>
    <w:bookmarkEnd w:id="7"/>
    <w:p>
      <w:pPr>
        <w:snapToGrid w:val="0"/>
        <w:spacing w:line="900" w:lineRule="exact"/>
        <w:rPr>
          <w:rFonts w:hint="default" w:ascii="Times New Roman" w:hAnsi="Times New Roman" w:cs="Times New Roman"/>
          <w:b/>
          <w:bCs/>
          <w:color w:val="auto"/>
          <w:spacing w:val="-20"/>
          <w:sz w:val="32"/>
          <w:szCs w:val="32"/>
          <w:u w:val="thick"/>
        </w:rPr>
      </w:pPr>
      <w:r>
        <w:rPr>
          <w:rFonts w:hint="default" w:ascii="Times New Roman" w:hAnsi="Times New Roman" w:cs="Times New Roman"/>
          <w:color w:val="auto"/>
          <w:sz w:val="32"/>
        </w:rPr>
        <mc:AlternateContent>
          <mc:Choice Requires="wps">
            <w:drawing>
              <wp:anchor distT="0" distB="0" distL="114300" distR="114300" simplePos="0" relativeHeight="251661312" behindDoc="0" locked="0" layoutInCell="1" allowOverlap="1">
                <wp:simplePos x="0" y="0"/>
                <wp:positionH relativeFrom="column">
                  <wp:posOffset>1398905</wp:posOffset>
                </wp:positionH>
                <wp:positionV relativeFrom="paragraph">
                  <wp:posOffset>569595</wp:posOffset>
                </wp:positionV>
                <wp:extent cx="2819400" cy="9525"/>
                <wp:effectExtent l="0" t="9525" r="0" b="9525"/>
                <wp:wrapNone/>
                <wp:docPr id="41" name="自选图形 2"/>
                <wp:cNvGraphicFramePr/>
                <a:graphic xmlns:a="http://schemas.openxmlformats.org/drawingml/2006/main">
                  <a:graphicData uri="http://schemas.microsoft.com/office/word/2010/wordprocessingShape">
                    <wps:wsp>
                      <wps:cNvCnPr/>
                      <wps:spPr>
                        <a:xfrm flipV="1">
                          <a:off x="0" y="0"/>
                          <a:ext cx="2819400" cy="952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flip:y;margin-left:110.15pt;margin-top:44.85pt;height:0.75pt;width:222pt;z-index:251661312;mso-width-relative:page;mso-height-relative:page;" filled="f" stroked="t" coordsize="21600,21600" o:gfxdata="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tyE1LZAAAA&#10;CQEAAA8AAAAAAAAAAQAgAAAAIgAAAGRycy9kb3ducmV2LnhtbFBLAQIUABQAAAAIAIdO4kAdOJcm&#10;4wEAAKQDAAAOAAAAAAAAAAEAIAAAACgBAABkcnMvZTJvRG9jLnhtbFBLBQYAAAAABgAGAFkBAAB9&#10;BQAAAAA=&#10;">
                <v:fill on="f" focussize="0,0"/>
                <v:stroke weight="1.5pt" color="#000000" joinstyle="round"/>
                <v:imagedata o:title=""/>
                <o:lock v:ext="edit" aspectratio="f"/>
              </v:shape>
            </w:pict>
          </mc:Fallback>
        </mc:AlternateContent>
      </w:r>
      <w:r>
        <w:rPr>
          <w:rFonts w:hint="default" w:ascii="Times New Roman" w:hAnsi="Times New Roman" w:cs="Times New Roman"/>
          <w:b/>
          <w:color w:val="auto"/>
          <w:spacing w:val="-20"/>
          <w:sz w:val="32"/>
          <w:szCs w:val="32"/>
        </w:rPr>
        <w:t xml:space="preserve">   </w:t>
      </w:r>
      <w:r>
        <w:rPr>
          <w:rFonts w:hint="default" w:ascii="Times New Roman" w:hAnsi="Times New Roman" w:cs="Times New Roman"/>
          <w:b/>
          <w:color w:val="auto"/>
          <w:sz w:val="32"/>
          <w:szCs w:val="32"/>
        </w:rPr>
        <w:t>建设单位</w:t>
      </w:r>
      <w:r>
        <w:rPr>
          <w:rFonts w:hint="default" w:ascii="Times New Roman" w:hAnsi="Times New Roman" w:cs="Times New Roman"/>
          <w:b/>
          <w:color w:val="auto"/>
          <w:spacing w:val="-20"/>
          <w:sz w:val="32"/>
          <w:szCs w:val="32"/>
        </w:rPr>
        <w:t xml:space="preserve">：   </w:t>
      </w:r>
      <w:r>
        <w:rPr>
          <w:rFonts w:hint="eastAsia" w:cs="Times New Roman"/>
          <w:b/>
          <w:bCs/>
          <w:color w:val="auto"/>
          <w:sz w:val="32"/>
          <w:szCs w:val="32"/>
          <w:lang w:eastAsia="zh-CN"/>
        </w:rPr>
        <w:t>威海宇能模塑有限公司</w:t>
      </w:r>
      <w:r>
        <w:rPr>
          <w:rFonts w:hint="default" w:ascii="Times New Roman" w:hAnsi="Times New Roman" w:cs="Times New Roman"/>
          <w:b/>
          <w:bCs/>
          <w:color w:val="auto"/>
          <w:sz w:val="32"/>
          <w:szCs w:val="32"/>
        </w:rPr>
        <w:t xml:space="preserve">（盖章）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single"/>
        </w:rPr>
        <w:t xml:space="preserve">        </w:t>
      </w:r>
      <w:r>
        <w:rPr>
          <w:rFonts w:hint="default" w:ascii="Times New Roman" w:hAnsi="Times New Roman" w:cs="Times New Roman"/>
          <w:b/>
          <w:bCs/>
          <w:color w:val="auto"/>
          <w:sz w:val="32"/>
          <w:szCs w:val="32"/>
          <w:u w:val="thick"/>
        </w:rPr>
        <w:t xml:space="preserve">  </w:t>
      </w:r>
    </w:p>
    <w:p>
      <w:pPr>
        <w:snapToGrid w:val="0"/>
        <w:spacing w:line="900" w:lineRule="exact"/>
        <w:jc w:val="center"/>
        <w:rPr>
          <w:rFonts w:hint="default" w:ascii="Times New Roman" w:hAnsi="Times New Roman" w:eastAsia="黑体" w:cs="Times New Roman"/>
          <w:b/>
          <w:color w:val="auto"/>
          <w:sz w:val="32"/>
        </w:rPr>
      </w:pPr>
    </w:p>
    <w:p>
      <w:pPr>
        <w:snapToGrid w:val="0"/>
        <w:spacing w:line="900" w:lineRule="exact"/>
        <w:jc w:val="center"/>
        <w:rPr>
          <w:rFonts w:hint="default" w:ascii="Times New Roman" w:hAnsi="Times New Roman" w:eastAsia="黑体" w:cs="Times New Roman"/>
          <w:b/>
          <w:color w:val="auto"/>
          <w:sz w:val="32"/>
        </w:rPr>
      </w:pPr>
    </w:p>
    <w:p>
      <w:pPr>
        <w:snapToGrid w:val="0"/>
        <w:spacing w:line="900" w:lineRule="exact"/>
        <w:jc w:val="center"/>
        <w:rPr>
          <w:rFonts w:hint="default" w:ascii="Times New Roman" w:hAnsi="Times New Roman" w:eastAsia="黑体" w:cs="Times New Roman"/>
          <w:b/>
          <w:color w:val="auto"/>
          <w:sz w:val="32"/>
        </w:rPr>
      </w:pPr>
    </w:p>
    <w:p>
      <w:pPr>
        <w:jc w:val="center"/>
        <w:rPr>
          <w:rFonts w:hint="default" w:ascii="Times New Roman" w:hAnsi="Times New Roman" w:cs="Times New Roman"/>
          <w:b/>
          <w:bCs/>
          <w:color w:val="auto"/>
          <w:sz w:val="32"/>
          <w:lang w:val="en-US"/>
        </w:rPr>
      </w:pPr>
      <w:r>
        <w:rPr>
          <w:rFonts w:hint="default" w:ascii="Times New Roman" w:hAnsi="Times New Roman" w:cs="Times New Roman"/>
          <w:b/>
          <w:bCs/>
          <w:color w:val="auto"/>
          <w:sz w:val="32"/>
        </w:rPr>
        <w:t>编制日期:20</w:t>
      </w:r>
      <w:r>
        <w:rPr>
          <w:rFonts w:hint="default" w:ascii="Times New Roman" w:hAnsi="Times New Roman" w:cs="Times New Roman"/>
          <w:b/>
          <w:bCs/>
          <w:color w:val="auto"/>
          <w:sz w:val="32"/>
          <w:lang w:val="en-US" w:eastAsia="zh-CN"/>
        </w:rPr>
        <w:t>20</w:t>
      </w:r>
      <w:r>
        <w:rPr>
          <w:rFonts w:hint="default" w:ascii="Times New Roman" w:hAnsi="Times New Roman" w:cs="Times New Roman"/>
          <w:b/>
          <w:bCs/>
          <w:color w:val="auto"/>
          <w:sz w:val="32"/>
        </w:rPr>
        <w:t>年</w:t>
      </w:r>
      <w:r>
        <w:rPr>
          <w:rFonts w:hint="eastAsia" w:cs="Times New Roman"/>
          <w:b/>
          <w:bCs/>
          <w:color w:val="auto"/>
          <w:sz w:val="32"/>
          <w:lang w:val="en-US" w:eastAsia="zh-CN"/>
        </w:rPr>
        <w:t>8</w:t>
      </w:r>
      <w:r>
        <w:rPr>
          <w:rFonts w:hint="default" w:ascii="Times New Roman" w:hAnsi="Times New Roman" w:cs="Times New Roman"/>
          <w:b/>
          <w:bCs/>
          <w:color w:val="auto"/>
          <w:sz w:val="32"/>
          <w:lang w:val="en-US" w:eastAsia="zh-CN"/>
        </w:rPr>
        <w:t>月</w:t>
      </w:r>
    </w:p>
    <w:p>
      <w:pPr>
        <w:jc w:val="center"/>
        <w:rPr>
          <w:rFonts w:hint="default" w:ascii="Times New Roman" w:hAnsi="Times New Roman" w:cs="Times New Roman"/>
          <w:b/>
          <w:bCs/>
          <w:color w:val="auto"/>
          <w:sz w:val="32"/>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int="default" w:ascii="Times New Roman" w:hAnsi="Times New Roman" w:cs="Times New Roman"/>
          <w:b/>
          <w:bCs/>
          <w:color w:val="auto"/>
          <w:sz w:val="32"/>
        </w:rPr>
        <w:t>国家环境保护总局制</w:t>
      </w:r>
    </w:p>
    <w:p>
      <w:pPr>
        <w:pageBreakBefore/>
        <w:snapToGrid w:val="0"/>
        <w:spacing w:line="360" w:lineRule="auto"/>
        <w:jc w:val="center"/>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《建设项目环境影响报告表》编制说明</w:t>
      </w:r>
    </w:p>
    <w:p>
      <w:pPr>
        <w:snapToGrid w:val="0"/>
        <w:spacing w:line="360" w:lineRule="auto"/>
        <w:jc w:val="center"/>
        <w:rPr>
          <w:rFonts w:hint="default" w:ascii="Times New Roman" w:hAnsi="Times New Roman" w:cs="Times New Roman"/>
          <w:b/>
          <w:color w:val="auto"/>
          <w:sz w:val="28"/>
        </w:rPr>
      </w:pPr>
    </w:p>
    <w:p>
      <w:pPr>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《建设项目环境影响报告表》由具有从事环境影响评价工作资质的单位编制。</w:t>
      </w:r>
    </w:p>
    <w:p>
      <w:pPr>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 项目名称—指项目立项批复时的名称，应不超过30个字（两个英文字段作一个汉字）。</w:t>
      </w:r>
    </w:p>
    <w:p>
      <w:pPr>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 建设地点—指项目所在地详细地址，公路、铁路应填写起止地点。</w:t>
      </w:r>
    </w:p>
    <w:p>
      <w:pPr>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 行业类别—按国标填写。</w:t>
      </w:r>
    </w:p>
    <w:p>
      <w:pPr>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 总投资—指项目投资总额。</w:t>
      </w:r>
    </w:p>
    <w:p>
      <w:pPr>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 主要环境保护目标——指项目区周围一定范围内集中居民住宅区、学</w:t>
      </w:r>
      <w:r>
        <w:rPr>
          <w:rFonts w:hint="default" w:ascii="Times New Roman" w:hAnsi="Times New Roman" w:cs="Times New Roman"/>
          <w:color w:val="auto"/>
          <w:spacing w:val="-8"/>
          <w:sz w:val="28"/>
          <w:szCs w:val="28"/>
        </w:rPr>
        <w:t>校</w:t>
      </w:r>
      <w:r>
        <w:rPr>
          <w:rFonts w:hint="default" w:ascii="Times New Roman" w:hAnsi="Times New Roman" w:cs="Times New Roman"/>
          <w:color w:val="auto"/>
          <w:spacing w:val="-20"/>
          <w:sz w:val="28"/>
          <w:szCs w:val="28"/>
        </w:rPr>
        <w:t>、</w:t>
      </w:r>
      <w:r>
        <w:rPr>
          <w:rFonts w:hint="default" w:ascii="Times New Roman" w:hAnsi="Times New Roman" w:cs="Times New Roman"/>
          <w:color w:val="auto"/>
          <w:spacing w:val="-8"/>
          <w:sz w:val="28"/>
          <w:szCs w:val="28"/>
        </w:rPr>
        <w:t>医</w:t>
      </w:r>
      <w:r>
        <w:rPr>
          <w:rFonts w:hint="default" w:ascii="Times New Roman" w:hAnsi="Times New Roman" w:cs="Times New Roman"/>
          <w:color w:val="auto"/>
          <w:sz w:val="28"/>
          <w:szCs w:val="28"/>
        </w:rPr>
        <w:t>院</w:t>
      </w:r>
      <w:r>
        <w:rPr>
          <w:rFonts w:hint="default" w:ascii="Times New Roman" w:hAnsi="Times New Roman" w:cs="Times New Roman"/>
          <w:color w:val="auto"/>
          <w:spacing w:val="-20"/>
          <w:w w:val="90"/>
          <w:sz w:val="28"/>
          <w:szCs w:val="28"/>
        </w:rPr>
        <w:t>、</w:t>
      </w:r>
      <w:r>
        <w:rPr>
          <w:rFonts w:hint="default" w:ascii="Times New Roman" w:hAnsi="Times New Roman" w:cs="Times New Roman"/>
          <w:color w:val="auto"/>
          <w:spacing w:val="-2"/>
          <w:sz w:val="28"/>
          <w:szCs w:val="28"/>
        </w:rPr>
        <w:t>保护文物</w:t>
      </w:r>
      <w:r>
        <w:rPr>
          <w:rFonts w:hint="default" w:ascii="Times New Roman" w:hAnsi="Times New Roman" w:cs="Times New Roman"/>
          <w:color w:val="auto"/>
          <w:spacing w:val="-12"/>
          <w:w w:val="90"/>
          <w:sz w:val="28"/>
          <w:szCs w:val="28"/>
        </w:rPr>
        <w:t>、</w:t>
      </w:r>
      <w:r>
        <w:rPr>
          <w:rFonts w:hint="default" w:ascii="Times New Roman" w:hAnsi="Times New Roman" w:cs="Times New Roman"/>
          <w:color w:val="auto"/>
          <w:spacing w:val="-2"/>
          <w:sz w:val="28"/>
          <w:szCs w:val="28"/>
        </w:rPr>
        <w:t>风景名胜区</w:t>
      </w:r>
      <w:r>
        <w:rPr>
          <w:rFonts w:hint="default" w:ascii="Times New Roman" w:hAnsi="Times New Roman" w:cs="Times New Roman"/>
          <w:color w:val="auto"/>
          <w:spacing w:val="-20"/>
          <w:w w:val="90"/>
          <w:sz w:val="28"/>
          <w:szCs w:val="28"/>
        </w:rPr>
        <w:t>、</w:t>
      </w:r>
      <w:r>
        <w:rPr>
          <w:rFonts w:hint="default" w:ascii="Times New Roman" w:hAnsi="Times New Roman" w:cs="Times New Roman"/>
          <w:color w:val="auto"/>
          <w:spacing w:val="-2"/>
          <w:sz w:val="28"/>
          <w:szCs w:val="28"/>
        </w:rPr>
        <w:t>水源地和生态敏感点等</w:t>
      </w:r>
      <w:r>
        <w:rPr>
          <w:rFonts w:hint="default" w:ascii="Times New Roman" w:hAnsi="Times New Roman" w:cs="Times New Roman"/>
          <w:color w:val="auto"/>
          <w:spacing w:val="-20"/>
          <w:w w:val="90"/>
          <w:sz w:val="28"/>
          <w:szCs w:val="28"/>
        </w:rPr>
        <w:t>，</w:t>
      </w:r>
      <w:r>
        <w:rPr>
          <w:rFonts w:hint="default" w:ascii="Times New Roman" w:hAnsi="Times New Roman" w:cs="Times New Roman"/>
          <w:color w:val="auto"/>
          <w:spacing w:val="-2"/>
          <w:sz w:val="28"/>
          <w:szCs w:val="28"/>
        </w:rPr>
        <w:t>应尽可能给出保护目</w:t>
      </w:r>
      <w:r>
        <w:rPr>
          <w:rFonts w:hint="default" w:ascii="Times New Roman" w:hAnsi="Times New Roman" w:cs="Times New Roman"/>
          <w:color w:val="auto"/>
          <w:sz w:val="28"/>
          <w:szCs w:val="28"/>
        </w:rPr>
        <w:t>标、性质、规模和距厂界距离等。</w:t>
      </w:r>
    </w:p>
    <w:p>
      <w:pPr>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 结论与建议——给出本项目清洁生产、达标排放和总量控制的分析结论，确定污染防治措施的有效性，说明本项目对环境造成的影响，给出建设项目环境可行性的明确结论。同时提出减少环境影响的其他建议。</w:t>
      </w:r>
    </w:p>
    <w:p>
      <w:pPr>
        <w:tabs>
          <w:tab w:val="left" w:pos="567"/>
        </w:tabs>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7. 预审意见——由行业主管部门填写答复意见，无主管部门项目，可不填。</w:t>
      </w:r>
    </w:p>
    <w:p>
      <w:pPr>
        <w:ind w:firstLine="560" w:firstLineChars="200"/>
        <w:rPr>
          <w:rFonts w:hint="default" w:ascii="Times New Roman" w:hAnsi="Times New Roman" w:cs="Times New Roman"/>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int="default" w:ascii="Times New Roman" w:hAnsi="Times New Roman" w:cs="Times New Roman"/>
          <w:color w:val="auto"/>
          <w:sz w:val="28"/>
          <w:szCs w:val="28"/>
        </w:rPr>
        <w:t>8. 审批意见——由负责审批该项目的环境保护行政主管部门批复</w:t>
      </w:r>
    </w:p>
    <w:p>
      <w:pPr>
        <w:spacing w:after="12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一、建设项目基本情况</w:t>
      </w:r>
    </w:p>
    <w:tbl>
      <w:tblPr>
        <w:tblStyle w:val="39"/>
        <w:tblW w:w="935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1439"/>
        <w:gridCol w:w="594"/>
        <w:gridCol w:w="897"/>
        <w:gridCol w:w="213"/>
        <w:gridCol w:w="1237"/>
        <w:gridCol w:w="1444"/>
        <w:gridCol w:w="103"/>
        <w:gridCol w:w="14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项目名称</w:t>
            </w:r>
          </w:p>
        </w:tc>
        <w:tc>
          <w:tcPr>
            <w:tcW w:w="7385" w:type="dxa"/>
            <w:gridSpan w:val="8"/>
            <w:vAlign w:val="center"/>
          </w:tcPr>
          <w:p>
            <w:pPr>
              <w:snapToGrid w:val="0"/>
              <w:jc w:val="center"/>
              <w:rPr>
                <w:rFonts w:hint="default" w:ascii="Times New Roman" w:hAnsi="Times New Roman" w:eastAsia="宋体" w:cs="Times New Roman"/>
                <w:color w:val="auto"/>
                <w:sz w:val="24"/>
                <w:lang w:eastAsia="zh-CN"/>
              </w:rPr>
            </w:pPr>
            <w:r>
              <w:rPr>
                <w:rFonts w:hint="eastAsia" w:cs="Times New Roman"/>
                <w:bCs/>
                <w:color w:val="auto"/>
                <w:sz w:val="24"/>
                <w:szCs w:val="24"/>
                <w:lang w:eastAsia="zh-CN"/>
              </w:rPr>
              <w:t>打印机塑料件加工项目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1" w:type="dxa"/>
            <w:vAlign w:val="center"/>
          </w:tcPr>
          <w:p>
            <w:pPr>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建设单位</w:t>
            </w:r>
          </w:p>
        </w:tc>
        <w:tc>
          <w:tcPr>
            <w:tcW w:w="7385" w:type="dxa"/>
            <w:gridSpan w:val="8"/>
            <w:vAlign w:val="center"/>
          </w:tcPr>
          <w:p>
            <w:pPr>
              <w:snapToGrid w:val="0"/>
              <w:jc w:val="center"/>
              <w:rPr>
                <w:rFonts w:hint="default" w:ascii="Times New Roman" w:hAnsi="Times New Roman" w:eastAsia="宋体" w:cs="Times New Roman"/>
                <w:bCs/>
                <w:color w:val="auto"/>
                <w:sz w:val="24"/>
                <w:szCs w:val="24"/>
                <w:lang w:eastAsia="zh-CN"/>
              </w:rPr>
            </w:pPr>
            <w:r>
              <w:rPr>
                <w:rFonts w:hint="eastAsia" w:cs="Times New Roman"/>
                <w:bCs/>
                <w:color w:val="auto"/>
                <w:sz w:val="24"/>
                <w:szCs w:val="24"/>
                <w:lang w:eastAsia="zh-CN"/>
              </w:rPr>
              <w:t>威海宇能模塑有限公司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法人代表</w:t>
            </w:r>
          </w:p>
        </w:tc>
        <w:tc>
          <w:tcPr>
            <w:tcW w:w="3143" w:type="dxa"/>
            <w:gridSpan w:val="4"/>
            <w:vAlign w:val="center"/>
          </w:tcPr>
          <w:p>
            <w:pPr>
              <w:spacing w:line="260" w:lineRule="exact"/>
              <w:jc w:val="center"/>
              <w:rPr>
                <w:rFonts w:hint="default" w:ascii="Times New Roman" w:hAnsi="Times New Roman" w:eastAsia="宋体" w:cs="Times New Roman"/>
                <w:color w:val="auto"/>
                <w:sz w:val="24"/>
                <w:szCs w:val="24"/>
                <w:lang w:eastAsia="zh-CN"/>
              </w:rPr>
            </w:pPr>
            <w:r>
              <w:rPr>
                <w:rFonts w:hint="eastAsia" w:cs="Times New Roman"/>
                <w:color w:val="auto"/>
                <w:sz w:val="24"/>
                <w:szCs w:val="24"/>
                <w:lang w:eastAsia="zh-CN"/>
              </w:rPr>
              <w:t>张福清</w:t>
            </w:r>
          </w:p>
        </w:tc>
        <w:tc>
          <w:tcPr>
            <w:tcW w:w="1237" w:type="dxa"/>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联系人</w:t>
            </w:r>
          </w:p>
        </w:tc>
        <w:tc>
          <w:tcPr>
            <w:tcW w:w="3005" w:type="dxa"/>
            <w:gridSpan w:val="3"/>
            <w:vAlign w:val="center"/>
          </w:tcPr>
          <w:p>
            <w:pPr>
              <w:spacing w:line="260" w:lineRule="exact"/>
              <w:jc w:val="center"/>
              <w:rPr>
                <w:rFonts w:hint="default" w:ascii="Times New Roman" w:hAnsi="Times New Roman" w:eastAsia="宋体" w:cs="Times New Roman"/>
                <w:color w:val="auto"/>
                <w:sz w:val="24"/>
                <w:lang w:eastAsia="zh-CN"/>
              </w:rPr>
            </w:pPr>
            <w:r>
              <w:rPr>
                <w:rFonts w:hint="eastAsia" w:cs="Times New Roman"/>
                <w:color w:val="auto"/>
                <w:sz w:val="24"/>
                <w:szCs w:val="24"/>
                <w:lang w:eastAsia="zh-CN"/>
              </w:rPr>
              <w:t>张福清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通讯地址</w:t>
            </w:r>
          </w:p>
        </w:tc>
        <w:tc>
          <w:tcPr>
            <w:tcW w:w="7385" w:type="dxa"/>
            <w:gridSpan w:val="8"/>
            <w:vAlign w:val="center"/>
          </w:tcPr>
          <w:p>
            <w:pPr>
              <w:spacing w:line="260" w:lineRule="exact"/>
              <w:jc w:val="center"/>
              <w:rPr>
                <w:rFonts w:hint="default" w:ascii="Times New Roman" w:hAnsi="Times New Roman" w:eastAsia="宋体" w:cs="Times New Roman"/>
                <w:color w:val="auto"/>
                <w:sz w:val="24"/>
                <w:lang w:val="en-US" w:eastAsia="zh-CN"/>
              </w:rPr>
            </w:pPr>
            <w:r>
              <w:rPr>
                <w:rFonts w:hint="eastAsia" w:cs="Times New Roman"/>
                <w:color w:val="auto"/>
                <w:sz w:val="24"/>
                <w:lang w:eastAsia="zh-CN"/>
              </w:rPr>
              <w:t>威海市环翠区羊亭镇顺海路3-1号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联系电话</w:t>
            </w:r>
          </w:p>
        </w:tc>
        <w:tc>
          <w:tcPr>
            <w:tcW w:w="2033" w:type="dxa"/>
            <w:gridSpan w:val="2"/>
            <w:vAlign w:val="center"/>
          </w:tcPr>
          <w:p>
            <w:pPr>
              <w:spacing w:line="260" w:lineRule="exact"/>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18606319453</w:t>
            </w:r>
          </w:p>
        </w:tc>
        <w:tc>
          <w:tcPr>
            <w:tcW w:w="1110" w:type="dxa"/>
            <w:gridSpan w:val="2"/>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传真</w:t>
            </w:r>
          </w:p>
        </w:tc>
        <w:tc>
          <w:tcPr>
            <w:tcW w:w="1237" w:type="dxa"/>
            <w:vAlign w:val="center"/>
          </w:tcPr>
          <w:p>
            <w:pPr>
              <w:spacing w:line="260" w:lineRule="exact"/>
              <w:jc w:val="center"/>
              <w:rPr>
                <w:rFonts w:hint="default" w:ascii="Times New Roman" w:hAnsi="Times New Roman" w:cs="Times New Roman"/>
                <w:color w:val="auto"/>
                <w:sz w:val="24"/>
              </w:rPr>
            </w:pPr>
          </w:p>
        </w:tc>
        <w:tc>
          <w:tcPr>
            <w:tcW w:w="1444" w:type="dxa"/>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邮政编码</w:t>
            </w:r>
          </w:p>
        </w:tc>
        <w:tc>
          <w:tcPr>
            <w:tcW w:w="1561" w:type="dxa"/>
            <w:gridSpan w:val="2"/>
            <w:vAlign w:val="center"/>
          </w:tcPr>
          <w:p>
            <w:pPr>
              <w:spacing w:line="260" w:lineRule="exact"/>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2642</w:t>
            </w:r>
            <w:r>
              <w:rPr>
                <w:rFonts w:hint="eastAsia" w:cs="Times New Roman"/>
                <w:color w:val="auto"/>
                <w:sz w:val="24"/>
                <w:lang w:val="en-US" w:eastAsia="zh-CN"/>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7385" w:type="dxa"/>
            <w:gridSpan w:val="8"/>
            <w:vAlign w:val="center"/>
          </w:tcPr>
          <w:p>
            <w:pPr>
              <w:spacing w:line="260" w:lineRule="exact"/>
              <w:jc w:val="center"/>
              <w:rPr>
                <w:rFonts w:hint="default" w:ascii="Times New Roman" w:hAnsi="Times New Roman" w:eastAsia="宋体" w:cs="Times New Roman"/>
                <w:color w:val="auto"/>
                <w:sz w:val="24"/>
                <w:szCs w:val="24"/>
                <w:lang w:eastAsia="zh-CN"/>
              </w:rPr>
            </w:pPr>
            <w:r>
              <w:rPr>
                <w:rFonts w:hint="eastAsia" w:cs="Times New Roman"/>
                <w:color w:val="auto"/>
                <w:sz w:val="24"/>
                <w:lang w:eastAsia="zh-CN"/>
              </w:rPr>
              <w:t>威海市环翠区羊亭镇顺海路3-1号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立项审批部门</w:t>
            </w:r>
          </w:p>
        </w:tc>
        <w:tc>
          <w:tcPr>
            <w:tcW w:w="2930" w:type="dxa"/>
            <w:gridSpan w:val="3"/>
            <w:vAlign w:val="center"/>
          </w:tcPr>
          <w:p>
            <w:pPr>
              <w:spacing w:line="260" w:lineRule="exact"/>
              <w:jc w:val="center"/>
              <w:rPr>
                <w:rFonts w:hint="default" w:ascii="Times New Roman" w:hAnsi="Times New Roman" w:cs="Times New Roman"/>
                <w:color w:val="auto"/>
                <w:sz w:val="24"/>
              </w:rPr>
            </w:pPr>
          </w:p>
        </w:tc>
        <w:tc>
          <w:tcPr>
            <w:tcW w:w="1450" w:type="dxa"/>
            <w:gridSpan w:val="2"/>
            <w:vAlign w:val="center"/>
          </w:tcPr>
          <w:p>
            <w:pPr>
              <w:spacing w:line="260" w:lineRule="exact"/>
              <w:jc w:val="center"/>
              <w:rPr>
                <w:rFonts w:hint="default" w:ascii="Times New Roman" w:hAnsi="Times New Roman" w:cs="Times New Roman"/>
                <w:color w:val="auto"/>
              </w:rPr>
            </w:pPr>
            <w:r>
              <w:rPr>
                <w:rFonts w:hint="default" w:ascii="Times New Roman" w:hAnsi="Times New Roman" w:cs="Times New Roman"/>
                <w:color w:val="auto"/>
                <w:sz w:val="24"/>
              </w:rPr>
              <w:t>批准文号</w:t>
            </w:r>
          </w:p>
        </w:tc>
        <w:tc>
          <w:tcPr>
            <w:tcW w:w="3005" w:type="dxa"/>
            <w:gridSpan w:val="3"/>
            <w:vAlign w:val="center"/>
          </w:tcPr>
          <w:p>
            <w:pPr>
              <w:spacing w:line="260" w:lineRule="exact"/>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2020-371002-29-03-128336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2930" w:type="dxa"/>
            <w:gridSpan w:val="3"/>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新建</w:t>
            </w:r>
            <w:r>
              <w:rPr>
                <w:rFonts w:hint="default" w:ascii="Times New Roman" w:hAnsi="Times New Roman" w:cs="Times New Roman"/>
                <w:color w:val="auto"/>
                <w:sz w:val="24"/>
              </w:rPr>
              <w:sym w:font="Wingdings" w:char="00FE"/>
            </w:r>
            <w:r>
              <w:rPr>
                <w:rFonts w:hint="default" w:ascii="Times New Roman" w:hAnsi="Times New Roman" w:cs="Times New Roman"/>
                <w:color w:val="auto"/>
                <w:sz w:val="24"/>
              </w:rPr>
              <w:t xml:space="preserve">  扩建</w:t>
            </w:r>
            <w:r>
              <w:rPr>
                <w:rFonts w:hint="default" w:ascii="Times New Roman" w:hAnsi="Times New Roman" w:cs="Times New Roman"/>
                <w:color w:val="auto"/>
                <w:sz w:val="24"/>
              </w:rPr>
              <w:sym w:font="Wingdings" w:char="00A8"/>
            </w:r>
            <w:r>
              <w:rPr>
                <w:rFonts w:hint="default" w:ascii="Times New Roman" w:hAnsi="Times New Roman" w:cs="Times New Roman"/>
                <w:color w:val="auto"/>
              </w:rPr>
              <w:t xml:space="preserve">  </w:t>
            </w:r>
            <w:r>
              <w:rPr>
                <w:rFonts w:hint="default" w:ascii="Times New Roman" w:hAnsi="Times New Roman" w:cs="Times New Roman"/>
                <w:color w:val="auto"/>
                <w:sz w:val="24"/>
              </w:rPr>
              <w:t>技改</w:t>
            </w:r>
            <w:r>
              <w:rPr>
                <w:rFonts w:hint="default" w:ascii="Times New Roman" w:hAnsi="Times New Roman" w:cs="Times New Roman"/>
                <w:color w:val="auto"/>
                <w:sz w:val="24"/>
              </w:rPr>
              <w:sym w:font="Wingdings" w:char="00A8"/>
            </w:r>
          </w:p>
        </w:tc>
        <w:tc>
          <w:tcPr>
            <w:tcW w:w="1450" w:type="dxa"/>
            <w:gridSpan w:val="2"/>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p>
            <w:pPr>
              <w:spacing w:line="260" w:lineRule="exact"/>
              <w:jc w:val="center"/>
              <w:rPr>
                <w:rFonts w:hint="default" w:ascii="Times New Roman" w:hAnsi="Times New Roman" w:cs="Times New Roman"/>
                <w:color w:val="auto"/>
              </w:rPr>
            </w:pPr>
            <w:r>
              <w:rPr>
                <w:rFonts w:hint="default" w:ascii="Times New Roman" w:hAnsi="Times New Roman" w:cs="Times New Roman"/>
                <w:color w:val="auto"/>
                <w:sz w:val="24"/>
              </w:rPr>
              <w:t>及代码</w:t>
            </w:r>
          </w:p>
        </w:tc>
        <w:tc>
          <w:tcPr>
            <w:tcW w:w="3005" w:type="dxa"/>
            <w:gridSpan w:val="3"/>
            <w:vAlign w:val="center"/>
          </w:tcPr>
          <w:p>
            <w:pPr>
              <w:pStyle w:val="43"/>
              <w:spacing w:before="60" w:after="60"/>
              <w:jc w:val="center"/>
              <w:rPr>
                <w:rFonts w:hint="default" w:ascii="Times New Roman" w:hAnsi="Times New Roman" w:eastAsia="宋体" w:cs="Times New Roman"/>
                <w:color w:val="auto"/>
                <w:lang w:eastAsia="zh-CN"/>
              </w:rPr>
            </w:pPr>
            <w:r>
              <w:rPr>
                <w:rFonts w:ascii="Times New Roman" w:eastAsia="宋体" w:cs="Times New Roman"/>
                <w:color w:val="auto"/>
                <w:sz w:val="24"/>
                <w:szCs w:val="24"/>
              </w:rPr>
              <w:t>C2929 塑料零件及其他塑料制品制造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占地面积</w:t>
            </w:r>
          </w:p>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(平方米)</w:t>
            </w:r>
          </w:p>
        </w:tc>
        <w:tc>
          <w:tcPr>
            <w:tcW w:w="2930" w:type="dxa"/>
            <w:gridSpan w:val="3"/>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5089</w:t>
            </w:r>
          </w:p>
        </w:tc>
        <w:tc>
          <w:tcPr>
            <w:tcW w:w="1450" w:type="dxa"/>
            <w:gridSpan w:val="2"/>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绿化面积</w:t>
            </w:r>
          </w:p>
          <w:p>
            <w:pPr>
              <w:spacing w:line="260" w:lineRule="exact"/>
              <w:jc w:val="center"/>
              <w:rPr>
                <w:rFonts w:hint="default" w:ascii="Times New Roman" w:hAnsi="Times New Roman" w:cs="Times New Roman"/>
                <w:color w:val="auto"/>
              </w:rPr>
            </w:pPr>
            <w:r>
              <w:rPr>
                <w:rFonts w:hint="default" w:ascii="Times New Roman" w:hAnsi="Times New Roman" w:cs="Times New Roman"/>
                <w:color w:val="auto"/>
                <w:sz w:val="24"/>
              </w:rPr>
              <w:t>（平方米）</w:t>
            </w:r>
          </w:p>
        </w:tc>
        <w:tc>
          <w:tcPr>
            <w:tcW w:w="3005" w:type="dxa"/>
            <w:gridSpan w:val="3"/>
            <w:vAlign w:val="center"/>
          </w:tcPr>
          <w:p>
            <w:pPr>
              <w:spacing w:line="260" w:lineRule="exact"/>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总投资</w:t>
            </w:r>
          </w:p>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(万元)</w:t>
            </w:r>
          </w:p>
        </w:tc>
        <w:tc>
          <w:tcPr>
            <w:tcW w:w="1439" w:type="dxa"/>
            <w:vAlign w:val="center"/>
          </w:tcPr>
          <w:p>
            <w:pPr>
              <w:spacing w:line="26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100</w:t>
            </w:r>
          </w:p>
        </w:tc>
        <w:tc>
          <w:tcPr>
            <w:tcW w:w="1491" w:type="dxa"/>
            <w:gridSpan w:val="2"/>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其中：环保投资（万元）</w:t>
            </w:r>
          </w:p>
        </w:tc>
        <w:tc>
          <w:tcPr>
            <w:tcW w:w="1450" w:type="dxa"/>
            <w:gridSpan w:val="2"/>
            <w:vAlign w:val="center"/>
          </w:tcPr>
          <w:p>
            <w:pPr>
              <w:spacing w:line="260" w:lineRule="exact"/>
              <w:jc w:val="center"/>
              <w:rPr>
                <w:rFonts w:hint="default" w:ascii="Times New Roman" w:hAnsi="Times New Roman" w:eastAsia="宋体" w:cs="Times New Roman"/>
                <w:color w:val="auto"/>
                <w:lang w:val="en-US" w:eastAsia="zh-CN"/>
              </w:rPr>
            </w:pPr>
            <w:r>
              <w:rPr>
                <w:rFonts w:hint="eastAsia" w:cs="Times New Roman"/>
                <w:color w:val="auto"/>
                <w:sz w:val="24"/>
                <w:lang w:val="en-US" w:eastAsia="zh-CN"/>
              </w:rPr>
              <w:t>10</w:t>
            </w:r>
          </w:p>
        </w:tc>
        <w:tc>
          <w:tcPr>
            <w:tcW w:w="1547" w:type="dxa"/>
            <w:gridSpan w:val="2"/>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环保投资占总投资比例</w:t>
            </w:r>
          </w:p>
        </w:tc>
        <w:tc>
          <w:tcPr>
            <w:tcW w:w="1458" w:type="dxa"/>
            <w:vAlign w:val="center"/>
          </w:tcPr>
          <w:p>
            <w:pPr>
              <w:spacing w:line="260" w:lineRule="exact"/>
              <w:jc w:val="center"/>
              <w:rPr>
                <w:rFonts w:hint="default" w:ascii="Times New Roman" w:hAnsi="Times New Roman" w:cs="Times New Roman"/>
                <w:color w:val="auto"/>
                <w:sz w:val="24"/>
              </w:rPr>
            </w:pPr>
            <w:r>
              <w:rPr>
                <w:rFonts w:hint="eastAsia" w:cs="Times New Roman"/>
                <w:color w:val="auto"/>
                <w:sz w:val="24"/>
                <w:lang w:val="en-US" w:eastAsia="zh-CN"/>
              </w:rPr>
              <w:t>10</w:t>
            </w:r>
            <w:r>
              <w:rPr>
                <w:rFonts w:hint="default" w:ascii="Times New Roman" w:hAnsi="Times New Roman" w:cs="Times New Roman"/>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1971" w:type="dxa"/>
            <w:vAlign w:val="center"/>
          </w:tcPr>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评价经费</w:t>
            </w:r>
          </w:p>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(万元)</w:t>
            </w:r>
          </w:p>
        </w:tc>
        <w:tc>
          <w:tcPr>
            <w:tcW w:w="1439" w:type="dxa"/>
            <w:vAlign w:val="center"/>
          </w:tcPr>
          <w:p>
            <w:pPr>
              <w:spacing w:line="260" w:lineRule="exact"/>
              <w:jc w:val="center"/>
              <w:rPr>
                <w:rFonts w:hint="default" w:ascii="Times New Roman" w:hAnsi="Times New Roman" w:cs="Times New Roman"/>
                <w:color w:val="auto"/>
                <w:sz w:val="24"/>
              </w:rPr>
            </w:pPr>
          </w:p>
        </w:tc>
        <w:tc>
          <w:tcPr>
            <w:tcW w:w="1491" w:type="dxa"/>
            <w:gridSpan w:val="2"/>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预计投产</w:t>
            </w:r>
          </w:p>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日期</w:t>
            </w:r>
          </w:p>
        </w:tc>
        <w:tc>
          <w:tcPr>
            <w:tcW w:w="4455" w:type="dxa"/>
            <w:gridSpan w:val="5"/>
            <w:vAlign w:val="center"/>
          </w:tcPr>
          <w:p>
            <w:pPr>
              <w:spacing w:line="26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20</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年</w:t>
            </w:r>
            <w:r>
              <w:rPr>
                <w:rFonts w:hint="eastAsia" w:cs="Times New Roman"/>
                <w:color w:val="auto"/>
                <w:sz w:val="24"/>
                <w:lang w:val="en-US" w:eastAsia="zh-CN"/>
              </w:rPr>
              <w:t>11</w:t>
            </w:r>
            <w:r>
              <w:rPr>
                <w:rFonts w:hint="default" w:ascii="Times New Roman" w:hAnsi="Times New Roman" w:cs="Times New Roman"/>
                <w:color w:val="auto"/>
                <w:sz w:val="24"/>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33" w:hRule="atLeast"/>
          <w:jc w:val="center"/>
        </w:trPr>
        <w:tc>
          <w:tcPr>
            <w:tcW w:w="9356" w:type="dxa"/>
            <w:gridSpan w:val="9"/>
            <w:vAlign w:val="center"/>
          </w:tcPr>
          <w:p>
            <w:pPr>
              <w:spacing w:line="360" w:lineRule="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工程内容及规模</w:t>
            </w:r>
          </w:p>
          <w:p>
            <w:pPr>
              <w:pStyle w:val="86"/>
              <w:tabs>
                <w:tab w:val="left" w:pos="526"/>
                <w:tab w:val="left" w:pos="6078"/>
                <w:tab w:val="clear" w:pos="6780"/>
              </w:tabs>
              <w:adjustRightInd w:val="0"/>
              <w:rPr>
                <w:rFonts w:hint="default" w:ascii="Times New Roman" w:hAnsi="Times New Roman" w:eastAsia="宋体" w:cs="Times New Roman"/>
                <w:color w:val="auto"/>
                <w:lang w:eastAsia="zh-CN"/>
              </w:rPr>
            </w:pPr>
            <w:r>
              <w:rPr>
                <w:rFonts w:hint="default" w:ascii="Times New Roman" w:hAnsi="Times New Roman" w:cs="Times New Roman"/>
                <w:color w:val="auto"/>
              </w:rPr>
              <w:t>1、项目</w:t>
            </w:r>
            <w:r>
              <w:rPr>
                <w:rFonts w:hint="default" w:ascii="Times New Roman" w:hAnsi="Times New Roman" w:cs="Times New Roman"/>
                <w:color w:val="auto"/>
                <w:lang w:eastAsia="zh-CN"/>
              </w:rPr>
              <w:t>由来</w:t>
            </w:r>
          </w:p>
          <w:p>
            <w:pPr>
              <w:spacing w:line="360" w:lineRule="auto"/>
              <w:ind w:firstLine="480"/>
              <w:rPr>
                <w:rFonts w:hint="default" w:ascii="Times New Roman" w:hAnsi="Times New Roman" w:cs="Times New Roman"/>
                <w:color w:val="auto"/>
                <w:sz w:val="24"/>
                <w:szCs w:val="24"/>
              </w:rPr>
            </w:pPr>
            <w:r>
              <w:rPr>
                <w:rFonts w:hint="eastAsia" w:cs="Times New Roman"/>
                <w:bCs/>
                <w:color w:val="auto"/>
                <w:sz w:val="24"/>
                <w:szCs w:val="24"/>
                <w:lang w:eastAsia="zh-CN"/>
              </w:rPr>
              <w:t>威海宇能模塑有限公司</w:t>
            </w:r>
            <w:r>
              <w:rPr>
                <w:rFonts w:hint="default" w:ascii="Times New Roman" w:hAnsi="Times New Roman" w:cs="Times New Roman"/>
                <w:bCs/>
                <w:color w:val="auto"/>
                <w:sz w:val="24"/>
                <w:szCs w:val="24"/>
                <w:lang w:eastAsia="zh-CN"/>
              </w:rPr>
              <w:t>成立于</w:t>
            </w:r>
            <w:r>
              <w:rPr>
                <w:rFonts w:hint="default" w:ascii="Times New Roman" w:hAnsi="Times New Roman" w:cs="Times New Roman"/>
                <w:bCs/>
                <w:color w:val="auto"/>
                <w:sz w:val="24"/>
                <w:szCs w:val="24"/>
                <w:lang w:val="en-US" w:eastAsia="zh-CN"/>
              </w:rPr>
              <w:t>20</w:t>
            </w:r>
            <w:r>
              <w:rPr>
                <w:rFonts w:hint="eastAsia" w:cs="Times New Roman"/>
                <w:bCs/>
                <w:color w:val="auto"/>
                <w:sz w:val="24"/>
                <w:szCs w:val="24"/>
                <w:lang w:val="en-US" w:eastAsia="zh-CN"/>
              </w:rPr>
              <w:t>06</w:t>
            </w:r>
            <w:r>
              <w:rPr>
                <w:rFonts w:hint="default" w:ascii="Times New Roman" w:hAnsi="Times New Roman" w:cs="Times New Roman"/>
                <w:bCs/>
                <w:color w:val="auto"/>
                <w:sz w:val="24"/>
                <w:szCs w:val="24"/>
                <w:lang w:val="en-US" w:eastAsia="zh-CN"/>
              </w:rPr>
              <w:t>年</w:t>
            </w:r>
            <w:r>
              <w:rPr>
                <w:rFonts w:hint="eastAsia" w:cs="Times New Roman"/>
                <w:bCs/>
                <w:color w:val="auto"/>
                <w:sz w:val="24"/>
                <w:szCs w:val="24"/>
                <w:lang w:val="en-US" w:eastAsia="zh-CN"/>
              </w:rPr>
              <w:t>11</w:t>
            </w:r>
            <w:r>
              <w:rPr>
                <w:rFonts w:hint="default" w:ascii="Times New Roman" w:hAnsi="Times New Roman" w:cs="Times New Roman"/>
                <w:bCs/>
                <w:color w:val="auto"/>
                <w:sz w:val="24"/>
                <w:szCs w:val="24"/>
                <w:lang w:val="en-US" w:eastAsia="zh-CN"/>
              </w:rPr>
              <w:t>月</w:t>
            </w:r>
            <w:r>
              <w:rPr>
                <w:rFonts w:hint="eastAsia" w:cs="Times New Roman"/>
                <w:bCs/>
                <w:color w:val="auto"/>
                <w:sz w:val="24"/>
                <w:szCs w:val="24"/>
                <w:lang w:val="en-US" w:eastAsia="zh-CN"/>
              </w:rPr>
              <w:t>01</w:t>
            </w:r>
            <w:r>
              <w:rPr>
                <w:rFonts w:hint="default" w:ascii="Times New Roman" w:hAnsi="Times New Roman" w:cs="Times New Roman"/>
                <w:bCs/>
                <w:color w:val="auto"/>
                <w:sz w:val="24"/>
                <w:szCs w:val="24"/>
                <w:lang w:val="en-US" w:eastAsia="zh-CN"/>
              </w:rPr>
              <w:t>日，是以</w:t>
            </w:r>
            <w:r>
              <w:rPr>
                <w:rFonts w:hint="eastAsia" w:cs="Times New Roman"/>
                <w:bCs/>
                <w:color w:val="auto"/>
                <w:sz w:val="24"/>
                <w:szCs w:val="24"/>
                <w:lang w:val="en-US" w:eastAsia="zh-CN"/>
              </w:rPr>
              <w:t>模具设计和模具制造生产和销售</w:t>
            </w:r>
            <w:r>
              <w:rPr>
                <w:rFonts w:hint="default" w:ascii="Times New Roman" w:hAnsi="Times New Roman" w:cs="Times New Roman"/>
                <w:color w:val="auto"/>
                <w:sz w:val="24"/>
                <w:szCs w:val="24"/>
              </w:rPr>
              <w:t>为主的企业</w:t>
            </w:r>
            <w:r>
              <w:rPr>
                <w:rFonts w:hint="eastAsia" w:cs="Times New Roman"/>
                <w:color w:val="auto"/>
                <w:sz w:val="24"/>
                <w:szCs w:val="24"/>
                <w:lang w:eastAsia="zh-CN"/>
              </w:rPr>
              <w:t>，公司成立至今一直未投产</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2020年8月，</w:t>
            </w:r>
            <w:r>
              <w:rPr>
                <w:rFonts w:hint="default" w:ascii="Times New Roman" w:hAnsi="Times New Roman" w:cs="Times New Roman"/>
                <w:color w:val="auto"/>
                <w:sz w:val="24"/>
                <w:szCs w:val="24"/>
                <w:shd w:val="clear" w:color="auto" w:fill="FFFFFF"/>
                <w:lang w:eastAsia="zh-CN"/>
              </w:rPr>
              <w:t>该公司</w:t>
            </w:r>
            <w:r>
              <w:rPr>
                <w:rFonts w:hint="default" w:ascii="Times New Roman" w:hAnsi="Times New Roman" w:cs="Times New Roman"/>
                <w:color w:val="auto"/>
                <w:sz w:val="24"/>
                <w:szCs w:val="24"/>
                <w:lang w:val="en-US" w:eastAsia="zh-CN"/>
              </w:rPr>
              <w:t>拟</w:t>
            </w:r>
            <w:r>
              <w:rPr>
                <w:rFonts w:hint="default" w:ascii="Times New Roman" w:hAnsi="Times New Roman" w:cs="Times New Roman"/>
                <w:color w:val="auto"/>
                <w:sz w:val="24"/>
                <w:szCs w:val="24"/>
                <w:shd w:val="clear" w:color="auto" w:fill="FFFFFF"/>
                <w:lang w:eastAsia="zh-CN"/>
              </w:rPr>
              <w:t>于</w:t>
            </w:r>
            <w:r>
              <w:rPr>
                <w:rFonts w:hint="eastAsia" w:cs="Times New Roman"/>
                <w:color w:val="auto"/>
                <w:sz w:val="24"/>
                <w:lang w:eastAsia="zh-CN"/>
              </w:rPr>
              <w:t>威海市环翠区羊亭镇顺海路3-1号</w:t>
            </w:r>
            <w:r>
              <w:rPr>
                <w:rFonts w:hint="default" w:ascii="Times New Roman" w:hAnsi="Times New Roman" w:cs="Times New Roman"/>
                <w:color w:val="auto"/>
                <w:sz w:val="24"/>
                <w:szCs w:val="24"/>
                <w:lang w:val="en-US" w:eastAsia="zh-CN"/>
              </w:rPr>
              <w:t>新建</w:t>
            </w:r>
            <w:r>
              <w:rPr>
                <w:rFonts w:hint="eastAsia" w:cs="Times New Roman"/>
                <w:bCs/>
                <w:color w:val="auto"/>
                <w:sz w:val="24"/>
                <w:szCs w:val="24"/>
                <w:lang w:eastAsia="zh-CN"/>
              </w:rPr>
              <w:t>打印机塑料件加工项目</w:t>
            </w:r>
            <w:r>
              <w:rPr>
                <w:rFonts w:hint="default" w:ascii="Times New Roman" w:hAnsi="Times New Roman" w:cs="Times New Roman"/>
                <w:color w:val="auto"/>
                <w:sz w:val="24"/>
                <w:szCs w:val="24"/>
                <w:lang w:val="en-US" w:eastAsia="zh-CN"/>
              </w:rPr>
              <w:t>。该项目</w:t>
            </w:r>
            <w:r>
              <w:rPr>
                <w:rFonts w:hint="default" w:ascii="Times New Roman" w:hAnsi="Times New Roman" w:cs="Times New Roman"/>
                <w:color w:val="auto"/>
                <w:sz w:val="24"/>
                <w:szCs w:val="24"/>
                <w:shd w:val="clear" w:color="auto" w:fill="FFFFFF"/>
              </w:rPr>
              <w:t>总投资</w:t>
            </w:r>
            <w:r>
              <w:rPr>
                <w:rFonts w:hint="default" w:ascii="Times New Roman" w:hAnsi="Times New Roman" w:cs="Times New Roman"/>
                <w:color w:val="auto"/>
                <w:sz w:val="24"/>
                <w:szCs w:val="24"/>
                <w:shd w:val="clear" w:color="auto" w:fill="FFFFFF"/>
                <w:lang w:val="en-US" w:eastAsia="zh-CN"/>
              </w:rPr>
              <w:t>100</w:t>
            </w:r>
            <w:r>
              <w:rPr>
                <w:rFonts w:hint="default" w:ascii="Times New Roman" w:hAnsi="Times New Roman" w:cs="Times New Roman"/>
                <w:color w:val="auto"/>
                <w:sz w:val="24"/>
                <w:szCs w:val="24"/>
                <w:shd w:val="clear" w:color="auto" w:fill="FFFFFF"/>
              </w:rPr>
              <w:t>万元，</w:t>
            </w:r>
            <w:r>
              <w:rPr>
                <w:rFonts w:hint="default" w:ascii="Times New Roman" w:hAnsi="Times New Roman" w:cs="Times New Roman"/>
                <w:bCs/>
                <w:color w:val="auto"/>
                <w:sz w:val="24"/>
                <w:szCs w:val="24"/>
              </w:rPr>
              <w:t>全部由项目单位自筹解决，</w:t>
            </w:r>
            <w:r>
              <w:rPr>
                <w:rFonts w:hint="default" w:ascii="Times New Roman" w:hAnsi="Times New Roman" w:cs="Times New Roman"/>
                <w:color w:val="auto"/>
                <w:sz w:val="24"/>
                <w:szCs w:val="24"/>
                <w:shd w:val="clear" w:color="auto" w:fill="FFFFFF"/>
              </w:rPr>
              <w:t>总建筑面积</w:t>
            </w:r>
            <w:r>
              <w:rPr>
                <w:rFonts w:hint="eastAsia" w:cs="Times New Roman"/>
                <w:color w:val="auto"/>
                <w:sz w:val="24"/>
                <w:szCs w:val="24"/>
                <w:shd w:val="clear" w:color="auto" w:fill="FFFFFF"/>
                <w:lang w:val="en-US" w:eastAsia="zh-CN"/>
              </w:rPr>
              <w:t>4080</w:t>
            </w:r>
            <w:r>
              <w:rPr>
                <w:rFonts w:hint="default" w:ascii="Times New Roman" w:hAnsi="Times New Roman" w:cs="Times New Roman"/>
                <w:color w:val="auto"/>
                <w:sz w:val="24"/>
                <w:szCs w:val="24"/>
                <w:shd w:val="clear" w:color="auto" w:fill="FFFFFF"/>
              </w:rPr>
              <w:t>m</w:t>
            </w:r>
            <w:r>
              <w:rPr>
                <w:rFonts w:hint="default" w:ascii="Times New Roman" w:hAnsi="Times New Roman" w:cs="Times New Roman"/>
                <w:color w:val="auto"/>
                <w:sz w:val="24"/>
                <w:szCs w:val="24"/>
                <w:shd w:val="clear" w:color="auto" w:fill="FFFFFF"/>
                <w:vertAlign w:val="superscript"/>
              </w:rPr>
              <w:t>2</w:t>
            </w:r>
            <w:r>
              <w:rPr>
                <w:rFonts w:hint="default" w:ascii="Times New Roman" w:hAnsi="Times New Roman" w:cs="Times New Roman"/>
                <w:color w:val="auto"/>
                <w:sz w:val="24"/>
                <w:szCs w:val="24"/>
                <w:shd w:val="clear" w:color="auto" w:fill="FFFFFF"/>
              </w:rPr>
              <w:t>，</w:t>
            </w:r>
            <w:r>
              <w:rPr>
                <w:rFonts w:hint="default" w:ascii="Times New Roman" w:hAnsi="Times New Roman" w:cs="Times New Roman"/>
                <w:color w:val="auto"/>
                <w:sz w:val="24"/>
                <w:szCs w:val="24"/>
                <w:shd w:val="clear" w:color="auto" w:fill="FFFFFF"/>
                <w:lang w:eastAsia="zh-CN"/>
              </w:rPr>
              <w:t>包括</w:t>
            </w:r>
            <w:r>
              <w:rPr>
                <w:rFonts w:hint="eastAsia" w:cs="Times New Roman"/>
                <w:color w:val="auto"/>
                <w:sz w:val="24"/>
                <w:szCs w:val="24"/>
                <w:shd w:val="clear" w:color="auto" w:fill="FFFFFF"/>
                <w:lang w:eastAsia="zh-CN"/>
              </w:rPr>
              <w:t>注塑车间、办公室、仓库</w:t>
            </w:r>
            <w:r>
              <w:rPr>
                <w:rFonts w:hint="default" w:ascii="Times New Roman" w:hAnsi="Times New Roman" w:cs="Times New Roman"/>
                <w:color w:val="auto"/>
                <w:sz w:val="24"/>
                <w:szCs w:val="24"/>
                <w:shd w:val="clear" w:color="auto" w:fill="FFFFFF"/>
                <w:lang w:eastAsia="zh-CN"/>
              </w:rPr>
              <w:t>、危废库等，不设食堂和宿舍</w:t>
            </w:r>
            <w:r>
              <w:rPr>
                <w:rFonts w:hint="default" w:ascii="Times New Roman" w:hAnsi="Times New Roman" w:cs="Times New Roman"/>
                <w:color w:val="auto"/>
                <w:sz w:val="24"/>
                <w:szCs w:val="24"/>
                <w:shd w:val="clear" w:color="auto" w:fill="FFFFFF"/>
              </w:rPr>
              <w:t>。</w:t>
            </w:r>
            <w:r>
              <w:rPr>
                <w:rFonts w:hint="default" w:ascii="Times New Roman" w:hAnsi="Times New Roman" w:cs="Times New Roman"/>
                <w:bCs/>
                <w:color w:val="auto"/>
                <w:sz w:val="24"/>
                <w:szCs w:val="24"/>
              </w:rPr>
              <w:t>项目劳动人员</w:t>
            </w:r>
            <w:r>
              <w:rPr>
                <w:rFonts w:hint="eastAsia" w:cs="Times New Roman"/>
                <w:bCs/>
                <w:color w:val="auto"/>
                <w:sz w:val="24"/>
                <w:szCs w:val="24"/>
                <w:lang w:val="en-US" w:eastAsia="zh-CN"/>
              </w:rPr>
              <w:t>20</w:t>
            </w:r>
            <w:r>
              <w:rPr>
                <w:rFonts w:hint="default" w:ascii="Times New Roman" w:hAnsi="Times New Roman" w:cs="Times New Roman"/>
                <w:bCs/>
                <w:color w:val="auto"/>
                <w:sz w:val="24"/>
                <w:szCs w:val="24"/>
              </w:rPr>
              <w:t>人，其中管理人员</w:t>
            </w:r>
            <w:r>
              <w:rPr>
                <w:rFonts w:hint="eastAsia" w:cs="Times New Roman"/>
                <w:bCs/>
                <w:color w:val="auto"/>
                <w:sz w:val="24"/>
                <w:szCs w:val="24"/>
                <w:lang w:val="en-US" w:eastAsia="zh-CN"/>
              </w:rPr>
              <w:t>5</w:t>
            </w:r>
            <w:r>
              <w:rPr>
                <w:rFonts w:hint="default" w:ascii="Times New Roman" w:hAnsi="Times New Roman" w:cs="Times New Roman"/>
                <w:bCs/>
                <w:color w:val="auto"/>
                <w:sz w:val="24"/>
                <w:szCs w:val="24"/>
              </w:rPr>
              <w:t>人，工人</w:t>
            </w:r>
            <w:r>
              <w:rPr>
                <w:rFonts w:hint="eastAsia" w:cs="Times New Roman"/>
                <w:bCs/>
                <w:color w:val="auto"/>
                <w:sz w:val="24"/>
                <w:szCs w:val="24"/>
                <w:lang w:val="en-US" w:eastAsia="zh-CN"/>
              </w:rPr>
              <w:t>15</w:t>
            </w:r>
            <w:r>
              <w:rPr>
                <w:rFonts w:hint="default" w:ascii="Times New Roman" w:hAnsi="Times New Roman" w:cs="Times New Roman"/>
                <w:bCs/>
                <w:color w:val="auto"/>
                <w:sz w:val="24"/>
                <w:szCs w:val="24"/>
              </w:rPr>
              <w:t>人，生产实行单班制，每班工作时间为8h，年工作300d</w:t>
            </w:r>
            <w:r>
              <w:rPr>
                <w:rFonts w:hint="default" w:ascii="Times New Roman" w:hAnsi="Times New Roman" w:cs="Times New Roman"/>
                <w:color w:val="auto"/>
                <w:sz w:val="24"/>
                <w:szCs w:val="24"/>
                <w:shd w:val="clear" w:color="auto" w:fill="FFFFFF"/>
              </w:rPr>
              <w:t>。</w:t>
            </w:r>
            <w:r>
              <w:rPr>
                <w:rFonts w:hint="default" w:ascii="Times New Roman" w:hAnsi="Times New Roman" w:cs="Times New Roman"/>
                <w:color w:val="auto"/>
                <w:sz w:val="24"/>
                <w:szCs w:val="24"/>
                <w:lang w:val="en-US" w:eastAsia="zh-CN"/>
              </w:rPr>
              <w:t>项目建成后预计年可</w:t>
            </w:r>
            <w:r>
              <w:rPr>
                <w:rFonts w:hint="eastAsia" w:cs="Times New Roman"/>
                <w:color w:val="auto"/>
                <w:sz w:val="24"/>
                <w:szCs w:val="24"/>
                <w:lang w:val="en-US" w:eastAsia="zh-CN"/>
              </w:rPr>
              <w:t>生产打印机塑料件200t/a</w:t>
            </w:r>
            <w:r>
              <w:rPr>
                <w:rFonts w:hint="default" w:ascii="Times New Roman" w:hAnsi="Times New Roman" w:cs="Times New Roman"/>
                <w:color w:val="auto"/>
                <w:sz w:val="24"/>
                <w:szCs w:val="24"/>
                <w:shd w:val="clear" w:color="auto" w:fill="FFFFFF"/>
              </w:rPr>
              <w:t>。</w:t>
            </w:r>
          </w:p>
          <w:p>
            <w:pPr>
              <w:spacing w:line="360" w:lineRule="auto"/>
              <w:ind w:firstLine="480"/>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按照《中华人民共和国环境保护法》（2015年1月1日实施）、《中华人民共和国环境影响评价法》（2018年12月修订）的相关规定，</w:t>
            </w:r>
            <w:r>
              <w:rPr>
                <w:rFonts w:hint="default" w:ascii="Times New Roman" w:hAnsi="Times New Roman" w:cs="Times New Roman" w:eastAsiaTheme="minorEastAsia"/>
                <w:color w:val="auto"/>
                <w:sz w:val="24"/>
                <w:szCs w:val="24"/>
                <w:lang w:eastAsia="zh-CN"/>
              </w:rPr>
              <w:t>本</w:t>
            </w:r>
            <w:r>
              <w:rPr>
                <w:rFonts w:hint="default" w:ascii="Times New Roman" w:hAnsi="Times New Roman" w:cs="Times New Roman" w:eastAsiaTheme="minorEastAsia"/>
                <w:color w:val="auto"/>
                <w:sz w:val="24"/>
                <w:szCs w:val="24"/>
              </w:rPr>
              <w:t>项目需要进行环境影响评价</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根据《建设项目环境影响评价分类管理名录》（2018年生态环境部令第1号令2017年9月1日实施，2018年4月28日修正）</w:t>
            </w:r>
            <w:r>
              <w:rPr>
                <w:rFonts w:hint="default" w:ascii="Times New Roman" w:hAnsi="Times New Roman" w:cs="Times New Roman" w:eastAsiaTheme="minorEastAsia"/>
                <w:color w:val="auto"/>
                <w:sz w:val="24"/>
                <w:szCs w:val="24"/>
                <w:lang w:eastAsia="zh-CN"/>
              </w:rPr>
              <w:t>中“</w:t>
            </w:r>
            <w:r>
              <w:rPr>
                <w:color w:val="auto"/>
                <w:sz w:val="24"/>
                <w:szCs w:val="24"/>
              </w:rPr>
              <w:t>十八 橡胶和塑料制品业 47、塑料制品制造 其他</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的有关规定，该项目应编制环境影响报告表。因此，</w:t>
            </w:r>
            <w:r>
              <w:rPr>
                <w:rFonts w:hint="eastAsia" w:cs="Times New Roman"/>
                <w:bCs/>
                <w:color w:val="auto"/>
                <w:sz w:val="24"/>
                <w:szCs w:val="24"/>
                <w:lang w:eastAsia="zh-CN"/>
              </w:rPr>
              <w:t>威海宇能模塑有限公司</w:t>
            </w:r>
            <w:r>
              <w:rPr>
                <w:rFonts w:hint="default" w:ascii="Times New Roman" w:hAnsi="Times New Roman" w:cs="Times New Roman" w:eastAsiaTheme="minorEastAsia"/>
                <w:color w:val="auto"/>
                <w:sz w:val="24"/>
                <w:szCs w:val="24"/>
              </w:rPr>
              <w:t>委托我单位对该项目进行环境影响评价。我单位在接受委托后，对厂址周围环境状况进行了实地调查， 收集了当地有关环境资料，在工程分析的基础上编制完成了该项目的环境影响报告表，为主管部门审查决策和项目的环境管理提供依据</w:t>
            </w:r>
            <w:r>
              <w:rPr>
                <w:rFonts w:hint="eastAsia" w:cs="Times New Roman" w:eastAsiaTheme="minorEastAsia"/>
                <w:color w:val="auto"/>
                <w:sz w:val="24"/>
                <w:szCs w:val="24"/>
                <w:lang w:eastAsia="zh-CN"/>
              </w:rPr>
              <w:t>。</w:t>
            </w:r>
          </w:p>
          <w:p>
            <w:pPr>
              <w:pStyle w:val="86"/>
              <w:ind w:left="0" w:leftChars="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2、项目概况</w:t>
            </w:r>
          </w:p>
          <w:p>
            <w:pPr>
              <w:pStyle w:val="86"/>
              <w:ind w:left="0" w:leftChars="0"/>
              <w:rPr>
                <w:rFonts w:hint="default" w:ascii="Times New Roman" w:hAnsi="Times New Roman" w:eastAsia="Calibri"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）项目名称</w:t>
            </w:r>
          </w:p>
          <w:p>
            <w:pPr>
              <w:pStyle w:val="86"/>
              <w:ind w:left="0" w:leftChars="0"/>
              <w:rPr>
                <w:rFonts w:hint="default" w:ascii="Times New Roman" w:hAnsi="Times New Roman" w:cs="Times New Roman"/>
                <w:bCs/>
                <w:color w:val="auto"/>
                <w:sz w:val="24"/>
                <w:szCs w:val="24"/>
                <w:lang w:eastAsia="zh-CN"/>
              </w:rPr>
            </w:pPr>
            <w:r>
              <w:rPr>
                <w:rFonts w:hint="default" w:ascii="Times New Roman" w:hAnsi="Times New Roman" w:cs="Times New Roman"/>
                <w:color w:val="auto"/>
                <w:lang w:eastAsia="zh-CN"/>
              </w:rPr>
              <w:t>本项目名称为</w:t>
            </w:r>
            <w:r>
              <w:rPr>
                <w:rFonts w:hint="eastAsia" w:cs="Times New Roman"/>
                <w:bCs/>
                <w:color w:val="auto"/>
                <w:sz w:val="24"/>
                <w:szCs w:val="24"/>
                <w:lang w:eastAsia="zh-CN"/>
              </w:rPr>
              <w:t>打印机塑料件加工项目</w:t>
            </w:r>
            <w:r>
              <w:rPr>
                <w:rFonts w:hint="default" w:ascii="Times New Roman" w:hAnsi="Times New Roman" w:cs="Times New Roman"/>
                <w:bCs/>
                <w:color w:val="auto"/>
                <w:sz w:val="24"/>
                <w:szCs w:val="24"/>
                <w:lang w:eastAsia="zh-CN"/>
              </w:rPr>
              <w:t>。</w:t>
            </w:r>
          </w:p>
          <w:p>
            <w:pPr>
              <w:pStyle w:val="86"/>
              <w:ind w:left="0" w:leftChars="0"/>
              <w:rPr>
                <w:rFonts w:hint="default" w:ascii="Times New Roman" w:hAnsi="Times New Roman" w:cs="Times New Roman"/>
                <w:bCs/>
                <w:color w:val="auto"/>
                <w:sz w:val="24"/>
                <w:szCs w:val="24"/>
                <w:lang w:eastAsia="zh-CN"/>
              </w:rPr>
            </w:pP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lang w:eastAsia="zh-CN"/>
              </w:rPr>
              <w:t>）项目性质</w:t>
            </w:r>
          </w:p>
          <w:p>
            <w:pPr>
              <w:pStyle w:val="86"/>
              <w:ind w:left="0" w:leftChars="0"/>
              <w:rPr>
                <w:rFonts w:hint="default" w:ascii="Times New Roman" w:hAnsi="Times New Roman" w:eastAsia="Calibri" w:cs="Times New Roman"/>
                <w:color w:val="auto"/>
                <w:lang w:eastAsia="zh-CN"/>
              </w:rPr>
            </w:pPr>
            <w:r>
              <w:rPr>
                <w:rFonts w:hint="default" w:ascii="Times New Roman" w:hAnsi="Times New Roman" w:cs="Times New Roman"/>
                <w:color w:val="auto"/>
                <w:lang w:eastAsia="zh-CN"/>
              </w:rPr>
              <w:t>本项目属于新建项目。</w:t>
            </w:r>
          </w:p>
          <w:p>
            <w:pPr>
              <w:pStyle w:val="86"/>
              <w:numPr>
                <w:ilvl w:val="0"/>
                <w:numId w:val="0"/>
              </w:numPr>
              <w:ind w:leftChars="200" w:right="0" w:rightChars="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）项目地理位置</w:t>
            </w:r>
          </w:p>
          <w:p>
            <w:pPr>
              <w:pStyle w:val="86"/>
              <w:numPr>
                <w:ilvl w:val="0"/>
                <w:numId w:val="0"/>
              </w:numPr>
              <w:ind w:right="0" w:rightChars="0" w:firstLine="240" w:firstLineChars="100"/>
              <w:rPr>
                <w:rFonts w:hint="default" w:ascii="Times New Roman" w:hAnsi="Times New Roman" w:cs="Times New Roman"/>
                <w:color w:val="auto"/>
                <w:szCs w:val="24"/>
              </w:rPr>
            </w:pPr>
            <w:r>
              <w:rPr>
                <w:rFonts w:hint="default" w:ascii="Times New Roman" w:hAnsi="Times New Roman" w:cs="Times New Roman"/>
                <w:color w:val="auto"/>
                <w:szCs w:val="24"/>
              </w:rPr>
              <w:t>本项目位于</w:t>
            </w:r>
            <w:r>
              <w:rPr>
                <w:rFonts w:hint="eastAsia" w:cs="Times New Roman"/>
                <w:color w:val="auto"/>
                <w:sz w:val="24"/>
                <w:lang w:eastAsia="zh-CN"/>
              </w:rPr>
              <w:t>威海市环翠区羊亭镇顺海路3-1号</w:t>
            </w:r>
            <w:r>
              <w:rPr>
                <w:rFonts w:hint="default" w:ascii="Times New Roman" w:hAnsi="Times New Roman" w:cs="Times New Roman"/>
                <w:color w:val="auto"/>
                <w:szCs w:val="24"/>
              </w:rPr>
              <w:t>，</w:t>
            </w:r>
            <w:r>
              <w:rPr>
                <w:rFonts w:hint="eastAsia" w:cs="Times New Roman"/>
                <w:color w:val="auto"/>
                <w:sz w:val="24"/>
                <w:szCs w:val="24"/>
                <w:lang w:val="en-US" w:eastAsia="zh-CN"/>
              </w:rPr>
              <w:t>使用已建</w:t>
            </w:r>
            <w:r>
              <w:rPr>
                <w:rFonts w:hint="default" w:ascii="Times New Roman" w:hAnsi="Times New Roman" w:cs="Times New Roman"/>
                <w:color w:val="auto"/>
                <w:sz w:val="24"/>
                <w:szCs w:val="24"/>
                <w:lang w:val="en-US" w:eastAsia="zh-CN"/>
              </w:rPr>
              <w:t>厂房</w:t>
            </w:r>
            <w:r>
              <w:rPr>
                <w:rFonts w:hint="default" w:ascii="Times New Roman" w:hAnsi="Times New Roman" w:cs="Times New Roman"/>
                <w:color w:val="auto"/>
                <w:szCs w:val="24"/>
              </w:rPr>
              <w:t>进行生产</w:t>
            </w:r>
            <w:r>
              <w:rPr>
                <w:rFonts w:hint="default" w:ascii="Times New Roman" w:hAnsi="Times New Roman" w:cs="Times New Roman"/>
                <w:color w:val="auto"/>
                <w:szCs w:val="24"/>
                <w:lang w:eastAsia="zh-CN"/>
              </w:rPr>
              <w:t>加工</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zh-CN"/>
              </w:rPr>
              <w:t>地理位置中心坐标为东经</w:t>
            </w:r>
            <w:r>
              <w:rPr>
                <w:rFonts w:hint="default" w:ascii="Times New Roman" w:hAnsi="Times New Roman" w:cs="Times New Roman"/>
                <w:color w:val="auto"/>
                <w:sz w:val="24"/>
                <w:szCs w:val="24"/>
                <w:lang w:val="en-US" w:eastAsia="zh-CN"/>
              </w:rPr>
              <w:t>E12</w:t>
            </w:r>
            <w:r>
              <w:rPr>
                <w:rFonts w:hint="eastAsia" w:cs="Times New Roman"/>
                <w:color w:val="auto"/>
                <w:sz w:val="24"/>
                <w:szCs w:val="24"/>
                <w:lang w:val="en-US" w:eastAsia="zh-CN"/>
              </w:rPr>
              <w:t>1.998</w:t>
            </w:r>
            <w:r>
              <w:rPr>
                <w:rFonts w:hint="default" w:ascii="Times New Roman" w:hAnsi="Times New Roman" w:cs="Times New Roman"/>
                <w:color w:val="auto"/>
                <w:sz w:val="24"/>
                <w:szCs w:val="24"/>
                <w:lang w:val="en-US" w:eastAsia="zh-CN"/>
              </w:rPr>
              <w:t>、北纬N37.</w:t>
            </w:r>
            <w:r>
              <w:rPr>
                <w:rFonts w:hint="eastAsia" w:cs="Times New Roman"/>
                <w:color w:val="auto"/>
                <w:sz w:val="24"/>
                <w:szCs w:val="24"/>
                <w:lang w:val="en-US" w:eastAsia="zh-CN"/>
              </w:rPr>
              <w:t>422</w:t>
            </w:r>
            <w:r>
              <w:rPr>
                <w:rFonts w:hint="default" w:ascii="Times New Roman" w:hAnsi="Times New Roman" w:cs="Times New Roman"/>
                <w:color w:val="auto"/>
                <w:sz w:val="24"/>
                <w:szCs w:val="24"/>
                <w:lang w:val="zh-CN"/>
              </w:rPr>
              <w:t>，</w:t>
            </w:r>
            <w:r>
              <w:rPr>
                <w:rFonts w:hint="default" w:ascii="Times New Roman" w:hAnsi="Times New Roman" w:cs="Times New Roman"/>
                <w:color w:val="auto"/>
              </w:rPr>
              <w:t>项目</w:t>
            </w:r>
            <w:r>
              <w:rPr>
                <w:rFonts w:hint="eastAsia" w:cs="Times New Roman"/>
                <w:color w:val="auto"/>
                <w:lang w:eastAsia="zh-CN"/>
              </w:rPr>
              <w:t>北面为威洋机电设备公司和恒安电子设备公司，东南临凤凰山路，西邻威海气动元件公司，</w:t>
            </w:r>
            <w:r>
              <w:rPr>
                <w:rFonts w:hint="default" w:ascii="Times New Roman" w:hAnsi="Times New Roman" w:cs="Times New Roman"/>
                <w:bCs/>
                <w:color w:val="auto"/>
                <w:szCs w:val="24"/>
              </w:rPr>
              <w:t>地理位置优越，交通十分便利快捷</w:t>
            </w:r>
            <w:r>
              <w:rPr>
                <w:rFonts w:hint="default" w:ascii="Times New Roman" w:hAnsi="Times New Roman" w:cs="Times New Roman"/>
                <w:color w:val="auto"/>
                <w:szCs w:val="24"/>
              </w:rPr>
              <w:t>。项目地理位置见附件，项目周边环境现状见下图。</w:t>
            </w:r>
          </w:p>
          <w:p>
            <w:pPr>
              <w:pStyle w:val="96"/>
              <w:spacing w:line="360" w:lineRule="auto"/>
              <w:ind w:firstLine="0" w:firstLineChars="0"/>
              <w:jc w:val="center"/>
              <w:rPr>
                <w:rFonts w:hint="default" w:ascii="Times New Roman" w:hAnsi="Times New Roman" w:cs="Times New Roman"/>
                <w:color w:val="auto"/>
                <w:sz w:val="24"/>
                <w:szCs w:val="24"/>
                <w:lang w:val="zh-CN"/>
              </w:rPr>
            </w:pPr>
            <w:r>
              <w:rPr>
                <w:rFonts w:hint="default" w:ascii="Times New Roman" w:hAnsi="Times New Roman" w:eastAsia="黑体" w:cs="Times New Roman"/>
                <w:bCs/>
                <w:color w:val="auto"/>
                <w:sz w:val="24"/>
              </w:rPr>
              <mc:AlternateContent>
                <mc:Choice Requires="wps">
                  <w:drawing>
                    <wp:anchor distT="0" distB="0" distL="114300" distR="114300" simplePos="0" relativeHeight="251659264" behindDoc="0" locked="0" layoutInCell="1" allowOverlap="1">
                      <wp:simplePos x="0" y="0"/>
                      <wp:positionH relativeFrom="column">
                        <wp:posOffset>2391410</wp:posOffset>
                      </wp:positionH>
                      <wp:positionV relativeFrom="paragraph">
                        <wp:posOffset>1445895</wp:posOffset>
                      </wp:positionV>
                      <wp:extent cx="875030" cy="328295"/>
                      <wp:effectExtent l="0" t="0" r="0" b="0"/>
                      <wp:wrapNone/>
                      <wp:docPr id="38" name="自选图形 742"/>
                      <wp:cNvGraphicFramePr/>
                      <a:graphic xmlns:a="http://schemas.openxmlformats.org/drawingml/2006/main">
                        <a:graphicData uri="http://schemas.microsoft.com/office/word/2010/wordprocessingShape">
                          <wps:wsp>
                            <wps:cNvSpPr/>
                            <wps:spPr>
                              <a:xfrm>
                                <a:off x="0" y="0"/>
                                <a:ext cx="875030" cy="328295"/>
                              </a:xfrm>
                              <a:prstGeom prst="wedgeRectCallout">
                                <a:avLst>
                                  <a:gd name="adj1" fmla="val -5231"/>
                                  <a:gd name="adj2" fmla="val 14218"/>
                                </a:avLst>
                              </a:prstGeom>
                              <a:noFill/>
                              <a:ln>
                                <a:noFill/>
                              </a:ln>
                            </wps:spPr>
                            <wps:txbx>
                              <w:txbxContent>
                                <w:p>
                                  <w:pPr>
                                    <w:rPr>
                                      <w:b/>
                                      <w:color w:val="FFFF00"/>
                                      <w:sz w:val="24"/>
                                    </w:rPr>
                                  </w:pPr>
                                  <w:r>
                                    <w:rPr>
                                      <w:rFonts w:hint="eastAsia"/>
                                      <w:b/>
                                      <w:color w:val="FFFF00"/>
                                      <w:sz w:val="24"/>
                                    </w:rPr>
                                    <w:t>项目位置</w:t>
                                  </w:r>
                                </w:p>
                              </w:txbxContent>
                            </wps:txbx>
                            <wps:bodyPr upright="1"/>
                          </wps:wsp>
                        </a:graphicData>
                      </a:graphic>
                    </wp:anchor>
                  </w:drawing>
                </mc:Choice>
                <mc:Fallback>
                  <w:pict>
                    <v:shape id="自选图形 742" o:spid="_x0000_s1026" o:spt="61" type="#_x0000_t61" style="position:absolute;left:0pt;margin-left:188.3pt;margin-top:113.85pt;height:25.85pt;width:68.9pt;z-index:251659264;mso-width-relative:page;mso-height-relative:page;" filled="f" stroked="f" coordsize="21600,21600" o:gfxdata="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qhTYV2wAAAAsBAAAPAAAAAAAAAAEAIAAAACIAAABkcnMvZG93bnJl&#10;di54bWxQSwECFAAUAAAACACHTuJAz/hGccEBAABYAwAADgAAAAAAAAABACAAAAAqAQAAZHJzL2Uy&#10;b0RvYy54bWxQSwUGAAAAAAYABgBZAQAAXQUAAAAA&#10;" adj="9670,13871">
                      <v:fill on="f" focussize="0,0"/>
                      <v:stroke on="f"/>
                      <v:imagedata o:title=""/>
                      <o:lock v:ext="edit" aspectratio="f"/>
                      <v:textbox>
                        <w:txbxContent>
                          <w:p>
                            <w:pPr>
                              <w:rPr>
                                <w:b/>
                                <w:color w:val="FFFF00"/>
                                <w:sz w:val="24"/>
                              </w:rPr>
                            </w:pPr>
                            <w:r>
                              <w:rPr>
                                <w:rFonts w:hint="eastAsia"/>
                                <w:b/>
                                <w:color w:val="FFFF00"/>
                                <w:sz w:val="24"/>
                              </w:rPr>
                              <w:t>项目位置</w:t>
                            </w:r>
                          </w:p>
                        </w:txbxContent>
                      </v:textbox>
                    </v:shape>
                  </w:pict>
                </mc:Fallback>
              </mc:AlternateContent>
            </w:r>
            <w:r>
              <w:rPr>
                <w:rFonts w:hint="default" w:ascii="Times New Roman" w:hAnsi="Times New Roman" w:eastAsia="黑体" w:cs="Times New Roman"/>
                <w:bCs/>
                <w:color w:val="auto"/>
                <w:sz w:val="24"/>
              </w:rPr>
              <mc:AlternateContent>
                <mc:Choice Requires="wps">
                  <w:drawing>
                    <wp:anchor distT="0" distB="0" distL="114300" distR="114300" simplePos="0" relativeHeight="251658240" behindDoc="0" locked="0" layoutInCell="1" allowOverlap="1">
                      <wp:simplePos x="0" y="0"/>
                      <wp:positionH relativeFrom="column">
                        <wp:posOffset>2672080</wp:posOffset>
                      </wp:positionH>
                      <wp:positionV relativeFrom="paragraph">
                        <wp:posOffset>1012190</wp:posOffset>
                      </wp:positionV>
                      <wp:extent cx="233045" cy="1216660"/>
                      <wp:effectExtent l="16510" t="99695" r="24130" b="105410"/>
                      <wp:wrapNone/>
                      <wp:docPr id="9" name="矩形 743"/>
                      <wp:cNvGraphicFramePr/>
                      <a:graphic xmlns:a="http://schemas.openxmlformats.org/drawingml/2006/main">
                        <a:graphicData uri="http://schemas.microsoft.com/office/word/2010/wordprocessingShape">
                          <wps:wsp>
                            <wps:cNvSpPr/>
                            <wps:spPr>
                              <a:xfrm rot="5940000">
                                <a:off x="0" y="0"/>
                                <a:ext cx="233045" cy="1216660"/>
                              </a:xfrm>
                              <a:prstGeom prst="rect">
                                <a:avLst/>
                              </a:prstGeom>
                              <a:solidFill>
                                <a:srgbClr val="FF0000">
                                  <a:alpha val="45000"/>
                                </a:srgbClr>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rect id="矩形 743" o:spid="_x0000_s1026" o:spt="1" style="position:absolute;left:0pt;margin-left:210.4pt;margin-top:79.7pt;height:95.8pt;width:18.35pt;rotation:6488064f;z-index:251658240;mso-width-relative:page;mso-height-relative:page;" fillcolor="#FF0000" filled="t" stroked="t" coordsize="21600,21600" o:gfxdata="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KLMnzYAAAACwEAAA8AAAAAAAAAAQAgAAAAIgAAAGRycy9k&#10;b3ducmV2LnhtbFBLAQIUABQAAAAIAIdO4kCnfRCmAgIAAAwEAAAOAAAAAAAAAAEAIAAAACcBAABk&#10;cnMvZTJvRG9jLnhtbFBLBQYAAAAABgAGAFkBAACbBQAAAAA=&#10;">
                      <v:fill on="t" opacity="29491f" focussize="0,0"/>
                      <v:stroke color="#000000" joinstyle="miter"/>
                      <v:imagedata o:title=""/>
                      <o:lock v:ext="edit" aspectratio="f"/>
                      <v:textbox>
                        <w:txbxContent>
                          <w:p/>
                        </w:txbxContent>
                      </v:textbox>
                    </v:rect>
                  </w:pict>
                </mc:Fallback>
              </mc:AlternateContent>
            </w:r>
            <w:r>
              <w:rPr>
                <w:rFonts w:hint="default" w:ascii="Times New Roman" w:hAnsi="Times New Roman" w:cs="Times New Roman"/>
                <w:color w:val="auto"/>
                <w:sz w:val="24"/>
              </w:rPr>
              <w:drawing>
                <wp:anchor distT="0" distB="0" distL="114300" distR="114300" simplePos="0" relativeHeight="251658240" behindDoc="0" locked="0" layoutInCell="1" allowOverlap="1">
                  <wp:simplePos x="0" y="0"/>
                  <wp:positionH relativeFrom="column">
                    <wp:posOffset>5130800</wp:posOffset>
                  </wp:positionH>
                  <wp:positionV relativeFrom="paragraph">
                    <wp:posOffset>13970</wp:posOffset>
                  </wp:positionV>
                  <wp:extent cx="565785" cy="669290"/>
                  <wp:effectExtent l="0" t="0" r="13335" b="1270"/>
                  <wp:wrapNone/>
                  <wp:docPr id="667" name="图片 176"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176" descr="指北针"/>
                          <pic:cNvPicPr>
                            <a:picLocks noChangeAspect="1" noChangeArrowheads="1"/>
                          </pic:cNvPicPr>
                        </pic:nvPicPr>
                        <pic:blipFill>
                          <a:blip r:embed="rId11" cstate="print"/>
                          <a:srcRect/>
                          <a:stretch>
                            <a:fillRect/>
                          </a:stretch>
                        </pic:blipFill>
                        <pic:spPr>
                          <a:xfrm>
                            <a:off x="0" y="0"/>
                            <a:ext cx="565785" cy="669290"/>
                          </a:xfrm>
                          <a:prstGeom prst="rect">
                            <a:avLst/>
                          </a:prstGeom>
                          <a:noFill/>
                          <a:ln w="9525" cmpd="sng">
                            <a:noFill/>
                            <a:miter lim="800000"/>
                            <a:headEnd/>
                            <a:tailEnd/>
                          </a:ln>
                          <a:effectLst/>
                        </pic:spPr>
                      </pic:pic>
                    </a:graphicData>
                  </a:graphic>
                </wp:anchor>
              </w:drawing>
            </w:r>
            <w:r>
              <w:rPr>
                <w:color w:val="auto"/>
              </w:rPr>
              <w:drawing>
                <wp:inline distT="0" distB="0" distL="114300" distR="114300">
                  <wp:extent cx="5646420" cy="3535680"/>
                  <wp:effectExtent l="0" t="0" r="762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646420" cy="3535680"/>
                          </a:xfrm>
                          <a:prstGeom prst="rect">
                            <a:avLst/>
                          </a:prstGeom>
                          <a:noFill/>
                          <a:ln>
                            <a:noFill/>
                          </a:ln>
                        </pic:spPr>
                      </pic:pic>
                    </a:graphicData>
                  </a:graphic>
                </wp:inline>
              </w:drawing>
            </w:r>
          </w:p>
          <w:p>
            <w:pPr>
              <w:spacing w:line="360" w:lineRule="auto"/>
              <w:jc w:val="center"/>
              <w:rPr>
                <w:rFonts w:hint="default" w:ascii="Times New Roman" w:hAnsi="Times New Roman" w:cs="Times New Roman"/>
                <w:color w:val="auto"/>
                <w:sz w:val="24"/>
                <w:szCs w:val="24"/>
                <w:lang w:val="zh-CN"/>
              </w:rPr>
            </w:pPr>
            <w:r>
              <w:rPr>
                <w:rFonts w:hint="default" w:ascii="Times New Roman" w:hAnsi="Times New Roman" w:cs="Times New Roman"/>
                <w:b/>
                <w:bCs/>
                <w:color w:val="auto"/>
                <w:sz w:val="24"/>
              </w:rPr>
              <w:t>图1-1  项目周边环境现状图</w:t>
            </w:r>
            <w:r>
              <w:rPr>
                <w:rFonts w:hint="default" w:ascii="Times New Roman" w:hAnsi="Times New Roman" w:eastAsia="黑体" w:cs="Times New Roman"/>
                <w:bCs/>
                <w:color w:val="auto"/>
                <w:sz w:val="24"/>
              </w:rPr>
              <mc:AlternateContent>
                <mc:Choice Requires="wps">
                  <w:drawing>
                    <wp:anchor distT="0" distB="0" distL="114300" distR="114300" simplePos="0" relativeHeight="251651072" behindDoc="0" locked="0" layoutInCell="1" allowOverlap="1">
                      <wp:simplePos x="0" y="0"/>
                      <wp:positionH relativeFrom="column">
                        <wp:posOffset>1179195</wp:posOffset>
                      </wp:positionH>
                      <wp:positionV relativeFrom="paragraph">
                        <wp:posOffset>6162040</wp:posOffset>
                      </wp:positionV>
                      <wp:extent cx="3676650" cy="381000"/>
                      <wp:effectExtent l="0" t="0" r="0" b="0"/>
                      <wp:wrapNone/>
                      <wp:docPr id="35" name="文本框 745"/>
                      <wp:cNvGraphicFramePr/>
                      <a:graphic xmlns:a="http://schemas.openxmlformats.org/drawingml/2006/main">
                        <a:graphicData uri="http://schemas.microsoft.com/office/word/2010/wordprocessingShape">
                          <wps:wsp>
                            <wps:cNvSpPr txBox="1"/>
                            <wps:spPr>
                              <a:xfrm>
                                <a:off x="0" y="0"/>
                                <a:ext cx="3676650" cy="381000"/>
                              </a:xfrm>
                              <a:prstGeom prst="rect">
                                <a:avLst/>
                              </a:prstGeom>
                              <a:noFill/>
                              <a:ln w="9525">
                                <a:noFill/>
                              </a:ln>
                              <a:effectLst/>
                            </wps:spPr>
                            <wps:txbx>
                              <w:txbxContent>
                                <w:p>
                                  <w:pPr>
                                    <w:spacing w:line="360" w:lineRule="auto"/>
                                    <w:jc w:val="center"/>
                                    <w:rPr>
                                      <w:b/>
                                      <w:bCs/>
                                      <w:sz w:val="24"/>
                                    </w:rPr>
                                  </w:pPr>
                                  <w:r>
                                    <w:rPr>
                                      <w:b/>
                                      <w:bCs/>
                                      <w:sz w:val="24"/>
                                    </w:rPr>
                                    <w:t>图1-1  项目地理位置图</w:t>
                                  </w:r>
                                </w:p>
                              </w:txbxContent>
                            </wps:txbx>
                            <wps:bodyPr wrap="square" upright="1"/>
                          </wps:wsp>
                        </a:graphicData>
                      </a:graphic>
                    </wp:anchor>
                  </w:drawing>
                </mc:Choice>
                <mc:Fallback>
                  <w:pict>
                    <v:shape id="文本框 745" o:spid="_x0000_s1026" o:spt="202" type="#_x0000_t202" style="position:absolute;left:0pt;margin-left:92.85pt;margin-top:485.2pt;height:30pt;width:289.5pt;z-index:251651072;mso-width-relative:page;mso-height-relative:page;" filled="f" stroked="f" coordsize="21600,21600" o:gfxdata="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Qed3rXAAAA&#10;DAEAAA8AAAAAAAAAAQAgAAAAIgAAAGRycy9kb3ducmV2LnhtbFBLAQIUABQAAAAIAIdO4kCzuPI9&#10;rAEAACgDAAAOAAAAAAAAAAEAIAAAACYBAABkcnMvZTJvRG9jLnhtbFBLBQYAAAAABgAGAFkBAABE&#10;BQAAAAA=&#10;">
                      <v:fill on="f" focussize="0,0"/>
                      <v:stroke on="f"/>
                      <v:imagedata o:title=""/>
                      <o:lock v:ext="edit" aspectratio="f"/>
                      <v:textbox>
                        <w:txbxContent>
                          <w:p>
                            <w:pPr>
                              <w:spacing w:line="360" w:lineRule="auto"/>
                              <w:jc w:val="center"/>
                              <w:rPr>
                                <w:b/>
                                <w:bCs/>
                                <w:sz w:val="24"/>
                              </w:rPr>
                            </w:pPr>
                            <w:r>
                              <w:rPr>
                                <w:b/>
                                <w:bCs/>
                                <w:sz w:val="24"/>
                              </w:rPr>
                              <w:t>图1-1  项目地理位置图</w:t>
                            </w:r>
                          </w:p>
                        </w:txbxContent>
                      </v:textbox>
                    </v:shape>
                  </w:pict>
                </mc:Fallback>
              </mc:AlternateContent>
            </w:r>
          </w:p>
          <w:p>
            <w:pPr>
              <w:pStyle w:val="86"/>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（4）总投资</w:t>
            </w:r>
          </w:p>
          <w:p>
            <w:pPr>
              <w:pStyle w:val="86"/>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本项目总投资100万元。</w:t>
            </w:r>
          </w:p>
          <w:p>
            <w:pPr>
              <w:pStyle w:val="86"/>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（5）劳动定员及工作制</w:t>
            </w:r>
          </w:p>
          <w:p>
            <w:pPr>
              <w:pStyle w:val="86"/>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bCs/>
                <w:color w:val="auto"/>
                <w:sz w:val="24"/>
                <w:szCs w:val="24"/>
              </w:rPr>
              <w:t>项目劳动人员</w:t>
            </w:r>
            <w:r>
              <w:rPr>
                <w:rFonts w:hint="eastAsia" w:cs="Times New Roman"/>
                <w:bCs/>
                <w:color w:val="auto"/>
                <w:sz w:val="24"/>
                <w:szCs w:val="24"/>
                <w:lang w:val="en-US" w:eastAsia="zh-CN"/>
              </w:rPr>
              <w:t>20</w:t>
            </w:r>
            <w:r>
              <w:rPr>
                <w:rFonts w:hint="default" w:ascii="Times New Roman" w:hAnsi="Times New Roman" w:cs="Times New Roman"/>
                <w:bCs/>
                <w:color w:val="auto"/>
                <w:sz w:val="24"/>
                <w:szCs w:val="24"/>
              </w:rPr>
              <w:t>人，其中管理人员</w:t>
            </w:r>
            <w:r>
              <w:rPr>
                <w:rFonts w:hint="eastAsia" w:cs="Times New Roman"/>
                <w:bCs/>
                <w:color w:val="auto"/>
                <w:sz w:val="24"/>
                <w:szCs w:val="24"/>
                <w:lang w:val="en-US" w:eastAsia="zh-CN"/>
              </w:rPr>
              <w:t>5</w:t>
            </w:r>
            <w:r>
              <w:rPr>
                <w:rFonts w:hint="default" w:ascii="Times New Roman" w:hAnsi="Times New Roman" w:cs="Times New Roman"/>
                <w:bCs/>
                <w:color w:val="auto"/>
                <w:sz w:val="24"/>
                <w:szCs w:val="24"/>
              </w:rPr>
              <w:t>人，工人</w:t>
            </w:r>
            <w:r>
              <w:rPr>
                <w:rFonts w:hint="eastAsia" w:cs="Times New Roman"/>
                <w:bCs/>
                <w:color w:val="auto"/>
                <w:sz w:val="24"/>
                <w:szCs w:val="24"/>
                <w:lang w:val="en-US" w:eastAsia="zh-CN"/>
              </w:rPr>
              <w:t>15</w:t>
            </w:r>
            <w:r>
              <w:rPr>
                <w:rFonts w:hint="default" w:ascii="Times New Roman" w:hAnsi="Times New Roman" w:cs="Times New Roman"/>
                <w:bCs/>
                <w:color w:val="auto"/>
                <w:sz w:val="24"/>
                <w:szCs w:val="24"/>
              </w:rPr>
              <w:t>人，生产实行单班制，每班工作时间为8h，年工作300d</w:t>
            </w:r>
            <w:r>
              <w:rPr>
                <w:rFonts w:hint="default" w:ascii="Times New Roman" w:hAnsi="Times New Roman" w:cs="Times New Roman"/>
                <w:bCs/>
                <w:color w:val="auto"/>
                <w:sz w:val="24"/>
                <w:szCs w:val="24"/>
                <w:lang w:val="en-US" w:eastAsia="zh-CN"/>
              </w:rPr>
              <w:t>。</w:t>
            </w:r>
          </w:p>
          <w:p>
            <w:pPr>
              <w:pStyle w:val="86"/>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（6）食宿</w:t>
            </w:r>
          </w:p>
          <w:p>
            <w:pPr>
              <w:pStyle w:val="86"/>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本项目不设食堂和宿舍</w:t>
            </w:r>
            <w:r>
              <w:rPr>
                <w:rFonts w:hint="eastAsia" w:cs="Times New Roman"/>
                <w:color w:val="auto"/>
                <w:lang w:val="en-US" w:eastAsia="zh-CN"/>
              </w:rPr>
              <w:t>，员工就餐采用订餐方式</w:t>
            </w:r>
            <w:r>
              <w:rPr>
                <w:rFonts w:hint="default" w:ascii="Times New Roman" w:hAnsi="Times New Roman" w:cs="Times New Roman"/>
                <w:color w:val="auto"/>
                <w:lang w:val="en-US" w:eastAsia="zh-CN"/>
              </w:rPr>
              <w:t>。</w:t>
            </w:r>
          </w:p>
          <w:p>
            <w:pPr>
              <w:pStyle w:val="86"/>
              <w:ind w:left="0" w:leftChars="0" w:right="0" w:rightChars="0" w:firstLine="480" w:firstLineChars="200"/>
              <w:rPr>
                <w:rFonts w:hint="default" w:ascii="Times New Roman" w:hAnsi="Times New Roman" w:eastAsia="Calibri" w:cs="Times New Roman"/>
                <w:color w:val="auto"/>
                <w:lang w:val="en-US" w:eastAsia="zh-CN"/>
              </w:rPr>
            </w:pPr>
            <w:r>
              <w:rPr>
                <w:rFonts w:hint="default" w:ascii="Times New Roman" w:hAnsi="Times New Roman" w:cs="Times New Roman"/>
                <w:color w:val="auto"/>
                <w:lang w:val="en-US" w:eastAsia="zh-CN"/>
              </w:rPr>
              <w:t>（7）建设内容</w:t>
            </w:r>
          </w:p>
          <w:p>
            <w:pPr>
              <w:pStyle w:val="86"/>
              <w:ind w:left="0" w:leftChars="0"/>
              <w:rPr>
                <w:rFonts w:hint="default" w:ascii="Times New Roman" w:hAnsi="Times New Roman" w:eastAsia="宋体" w:cs="Times New Roman"/>
                <w:color w:val="auto"/>
                <w:lang w:eastAsia="zh-CN"/>
              </w:rPr>
            </w:pPr>
            <w:r>
              <w:rPr>
                <w:rFonts w:hint="default" w:ascii="Times New Roman" w:hAnsi="Times New Roman" w:cs="Times New Roman"/>
                <w:color w:val="auto"/>
              </w:rPr>
              <w:t>本项目</w:t>
            </w:r>
            <w:r>
              <w:rPr>
                <w:rFonts w:hint="default" w:ascii="Times New Roman" w:hAnsi="Times New Roman" w:cs="Times New Roman"/>
                <w:color w:val="auto"/>
                <w:sz w:val="24"/>
                <w:szCs w:val="24"/>
                <w:shd w:val="clear" w:color="auto" w:fill="FFFFFF"/>
              </w:rPr>
              <w:t>总建筑面积</w:t>
            </w:r>
            <w:r>
              <w:rPr>
                <w:rFonts w:hint="eastAsia" w:cs="Times New Roman"/>
                <w:color w:val="auto"/>
                <w:sz w:val="24"/>
                <w:szCs w:val="24"/>
                <w:shd w:val="clear" w:color="auto" w:fill="FFFFFF"/>
                <w:lang w:val="en-US" w:eastAsia="zh-CN"/>
              </w:rPr>
              <w:t>4080</w:t>
            </w:r>
            <w:r>
              <w:rPr>
                <w:rFonts w:hint="default" w:ascii="Times New Roman" w:hAnsi="Times New Roman" w:cs="Times New Roman"/>
                <w:color w:val="auto"/>
                <w:sz w:val="24"/>
                <w:szCs w:val="24"/>
                <w:shd w:val="clear" w:color="auto" w:fill="FFFFFF"/>
              </w:rPr>
              <w:t>m</w:t>
            </w:r>
            <w:r>
              <w:rPr>
                <w:rFonts w:hint="default" w:ascii="Times New Roman" w:hAnsi="Times New Roman" w:cs="Times New Roman"/>
                <w:color w:val="auto"/>
                <w:sz w:val="24"/>
                <w:szCs w:val="24"/>
                <w:shd w:val="clear" w:color="auto" w:fill="FFFFFF"/>
                <w:vertAlign w:val="superscript"/>
              </w:rPr>
              <w:t>2</w:t>
            </w:r>
            <w:r>
              <w:rPr>
                <w:rFonts w:hint="default" w:ascii="Times New Roman" w:hAnsi="Times New Roman" w:cs="Times New Roman"/>
                <w:color w:val="auto"/>
                <w:sz w:val="24"/>
                <w:szCs w:val="24"/>
                <w:shd w:val="clear" w:color="auto" w:fill="FFFFFF"/>
              </w:rPr>
              <w:t>，</w:t>
            </w:r>
            <w:r>
              <w:rPr>
                <w:rFonts w:hint="default" w:ascii="Times New Roman" w:hAnsi="Times New Roman" w:cs="Times New Roman"/>
                <w:color w:val="auto"/>
                <w:sz w:val="24"/>
                <w:szCs w:val="24"/>
                <w:shd w:val="clear" w:color="auto" w:fill="FFFFFF"/>
                <w:lang w:eastAsia="zh-CN"/>
              </w:rPr>
              <w:t>包括</w:t>
            </w:r>
            <w:r>
              <w:rPr>
                <w:rFonts w:hint="eastAsia" w:cs="Times New Roman"/>
                <w:color w:val="auto"/>
                <w:sz w:val="24"/>
                <w:szCs w:val="24"/>
                <w:shd w:val="clear" w:color="auto" w:fill="FFFFFF"/>
                <w:lang w:eastAsia="zh-CN"/>
              </w:rPr>
              <w:t>注塑车间、办公室、仓库</w:t>
            </w:r>
            <w:r>
              <w:rPr>
                <w:rFonts w:hint="default" w:ascii="Times New Roman" w:hAnsi="Times New Roman" w:cs="Times New Roman"/>
                <w:color w:val="auto"/>
                <w:sz w:val="24"/>
                <w:szCs w:val="24"/>
                <w:shd w:val="clear" w:color="auto" w:fill="FFFFFF"/>
                <w:lang w:eastAsia="zh-CN"/>
              </w:rPr>
              <w:t>、危废库等</w:t>
            </w:r>
            <w:r>
              <w:rPr>
                <w:rFonts w:hint="default" w:ascii="Times New Roman" w:hAnsi="Times New Roman" w:cs="Times New Roman"/>
                <w:color w:val="auto"/>
              </w:rPr>
              <w:t>，</w:t>
            </w:r>
            <w:r>
              <w:rPr>
                <w:rFonts w:hint="default" w:ascii="Times New Roman" w:hAnsi="Times New Roman" w:cs="Times New Roman"/>
                <w:color w:val="auto"/>
                <w:sz w:val="24"/>
                <w:szCs w:val="24"/>
                <w:shd w:val="clear" w:color="auto" w:fill="FFFFFF"/>
                <w:lang w:eastAsia="zh-CN"/>
              </w:rPr>
              <w:t>不设食堂和宿舍</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项目</w:t>
            </w:r>
            <w:r>
              <w:rPr>
                <w:rFonts w:hint="default" w:ascii="Times New Roman" w:hAnsi="Times New Roman" w:cs="Times New Roman"/>
                <w:color w:val="auto"/>
              </w:rPr>
              <w:t>厂区平面布置见附件</w:t>
            </w:r>
            <w:r>
              <w:rPr>
                <w:rFonts w:hint="default" w:ascii="Times New Roman" w:hAnsi="Times New Roman" w:cs="Times New Roman"/>
                <w:color w:val="auto"/>
                <w:lang w:val="en-US" w:eastAsia="zh-CN"/>
              </w:rPr>
              <w:t>，主要经技术指标见下表。</w:t>
            </w:r>
          </w:p>
          <w:p>
            <w:pPr>
              <w:pStyle w:val="86"/>
              <w:ind w:left="0" w:leftChars="0" w:firstLine="0" w:firstLineChars="0"/>
              <w:jc w:val="center"/>
              <w:rPr>
                <w:rFonts w:hint="default" w:ascii="Times New Roman" w:hAnsi="Times New Roman" w:eastAsia="宋体" w:cs="Times New Roman"/>
                <w:color w:val="auto"/>
                <w:lang w:eastAsia="zh-CN"/>
              </w:rPr>
            </w:pPr>
            <w:r>
              <w:rPr>
                <w:rFonts w:hint="default" w:ascii="Times New Roman" w:hAnsi="Times New Roman" w:cs="Times New Roman"/>
                <w:b/>
                <w:bCs/>
                <w:color w:val="auto"/>
              </w:rPr>
              <w:t>表</w:t>
            </w:r>
            <w:r>
              <w:rPr>
                <w:rFonts w:hint="default" w:ascii="Times New Roman" w:hAnsi="Times New Roman" w:cs="Times New Roman"/>
                <w:b/>
                <w:bCs/>
                <w:color w:val="auto"/>
                <w:lang w:val="en-US"/>
              </w:rPr>
              <w:t xml:space="preserve">1-1  </w:t>
            </w:r>
            <w:r>
              <w:rPr>
                <w:rFonts w:hint="default" w:ascii="Times New Roman" w:hAnsi="Times New Roman" w:cs="Times New Roman"/>
                <w:b/>
                <w:bCs/>
                <w:color w:val="auto"/>
                <w:lang w:eastAsia="zh-CN"/>
              </w:rPr>
              <w:t>项目主要经济技术指标</w:t>
            </w:r>
          </w:p>
          <w:tbl>
            <w:tblPr>
              <w:tblStyle w:val="39"/>
              <w:tblW w:w="8978"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94"/>
              <w:gridCol w:w="1859"/>
              <w:gridCol w:w="1308"/>
              <w:gridCol w:w="1056"/>
              <w:gridCol w:w="29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03" w:hRule="atLeast"/>
                <w:jc w:val="center"/>
              </w:trPr>
              <w:tc>
                <w:tcPr>
                  <w:tcW w:w="3653" w:type="dxa"/>
                  <w:gridSpan w:val="2"/>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项目名称</w:t>
                  </w:r>
                </w:p>
              </w:tc>
              <w:tc>
                <w:tcPr>
                  <w:tcW w:w="1308"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数值</w:t>
                  </w:r>
                </w:p>
              </w:tc>
              <w:tc>
                <w:tcPr>
                  <w:tcW w:w="1056"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单位</w:t>
                  </w:r>
                </w:p>
              </w:tc>
              <w:tc>
                <w:tcPr>
                  <w:tcW w:w="2961"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eastAsia="zh-CN" w:bidi="ar"/>
                    </w:rPr>
                  </w:pPr>
                  <w:r>
                    <w:rPr>
                      <w:rFonts w:hint="default" w:ascii="Times New Roman" w:hAnsi="Times New Roman" w:cs="Times New Roman" w:eastAsiaTheme="minorEastAsia"/>
                      <w:color w:val="auto"/>
                      <w:kern w:val="0"/>
                      <w:sz w:val="21"/>
                      <w:szCs w:val="21"/>
                      <w:lang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03" w:hRule="atLeast"/>
                <w:jc w:val="center"/>
              </w:trPr>
              <w:tc>
                <w:tcPr>
                  <w:tcW w:w="3653" w:type="dxa"/>
                  <w:gridSpan w:val="2"/>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eastAsia="zh-CN" w:bidi="ar"/>
                    </w:rPr>
                  </w:pPr>
                  <w:r>
                    <w:rPr>
                      <w:rFonts w:hint="default" w:ascii="Times New Roman" w:hAnsi="Times New Roman" w:cs="Times New Roman" w:eastAsiaTheme="minorEastAsia"/>
                      <w:color w:val="auto"/>
                      <w:kern w:val="0"/>
                      <w:sz w:val="21"/>
                      <w:szCs w:val="21"/>
                      <w:lang w:eastAsia="zh-CN" w:bidi="ar"/>
                    </w:rPr>
                    <w:t>总占地面积</w:t>
                  </w:r>
                </w:p>
              </w:tc>
              <w:tc>
                <w:tcPr>
                  <w:tcW w:w="1308"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5089</w:t>
                  </w:r>
                </w:p>
              </w:tc>
              <w:tc>
                <w:tcPr>
                  <w:tcW w:w="1056"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w:t>
                  </w:r>
                </w:p>
              </w:tc>
              <w:tc>
                <w:tcPr>
                  <w:tcW w:w="2961"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eastAsia="zh-CN" w:bidi="ar"/>
                    </w:rPr>
                  </w:pPr>
                  <w:r>
                    <w:rPr>
                      <w:rFonts w:hint="eastAsia" w:cs="Times New Roman" w:eastAsiaTheme="minorEastAsia"/>
                      <w:color w:val="auto"/>
                      <w:kern w:val="0"/>
                      <w:sz w:val="21"/>
                      <w:szCs w:val="21"/>
                      <w:lang w:eastAsia="zh-CN" w:bidi="ar"/>
                    </w:rPr>
                    <w:t>已建厂房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03" w:hRule="atLeast"/>
                <w:jc w:val="center"/>
              </w:trPr>
              <w:tc>
                <w:tcPr>
                  <w:tcW w:w="3653" w:type="dxa"/>
                  <w:gridSpan w:val="2"/>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总建筑面积</w:t>
                  </w:r>
                </w:p>
              </w:tc>
              <w:tc>
                <w:tcPr>
                  <w:tcW w:w="1308"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4080</w:t>
                  </w:r>
                </w:p>
              </w:tc>
              <w:tc>
                <w:tcPr>
                  <w:tcW w:w="1056"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w:t>
                  </w:r>
                </w:p>
              </w:tc>
              <w:tc>
                <w:tcPr>
                  <w:tcW w:w="2961"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已建厂房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03" w:hRule="atLeast"/>
                <w:jc w:val="center"/>
              </w:trPr>
              <w:tc>
                <w:tcPr>
                  <w:tcW w:w="1794" w:type="dxa"/>
                  <w:vMerge w:val="restart"/>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其  中</w:t>
                  </w:r>
                </w:p>
              </w:tc>
              <w:tc>
                <w:tcPr>
                  <w:tcW w:w="1859"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注塑</w:t>
                  </w:r>
                  <w:r>
                    <w:rPr>
                      <w:rFonts w:hint="default" w:ascii="Times New Roman" w:hAnsi="Times New Roman" w:cs="Times New Roman" w:eastAsiaTheme="minorEastAsia"/>
                      <w:color w:val="auto"/>
                      <w:sz w:val="21"/>
                      <w:szCs w:val="21"/>
                      <w:lang w:val="en-US" w:eastAsia="zh-CN"/>
                    </w:rPr>
                    <w:t>车间</w:t>
                  </w:r>
                </w:p>
              </w:tc>
              <w:tc>
                <w:tcPr>
                  <w:tcW w:w="1308"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2960</w:t>
                  </w:r>
                </w:p>
              </w:tc>
              <w:tc>
                <w:tcPr>
                  <w:tcW w:w="1056"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w:t>
                  </w:r>
                </w:p>
              </w:tc>
              <w:tc>
                <w:tcPr>
                  <w:tcW w:w="2961"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03" w:hRule="atLeast"/>
                <w:jc w:val="center"/>
              </w:trPr>
              <w:tc>
                <w:tcPr>
                  <w:tcW w:w="1794" w:type="dxa"/>
                  <w:vMerge w:val="continue"/>
                  <w:tcBorders>
                    <w:tl2br w:val="nil"/>
                    <w:tr2bl w:val="nil"/>
                  </w:tcBorders>
                  <w:tcMar>
                    <w:top w:w="15" w:type="dxa"/>
                    <w:left w:w="15" w:type="dxa"/>
                    <w:right w:w="15" w:type="dxa"/>
                  </w:tcMar>
                  <w:vAlign w:val="center"/>
                </w:tcPr>
                <w:p>
                  <w:pPr>
                    <w:jc w:val="center"/>
                    <w:rPr>
                      <w:rFonts w:hint="default" w:ascii="Times New Roman" w:hAnsi="Times New Roman" w:cs="Times New Roman" w:eastAsiaTheme="minorEastAsia"/>
                      <w:color w:val="auto"/>
                      <w:sz w:val="21"/>
                      <w:szCs w:val="21"/>
                    </w:rPr>
                  </w:pPr>
                </w:p>
              </w:tc>
              <w:tc>
                <w:tcPr>
                  <w:tcW w:w="1859"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kern w:val="0"/>
                      <w:sz w:val="21"/>
                      <w:szCs w:val="21"/>
                      <w:lang w:eastAsia="zh-CN" w:bidi="ar"/>
                    </w:rPr>
                    <w:t>仓库</w:t>
                  </w:r>
                </w:p>
              </w:tc>
              <w:tc>
                <w:tcPr>
                  <w:tcW w:w="1308"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1000</w:t>
                  </w:r>
                </w:p>
              </w:tc>
              <w:tc>
                <w:tcPr>
                  <w:tcW w:w="1056"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w:t>
                  </w:r>
                </w:p>
              </w:tc>
              <w:tc>
                <w:tcPr>
                  <w:tcW w:w="2961"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val="en-US" w:bidi="ar"/>
                    </w:rPr>
                  </w:pPr>
                  <w:r>
                    <w:rPr>
                      <w:rFonts w:hint="eastAsia" w:cs="Times New Roman" w:eastAsiaTheme="minorEastAsia"/>
                      <w:color w:val="auto"/>
                      <w:kern w:val="0"/>
                      <w:sz w:val="21"/>
                      <w:szCs w:val="21"/>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47" w:hRule="atLeast"/>
                <w:jc w:val="center"/>
              </w:trPr>
              <w:tc>
                <w:tcPr>
                  <w:tcW w:w="1794" w:type="dxa"/>
                  <w:vMerge w:val="continue"/>
                  <w:tcBorders>
                    <w:tl2br w:val="nil"/>
                    <w:tr2bl w:val="nil"/>
                  </w:tcBorders>
                  <w:tcMar>
                    <w:top w:w="15" w:type="dxa"/>
                    <w:left w:w="15" w:type="dxa"/>
                    <w:right w:w="15" w:type="dxa"/>
                  </w:tcMar>
                  <w:vAlign w:val="center"/>
                </w:tcPr>
                <w:p>
                  <w:pPr>
                    <w:jc w:val="center"/>
                    <w:rPr>
                      <w:rFonts w:hint="default" w:ascii="Times New Roman" w:hAnsi="Times New Roman" w:cs="Times New Roman" w:eastAsiaTheme="minorEastAsia"/>
                      <w:color w:val="auto"/>
                      <w:sz w:val="21"/>
                      <w:szCs w:val="21"/>
                    </w:rPr>
                  </w:pPr>
                </w:p>
              </w:tc>
              <w:tc>
                <w:tcPr>
                  <w:tcW w:w="1859"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eastAsia="zh-CN" w:bidi="ar"/>
                    </w:rPr>
                  </w:pPr>
                  <w:r>
                    <w:rPr>
                      <w:rFonts w:hint="eastAsia" w:cs="Times New Roman" w:eastAsiaTheme="minorEastAsia"/>
                      <w:color w:val="auto"/>
                      <w:kern w:val="0"/>
                      <w:sz w:val="21"/>
                      <w:szCs w:val="21"/>
                      <w:lang w:eastAsia="zh-CN" w:bidi="ar"/>
                    </w:rPr>
                    <w:t>办公室</w:t>
                  </w:r>
                </w:p>
              </w:tc>
              <w:tc>
                <w:tcPr>
                  <w:tcW w:w="1308" w:type="dxa"/>
                  <w:tcBorders>
                    <w:tl2br w:val="nil"/>
                    <w:tr2bl w:val="nil"/>
                  </w:tcBorders>
                  <w:tcMar>
                    <w:top w:w="15" w:type="dxa"/>
                    <w:left w:w="15" w:type="dxa"/>
                    <w:right w:w="15" w:type="dxa"/>
                  </w:tcMar>
                  <w:vAlign w:val="center"/>
                </w:tcPr>
                <w:p>
                  <w:pPr>
                    <w:widowControl/>
                    <w:jc w:val="center"/>
                    <w:textAlignment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100</w:t>
                  </w:r>
                </w:p>
              </w:tc>
              <w:tc>
                <w:tcPr>
                  <w:tcW w:w="1056"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w:t>
                  </w:r>
                </w:p>
              </w:tc>
              <w:tc>
                <w:tcPr>
                  <w:tcW w:w="2961" w:type="dxa"/>
                  <w:tcBorders>
                    <w:tl2br w:val="nil"/>
                    <w:tr2bl w:val="nil"/>
                  </w:tcBorders>
                  <w:tcMar>
                    <w:top w:w="15" w:type="dxa"/>
                    <w:left w:w="15" w:type="dxa"/>
                    <w:right w:w="15" w:type="dxa"/>
                  </w:tcMar>
                  <w:vAlign w:val="center"/>
                </w:tcPr>
                <w:p>
                  <w:pPr>
                    <w:widowControl/>
                    <w:jc w:val="center"/>
                    <w:textAlignment w:val="center"/>
                    <w:rPr>
                      <w:rFonts w:hint="eastAsia"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47" w:hRule="atLeast"/>
                <w:jc w:val="center"/>
              </w:trPr>
              <w:tc>
                <w:tcPr>
                  <w:tcW w:w="1794" w:type="dxa"/>
                  <w:vMerge w:val="continue"/>
                  <w:tcBorders>
                    <w:tl2br w:val="nil"/>
                    <w:tr2bl w:val="nil"/>
                  </w:tcBorders>
                  <w:tcMar>
                    <w:top w:w="15" w:type="dxa"/>
                    <w:left w:w="15" w:type="dxa"/>
                    <w:right w:w="15" w:type="dxa"/>
                  </w:tcMar>
                  <w:vAlign w:val="center"/>
                </w:tcPr>
                <w:p>
                  <w:pPr>
                    <w:jc w:val="center"/>
                    <w:rPr>
                      <w:rFonts w:hint="default" w:ascii="Times New Roman" w:hAnsi="Times New Roman" w:cs="Times New Roman" w:eastAsiaTheme="minorEastAsia"/>
                      <w:color w:val="auto"/>
                      <w:sz w:val="21"/>
                      <w:szCs w:val="21"/>
                    </w:rPr>
                  </w:pPr>
                </w:p>
              </w:tc>
              <w:tc>
                <w:tcPr>
                  <w:tcW w:w="1859"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kern w:val="0"/>
                      <w:sz w:val="21"/>
                      <w:szCs w:val="21"/>
                      <w:lang w:eastAsia="zh-CN" w:bidi="ar"/>
                    </w:rPr>
                    <w:t>危废库</w:t>
                  </w:r>
                </w:p>
              </w:tc>
              <w:tc>
                <w:tcPr>
                  <w:tcW w:w="1308"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20</w:t>
                  </w:r>
                </w:p>
              </w:tc>
              <w:tc>
                <w:tcPr>
                  <w:tcW w:w="1056" w:type="dxa"/>
                  <w:tcBorders>
                    <w:tl2br w:val="nil"/>
                    <w:tr2bl w:val="nil"/>
                  </w:tcBorders>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0"/>
                      <w:sz w:val="21"/>
                      <w:szCs w:val="21"/>
                      <w:lang w:bidi="ar"/>
                    </w:rPr>
                    <w:t>㎡</w:t>
                  </w:r>
                </w:p>
              </w:tc>
              <w:tc>
                <w:tcPr>
                  <w:tcW w:w="2961" w:type="dxa"/>
                  <w:tcBorders>
                    <w:tl2br w:val="nil"/>
                    <w:tr2bl w:val="nil"/>
                  </w:tcBorders>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厂区西侧</w:t>
                  </w:r>
                </w:p>
              </w:tc>
            </w:tr>
          </w:tbl>
          <w:p>
            <w:pPr>
              <w:pStyle w:val="86"/>
              <w:numPr>
                <w:ilvl w:val="0"/>
                <w:numId w:val="2"/>
              </w:numPr>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主要产品方案</w:t>
            </w:r>
          </w:p>
          <w:p>
            <w:pPr>
              <w:pStyle w:val="86"/>
              <w:ind w:left="0" w:leftChars="0"/>
              <w:rPr>
                <w:rFonts w:hint="default" w:ascii="Times New Roman" w:hAnsi="Times New Roman" w:eastAsia="黑体" w:cs="Times New Roman"/>
                <w:color w:val="auto"/>
              </w:rPr>
            </w:pPr>
            <w:r>
              <w:rPr>
                <w:rFonts w:hint="default" w:ascii="Times New Roman" w:hAnsi="Times New Roman" w:cs="Times New Roman"/>
                <w:color w:val="auto"/>
              </w:rPr>
              <w:t xml:space="preserve">                    </w:t>
            </w:r>
            <w:r>
              <w:rPr>
                <w:rFonts w:hint="default" w:ascii="Times New Roman" w:hAnsi="Times New Roman" w:cs="Times New Roman"/>
                <w:b/>
                <w:bCs/>
                <w:color w:val="auto"/>
              </w:rPr>
              <w:t xml:space="preserve">  表</w:t>
            </w:r>
            <w:r>
              <w:rPr>
                <w:rFonts w:hint="default" w:ascii="Times New Roman" w:hAnsi="Times New Roman" w:cs="Times New Roman"/>
                <w:b/>
                <w:bCs/>
                <w:color w:val="auto"/>
                <w:lang w:val="en-US"/>
              </w:rPr>
              <w:t>1-</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lang w:val="en-US"/>
              </w:rPr>
              <w:t xml:space="preserve">  </w:t>
            </w:r>
            <w:r>
              <w:rPr>
                <w:rFonts w:hint="default" w:ascii="Times New Roman" w:hAnsi="Times New Roman" w:cs="Times New Roman"/>
                <w:b/>
                <w:bCs/>
                <w:color w:val="auto"/>
              </w:rPr>
              <w:t>主要产品及产量</w:t>
            </w:r>
          </w:p>
          <w:tbl>
            <w:tblPr>
              <w:tblStyle w:val="39"/>
              <w:tblW w:w="88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1584"/>
              <w:gridCol w:w="1596"/>
              <w:gridCol w:w="32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04" w:hRule="atLeast"/>
                <w:jc w:val="center"/>
              </w:trPr>
              <w:tc>
                <w:tcPr>
                  <w:tcW w:w="23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产品名称</w:t>
                  </w:r>
                </w:p>
              </w:tc>
              <w:tc>
                <w:tcPr>
                  <w:tcW w:w="15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15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产量</w:t>
                  </w:r>
                </w:p>
              </w:tc>
              <w:tc>
                <w:tcPr>
                  <w:tcW w:w="32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销路与去向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9" w:hRule="atLeast"/>
                <w:jc w:val="center"/>
              </w:trPr>
              <w:tc>
                <w:tcPr>
                  <w:tcW w:w="2376"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打印机塑料件</w:t>
                  </w:r>
                </w:p>
              </w:tc>
              <w:tc>
                <w:tcPr>
                  <w:tcW w:w="1584" w:type="dxa"/>
                  <w:vAlign w:val="center"/>
                </w:tcPr>
                <w:p>
                  <w:pPr>
                    <w:jc w:val="center"/>
                    <w:rPr>
                      <w:rFonts w:hint="default" w:ascii="Times New Roman" w:hAnsi="Times New Roman" w:cs="Times New Roman"/>
                      <w:color w:val="auto"/>
                      <w:sz w:val="21"/>
                      <w:szCs w:val="21"/>
                      <w:lang w:val="en-US"/>
                    </w:rPr>
                  </w:pPr>
                  <w:r>
                    <w:rPr>
                      <w:rFonts w:hint="eastAsia" w:cs="Times New Roman"/>
                      <w:bCs/>
                      <w:color w:val="auto"/>
                      <w:sz w:val="21"/>
                      <w:szCs w:val="21"/>
                      <w:lang w:val="en-US" w:eastAsia="zh-CN"/>
                    </w:rPr>
                    <w:t>t</w:t>
                  </w:r>
                  <w:r>
                    <w:rPr>
                      <w:rFonts w:hint="default" w:ascii="Times New Roman" w:hAnsi="Times New Roman" w:cs="Times New Roman"/>
                      <w:bCs/>
                      <w:color w:val="auto"/>
                      <w:sz w:val="21"/>
                      <w:szCs w:val="21"/>
                      <w:lang w:val="en-US" w:eastAsia="zh-CN"/>
                    </w:rPr>
                    <w:t>/a</w:t>
                  </w:r>
                </w:p>
              </w:tc>
              <w:tc>
                <w:tcPr>
                  <w:tcW w:w="1596"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w:t>
                  </w:r>
                </w:p>
              </w:tc>
              <w:tc>
                <w:tcPr>
                  <w:tcW w:w="3286"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打印机生产厂家</w:t>
                  </w:r>
                </w:p>
              </w:tc>
            </w:tr>
          </w:tbl>
          <w:p>
            <w:pPr>
              <w:pStyle w:val="86"/>
              <w:ind w:left="420" w:leftChars="200" w:firstLine="0" w:firstLineChars="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9</w:t>
            </w:r>
            <w:r>
              <w:rPr>
                <w:rFonts w:hint="default" w:ascii="Times New Roman" w:hAnsi="Times New Roman" w:cs="Times New Roman"/>
                <w:color w:val="auto"/>
              </w:rPr>
              <w:t>）主要原辅材料</w:t>
            </w:r>
          </w:p>
          <w:p>
            <w:pPr>
              <w:pStyle w:val="86"/>
              <w:ind w:left="0" w:leftChars="0" w:firstLine="0" w:firstLineChars="0"/>
              <w:jc w:val="center"/>
              <w:rPr>
                <w:rFonts w:hint="default" w:ascii="Times New Roman" w:hAnsi="Times New Roman" w:cs="Times New Roman"/>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rPr>
              <w:t>1-</w:t>
            </w:r>
            <w:r>
              <w:rPr>
                <w:rFonts w:hint="default" w:ascii="Times New Roman" w:hAnsi="Times New Roman" w:cs="Times New Roman"/>
                <w:b/>
                <w:bCs/>
                <w:color w:val="auto"/>
                <w:lang w:val="en-US" w:eastAsia="zh-CN"/>
              </w:rPr>
              <w:t>3a</w:t>
            </w:r>
            <w:r>
              <w:rPr>
                <w:rFonts w:hint="default" w:ascii="Times New Roman" w:hAnsi="Times New Roman" w:cs="Times New Roman"/>
                <w:b/>
                <w:bCs/>
                <w:color w:val="auto"/>
              </w:rPr>
              <w:t xml:space="preserve"> 主要原辅材料消耗一览表</w:t>
            </w:r>
          </w:p>
          <w:tbl>
            <w:tblPr>
              <w:tblStyle w:val="39"/>
              <w:tblW w:w="887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40"/>
              <w:gridCol w:w="1992"/>
              <w:gridCol w:w="1320"/>
              <w:gridCol w:w="22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340" w:type="dxa"/>
                  <w:vAlign w:val="center"/>
                </w:tcPr>
                <w:p>
                  <w:pPr>
                    <w:pStyle w:val="96"/>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原、辅料名称</w:t>
                  </w:r>
                </w:p>
              </w:tc>
              <w:tc>
                <w:tcPr>
                  <w:tcW w:w="1992" w:type="dxa"/>
                  <w:vAlign w:val="center"/>
                </w:tcPr>
                <w:p>
                  <w:pPr>
                    <w:pStyle w:val="96"/>
                    <w:ind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单位</w:t>
                  </w:r>
                </w:p>
              </w:tc>
              <w:tc>
                <w:tcPr>
                  <w:tcW w:w="1320" w:type="dxa"/>
                  <w:vAlign w:val="center"/>
                </w:tcPr>
                <w:p>
                  <w:pPr>
                    <w:pStyle w:val="96"/>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年用量</w:t>
                  </w:r>
                </w:p>
              </w:tc>
              <w:tc>
                <w:tcPr>
                  <w:tcW w:w="2222" w:type="dxa"/>
                  <w:vAlign w:val="center"/>
                </w:tcPr>
                <w:p>
                  <w:pPr>
                    <w:pStyle w:val="96"/>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340" w:type="dxa"/>
                  <w:vAlign w:val="center"/>
                </w:tcPr>
                <w:p>
                  <w:pPr>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color w:val="auto"/>
                      <w:sz w:val="21"/>
                      <w:szCs w:val="21"/>
                      <w:lang w:val="en-US" w:eastAsia="zh-CN"/>
                    </w:rPr>
                    <w:t>PS</w:t>
                  </w:r>
                </w:p>
              </w:tc>
              <w:tc>
                <w:tcPr>
                  <w:tcW w:w="1992" w:type="dxa"/>
                  <w:vAlign w:val="center"/>
                </w:tcPr>
                <w:p>
                  <w:pPr>
                    <w:pStyle w:val="96"/>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highlight w:val="none"/>
                      <w:lang w:val="en-US" w:eastAsia="zh-CN"/>
                    </w:rPr>
                    <w:t>t/a</w:t>
                  </w:r>
                </w:p>
              </w:tc>
              <w:tc>
                <w:tcPr>
                  <w:tcW w:w="1320" w:type="dxa"/>
                  <w:vAlign w:val="center"/>
                </w:tcPr>
                <w:p>
                  <w:pPr>
                    <w:pStyle w:val="96"/>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2222" w:type="dxa"/>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国内采购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340" w:type="dxa"/>
                  <w:vAlign w:val="center"/>
                </w:tcPr>
                <w:p>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eastAsiaTheme="minorEastAsia"/>
                      <w:color w:val="auto"/>
                      <w:sz w:val="21"/>
                      <w:szCs w:val="21"/>
                      <w:lang w:val="en-US" w:eastAsia="zh-CN"/>
                    </w:rPr>
                    <w:t>ABS</w:t>
                  </w:r>
                </w:p>
              </w:tc>
              <w:tc>
                <w:tcPr>
                  <w:tcW w:w="1992" w:type="dxa"/>
                  <w:vAlign w:val="center"/>
                </w:tcPr>
                <w:p>
                  <w:pPr>
                    <w:pStyle w:val="96"/>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highlight w:val="none"/>
                      <w:lang w:val="en-US" w:eastAsia="zh-CN"/>
                    </w:rPr>
                    <w:t>t/a</w:t>
                  </w:r>
                </w:p>
              </w:tc>
              <w:tc>
                <w:tcPr>
                  <w:tcW w:w="1320" w:type="dxa"/>
                  <w:vAlign w:val="center"/>
                </w:tcPr>
                <w:p>
                  <w:pPr>
                    <w:pStyle w:val="96"/>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highlight w:val="none"/>
                      <w:lang w:val="en-US" w:eastAsia="zh-CN"/>
                    </w:rPr>
                    <w:t>150</w:t>
                  </w:r>
                </w:p>
              </w:tc>
              <w:tc>
                <w:tcPr>
                  <w:tcW w:w="2222" w:type="dxa"/>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国内采购</w:t>
                  </w:r>
                </w:p>
              </w:tc>
            </w:tr>
          </w:tbl>
          <w:p>
            <w:pPr>
              <w:adjustRightInd w:val="0"/>
              <w:snapToGrid w:val="0"/>
              <w:spacing w:line="360" w:lineRule="auto"/>
              <w:ind w:firstLine="506"/>
              <w:jc w:val="center"/>
              <w:rPr>
                <w:rFonts w:hint="default" w:ascii="Times New Roman" w:hAnsi="Times New Roman" w:eastAsia="宋体" w:cs="Times New Roman"/>
                <w:b/>
                <w:bCs w:val="0"/>
                <w:color w:val="auto"/>
                <w:spacing w:val="6"/>
                <w:sz w:val="24"/>
                <w:lang w:eastAsia="zh-CN"/>
              </w:rPr>
            </w:pPr>
            <w:r>
              <w:rPr>
                <w:rFonts w:hint="default" w:ascii="Times New Roman" w:hAnsi="Times New Roman" w:eastAsia="宋体" w:cs="Times New Roman"/>
                <w:b/>
                <w:bCs w:val="0"/>
                <w:color w:val="auto"/>
                <w:spacing w:val="6"/>
                <w:sz w:val="24"/>
              </w:rPr>
              <w:t>表</w:t>
            </w:r>
            <w:r>
              <w:rPr>
                <w:rFonts w:hint="default" w:ascii="Times New Roman" w:hAnsi="Times New Roman" w:eastAsia="宋体" w:cs="Times New Roman"/>
                <w:b/>
                <w:bCs w:val="0"/>
                <w:color w:val="auto"/>
                <w:spacing w:val="6"/>
                <w:sz w:val="24"/>
                <w:lang w:val="en-US" w:eastAsia="zh-CN"/>
              </w:rPr>
              <w:t>1-</w:t>
            </w:r>
            <w:r>
              <w:rPr>
                <w:rFonts w:hint="default" w:ascii="Times New Roman" w:hAnsi="Times New Roman" w:cs="Times New Roman"/>
                <w:b/>
                <w:bCs w:val="0"/>
                <w:color w:val="auto"/>
                <w:spacing w:val="6"/>
                <w:sz w:val="24"/>
                <w:lang w:val="en-US" w:eastAsia="zh-CN"/>
              </w:rPr>
              <w:t>3</w:t>
            </w:r>
            <w:r>
              <w:rPr>
                <w:rFonts w:hint="default" w:ascii="Times New Roman" w:hAnsi="Times New Roman" w:eastAsia="宋体" w:cs="Times New Roman"/>
                <w:b/>
                <w:bCs w:val="0"/>
                <w:color w:val="auto"/>
                <w:spacing w:val="6"/>
                <w:sz w:val="24"/>
                <w:lang w:val="en-US" w:eastAsia="zh-CN"/>
              </w:rPr>
              <w:t>b</w:t>
            </w:r>
            <w:r>
              <w:rPr>
                <w:rFonts w:hint="default" w:ascii="Times New Roman" w:hAnsi="Times New Roman" w:eastAsia="宋体" w:cs="Times New Roman"/>
                <w:b/>
                <w:bCs w:val="0"/>
                <w:color w:val="auto"/>
                <w:spacing w:val="6"/>
                <w:sz w:val="24"/>
              </w:rPr>
              <w:t xml:space="preserve"> 部分辅料</w:t>
            </w:r>
            <w:r>
              <w:rPr>
                <w:rFonts w:hint="default" w:ascii="Times New Roman" w:hAnsi="Times New Roman" w:cs="Times New Roman"/>
                <w:b/>
                <w:bCs w:val="0"/>
                <w:color w:val="auto"/>
                <w:spacing w:val="6"/>
                <w:sz w:val="24"/>
                <w:lang w:eastAsia="zh-CN"/>
              </w:rPr>
              <w:t>主要成分</w:t>
            </w:r>
          </w:p>
          <w:tbl>
            <w:tblPr>
              <w:tblStyle w:val="39"/>
              <w:tblW w:w="888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945"/>
              <w:gridCol w:w="72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671"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945"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7269"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理化性质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671"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45" w:type="dxa"/>
                  <w:tcBorders>
                    <w:tl2br w:val="nil"/>
                    <w:tr2bl w:val="nil"/>
                  </w:tcBorders>
                  <w:vAlign w:val="center"/>
                </w:tcPr>
                <w:p>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eastAsiaTheme="minorEastAsia"/>
                      <w:color w:val="auto"/>
                      <w:sz w:val="21"/>
                      <w:szCs w:val="21"/>
                      <w:lang w:val="en-US" w:eastAsia="zh-CN"/>
                    </w:rPr>
                    <w:t>PS</w:t>
                  </w:r>
                </w:p>
              </w:tc>
              <w:tc>
                <w:tcPr>
                  <w:tcW w:w="7269" w:type="dxa"/>
                  <w:tcBorders>
                    <w:tl2br w:val="nil"/>
                    <w:tr2bl w:val="nil"/>
                  </w:tcBorders>
                  <w:vAlign w:val="center"/>
                </w:tcPr>
                <w:p>
                  <w:pPr>
                    <w:jc w:val="left"/>
                    <w:rPr>
                      <w:rFonts w:hint="default" w:ascii="Times New Roman" w:hAnsi="Times New Roman" w:cs="Times New Roman" w:eastAsiaTheme="minorEastAsia"/>
                      <w:b w:val="0"/>
                      <w:i w:val="0"/>
                      <w:caps w:val="0"/>
                      <w:color w:val="auto"/>
                      <w:spacing w:val="0"/>
                      <w:sz w:val="21"/>
                      <w:szCs w:val="21"/>
                      <w:shd w:val="clear" w:color="auto" w:fill="FFFFFF"/>
                      <w:lang w:val="en-US" w:eastAsia="zh-CN"/>
                    </w:rPr>
                  </w:pPr>
                  <w:r>
                    <w:rPr>
                      <w:rFonts w:hint="default" w:ascii="Times New Roman" w:hAnsi="Times New Roman" w:cs="Times New Roman" w:eastAsiaTheme="minorEastAsia"/>
                      <w:i w:val="0"/>
                      <w:caps w:val="0"/>
                      <w:color w:val="auto"/>
                      <w:spacing w:val="0"/>
                      <w:sz w:val="21"/>
                      <w:szCs w:val="21"/>
                      <w:shd w:val="clear" w:fill="FFFFFF"/>
                    </w:rPr>
                    <w:t>聚苯乙烯（Polystyrene，缩写PS）是指由</w:t>
                  </w:r>
                  <w:r>
                    <w:rPr>
                      <w:rFonts w:hint="default" w:ascii="Times New Roman" w:hAnsi="Times New Roman" w:cs="Times New Roman" w:eastAsiaTheme="minorEastAsia"/>
                      <w:i w:val="0"/>
                      <w:caps w:val="0"/>
                      <w:color w:val="auto"/>
                      <w:spacing w:val="0"/>
                      <w:sz w:val="21"/>
                      <w:szCs w:val="21"/>
                      <w:u w:val="none"/>
                      <w:shd w:val="clear" w:fill="FFFFFF"/>
                    </w:rPr>
                    <w:fldChar w:fldCharType="begin"/>
                  </w:r>
                  <w:r>
                    <w:rPr>
                      <w:rFonts w:hint="default" w:ascii="Times New Roman" w:hAnsi="Times New Roman" w:cs="Times New Roman" w:eastAsiaTheme="minorEastAsia"/>
                      <w:i w:val="0"/>
                      <w:caps w:val="0"/>
                      <w:color w:val="auto"/>
                      <w:spacing w:val="0"/>
                      <w:sz w:val="21"/>
                      <w:szCs w:val="21"/>
                      <w:u w:val="none"/>
                      <w:shd w:val="clear" w:fill="FFFFFF"/>
                    </w:rPr>
                    <w:instrText xml:space="preserve"> HYPERLINK "https://baike.baidu.com/item/%E8%8B%AF%E4%B9%99%E7%83%AF/2303438" \t "https://baike.baidu.com/item/%E8%81%9A%E8%8B%AF%E4%B9%99%E7%83%AF/_blank" </w:instrText>
                  </w:r>
                  <w:r>
                    <w:rPr>
                      <w:rFonts w:hint="default" w:ascii="Times New Roman" w:hAnsi="Times New Roman" w:cs="Times New Roman" w:eastAsiaTheme="minorEastAsia"/>
                      <w:i w:val="0"/>
                      <w:caps w:val="0"/>
                      <w:color w:val="auto"/>
                      <w:spacing w:val="0"/>
                      <w:sz w:val="21"/>
                      <w:szCs w:val="21"/>
                      <w:u w:val="none"/>
                      <w:shd w:val="clear" w:fill="FFFFFF"/>
                    </w:rPr>
                    <w:fldChar w:fldCharType="separate"/>
                  </w:r>
                  <w:r>
                    <w:rPr>
                      <w:rStyle w:val="35"/>
                      <w:rFonts w:hint="default" w:ascii="Times New Roman" w:hAnsi="Times New Roman" w:cs="Times New Roman" w:eastAsiaTheme="minorEastAsia"/>
                      <w:i w:val="0"/>
                      <w:caps w:val="0"/>
                      <w:color w:val="auto"/>
                      <w:spacing w:val="0"/>
                      <w:sz w:val="21"/>
                      <w:szCs w:val="21"/>
                      <w:u w:val="none"/>
                      <w:shd w:val="clear" w:fill="FFFFFF"/>
                    </w:rPr>
                    <w:t>苯乙烯</w:t>
                  </w:r>
                  <w:r>
                    <w:rPr>
                      <w:rFonts w:hint="default" w:ascii="Times New Roman" w:hAnsi="Times New Roman" w:cs="Times New Roman" w:eastAsiaTheme="minorEastAsia"/>
                      <w:i w:val="0"/>
                      <w:caps w:val="0"/>
                      <w:color w:val="auto"/>
                      <w:spacing w:val="0"/>
                      <w:sz w:val="21"/>
                      <w:szCs w:val="21"/>
                      <w:u w:val="none"/>
                      <w:shd w:val="clear" w:fill="FFFFFF"/>
                    </w:rPr>
                    <w:fldChar w:fldCharType="end"/>
                  </w:r>
                  <w:r>
                    <w:rPr>
                      <w:rFonts w:hint="default" w:ascii="Times New Roman" w:hAnsi="Times New Roman" w:cs="Times New Roman" w:eastAsiaTheme="minorEastAsia"/>
                      <w:i w:val="0"/>
                      <w:caps w:val="0"/>
                      <w:color w:val="auto"/>
                      <w:spacing w:val="0"/>
                      <w:sz w:val="21"/>
                      <w:szCs w:val="21"/>
                      <w:u w:val="none"/>
                      <w:shd w:val="clear" w:fill="FFFFFF"/>
                    </w:rPr>
                    <w:fldChar w:fldCharType="begin"/>
                  </w:r>
                  <w:r>
                    <w:rPr>
                      <w:rFonts w:hint="default" w:ascii="Times New Roman" w:hAnsi="Times New Roman" w:cs="Times New Roman" w:eastAsiaTheme="minorEastAsia"/>
                      <w:i w:val="0"/>
                      <w:caps w:val="0"/>
                      <w:color w:val="auto"/>
                      <w:spacing w:val="0"/>
                      <w:sz w:val="21"/>
                      <w:szCs w:val="21"/>
                      <w:u w:val="none"/>
                      <w:shd w:val="clear" w:fill="FFFFFF"/>
                    </w:rPr>
                    <w:instrText xml:space="preserve"> HYPERLINK "https://baike.baidu.com/item/%E5%8D%95%E4%BD%93/9609955" \t "https://baike.baidu.com/item/%E8%81%9A%E8%8B%AF%E4%B9%99%E7%83%AF/_blank" </w:instrText>
                  </w:r>
                  <w:r>
                    <w:rPr>
                      <w:rFonts w:hint="default" w:ascii="Times New Roman" w:hAnsi="Times New Roman" w:cs="Times New Roman" w:eastAsiaTheme="minorEastAsia"/>
                      <w:i w:val="0"/>
                      <w:caps w:val="0"/>
                      <w:color w:val="auto"/>
                      <w:spacing w:val="0"/>
                      <w:sz w:val="21"/>
                      <w:szCs w:val="21"/>
                      <w:u w:val="none"/>
                      <w:shd w:val="clear" w:fill="FFFFFF"/>
                    </w:rPr>
                    <w:fldChar w:fldCharType="separate"/>
                  </w:r>
                  <w:r>
                    <w:rPr>
                      <w:rStyle w:val="35"/>
                      <w:rFonts w:hint="default" w:ascii="Times New Roman" w:hAnsi="Times New Roman" w:cs="Times New Roman" w:eastAsiaTheme="minorEastAsia"/>
                      <w:i w:val="0"/>
                      <w:caps w:val="0"/>
                      <w:color w:val="auto"/>
                      <w:spacing w:val="0"/>
                      <w:sz w:val="21"/>
                      <w:szCs w:val="21"/>
                      <w:u w:val="none"/>
                      <w:shd w:val="clear" w:fill="FFFFFF"/>
                    </w:rPr>
                    <w:t>单体</w:t>
                  </w:r>
                  <w:r>
                    <w:rPr>
                      <w:rFonts w:hint="default" w:ascii="Times New Roman" w:hAnsi="Times New Roman" w:cs="Times New Roman" w:eastAsiaTheme="minorEastAsia"/>
                      <w:i w:val="0"/>
                      <w:caps w:val="0"/>
                      <w:color w:val="auto"/>
                      <w:spacing w:val="0"/>
                      <w:sz w:val="21"/>
                      <w:szCs w:val="21"/>
                      <w:u w:val="none"/>
                      <w:shd w:val="clear" w:fill="FFFFFF"/>
                    </w:rPr>
                    <w:fldChar w:fldCharType="end"/>
                  </w:r>
                  <w:r>
                    <w:rPr>
                      <w:rFonts w:hint="default" w:ascii="Times New Roman" w:hAnsi="Times New Roman" w:cs="Times New Roman" w:eastAsiaTheme="minorEastAsia"/>
                      <w:i w:val="0"/>
                      <w:caps w:val="0"/>
                      <w:color w:val="auto"/>
                      <w:spacing w:val="0"/>
                      <w:sz w:val="21"/>
                      <w:szCs w:val="21"/>
                      <w:shd w:val="clear" w:fill="FFFFFF"/>
                    </w:rPr>
                    <w:t>经自由基加聚反应合成的</w:t>
                  </w:r>
                  <w:r>
                    <w:rPr>
                      <w:rFonts w:hint="default" w:ascii="Times New Roman" w:hAnsi="Times New Roman" w:cs="Times New Roman" w:eastAsiaTheme="minorEastAsia"/>
                      <w:i w:val="0"/>
                      <w:caps w:val="0"/>
                      <w:color w:val="auto"/>
                      <w:spacing w:val="0"/>
                      <w:sz w:val="21"/>
                      <w:szCs w:val="21"/>
                      <w:u w:val="none"/>
                      <w:shd w:val="clear" w:fill="FFFFFF"/>
                    </w:rPr>
                    <w:fldChar w:fldCharType="begin"/>
                  </w:r>
                  <w:r>
                    <w:rPr>
                      <w:rFonts w:hint="default" w:ascii="Times New Roman" w:hAnsi="Times New Roman" w:cs="Times New Roman" w:eastAsiaTheme="minorEastAsia"/>
                      <w:i w:val="0"/>
                      <w:caps w:val="0"/>
                      <w:color w:val="auto"/>
                      <w:spacing w:val="0"/>
                      <w:sz w:val="21"/>
                      <w:szCs w:val="21"/>
                      <w:u w:val="none"/>
                      <w:shd w:val="clear" w:fill="FFFFFF"/>
                    </w:rPr>
                    <w:instrText xml:space="preserve"> HYPERLINK "https://baike.baidu.com/item/%E8%81%9A%E5%90%88%E7%89%A9/6252844" \t "https://baike.baidu.com/item/%E8%81%9A%E8%8B%AF%E4%B9%99%E7%83%AF/_blank" </w:instrText>
                  </w:r>
                  <w:r>
                    <w:rPr>
                      <w:rFonts w:hint="default" w:ascii="Times New Roman" w:hAnsi="Times New Roman" w:cs="Times New Roman" w:eastAsiaTheme="minorEastAsia"/>
                      <w:i w:val="0"/>
                      <w:caps w:val="0"/>
                      <w:color w:val="auto"/>
                      <w:spacing w:val="0"/>
                      <w:sz w:val="21"/>
                      <w:szCs w:val="21"/>
                      <w:u w:val="none"/>
                      <w:shd w:val="clear" w:fill="FFFFFF"/>
                    </w:rPr>
                    <w:fldChar w:fldCharType="separate"/>
                  </w:r>
                  <w:r>
                    <w:rPr>
                      <w:rStyle w:val="35"/>
                      <w:rFonts w:hint="default" w:ascii="Times New Roman" w:hAnsi="Times New Roman" w:cs="Times New Roman" w:eastAsiaTheme="minorEastAsia"/>
                      <w:i w:val="0"/>
                      <w:caps w:val="0"/>
                      <w:color w:val="auto"/>
                      <w:spacing w:val="0"/>
                      <w:sz w:val="21"/>
                      <w:szCs w:val="21"/>
                      <w:u w:val="none"/>
                      <w:shd w:val="clear" w:fill="FFFFFF"/>
                    </w:rPr>
                    <w:t>聚合物</w:t>
                  </w:r>
                  <w:r>
                    <w:rPr>
                      <w:rFonts w:hint="default" w:ascii="Times New Roman" w:hAnsi="Times New Roman" w:cs="Times New Roman" w:eastAsiaTheme="minorEastAsia"/>
                      <w:i w:val="0"/>
                      <w:caps w:val="0"/>
                      <w:color w:val="auto"/>
                      <w:spacing w:val="0"/>
                      <w:sz w:val="21"/>
                      <w:szCs w:val="21"/>
                      <w:u w:val="none"/>
                      <w:shd w:val="clear" w:fill="FFFFFF"/>
                    </w:rPr>
                    <w:fldChar w:fldCharType="end"/>
                  </w:r>
                  <w:r>
                    <w:rPr>
                      <w:rFonts w:hint="default" w:ascii="Times New Roman" w:hAnsi="Times New Roman" w:cs="Times New Roman" w:eastAsiaTheme="minorEastAsia"/>
                      <w:i w:val="0"/>
                      <w:caps w:val="0"/>
                      <w:color w:val="auto"/>
                      <w:spacing w:val="0"/>
                      <w:sz w:val="21"/>
                      <w:szCs w:val="21"/>
                      <w:shd w:val="clear" w:fill="FFFFFF"/>
                    </w:rPr>
                    <w:t>。它是一种无色透明的</w:t>
                  </w:r>
                  <w:r>
                    <w:rPr>
                      <w:rFonts w:hint="default" w:ascii="Times New Roman" w:hAnsi="Times New Roman" w:cs="Times New Roman" w:eastAsiaTheme="minorEastAsia"/>
                      <w:i w:val="0"/>
                      <w:caps w:val="0"/>
                      <w:color w:val="auto"/>
                      <w:spacing w:val="0"/>
                      <w:sz w:val="21"/>
                      <w:szCs w:val="21"/>
                      <w:u w:val="none"/>
                      <w:shd w:val="clear" w:fill="FFFFFF"/>
                    </w:rPr>
                    <w:fldChar w:fldCharType="begin"/>
                  </w:r>
                  <w:r>
                    <w:rPr>
                      <w:rFonts w:hint="default" w:ascii="Times New Roman" w:hAnsi="Times New Roman" w:cs="Times New Roman" w:eastAsiaTheme="minorEastAsia"/>
                      <w:i w:val="0"/>
                      <w:caps w:val="0"/>
                      <w:color w:val="auto"/>
                      <w:spacing w:val="0"/>
                      <w:sz w:val="21"/>
                      <w:szCs w:val="21"/>
                      <w:u w:val="none"/>
                      <w:shd w:val="clear" w:fill="FFFFFF"/>
                    </w:rPr>
                    <w:instrText xml:space="preserve"> HYPERLINK "https://baike.baidu.com/item/%E7%83%AD%E5%A1%91%E6%80%A7%E5%A1%91%E6%96%99/1656083" \t "https://baike.baidu.com/item/%E8%81%9A%E8%8B%AF%E4%B9%99%E7%83%AF/_blank" </w:instrText>
                  </w:r>
                  <w:r>
                    <w:rPr>
                      <w:rFonts w:hint="default" w:ascii="Times New Roman" w:hAnsi="Times New Roman" w:cs="Times New Roman" w:eastAsiaTheme="minorEastAsia"/>
                      <w:i w:val="0"/>
                      <w:caps w:val="0"/>
                      <w:color w:val="auto"/>
                      <w:spacing w:val="0"/>
                      <w:sz w:val="21"/>
                      <w:szCs w:val="21"/>
                      <w:u w:val="none"/>
                      <w:shd w:val="clear" w:fill="FFFFFF"/>
                    </w:rPr>
                    <w:fldChar w:fldCharType="separate"/>
                  </w:r>
                  <w:r>
                    <w:rPr>
                      <w:rStyle w:val="35"/>
                      <w:rFonts w:hint="default" w:ascii="Times New Roman" w:hAnsi="Times New Roman" w:cs="Times New Roman" w:eastAsiaTheme="minorEastAsia"/>
                      <w:i w:val="0"/>
                      <w:caps w:val="0"/>
                      <w:color w:val="auto"/>
                      <w:spacing w:val="0"/>
                      <w:sz w:val="21"/>
                      <w:szCs w:val="21"/>
                      <w:u w:val="none"/>
                      <w:shd w:val="clear" w:fill="FFFFFF"/>
                    </w:rPr>
                    <w:t>热塑性塑料</w:t>
                  </w:r>
                  <w:r>
                    <w:rPr>
                      <w:rFonts w:hint="default" w:ascii="Times New Roman" w:hAnsi="Times New Roman" w:cs="Times New Roman" w:eastAsiaTheme="minorEastAsia"/>
                      <w:i w:val="0"/>
                      <w:caps w:val="0"/>
                      <w:color w:val="auto"/>
                      <w:spacing w:val="0"/>
                      <w:sz w:val="21"/>
                      <w:szCs w:val="21"/>
                      <w:u w:val="none"/>
                      <w:shd w:val="clear" w:fill="FFFFFF"/>
                    </w:rPr>
                    <w:fldChar w:fldCharType="end"/>
                  </w:r>
                  <w:r>
                    <w:rPr>
                      <w:rFonts w:hint="default" w:ascii="Times New Roman" w:hAnsi="Times New Roman" w:cs="Times New Roman" w:eastAsiaTheme="minorEastAsia"/>
                      <w:i w:val="0"/>
                      <w:caps w:val="0"/>
                      <w:color w:val="auto"/>
                      <w:spacing w:val="0"/>
                      <w:sz w:val="21"/>
                      <w:szCs w:val="21"/>
                      <w:shd w:val="clear" w:fill="FFFFFF"/>
                    </w:rPr>
                    <w:t>，聚苯乙烯玻璃化温度80～105℃，非晶态密度1.04～1.06克/立方厘米，晶体密度1.11～1.12克/立方厘米，熔融温度240℃，电阻率为1020～1022欧·厘米。导热系数30℃时0.116瓦/(米·开)。通常的聚苯乙烯为非晶态</w:t>
                  </w:r>
                  <w:r>
                    <w:rPr>
                      <w:rFonts w:hint="default" w:ascii="Times New Roman" w:hAnsi="Times New Roman" w:cs="Times New Roman" w:eastAsiaTheme="minorEastAsia"/>
                      <w:i w:val="0"/>
                      <w:caps w:val="0"/>
                      <w:color w:val="auto"/>
                      <w:spacing w:val="0"/>
                      <w:sz w:val="21"/>
                      <w:szCs w:val="21"/>
                      <w:u w:val="none"/>
                      <w:shd w:val="clear" w:fill="FFFFFF"/>
                    </w:rPr>
                    <w:fldChar w:fldCharType="begin"/>
                  </w:r>
                  <w:r>
                    <w:rPr>
                      <w:rFonts w:hint="default" w:ascii="Times New Roman" w:hAnsi="Times New Roman" w:cs="Times New Roman" w:eastAsiaTheme="minorEastAsia"/>
                      <w:i w:val="0"/>
                      <w:caps w:val="0"/>
                      <w:color w:val="auto"/>
                      <w:spacing w:val="0"/>
                      <w:sz w:val="21"/>
                      <w:szCs w:val="21"/>
                      <w:u w:val="none"/>
                      <w:shd w:val="clear" w:fill="FFFFFF"/>
                    </w:rPr>
                    <w:instrText xml:space="preserve"> HYPERLINK "https://baike.baidu.com/item/%E6%97%A0%E8%A7%84%E8%81%9A%E5%90%88%E7%89%A9" \t "https://baike.baidu.com/item/%E8%81%9A%E8%8B%AF%E4%B9%99%E7%83%AF/_blank" </w:instrText>
                  </w:r>
                  <w:r>
                    <w:rPr>
                      <w:rFonts w:hint="default" w:ascii="Times New Roman" w:hAnsi="Times New Roman" w:cs="Times New Roman" w:eastAsiaTheme="minorEastAsia"/>
                      <w:i w:val="0"/>
                      <w:caps w:val="0"/>
                      <w:color w:val="auto"/>
                      <w:spacing w:val="0"/>
                      <w:sz w:val="21"/>
                      <w:szCs w:val="21"/>
                      <w:u w:val="none"/>
                      <w:shd w:val="clear" w:fill="FFFFFF"/>
                    </w:rPr>
                    <w:fldChar w:fldCharType="separate"/>
                  </w:r>
                  <w:r>
                    <w:rPr>
                      <w:rStyle w:val="35"/>
                      <w:rFonts w:hint="default" w:ascii="Times New Roman" w:hAnsi="Times New Roman" w:cs="Times New Roman" w:eastAsiaTheme="minorEastAsia"/>
                      <w:i w:val="0"/>
                      <w:caps w:val="0"/>
                      <w:color w:val="auto"/>
                      <w:spacing w:val="0"/>
                      <w:sz w:val="21"/>
                      <w:szCs w:val="21"/>
                      <w:u w:val="none"/>
                      <w:shd w:val="clear" w:fill="FFFFFF"/>
                    </w:rPr>
                    <w:t>无规聚合物</w:t>
                  </w:r>
                  <w:r>
                    <w:rPr>
                      <w:rFonts w:hint="default" w:ascii="Times New Roman" w:hAnsi="Times New Roman" w:cs="Times New Roman" w:eastAsiaTheme="minorEastAsia"/>
                      <w:i w:val="0"/>
                      <w:caps w:val="0"/>
                      <w:color w:val="auto"/>
                      <w:spacing w:val="0"/>
                      <w:sz w:val="21"/>
                      <w:szCs w:val="21"/>
                      <w:u w:val="none"/>
                      <w:shd w:val="clear" w:fill="FFFFFF"/>
                    </w:rPr>
                    <w:fldChar w:fldCharType="end"/>
                  </w:r>
                  <w:r>
                    <w:rPr>
                      <w:rFonts w:hint="default" w:ascii="Times New Roman" w:hAnsi="Times New Roman" w:cs="Times New Roman" w:eastAsiaTheme="minorEastAsia"/>
                      <w:i w:val="0"/>
                      <w:caps w:val="0"/>
                      <w:color w:val="auto"/>
                      <w:spacing w:val="0"/>
                      <w:sz w:val="21"/>
                      <w:szCs w:val="21"/>
                      <w:shd w:val="clear" w:fill="FFFFFF"/>
                    </w:rPr>
                    <w:t>，具有优良的绝热、绝缘和透明性，长期使用温度0～70℃，但脆，低温易开裂</w:t>
                  </w:r>
                  <w:r>
                    <w:rPr>
                      <w:rFonts w:hint="default" w:ascii="Times New Roman" w:hAnsi="Times New Roman" w:cs="Times New Roman" w:eastAsiaTheme="minorEastAsia"/>
                      <w:i w:val="0"/>
                      <w:caps w:val="0"/>
                      <w:color w:val="auto"/>
                      <w:spacing w:val="0"/>
                      <w:sz w:val="21"/>
                      <w:szCs w:val="21"/>
                      <w:shd w:val="clear" w:fill="FFFFFF"/>
                      <w:lang w:eastAsia="zh-CN"/>
                    </w:rPr>
                    <w:t>。</w:t>
                  </w:r>
                  <w:r>
                    <w:rPr>
                      <w:rFonts w:hint="default" w:ascii="Times New Roman" w:hAnsi="Times New Roman" w:cs="Times New Roman" w:eastAsiaTheme="minorEastAsia"/>
                      <w:i w:val="0"/>
                      <w:caps w:val="0"/>
                      <w:color w:val="auto"/>
                      <w:spacing w:val="0"/>
                      <w:sz w:val="21"/>
                      <w:szCs w:val="21"/>
                      <w:shd w:val="clear" w:fill="FFFFFF"/>
                    </w:rPr>
                    <w:t>聚苯乙烯易加工成型，并具有透明、廉价、刚性、绝缘、印刷性好等优点。可广泛用于轻工市场，日用装璜，照明指示和包装等方面。在电气方面更是良好的绝缘材料和隔热保温材料，可以制作各种仪表外壳、灯罩、光学化学仪器零件、透明薄膜、电容器介质层等</w:t>
                  </w:r>
                  <w:r>
                    <w:rPr>
                      <w:rFonts w:hint="default" w:ascii="Times New Roman" w:hAnsi="Times New Roman" w:cs="Times New Roman" w:eastAsiaTheme="minorEastAsia"/>
                      <w:color w:val="auto"/>
                      <w:spacing w:val="8"/>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671" w:type="dxa"/>
                  <w:tcBorders>
                    <w:tl2br w:val="nil"/>
                    <w:tr2bl w:val="nil"/>
                  </w:tcBorders>
                  <w:vAlign w:val="center"/>
                </w:tcPr>
                <w:p>
                  <w:pPr>
                    <w:widowControl/>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45" w:type="dxa"/>
                  <w:tcBorders>
                    <w:tl2br w:val="nil"/>
                    <w:tr2bl w:val="nil"/>
                  </w:tcBorders>
                  <w:vAlign w:val="center"/>
                </w:tcPr>
                <w:p>
                  <w:pPr>
                    <w:bidi w:val="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ABS</w:t>
                  </w:r>
                </w:p>
              </w:tc>
              <w:tc>
                <w:tcPr>
                  <w:tcW w:w="7269" w:type="dxa"/>
                  <w:tcBorders>
                    <w:tl2br w:val="nil"/>
                    <w:tr2bl w:val="nil"/>
                  </w:tcBorders>
                  <w:vAlign w:val="center"/>
                </w:tcPr>
                <w:p>
                  <w:pPr>
                    <w:bidi w:val="0"/>
                    <w:jc w:val="left"/>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ABS 塑料是</w:t>
                  </w:r>
                  <w:r>
                    <w:rPr>
                      <w:rFonts w:hint="default" w:ascii="Times New Roman" w:hAnsi="Times New Roman" w:cs="Times New Roman" w:eastAsiaTheme="minorEastAsia"/>
                      <w:color w:val="auto"/>
                    </w:rPr>
                    <w:fldChar w:fldCharType="begin"/>
                  </w:r>
                  <w:r>
                    <w:rPr>
                      <w:rFonts w:hint="default" w:ascii="Times New Roman" w:hAnsi="Times New Roman" w:cs="Times New Roman" w:eastAsiaTheme="minorEastAsia"/>
                      <w:color w:val="auto"/>
                    </w:rPr>
                    <w:instrText xml:space="preserve"> HYPERLINK "https://baike.baidu.com/item/%E4%B8%99%E7%83%AF%E8%85%88/626447" \t "https://baike.baidu.com/item/ABS%E5%A1%91%E6%96%99/_blank" </w:instrText>
                  </w:r>
                  <w:r>
                    <w:rPr>
                      <w:rFonts w:hint="default" w:ascii="Times New Roman" w:hAnsi="Times New Roman" w:cs="Times New Roman" w:eastAsiaTheme="minorEastAsia"/>
                      <w:color w:val="auto"/>
                    </w:rPr>
                    <w:fldChar w:fldCharType="separate"/>
                  </w:r>
                  <w:r>
                    <w:rPr>
                      <w:rStyle w:val="35"/>
                      <w:rFonts w:hint="default" w:ascii="Times New Roman" w:hAnsi="Times New Roman" w:cs="Times New Roman" w:eastAsiaTheme="minorEastAsia"/>
                      <w:i w:val="0"/>
                      <w:caps w:val="0"/>
                      <w:color w:val="auto"/>
                      <w:spacing w:val="0"/>
                      <w:szCs w:val="16"/>
                      <w:u w:val="none"/>
                      <w:shd w:val="clear" w:fill="FFFFFF"/>
                    </w:rPr>
                    <w:t>丙烯腈</w:t>
                  </w:r>
                  <w:r>
                    <w:rPr>
                      <w:rFonts w:hint="default" w:ascii="Times New Roman" w:hAnsi="Times New Roman" w:cs="Times New Roman" w:eastAsiaTheme="minorEastAsia"/>
                      <w:color w:val="auto"/>
                    </w:rPr>
                    <w:fldChar w:fldCharType="end"/>
                  </w:r>
                  <w:r>
                    <w:rPr>
                      <w:rFonts w:hint="default" w:ascii="Times New Roman" w:hAnsi="Times New Roman" w:cs="Times New Roman" w:eastAsiaTheme="minorEastAsia"/>
                      <w:color w:val="auto"/>
                    </w:rPr>
                    <w:t>(A)、</w:t>
                  </w:r>
                  <w:r>
                    <w:rPr>
                      <w:rFonts w:hint="default" w:ascii="Times New Roman" w:hAnsi="Times New Roman" w:cs="Times New Roman" w:eastAsiaTheme="minorEastAsia"/>
                      <w:color w:val="auto"/>
                    </w:rPr>
                    <w:fldChar w:fldCharType="begin"/>
                  </w:r>
                  <w:r>
                    <w:rPr>
                      <w:rFonts w:hint="default" w:ascii="Times New Roman" w:hAnsi="Times New Roman" w:cs="Times New Roman" w:eastAsiaTheme="minorEastAsia"/>
                      <w:color w:val="auto"/>
                    </w:rPr>
                    <w:instrText xml:space="preserve"> HYPERLINK "https://baike.baidu.com/item/%E4%B8%81%E4%BA%8C%E7%83%AF/593484" \t "https://baike.baidu.com/item/ABS%E5%A1%91%E6%96%99/_blank" </w:instrText>
                  </w:r>
                  <w:r>
                    <w:rPr>
                      <w:rFonts w:hint="default" w:ascii="Times New Roman" w:hAnsi="Times New Roman" w:cs="Times New Roman" w:eastAsiaTheme="minorEastAsia"/>
                      <w:color w:val="auto"/>
                    </w:rPr>
                    <w:fldChar w:fldCharType="separate"/>
                  </w:r>
                  <w:r>
                    <w:rPr>
                      <w:rStyle w:val="35"/>
                      <w:rFonts w:hint="default" w:ascii="Times New Roman" w:hAnsi="Times New Roman" w:cs="Times New Roman" w:eastAsiaTheme="minorEastAsia"/>
                      <w:i w:val="0"/>
                      <w:caps w:val="0"/>
                      <w:color w:val="auto"/>
                      <w:spacing w:val="0"/>
                      <w:szCs w:val="16"/>
                      <w:u w:val="none"/>
                      <w:shd w:val="clear" w:fill="FFFFFF"/>
                    </w:rPr>
                    <w:t>丁二烯</w:t>
                  </w:r>
                  <w:r>
                    <w:rPr>
                      <w:rFonts w:hint="default" w:ascii="Times New Roman" w:hAnsi="Times New Roman" w:cs="Times New Roman" w:eastAsiaTheme="minorEastAsia"/>
                      <w:color w:val="auto"/>
                    </w:rPr>
                    <w:fldChar w:fldCharType="end"/>
                  </w:r>
                  <w:r>
                    <w:rPr>
                      <w:rFonts w:hint="default" w:ascii="Times New Roman" w:hAnsi="Times New Roman" w:cs="Times New Roman" w:eastAsiaTheme="minorEastAsia"/>
                      <w:color w:val="auto"/>
                    </w:rPr>
                    <w:t>(B)、</w:t>
                  </w:r>
                  <w:r>
                    <w:rPr>
                      <w:rFonts w:hint="default" w:ascii="Times New Roman" w:hAnsi="Times New Roman" w:cs="Times New Roman" w:eastAsiaTheme="minorEastAsia"/>
                      <w:color w:val="auto"/>
                    </w:rPr>
                    <w:fldChar w:fldCharType="begin"/>
                  </w:r>
                  <w:r>
                    <w:rPr>
                      <w:rFonts w:hint="default" w:ascii="Times New Roman" w:hAnsi="Times New Roman" w:cs="Times New Roman" w:eastAsiaTheme="minorEastAsia"/>
                      <w:color w:val="auto"/>
                    </w:rPr>
                    <w:instrText xml:space="preserve"> HYPERLINK "https://baike.baidu.com/item/%E8%8B%AF%E4%B9%99%E7%83%AF/2303438" \t "https://baike.baidu.com/item/ABS%E5%A1%91%E6%96%99/_blank" </w:instrText>
                  </w:r>
                  <w:r>
                    <w:rPr>
                      <w:rFonts w:hint="default" w:ascii="Times New Roman" w:hAnsi="Times New Roman" w:cs="Times New Roman" w:eastAsiaTheme="minorEastAsia"/>
                      <w:color w:val="auto"/>
                    </w:rPr>
                    <w:fldChar w:fldCharType="separate"/>
                  </w:r>
                  <w:r>
                    <w:rPr>
                      <w:rStyle w:val="35"/>
                      <w:rFonts w:hint="default" w:ascii="Times New Roman" w:hAnsi="Times New Roman" w:cs="Times New Roman" w:eastAsiaTheme="minorEastAsia"/>
                      <w:i w:val="0"/>
                      <w:caps w:val="0"/>
                      <w:color w:val="auto"/>
                      <w:spacing w:val="0"/>
                      <w:szCs w:val="16"/>
                      <w:u w:val="none"/>
                      <w:shd w:val="clear" w:fill="FFFFFF"/>
                    </w:rPr>
                    <w:t>苯乙烯</w:t>
                  </w:r>
                  <w:r>
                    <w:rPr>
                      <w:rFonts w:hint="default" w:ascii="Times New Roman" w:hAnsi="Times New Roman" w:cs="Times New Roman" w:eastAsiaTheme="minorEastAsia"/>
                      <w:color w:val="auto"/>
                    </w:rPr>
                    <w:fldChar w:fldCharType="end"/>
                  </w:r>
                  <w:r>
                    <w:rPr>
                      <w:rFonts w:hint="default" w:ascii="Times New Roman" w:hAnsi="Times New Roman" w:cs="Times New Roman" w:eastAsiaTheme="minorEastAsia"/>
                      <w:color w:val="auto"/>
                    </w:rPr>
                    <w:t>(S)三种单体的三元共聚物，三种单体相对含量可任意变化，制成各种树脂。ABS 兼有三种组元的共同性能，A使其耐化学腐蚀、耐热，并有一定的表面硬度，B使其具有高弹性和韧性，S使其具有热塑性塑料的加工成型特性并改善电性能。因此ABS 塑料是一种原料易得、综合性能良好、价格便宜、用途广泛的“坚韧、质硬、刚性”材料。ABS塑料在机械、电气、纺织、汽车、飞机、轮船等制造工业及化工中获得了广泛的应用。一般在160℃以上，240℃以下即可成型</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在250℃以上开始出现分解</w:t>
                  </w:r>
                  <w:r>
                    <w:rPr>
                      <w:rFonts w:hint="default" w:ascii="Times New Roman" w:hAnsi="Times New Roman" w:cs="Times New Roman" w:eastAsiaTheme="minorEastAsia"/>
                      <w:color w:val="auto"/>
                      <w:lang w:eastAsia="zh-CN"/>
                    </w:rPr>
                    <w:t>。</w:t>
                  </w:r>
                </w:p>
              </w:tc>
            </w:tr>
          </w:tbl>
          <w:p>
            <w:pPr>
              <w:pStyle w:val="86"/>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10</w:t>
            </w:r>
            <w:r>
              <w:rPr>
                <w:rFonts w:hint="default" w:ascii="Times New Roman" w:hAnsi="Times New Roman" w:cs="Times New Roman"/>
                <w:color w:val="auto"/>
              </w:rPr>
              <w:t>）生产设备</w:t>
            </w:r>
          </w:p>
          <w:p>
            <w:pPr>
              <w:pStyle w:val="86"/>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rPr>
              <w:t>1-</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lang w:val="en-US"/>
              </w:rPr>
              <w:t xml:space="preserve">  </w:t>
            </w:r>
            <w:r>
              <w:rPr>
                <w:rFonts w:hint="default" w:ascii="Times New Roman" w:hAnsi="Times New Roman" w:cs="Times New Roman"/>
                <w:b/>
                <w:bCs/>
                <w:color w:val="auto"/>
              </w:rPr>
              <w:t>主要生产设备一览表</w:t>
            </w:r>
          </w:p>
          <w:tbl>
            <w:tblPr>
              <w:tblStyle w:val="39"/>
              <w:tblW w:w="8917" w:type="dxa"/>
              <w:tblInd w:w="8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642"/>
              <w:gridCol w:w="1280"/>
              <w:gridCol w:w="1280"/>
              <w:gridCol w:w="1057"/>
              <w:gridCol w:w="19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663" w:type="dxa"/>
                  <w:tcBorders>
                    <w:tl2br w:val="nil"/>
                    <w:tr2bl w:val="nil"/>
                  </w:tcBorders>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序号</w:t>
                  </w:r>
                </w:p>
              </w:tc>
              <w:tc>
                <w:tcPr>
                  <w:tcW w:w="2642" w:type="dxa"/>
                  <w:tcBorders>
                    <w:tl2br w:val="nil"/>
                    <w:tr2bl w:val="nil"/>
                  </w:tcBorders>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设备名称</w:t>
                  </w:r>
                </w:p>
              </w:tc>
              <w:tc>
                <w:tcPr>
                  <w:tcW w:w="1280" w:type="dxa"/>
                  <w:tcBorders>
                    <w:tl2br w:val="nil"/>
                    <w:tr2bl w:val="nil"/>
                  </w:tcBorders>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型号</w:t>
                  </w:r>
                </w:p>
              </w:tc>
              <w:tc>
                <w:tcPr>
                  <w:tcW w:w="1280" w:type="dxa"/>
                  <w:tcBorders>
                    <w:tl2br w:val="nil"/>
                    <w:tr2bl w:val="nil"/>
                  </w:tcBorders>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单位</w:t>
                  </w:r>
                </w:p>
              </w:tc>
              <w:tc>
                <w:tcPr>
                  <w:tcW w:w="1057" w:type="dxa"/>
                  <w:tcBorders>
                    <w:tl2br w:val="nil"/>
                    <w:tr2bl w:val="nil"/>
                  </w:tcBorders>
                  <w:vAlign w:val="center"/>
                </w:tcPr>
                <w:p>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数量</w:t>
                  </w:r>
                </w:p>
              </w:tc>
              <w:tc>
                <w:tcPr>
                  <w:tcW w:w="1995" w:type="dxa"/>
                  <w:tcBorders>
                    <w:tl2br w:val="nil"/>
                    <w:tr2bl w:val="nil"/>
                  </w:tcBorders>
                  <w:vAlign w:val="center"/>
                </w:tcPr>
                <w:p>
                  <w:pPr>
                    <w:widowControl/>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663" w:type="dxa"/>
                  <w:tcBorders>
                    <w:tl2br w:val="nil"/>
                    <w:tr2bl w:val="nil"/>
                  </w:tcBorders>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w:t>
                  </w:r>
                </w:p>
              </w:tc>
              <w:tc>
                <w:tcPr>
                  <w:tcW w:w="2642" w:type="dxa"/>
                  <w:tcBorders>
                    <w:tl2br w:val="nil"/>
                    <w:tr2bl w:val="nil"/>
                  </w:tcBorders>
                  <w:vAlign w:val="center"/>
                </w:tcPr>
                <w:p>
                  <w:pPr>
                    <w:ind w:left="0" w:leftChars="0"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注塑机</w:t>
                  </w:r>
                </w:p>
              </w:tc>
              <w:tc>
                <w:tcPr>
                  <w:tcW w:w="1280"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450T</w:t>
                  </w:r>
                </w:p>
              </w:tc>
              <w:tc>
                <w:tcPr>
                  <w:tcW w:w="1280"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台</w:t>
                  </w:r>
                </w:p>
              </w:tc>
              <w:tc>
                <w:tcPr>
                  <w:tcW w:w="105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w:t>
                  </w:r>
                </w:p>
              </w:tc>
              <w:tc>
                <w:tcPr>
                  <w:tcW w:w="1995" w:type="dxa"/>
                  <w:tcBorders>
                    <w:tl2br w:val="nil"/>
                    <w:tr2bl w:val="nil"/>
                  </w:tcBorders>
                  <w:vAlign w:val="center"/>
                </w:tcPr>
                <w:p>
                  <w:pPr>
                    <w:contextualSpacing/>
                    <w:jc w:val="center"/>
                    <w:rPr>
                      <w:rFonts w:hint="default" w:ascii="Times New Roman" w:hAnsi="Times New Roman" w:cs="Times New Roman"/>
                      <w:color w:val="auto"/>
                      <w:sz w:val="21"/>
                      <w:szCs w:val="21"/>
                      <w:lang w:eastAsia="zh-CN"/>
                    </w:rPr>
                  </w:pPr>
                  <w:r>
                    <w:rPr>
                      <w:rFonts w:hint="eastAsia" w:cs="Times New Roman" w:eastAsiaTheme="minorEastAsia"/>
                      <w:color w:val="auto"/>
                      <w:kern w:val="0"/>
                      <w:sz w:val="21"/>
                      <w:szCs w:val="21"/>
                      <w:lang w:eastAsia="zh-CN"/>
                    </w:rPr>
                    <w:t>浙江海天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663" w:type="dxa"/>
                  <w:tcBorders>
                    <w:tl2br w:val="nil"/>
                    <w:tr2bl w:val="nil"/>
                  </w:tcBorders>
                  <w:vAlign w:val="center"/>
                </w:tcPr>
                <w:p>
                  <w:pPr>
                    <w:widowControl/>
                    <w:jc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w:t>
                  </w:r>
                </w:p>
              </w:tc>
              <w:tc>
                <w:tcPr>
                  <w:tcW w:w="2642" w:type="dxa"/>
                  <w:tcBorders>
                    <w:tl2br w:val="nil"/>
                    <w:tr2bl w:val="nil"/>
                  </w:tcBorders>
                  <w:vAlign w:val="center"/>
                </w:tcPr>
                <w:p>
                  <w:pPr>
                    <w:ind w:left="0" w:leftChars="0" w:firstLine="0" w:firstLineChars="0"/>
                    <w:jc w:val="center"/>
                    <w:rPr>
                      <w:rFonts w:hint="eastAsia" w:cs="Times New Roman"/>
                      <w:color w:val="auto"/>
                      <w:sz w:val="21"/>
                      <w:szCs w:val="21"/>
                      <w:lang w:eastAsia="zh-CN"/>
                    </w:rPr>
                  </w:pPr>
                  <w:r>
                    <w:rPr>
                      <w:rFonts w:hint="eastAsia" w:cs="Times New Roman"/>
                      <w:color w:val="auto"/>
                      <w:sz w:val="21"/>
                      <w:szCs w:val="21"/>
                      <w:lang w:eastAsia="zh-CN"/>
                    </w:rPr>
                    <w:t>注塑机</w:t>
                  </w:r>
                </w:p>
              </w:tc>
              <w:tc>
                <w:tcPr>
                  <w:tcW w:w="1280" w:type="dxa"/>
                  <w:tcBorders>
                    <w:tl2br w:val="nil"/>
                    <w:tr2bl w:val="nil"/>
                  </w:tcBorders>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300T</w:t>
                  </w:r>
                </w:p>
              </w:tc>
              <w:tc>
                <w:tcPr>
                  <w:tcW w:w="1280"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台</w:t>
                  </w:r>
                </w:p>
              </w:tc>
              <w:tc>
                <w:tcPr>
                  <w:tcW w:w="10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c>
                <w:tcPr>
                  <w:tcW w:w="1995" w:type="dxa"/>
                  <w:tcBorders>
                    <w:tl2br w:val="nil"/>
                    <w:tr2bl w:val="nil"/>
                  </w:tcBorders>
                  <w:vAlign w:val="center"/>
                </w:tcPr>
                <w:p>
                  <w:pPr>
                    <w:contextualSpacing/>
                    <w:jc w:val="center"/>
                    <w:rPr>
                      <w:rFonts w:hint="default" w:ascii="Times New Roman" w:hAnsi="Times New Roman" w:cs="Times New Roman" w:eastAsiaTheme="minorEastAsia"/>
                      <w:color w:val="auto"/>
                      <w:kern w:val="0"/>
                      <w:sz w:val="21"/>
                      <w:szCs w:val="21"/>
                      <w:lang w:eastAsia="zh-CN"/>
                    </w:rPr>
                  </w:pPr>
                  <w:r>
                    <w:rPr>
                      <w:rFonts w:hint="eastAsia" w:cs="Times New Roman" w:eastAsiaTheme="minorEastAsia"/>
                      <w:color w:val="auto"/>
                      <w:kern w:val="0"/>
                      <w:sz w:val="21"/>
                      <w:szCs w:val="21"/>
                      <w:lang w:eastAsia="zh-CN"/>
                    </w:rPr>
                    <w:t>浙江海天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663" w:type="dxa"/>
                  <w:tcBorders>
                    <w:tl2br w:val="nil"/>
                    <w:tr2bl w:val="nil"/>
                  </w:tcBorders>
                  <w:vAlign w:val="center"/>
                </w:tcPr>
                <w:p>
                  <w:pPr>
                    <w:widowControl/>
                    <w:jc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w:t>
                  </w:r>
                </w:p>
              </w:tc>
              <w:tc>
                <w:tcPr>
                  <w:tcW w:w="2642" w:type="dxa"/>
                  <w:tcBorders>
                    <w:tl2br w:val="nil"/>
                    <w:tr2bl w:val="nil"/>
                  </w:tcBorders>
                  <w:vAlign w:val="center"/>
                </w:tcPr>
                <w:p>
                  <w:pPr>
                    <w:ind w:left="0" w:leftChars="0" w:firstLine="0" w:firstLineChars="0"/>
                    <w:jc w:val="center"/>
                    <w:rPr>
                      <w:rFonts w:hint="eastAsia" w:cs="Times New Roman"/>
                      <w:color w:val="auto"/>
                      <w:sz w:val="21"/>
                      <w:szCs w:val="21"/>
                      <w:lang w:eastAsia="zh-CN"/>
                    </w:rPr>
                  </w:pPr>
                  <w:r>
                    <w:rPr>
                      <w:rFonts w:hint="eastAsia" w:cs="Times New Roman"/>
                      <w:color w:val="auto"/>
                      <w:sz w:val="21"/>
                      <w:szCs w:val="21"/>
                      <w:lang w:eastAsia="zh-CN"/>
                    </w:rPr>
                    <w:t>注塑机</w:t>
                  </w:r>
                </w:p>
              </w:tc>
              <w:tc>
                <w:tcPr>
                  <w:tcW w:w="1280" w:type="dxa"/>
                  <w:tcBorders>
                    <w:tl2br w:val="nil"/>
                    <w:tr2bl w:val="nil"/>
                  </w:tcBorders>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200T</w:t>
                  </w:r>
                </w:p>
              </w:tc>
              <w:tc>
                <w:tcPr>
                  <w:tcW w:w="1280"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台</w:t>
                  </w:r>
                </w:p>
              </w:tc>
              <w:tc>
                <w:tcPr>
                  <w:tcW w:w="10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w:t>
                  </w:r>
                </w:p>
              </w:tc>
              <w:tc>
                <w:tcPr>
                  <w:tcW w:w="1995" w:type="dxa"/>
                  <w:tcBorders>
                    <w:tl2br w:val="nil"/>
                    <w:tr2bl w:val="nil"/>
                  </w:tcBorders>
                  <w:vAlign w:val="center"/>
                </w:tcPr>
                <w:p>
                  <w:pPr>
                    <w:contextualSpacing/>
                    <w:jc w:val="center"/>
                    <w:rPr>
                      <w:rFonts w:hint="default" w:ascii="Times New Roman" w:hAnsi="Times New Roman" w:cs="Times New Roman" w:eastAsiaTheme="minorEastAsia"/>
                      <w:color w:val="auto"/>
                      <w:kern w:val="0"/>
                      <w:sz w:val="21"/>
                      <w:szCs w:val="21"/>
                      <w:lang w:eastAsia="zh-CN"/>
                    </w:rPr>
                  </w:pPr>
                  <w:r>
                    <w:rPr>
                      <w:rFonts w:hint="eastAsia" w:cs="Times New Roman" w:eastAsiaTheme="minorEastAsia"/>
                      <w:color w:val="auto"/>
                      <w:kern w:val="0"/>
                      <w:sz w:val="21"/>
                      <w:szCs w:val="21"/>
                      <w:lang w:eastAsia="zh-CN"/>
                    </w:rPr>
                    <w:t>浙江海天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663" w:type="dxa"/>
                  <w:tcBorders>
                    <w:tl2br w:val="nil"/>
                    <w:tr2bl w:val="nil"/>
                  </w:tcBorders>
                  <w:vAlign w:val="center"/>
                </w:tcPr>
                <w:p>
                  <w:pPr>
                    <w:widowControl/>
                    <w:jc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4</w:t>
                  </w:r>
                </w:p>
              </w:tc>
              <w:tc>
                <w:tcPr>
                  <w:tcW w:w="2642" w:type="dxa"/>
                  <w:tcBorders>
                    <w:tl2br w:val="nil"/>
                    <w:tr2bl w:val="nil"/>
                  </w:tcBorders>
                  <w:vAlign w:val="center"/>
                </w:tcPr>
                <w:p>
                  <w:pPr>
                    <w:ind w:left="0" w:leftChars="0" w:firstLine="0" w:firstLineChars="0"/>
                    <w:jc w:val="center"/>
                    <w:rPr>
                      <w:rFonts w:hint="eastAsia" w:cs="Times New Roman"/>
                      <w:color w:val="auto"/>
                      <w:sz w:val="21"/>
                      <w:szCs w:val="21"/>
                      <w:lang w:eastAsia="zh-CN"/>
                    </w:rPr>
                  </w:pPr>
                  <w:r>
                    <w:rPr>
                      <w:rFonts w:hint="eastAsia" w:cs="Times New Roman"/>
                      <w:color w:val="auto"/>
                      <w:sz w:val="21"/>
                      <w:szCs w:val="21"/>
                      <w:lang w:eastAsia="zh-CN"/>
                    </w:rPr>
                    <w:t>注塑机</w:t>
                  </w:r>
                </w:p>
              </w:tc>
              <w:tc>
                <w:tcPr>
                  <w:tcW w:w="1280" w:type="dxa"/>
                  <w:tcBorders>
                    <w:tl2br w:val="nil"/>
                    <w:tr2bl w:val="nil"/>
                  </w:tcBorders>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160T</w:t>
                  </w:r>
                </w:p>
              </w:tc>
              <w:tc>
                <w:tcPr>
                  <w:tcW w:w="1280"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台</w:t>
                  </w:r>
                </w:p>
              </w:tc>
              <w:tc>
                <w:tcPr>
                  <w:tcW w:w="10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c>
                <w:tcPr>
                  <w:tcW w:w="1995" w:type="dxa"/>
                  <w:tcBorders>
                    <w:tl2br w:val="nil"/>
                    <w:tr2bl w:val="nil"/>
                  </w:tcBorders>
                  <w:vAlign w:val="center"/>
                </w:tcPr>
                <w:p>
                  <w:pPr>
                    <w:contextualSpacing/>
                    <w:jc w:val="center"/>
                    <w:rPr>
                      <w:rFonts w:hint="default" w:ascii="Times New Roman" w:hAnsi="Times New Roman" w:cs="Times New Roman" w:eastAsiaTheme="minorEastAsia"/>
                      <w:color w:val="auto"/>
                      <w:kern w:val="0"/>
                      <w:sz w:val="21"/>
                      <w:szCs w:val="21"/>
                      <w:lang w:eastAsia="zh-CN"/>
                    </w:rPr>
                  </w:pPr>
                  <w:r>
                    <w:rPr>
                      <w:rFonts w:hint="eastAsia" w:cs="Times New Roman" w:eastAsiaTheme="minorEastAsia"/>
                      <w:color w:val="auto"/>
                      <w:kern w:val="0"/>
                      <w:sz w:val="21"/>
                      <w:szCs w:val="21"/>
                      <w:lang w:eastAsia="zh-CN"/>
                    </w:rPr>
                    <w:t>浙江海天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663" w:type="dxa"/>
                  <w:tcBorders>
                    <w:tl2br w:val="nil"/>
                    <w:tr2bl w:val="nil"/>
                  </w:tcBorders>
                  <w:vAlign w:val="center"/>
                </w:tcPr>
                <w:p>
                  <w:pPr>
                    <w:widowControl/>
                    <w:jc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w:t>
                  </w:r>
                </w:p>
              </w:tc>
              <w:tc>
                <w:tcPr>
                  <w:tcW w:w="2642" w:type="dxa"/>
                  <w:tcBorders>
                    <w:tl2br w:val="nil"/>
                    <w:tr2bl w:val="nil"/>
                  </w:tcBorders>
                  <w:vAlign w:val="center"/>
                </w:tcPr>
                <w:p>
                  <w:pPr>
                    <w:ind w:left="0" w:leftChars="0" w:firstLine="0" w:firstLineChars="0"/>
                    <w:jc w:val="center"/>
                    <w:rPr>
                      <w:rFonts w:hint="eastAsia" w:cs="Times New Roman"/>
                      <w:color w:val="auto"/>
                      <w:sz w:val="21"/>
                      <w:szCs w:val="21"/>
                      <w:lang w:eastAsia="zh-CN"/>
                    </w:rPr>
                  </w:pPr>
                  <w:r>
                    <w:rPr>
                      <w:rFonts w:hint="eastAsia" w:cs="Times New Roman"/>
                      <w:color w:val="auto"/>
                      <w:sz w:val="21"/>
                      <w:szCs w:val="21"/>
                      <w:lang w:eastAsia="zh-CN"/>
                    </w:rPr>
                    <w:t>注塑机</w:t>
                  </w:r>
                </w:p>
              </w:tc>
              <w:tc>
                <w:tcPr>
                  <w:tcW w:w="1280" w:type="dxa"/>
                  <w:tcBorders>
                    <w:tl2br w:val="nil"/>
                    <w:tr2bl w:val="nil"/>
                  </w:tcBorders>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100T</w:t>
                  </w:r>
                </w:p>
              </w:tc>
              <w:tc>
                <w:tcPr>
                  <w:tcW w:w="1280" w:type="dxa"/>
                  <w:tcBorders>
                    <w:tl2br w:val="nil"/>
                    <w:tr2bl w:val="nil"/>
                  </w:tcBorders>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台</w:t>
                  </w:r>
                </w:p>
              </w:tc>
              <w:tc>
                <w:tcPr>
                  <w:tcW w:w="1057" w:type="dxa"/>
                  <w:tcBorders>
                    <w:tl2br w:val="nil"/>
                    <w:tr2bl w:val="nil"/>
                  </w:tcBorders>
                  <w:vAlign w:val="center"/>
                </w:tcPr>
                <w:p>
                  <w:pPr>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1995" w:type="dxa"/>
                  <w:tcBorders>
                    <w:tl2br w:val="nil"/>
                    <w:tr2bl w:val="nil"/>
                  </w:tcBorders>
                  <w:vAlign w:val="center"/>
                </w:tcPr>
                <w:p>
                  <w:pPr>
                    <w:contextualSpacing/>
                    <w:jc w:val="center"/>
                    <w:rPr>
                      <w:rFonts w:hint="eastAsia" w:cs="Times New Roman" w:eastAsiaTheme="minorEastAsia"/>
                      <w:color w:val="auto"/>
                      <w:kern w:val="0"/>
                      <w:sz w:val="21"/>
                      <w:szCs w:val="21"/>
                      <w:lang w:eastAsia="zh-CN"/>
                    </w:rPr>
                  </w:pPr>
                  <w:r>
                    <w:rPr>
                      <w:rFonts w:hint="eastAsia" w:cs="Times New Roman" w:eastAsiaTheme="minorEastAsia"/>
                      <w:color w:val="auto"/>
                      <w:kern w:val="0"/>
                      <w:sz w:val="21"/>
                      <w:szCs w:val="21"/>
                      <w:lang w:eastAsia="zh-CN"/>
                    </w:rPr>
                    <w:t>浙江海天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663" w:type="dxa"/>
                  <w:tcBorders>
                    <w:tl2br w:val="nil"/>
                    <w:tr2bl w:val="nil"/>
                  </w:tcBorders>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w:t>
                  </w:r>
                </w:p>
              </w:tc>
              <w:tc>
                <w:tcPr>
                  <w:tcW w:w="26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分子筛废气处理装置</w:t>
                  </w:r>
                </w:p>
              </w:tc>
              <w:tc>
                <w:tcPr>
                  <w:tcW w:w="1280"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280"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台</w:t>
                  </w:r>
                </w:p>
              </w:tc>
              <w:tc>
                <w:tcPr>
                  <w:tcW w:w="105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1</w:t>
                  </w:r>
                </w:p>
              </w:tc>
              <w:tc>
                <w:tcPr>
                  <w:tcW w:w="1995" w:type="dxa"/>
                  <w:tcBorders>
                    <w:tl2br w:val="nil"/>
                    <w:tr2bl w:val="nil"/>
                  </w:tcBorders>
                  <w:vAlign w:val="center"/>
                </w:tcPr>
                <w:p>
                  <w:pPr>
                    <w:contextualSpacing/>
                    <w:jc w:val="center"/>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kern w:val="0"/>
                      <w:sz w:val="21"/>
                      <w:szCs w:val="21"/>
                      <w:lang w:eastAsia="zh-CN"/>
                    </w:rPr>
                    <w:t>威海本地</w:t>
                  </w:r>
                </w:p>
              </w:tc>
            </w:tr>
          </w:tbl>
          <w:p>
            <w:pPr>
              <w:pStyle w:val="86"/>
              <w:adjustRightInd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eastAsia="宋体" w:cs="Times New Roman"/>
                <w:color w:val="auto"/>
                <w:lang w:eastAsia="zh-CN"/>
              </w:rPr>
              <w:t>公共工程</w:t>
            </w:r>
          </w:p>
          <w:p>
            <w:pPr>
              <w:pStyle w:val="86"/>
              <w:adjustRightInd w:val="0"/>
              <w:ind w:left="0" w:leftChars="0" w:firstLine="496" w:firstLineChars="200"/>
              <w:rPr>
                <w:rFonts w:hint="default" w:ascii="Times New Roman" w:hAnsi="Times New Roman" w:eastAsia="宋体" w:cs="Times New Roman"/>
                <w:color w:val="auto"/>
                <w:spacing w:val="4"/>
                <w:lang w:eastAsia="zh-CN"/>
              </w:rPr>
            </w:pPr>
            <w:r>
              <w:rPr>
                <w:rFonts w:hint="default" w:ascii="Times New Roman" w:hAnsi="Times New Roman" w:cs="Times New Roman"/>
                <w:color w:val="auto"/>
                <w:spacing w:val="4"/>
              </w:rPr>
              <w:t>（1）供电</w:t>
            </w:r>
            <w:r>
              <w:rPr>
                <w:rFonts w:hint="default" w:ascii="Times New Roman" w:hAnsi="Times New Roman" w:eastAsia="宋体" w:cs="Times New Roman"/>
                <w:color w:val="auto"/>
                <w:spacing w:val="4"/>
                <w:lang w:eastAsia="zh-CN"/>
              </w:rPr>
              <w:t>工程</w:t>
            </w:r>
          </w:p>
          <w:p>
            <w:pPr>
              <w:pStyle w:val="86"/>
              <w:adjustRightInd w:val="0"/>
              <w:rPr>
                <w:rFonts w:hint="default" w:ascii="Times New Roman" w:hAnsi="Times New Roman" w:cs="Times New Roman"/>
                <w:color w:val="auto"/>
              </w:rPr>
            </w:pPr>
            <w:r>
              <w:rPr>
                <w:rFonts w:hint="default" w:ascii="Times New Roman" w:hAnsi="Times New Roman" w:cs="Times New Roman"/>
                <w:color w:val="auto"/>
                <w:lang w:eastAsia="zh-CN"/>
              </w:rPr>
              <w:t>本项目</w:t>
            </w:r>
            <w:r>
              <w:rPr>
                <w:rFonts w:hint="default" w:ascii="Times New Roman" w:hAnsi="Times New Roman" w:cs="Times New Roman"/>
                <w:color w:val="auto"/>
              </w:rPr>
              <w:t>用电由本地供电网络供给，年用电量约</w:t>
            </w:r>
            <w:r>
              <w:rPr>
                <w:rFonts w:hint="eastAsia" w:cs="Times New Roman"/>
                <w:color w:val="auto"/>
                <w:lang w:val="en-US" w:eastAsia="zh-CN"/>
              </w:rPr>
              <w:t>5</w:t>
            </w:r>
            <w:r>
              <w:rPr>
                <w:rFonts w:hint="default" w:ascii="Times New Roman" w:hAnsi="Times New Roman" w:cs="Times New Roman"/>
                <w:color w:val="auto"/>
              </w:rPr>
              <w:t>万kW·h。</w:t>
            </w:r>
          </w:p>
          <w:p>
            <w:pPr>
              <w:pStyle w:val="86"/>
              <w:ind w:left="0" w:leftChars="0"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（2）供暖</w:t>
            </w:r>
            <w:r>
              <w:rPr>
                <w:rFonts w:hint="default" w:ascii="Times New Roman" w:hAnsi="Times New Roman" w:eastAsia="宋体" w:cs="Times New Roman"/>
                <w:color w:val="auto"/>
                <w:lang w:eastAsia="zh-CN"/>
              </w:rPr>
              <w:t>工程</w:t>
            </w:r>
          </w:p>
          <w:p>
            <w:pPr>
              <w:pStyle w:val="86"/>
              <w:rPr>
                <w:rFonts w:hint="default" w:ascii="Times New Roman" w:hAnsi="Times New Roman" w:cs="Times New Roman"/>
                <w:color w:val="auto"/>
              </w:rPr>
            </w:pPr>
            <w:r>
              <w:rPr>
                <w:rFonts w:hint="default" w:ascii="Times New Roman" w:hAnsi="Times New Roman" w:cs="Times New Roman"/>
                <w:color w:val="auto"/>
                <w:lang w:eastAsia="zh-CN"/>
              </w:rPr>
              <w:t>本项目办公区域</w:t>
            </w:r>
            <w:r>
              <w:rPr>
                <w:rFonts w:hint="default" w:ascii="Times New Roman" w:hAnsi="Times New Roman" w:cs="Times New Roman"/>
                <w:color w:val="auto"/>
              </w:rPr>
              <w:t>冬季取暖、夏季制冷均采用</w:t>
            </w:r>
            <w:r>
              <w:rPr>
                <w:rFonts w:hint="default" w:ascii="Times New Roman" w:hAnsi="Times New Roman" w:cs="Times New Roman"/>
                <w:color w:val="auto"/>
                <w:lang w:eastAsia="zh-CN"/>
              </w:rPr>
              <w:t>电器设备</w:t>
            </w:r>
            <w:r>
              <w:rPr>
                <w:rFonts w:hint="default" w:ascii="Times New Roman" w:hAnsi="Times New Roman" w:cs="Times New Roman"/>
                <w:color w:val="auto"/>
              </w:rPr>
              <w:t>。</w:t>
            </w:r>
          </w:p>
          <w:p>
            <w:pPr>
              <w:pStyle w:val="86"/>
              <w:rPr>
                <w:rFonts w:hint="default" w:ascii="Times New Roman" w:hAnsi="Times New Roman" w:eastAsia="宋体"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rPr>
              <w:t>3</w:t>
            </w:r>
            <w:r>
              <w:rPr>
                <w:rFonts w:hint="default" w:ascii="Times New Roman" w:hAnsi="Times New Roman" w:cs="Times New Roman"/>
                <w:color w:val="auto"/>
              </w:rPr>
              <w:t>）给</w:t>
            </w:r>
            <w:r>
              <w:rPr>
                <w:rFonts w:hint="default" w:ascii="Times New Roman" w:hAnsi="Times New Roman" w:cs="Times New Roman"/>
                <w:color w:val="auto"/>
                <w:lang w:eastAsia="zh-CN"/>
              </w:rPr>
              <w:t>水工程</w:t>
            </w:r>
          </w:p>
          <w:p>
            <w:pPr>
              <w:pStyle w:val="86"/>
              <w:ind w:left="0" w:leftChars="0"/>
              <w:rPr>
                <w:color w:val="auto"/>
                <w:lang w:val="en-US"/>
              </w:rPr>
            </w:pPr>
            <w:r>
              <w:rPr>
                <w:rFonts w:hint="eastAsia"/>
                <w:color w:val="auto"/>
                <w:lang w:eastAsia="zh-CN"/>
              </w:rPr>
              <w:t>本</w:t>
            </w:r>
            <w:r>
              <w:rPr>
                <w:color w:val="auto"/>
              </w:rPr>
              <w:t>项目用水主要包括生产用水和生活用水，用水量合计约为</w:t>
            </w:r>
            <w:r>
              <w:rPr>
                <w:rFonts w:hint="eastAsia"/>
                <w:color w:val="auto"/>
                <w:lang w:val="en-US" w:eastAsia="zh-CN"/>
              </w:rPr>
              <w:t>310</w:t>
            </w:r>
            <w:r>
              <w:rPr>
                <w:color w:val="auto"/>
                <w:lang w:val="en-US"/>
              </w:rPr>
              <w:t>t/a，由当地自来水管网供给，能够满足生产和生活需求。</w:t>
            </w:r>
          </w:p>
          <w:p>
            <w:pPr>
              <w:pStyle w:val="86"/>
              <w:ind w:left="0" w:leftChars="0"/>
              <w:rPr>
                <w:rFonts w:eastAsia="新宋体"/>
                <w:color w:val="auto"/>
              </w:rPr>
            </w:pPr>
            <w:r>
              <w:rPr>
                <w:color w:val="auto"/>
              </w:rPr>
              <w:t>①生产用水：</w:t>
            </w:r>
            <w:r>
              <w:rPr>
                <w:color w:val="auto"/>
                <w:lang w:val="en-US"/>
              </w:rPr>
              <w:t>项目</w:t>
            </w:r>
            <w:r>
              <w:rPr>
                <w:rFonts w:eastAsia="新宋体"/>
                <w:color w:val="auto"/>
              </w:rPr>
              <w:t>生产用水主要为</w:t>
            </w:r>
            <w:r>
              <w:rPr>
                <w:rFonts w:hint="eastAsia" w:eastAsia="新宋体"/>
                <w:color w:val="auto"/>
              </w:rPr>
              <w:t>冷却水</w:t>
            </w:r>
            <w:r>
              <w:rPr>
                <w:rFonts w:eastAsia="新宋体"/>
                <w:color w:val="auto"/>
              </w:rPr>
              <w:t>，</w:t>
            </w:r>
            <w:r>
              <w:rPr>
                <w:color w:val="auto"/>
              </w:rPr>
              <w:t>此部分水循环使用，定期补充，</w:t>
            </w:r>
            <w:r>
              <w:rPr>
                <w:rFonts w:eastAsia="新宋体"/>
                <w:color w:val="auto"/>
              </w:rPr>
              <w:t>不外排。根据建设单位提供的资料，</w:t>
            </w:r>
            <w:r>
              <w:rPr>
                <w:rFonts w:hint="eastAsia" w:eastAsia="新宋体"/>
                <w:color w:val="auto"/>
                <w:lang w:eastAsia="zh-CN"/>
              </w:rPr>
              <w:t>冷却水补充</w:t>
            </w:r>
            <w:r>
              <w:rPr>
                <w:rFonts w:eastAsia="新宋体"/>
                <w:color w:val="auto"/>
              </w:rPr>
              <w:t>用水量约为</w:t>
            </w:r>
            <w:r>
              <w:rPr>
                <w:rFonts w:hint="eastAsia" w:eastAsia="新宋体"/>
                <w:color w:val="auto"/>
                <w:lang w:val="en-US" w:eastAsia="zh-CN"/>
              </w:rPr>
              <w:t>10</w:t>
            </w:r>
            <w:r>
              <w:rPr>
                <w:rFonts w:eastAsia="新宋体"/>
                <w:color w:val="auto"/>
              </w:rPr>
              <w:t>t/a。</w:t>
            </w:r>
          </w:p>
          <w:p>
            <w:pPr>
              <w:pStyle w:val="86"/>
              <w:ind w:firstLine="360" w:firstLineChars="150"/>
              <w:rPr>
                <w:rFonts w:hint="default" w:ascii="Times New Roman" w:hAnsi="Times New Roman" w:eastAsia="宋体" w:cs="Times New Roman"/>
                <w:color w:val="auto"/>
                <w:lang w:eastAsia="zh-CN"/>
              </w:rPr>
            </w:pPr>
            <w:r>
              <w:rPr>
                <w:color w:val="auto"/>
              </w:rPr>
              <w:t>②生活用水：</w:t>
            </w:r>
            <w:r>
              <w:rPr>
                <w:rFonts w:eastAsia="新宋体"/>
                <w:color w:val="auto"/>
              </w:rPr>
              <w:t>项目劳动定员</w:t>
            </w:r>
            <w:r>
              <w:rPr>
                <w:rFonts w:hint="eastAsia" w:eastAsia="新宋体"/>
                <w:color w:val="auto"/>
                <w:lang w:val="en-US" w:eastAsia="zh-CN"/>
              </w:rPr>
              <w:t>20</w:t>
            </w:r>
            <w:r>
              <w:rPr>
                <w:rFonts w:eastAsia="新宋体"/>
                <w:color w:val="auto"/>
              </w:rPr>
              <w:t>人，</w:t>
            </w:r>
            <w:r>
              <w:rPr>
                <w:rFonts w:hint="default" w:ascii="Times New Roman" w:hAnsi="Times New Roman" w:eastAsia="新宋体" w:cs="Times New Roman"/>
                <w:color w:val="auto"/>
              </w:rPr>
              <w:t>年工作</w:t>
            </w:r>
            <w:r>
              <w:rPr>
                <w:rFonts w:hint="default" w:ascii="Times New Roman" w:hAnsi="Times New Roman" w:eastAsia="新宋体" w:cs="Times New Roman"/>
                <w:color w:val="auto"/>
                <w:lang w:val="en-US"/>
              </w:rPr>
              <w:t>300</w:t>
            </w:r>
            <w:r>
              <w:rPr>
                <w:rFonts w:hint="default" w:ascii="Times New Roman" w:hAnsi="Times New Roman" w:eastAsia="新宋体" w:cs="Times New Roman"/>
                <w:color w:val="auto"/>
              </w:rPr>
              <w:t>天，生活用水主要为职工洗漱、卫生清扫等，</w:t>
            </w:r>
            <w:r>
              <w:rPr>
                <w:rFonts w:hint="default" w:ascii="Times New Roman" w:hAnsi="Times New Roman" w:cs="Times New Roman"/>
                <w:color w:val="auto"/>
              </w:rPr>
              <w:t>用水量按</w:t>
            </w:r>
            <w:r>
              <w:rPr>
                <w:rFonts w:hint="default" w:ascii="Times New Roman" w:hAnsi="Times New Roman" w:cs="Times New Roman"/>
                <w:color w:val="auto"/>
                <w:lang w:val="en-US" w:eastAsia="zh-CN"/>
              </w:rPr>
              <w:t>50</w:t>
            </w:r>
            <w:r>
              <w:rPr>
                <w:rFonts w:hint="default" w:ascii="Times New Roman" w:hAnsi="Times New Roman" w:cs="Times New Roman"/>
                <w:color w:val="auto"/>
              </w:rPr>
              <w:t>L/（d·人）计，则生活用水量约为</w:t>
            </w:r>
            <w:r>
              <w:rPr>
                <w:rFonts w:hint="eastAsia" w:cs="Times New Roman"/>
                <w:color w:val="auto"/>
                <w:lang w:val="en-US" w:eastAsia="zh-CN"/>
              </w:rPr>
              <w:t>300</w:t>
            </w:r>
            <w:r>
              <w:rPr>
                <w:rFonts w:hint="default" w:ascii="Times New Roman" w:hAnsi="Times New Roman" w:cs="Times New Roman"/>
                <w:color w:val="auto"/>
              </w:rPr>
              <w:t>t/a</w:t>
            </w:r>
            <w:r>
              <w:rPr>
                <w:rFonts w:hint="default" w:ascii="Times New Roman" w:hAnsi="Times New Roman" w:eastAsia="新宋体" w:cs="Times New Roman"/>
                <w:color w:val="auto"/>
                <w:lang w:eastAsia="zh-CN"/>
              </w:rPr>
              <w:t>。</w:t>
            </w:r>
          </w:p>
          <w:p>
            <w:pPr>
              <w:numPr>
                <w:ilvl w:val="0"/>
                <w:numId w:val="0"/>
              </w:num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排水</w:t>
            </w:r>
            <w:r>
              <w:rPr>
                <w:rFonts w:hint="default" w:ascii="Times New Roman" w:hAnsi="Times New Roman" w:cs="Times New Roman"/>
                <w:color w:val="auto"/>
                <w:sz w:val="24"/>
                <w:lang w:eastAsia="zh-CN"/>
              </w:rPr>
              <w:t>工程</w:t>
            </w:r>
          </w:p>
          <w:p>
            <w:pPr>
              <w:pStyle w:val="86"/>
              <w:ind w:left="0" w:leftChars="0" w:right="0" w:rightChars="0"/>
              <w:rPr>
                <w:rFonts w:hint="default" w:ascii="Times New Roman" w:hAnsi="Times New Roman" w:cs="Times New Roman"/>
                <w:color w:val="auto"/>
                <w:sz w:val="24"/>
                <w:lang w:eastAsia="zh-CN"/>
              </w:rPr>
            </w:pPr>
            <w:r>
              <w:rPr>
                <w:rFonts w:hint="default" w:ascii="Times New Roman" w:hAnsi="Times New Roman" w:cs="Times New Roman"/>
                <w:color w:val="auto"/>
                <w:sz w:val="24"/>
              </w:rPr>
              <w:t>项目废水排放采用雨污分流、清污分流制。雨水</w:t>
            </w:r>
            <w:r>
              <w:rPr>
                <w:rFonts w:hint="default" w:ascii="Times New Roman" w:hAnsi="Times New Roman" w:cs="Times New Roman"/>
                <w:color w:val="auto"/>
                <w:sz w:val="24"/>
                <w:lang w:eastAsia="zh-CN"/>
              </w:rPr>
              <w:t>排入附近雨水管网。</w:t>
            </w:r>
          </w:p>
          <w:p>
            <w:pPr>
              <w:pStyle w:val="86"/>
              <w:ind w:left="0" w:leftChars="0" w:right="0" w:rightChars="0"/>
              <w:rPr>
                <w:rFonts w:hint="eastAsia" w:cs="Times New Roman"/>
                <w:color w:val="auto"/>
                <w:sz w:val="24"/>
                <w:lang w:eastAsia="zh-CN"/>
              </w:rPr>
            </w:pPr>
            <w:r>
              <w:rPr>
                <w:rFonts w:hint="default" w:ascii="Times New Roman" w:hAnsi="Times New Roman" w:cs="Times New Roman"/>
                <w:color w:val="auto"/>
                <w:sz w:val="24"/>
              </w:rPr>
              <w:t>项目废水排放采用雨污分流、清污分流制。雨水</w:t>
            </w:r>
            <w:r>
              <w:rPr>
                <w:rFonts w:hint="default" w:ascii="Times New Roman" w:hAnsi="Times New Roman" w:cs="Times New Roman"/>
                <w:color w:val="auto"/>
                <w:sz w:val="24"/>
                <w:lang w:eastAsia="zh-CN"/>
              </w:rPr>
              <w:t>排入附近</w:t>
            </w:r>
            <w:r>
              <w:rPr>
                <w:rFonts w:hint="eastAsia" w:cs="Times New Roman"/>
                <w:color w:val="auto"/>
                <w:sz w:val="24"/>
                <w:lang w:eastAsia="zh-CN"/>
              </w:rPr>
              <w:t>雨水管网。</w:t>
            </w:r>
          </w:p>
          <w:p>
            <w:pPr>
              <w:pStyle w:val="86"/>
              <w:ind w:left="0" w:leftChars="0" w:right="0" w:rightChars="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项目生产过程</w:t>
            </w:r>
            <w:r>
              <w:rPr>
                <w:rFonts w:hint="eastAsia" w:ascii="Times New Roman" w:cs="Times New Roman"/>
                <w:color w:val="auto"/>
                <w:sz w:val="24"/>
                <w:lang w:eastAsia="zh-CN"/>
              </w:rPr>
              <w:t>冷却水循环使用、定期补充</w:t>
            </w:r>
            <w:r>
              <w:rPr>
                <w:rFonts w:hint="eastAsia" w:ascii="Times New Roman" w:hAnsi="Times New Roman" w:cs="Times New Roman"/>
                <w:color w:val="auto"/>
                <w:sz w:val="24"/>
                <w:lang w:eastAsia="zh-CN"/>
              </w:rPr>
              <w:t>，无废水排放</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项目生活用水量约为</w:t>
            </w:r>
            <w:r>
              <w:rPr>
                <w:rFonts w:hint="eastAsia" w:cs="Times New Roman"/>
                <w:color w:val="auto"/>
                <w:sz w:val="24"/>
                <w:lang w:val="en-US" w:eastAsia="zh-CN"/>
              </w:rPr>
              <w:t>300</w:t>
            </w:r>
            <w:r>
              <w:rPr>
                <w:rFonts w:hint="default" w:ascii="Times New Roman" w:hAnsi="Times New Roman" w:cs="Times New Roman"/>
                <w:color w:val="auto"/>
                <w:sz w:val="24"/>
              </w:rPr>
              <w:t>t/a，排污系数为0.8，</w:t>
            </w:r>
            <w:r>
              <w:rPr>
                <w:rFonts w:hint="default" w:ascii="Times New Roman" w:hAnsi="Times New Roman" w:cs="Times New Roman"/>
                <w:color w:val="auto"/>
                <w:sz w:val="24"/>
                <w:lang w:eastAsia="zh-CN"/>
              </w:rPr>
              <w:t>则</w:t>
            </w:r>
            <w:r>
              <w:rPr>
                <w:rFonts w:hint="default" w:ascii="Times New Roman" w:hAnsi="Times New Roman" w:cs="Times New Roman"/>
                <w:color w:val="auto"/>
                <w:sz w:val="24"/>
              </w:rPr>
              <w:t>生活污水</w:t>
            </w:r>
            <w:r>
              <w:rPr>
                <w:rFonts w:hint="eastAsia" w:ascii="Times New Roman" w:hAnsi="Times New Roman" w:cs="Times New Roman"/>
                <w:color w:val="auto"/>
                <w:sz w:val="24"/>
                <w:lang w:eastAsia="zh-CN"/>
              </w:rPr>
              <w:t>产生</w:t>
            </w:r>
            <w:r>
              <w:rPr>
                <w:rFonts w:hint="default" w:ascii="Times New Roman" w:hAnsi="Times New Roman" w:cs="Times New Roman"/>
                <w:color w:val="auto"/>
                <w:sz w:val="24"/>
              </w:rPr>
              <w:t>量约为</w:t>
            </w:r>
            <w:r>
              <w:rPr>
                <w:rFonts w:hint="eastAsia" w:cs="Times New Roman"/>
                <w:color w:val="auto"/>
                <w:sz w:val="24"/>
                <w:lang w:val="en-US" w:eastAsia="zh-CN"/>
              </w:rPr>
              <w:t>240t</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，主要污染物为</w:t>
            </w:r>
            <w:r>
              <w:rPr>
                <w:rFonts w:hint="default" w:ascii="Times New Roman" w:hAnsi="Times New Roman" w:cs="Times New Roman"/>
                <w:color w:val="auto"/>
                <w:sz w:val="24"/>
                <w:lang w:val="en-US" w:eastAsia="zh-CN"/>
              </w:rPr>
              <w:t>COD</w:t>
            </w:r>
            <w:r>
              <w:rPr>
                <w:rFonts w:hint="default" w:ascii="Times New Roman" w:hAnsi="Times New Roman" w:cs="Times New Roman"/>
                <w:color w:val="auto"/>
                <w:sz w:val="24"/>
                <w:vertAlign w:val="subscript"/>
                <w:lang w:val="en-US" w:eastAsia="zh-CN"/>
              </w:rPr>
              <w:t>cr</w:t>
            </w:r>
            <w:r>
              <w:rPr>
                <w:rFonts w:hint="default" w:ascii="Times New Roman" w:hAnsi="Times New Roman" w:cs="Times New Roman"/>
                <w:color w:val="auto"/>
                <w:sz w:val="24"/>
                <w:lang w:val="en-US" w:eastAsia="zh-CN"/>
              </w:rPr>
              <w:t>、氨氮等</w:t>
            </w:r>
            <w:r>
              <w:rPr>
                <w:rFonts w:hint="default" w:ascii="Times New Roman" w:hAnsi="Times New Roman" w:cs="Times New Roman"/>
                <w:color w:val="auto"/>
                <w:sz w:val="24"/>
              </w:rPr>
              <w:t>。</w:t>
            </w:r>
            <w:r>
              <w:rPr>
                <w:rFonts w:hint="default" w:ascii="Times New Roman" w:hAnsi="Times New Roman" w:cs="Times New Roman"/>
                <w:color w:val="auto"/>
                <w:sz w:val="24"/>
                <w:szCs w:val="24"/>
                <w:lang w:eastAsia="zh-CN"/>
              </w:rPr>
              <w:t>生活污水</w:t>
            </w:r>
            <w:r>
              <w:rPr>
                <w:rFonts w:hint="eastAsia" w:ascii="Times New Roman" w:hAnsi="Times New Roman" w:cs="Times New Roman"/>
                <w:color w:val="auto"/>
                <w:sz w:val="24"/>
                <w:szCs w:val="24"/>
                <w:lang w:eastAsia="zh-CN"/>
              </w:rPr>
              <w:t>经化粪池预处理后</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由污水管网</w:t>
            </w:r>
            <w:r>
              <w:rPr>
                <w:rFonts w:hint="eastAsia" w:ascii="Times New Roman" w:hAnsi="Times New Roman" w:cs="Times New Roman"/>
                <w:color w:val="auto"/>
                <w:sz w:val="24"/>
                <w:szCs w:val="24"/>
                <w:lang w:eastAsia="zh-CN"/>
              </w:rPr>
              <w:t>输送至</w:t>
            </w:r>
            <w:r>
              <w:rPr>
                <w:rFonts w:hint="eastAsia" w:cs="Times New Roman"/>
                <w:color w:val="auto"/>
                <w:sz w:val="24"/>
                <w:lang w:eastAsia="zh-CN"/>
              </w:rPr>
              <w:t>威海初村污水处理厂</w:t>
            </w:r>
            <w:r>
              <w:rPr>
                <w:rFonts w:hint="default" w:ascii="Times New Roman" w:hAnsi="Times New Roman" w:cs="Times New Roman"/>
                <w:color w:val="auto"/>
                <w:sz w:val="24"/>
                <w:szCs w:val="24"/>
                <w:lang w:eastAsia="zh-CN"/>
              </w:rPr>
              <w:t>集中处理</w:t>
            </w:r>
            <w:r>
              <w:rPr>
                <w:rFonts w:hint="default" w:ascii="Times New Roman" w:hAnsi="Times New Roman" w:cs="Times New Roman"/>
                <w:color w:val="auto"/>
                <w:kern w:val="0"/>
                <w:sz w:val="24"/>
                <w:szCs w:val="24"/>
                <w:lang w:val="en-US" w:eastAsia="zh-CN"/>
              </w:rPr>
              <w:t>。</w:t>
            </w:r>
          </w:p>
          <w:p>
            <w:pPr>
              <w:pStyle w:val="2"/>
              <w:ind w:firstLine="480"/>
              <w:rPr>
                <w:rFonts w:hint="default" w:ascii="Times New Roman" w:hAnsi="Times New Roman" w:cs="Times New Roman"/>
                <w:color w:val="auto"/>
              </w:rPr>
            </w:pPr>
            <w:r>
              <w:rPr>
                <w:rFonts w:hint="default" w:ascii="Times New Roman" w:hAnsi="Times New Roman" w:cs="Times New Roman"/>
                <w:color w:val="auto"/>
                <w:sz w:val="24"/>
                <w:lang w:val="en-US" w:eastAsia="zh-CN"/>
              </w:rPr>
              <w:t>项目水平衡图如下：</w:t>
            </w:r>
          </w:p>
          <w:p>
            <w:pPr>
              <w:adjustRightInd w:val="0"/>
              <w:snapToGrid w:val="0"/>
              <w:spacing w:line="360" w:lineRule="auto"/>
              <w:rPr>
                <w:rFonts w:hint="default" w:ascii="Times New Roman" w:hAnsi="Times New Roman" w:eastAsia="宋体" w:cs="Times New Roman"/>
                <w:b/>
                <w:color w:val="auto"/>
                <w:sz w:val="24"/>
              </w:rPr>
            </w:pPr>
            <w:r>
              <w:rPr>
                <w:color w:val="auto"/>
                <w:sz w:val="24"/>
              </w:rPr>
              <mc:AlternateContent>
                <mc:Choice Requires="wpc">
                  <w:drawing>
                    <wp:inline distT="0" distB="0" distL="114300" distR="114300">
                      <wp:extent cx="5829300" cy="1285875"/>
                      <wp:effectExtent l="0" t="0" r="0" b="28575"/>
                      <wp:docPr id="10" name="画布 80"/>
                      <wp:cNvGraphicFramePr/>
                      <a:graphic xmlns:a="http://schemas.openxmlformats.org/drawingml/2006/main">
                        <a:graphicData uri="http://schemas.microsoft.com/office/word/2010/wordprocessingCanvas">
                          <wpc:wpc>
                            <wpc:bg>
                              <a:noFill/>
                            </wpc:bg>
                            <wpc:whole>
                              <a:ln>
                                <a:noFill/>
                              </a:ln>
                            </wpc:whole>
                            <wps:wsp>
                              <wps:cNvPr id="47" name="矩形 47"/>
                              <wps:cNvSpPr/>
                              <wps:spPr>
                                <a:xfrm>
                                  <a:off x="64770" y="528320"/>
                                  <a:ext cx="593725" cy="476250"/>
                                </a:xfrm>
                                <a:prstGeom prst="rect">
                                  <a:avLst/>
                                </a:prstGeom>
                                <a:solidFill>
                                  <a:srgbClr val="FFFFFF"/>
                                </a:solidFill>
                                <a:ln w="6350" cap="flat" cmpd="sng">
                                  <a:solidFill>
                                    <a:srgbClr val="000000"/>
                                  </a:solidFill>
                                  <a:prstDash val="dash"/>
                                  <a:miter/>
                                  <a:headEnd type="none" w="med" len="med"/>
                                  <a:tailEnd type="none" w="med" len="med"/>
                                </a:ln>
                                <a:effectLst/>
                              </wps:spPr>
                              <wps:txbx>
                                <w:txbxContent>
                                  <w:p>
                                    <w:pPr>
                                      <w:jc w:val="center"/>
                                      <w:rPr>
                                        <w:rFonts w:hint="eastAsia"/>
                                        <w:szCs w:val="21"/>
                                      </w:rPr>
                                    </w:pPr>
                                    <w:r>
                                      <w:rPr>
                                        <w:rFonts w:hint="eastAsia"/>
                                        <w:szCs w:val="21"/>
                                      </w:rPr>
                                      <w:t>新鲜水</w:t>
                                    </w:r>
                                  </w:p>
                                  <w:p>
                                    <w:pPr>
                                      <w:jc w:val="center"/>
                                      <w:rPr>
                                        <w:rFonts w:hint="default" w:eastAsia="宋体"/>
                                        <w:lang w:val="en-US" w:eastAsia="zh-CN"/>
                                      </w:rPr>
                                    </w:pPr>
                                    <w:r>
                                      <w:rPr>
                                        <w:rFonts w:hint="eastAsia"/>
                                        <w:szCs w:val="21"/>
                                        <w:lang w:val="en-US" w:eastAsia="zh-CN"/>
                                      </w:rPr>
                                      <w:t>310</w:t>
                                    </w:r>
                                  </w:p>
                                </w:txbxContent>
                              </wps:txbx>
                              <wps:bodyPr vert="horz" wrap="square" anchor="t" upright="1"/>
                            </wps:wsp>
                            <wps:wsp>
                              <wps:cNvPr id="62" name="直接箭头连接符 62"/>
                              <wps:cNvCnPr/>
                              <wps:spPr>
                                <a:xfrm flipV="1">
                                  <a:off x="1457960" y="202566"/>
                                  <a:ext cx="317500" cy="127000"/>
                                </a:xfrm>
                                <a:prstGeom prst="straightConnector1">
                                  <a:avLst/>
                                </a:prstGeom>
                                <a:ln w="9525" cap="flat" cmpd="sng">
                                  <a:solidFill>
                                    <a:srgbClr val="000000"/>
                                  </a:solidFill>
                                  <a:prstDash val="dash"/>
                                  <a:headEnd type="none" w="med" len="med"/>
                                  <a:tailEnd type="triangle" w="med" len="med"/>
                                </a:ln>
                                <a:effectLst/>
                              </wps:spPr>
                              <wps:bodyPr vert="horz" wrap="square" anchor="t" upright="1"/>
                            </wps:wsp>
                            <wps:wsp>
                              <wps:cNvPr id="63" name="文本框 63"/>
                              <wps:cNvSpPr txBox="1"/>
                              <wps:spPr>
                                <a:xfrm>
                                  <a:off x="1437005" y="341631"/>
                                  <a:ext cx="762635" cy="280036"/>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r>
                                      <w:rPr>
                                        <w:rFonts w:hint="eastAsia"/>
                                      </w:rPr>
                                      <w:t>生活用水</w:t>
                                    </w:r>
                                  </w:p>
                                </w:txbxContent>
                              </wps:txbx>
                              <wps:bodyPr vert="horz" wrap="square" anchor="t" upright="1"/>
                            </wps:wsp>
                            <wps:wsp>
                              <wps:cNvPr id="64" name="直接箭头连接符 64"/>
                              <wps:cNvCnPr/>
                              <wps:spPr>
                                <a:xfrm flipV="1">
                                  <a:off x="2246630" y="461011"/>
                                  <a:ext cx="775335" cy="4445"/>
                                </a:xfrm>
                                <a:prstGeom prst="straightConnector1">
                                  <a:avLst/>
                                </a:prstGeom>
                                <a:ln w="9525" cap="flat" cmpd="sng">
                                  <a:solidFill>
                                    <a:srgbClr val="000000"/>
                                  </a:solidFill>
                                  <a:prstDash val="dash"/>
                                  <a:headEnd type="none" w="med" len="med"/>
                                  <a:tailEnd type="triangle" w="med" len="med"/>
                                </a:ln>
                                <a:effectLst/>
                              </wps:spPr>
                              <wps:bodyPr vert="horz" wrap="square" anchor="t" upright="1"/>
                            </wps:wsp>
                            <wps:wsp>
                              <wps:cNvPr id="65" name="矩形 65"/>
                              <wps:cNvSpPr/>
                              <wps:spPr>
                                <a:xfrm>
                                  <a:off x="3056255" y="323216"/>
                                  <a:ext cx="910590" cy="334011"/>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rPr>
                                        <w:rFonts w:hint="eastAsia"/>
                                      </w:rPr>
                                    </w:pPr>
                                    <w:r>
                                      <w:rPr>
                                        <w:rFonts w:hint="eastAsia"/>
                                      </w:rPr>
                                      <w:t>化粪池</w:t>
                                    </w:r>
                                  </w:p>
                                </w:txbxContent>
                              </wps:txbx>
                              <wps:bodyPr vert="horz" wrap="square" anchor="t" upright="1"/>
                            </wps:wsp>
                            <wps:wsp>
                              <wps:cNvPr id="66" name="文本框 66"/>
                              <wps:cNvSpPr txBox="1"/>
                              <wps:spPr>
                                <a:xfrm>
                                  <a:off x="1728470" y="0"/>
                                  <a:ext cx="812800" cy="276226"/>
                                </a:xfrm>
                                <a:prstGeom prst="rect">
                                  <a:avLst/>
                                </a:prstGeom>
                                <a:noFill/>
                                <a:ln w="9525">
                                  <a:noFill/>
                                </a:ln>
                                <a:effectLst/>
                              </wps:spPr>
                              <wps:txbx>
                                <w:txbxContent>
                                  <w:p>
                                    <w:pPr>
                                      <w:rPr>
                                        <w:rFonts w:hint="default" w:eastAsia="宋体"/>
                                        <w:lang w:val="en-US" w:eastAsia="zh-CN"/>
                                      </w:rPr>
                                    </w:pPr>
                                    <w:r>
                                      <w:rPr>
                                        <w:rFonts w:hint="eastAsia"/>
                                      </w:rPr>
                                      <w:t>损耗</w:t>
                                    </w:r>
                                    <w:r>
                                      <w:rPr>
                                        <w:rFonts w:hint="eastAsia"/>
                                        <w:lang w:val="en-US" w:eastAsia="zh-CN"/>
                                      </w:rPr>
                                      <w:t>60</w:t>
                                    </w:r>
                                  </w:p>
                                </w:txbxContent>
                              </wps:txbx>
                              <wps:bodyPr vert="horz" wrap="square" anchor="t" upright="1"/>
                            </wps:wsp>
                            <wps:wsp>
                              <wps:cNvPr id="67" name="直接箭头连接符 67"/>
                              <wps:cNvCnPr/>
                              <wps:spPr>
                                <a:xfrm>
                                  <a:off x="1002665" y="489586"/>
                                  <a:ext cx="437515" cy="4445"/>
                                </a:xfrm>
                                <a:prstGeom prst="straightConnector1">
                                  <a:avLst/>
                                </a:prstGeom>
                                <a:ln w="9525" cap="flat" cmpd="sng">
                                  <a:solidFill>
                                    <a:srgbClr val="000000"/>
                                  </a:solidFill>
                                  <a:prstDash val="dash"/>
                                  <a:headEnd type="none" w="med" len="med"/>
                                  <a:tailEnd type="triangle" w="med" len="med"/>
                                </a:ln>
                                <a:effectLst/>
                              </wps:spPr>
                              <wps:bodyPr vert="horz" wrap="square" anchor="t" upright="1"/>
                            </wps:wsp>
                            <wps:wsp>
                              <wps:cNvPr id="68" name="文本框 68"/>
                              <wps:cNvSpPr txBox="1"/>
                              <wps:spPr>
                                <a:xfrm>
                                  <a:off x="2364740" y="221615"/>
                                  <a:ext cx="469900" cy="266700"/>
                                </a:xfrm>
                                <a:prstGeom prst="rect">
                                  <a:avLst/>
                                </a:prstGeom>
                                <a:noFill/>
                                <a:ln w="9525">
                                  <a:noFill/>
                                </a:ln>
                                <a:effectLst/>
                              </wps:spPr>
                              <wps:txbx>
                                <w:txbxContent>
                                  <w:p>
                                    <w:pPr>
                                      <w:rPr>
                                        <w:rFonts w:hint="default" w:eastAsia="宋体"/>
                                        <w:lang w:val="en-US" w:eastAsia="zh-CN"/>
                                      </w:rPr>
                                    </w:pPr>
                                    <w:r>
                                      <w:rPr>
                                        <w:rFonts w:hint="eastAsia"/>
                                        <w:lang w:val="en-US" w:eastAsia="zh-CN"/>
                                      </w:rPr>
                                      <w:t>240</w:t>
                                    </w:r>
                                  </w:p>
                                </w:txbxContent>
                              </wps:txbx>
                              <wps:bodyPr vert="horz" wrap="square" anchor="t" upright="1"/>
                            </wps:wsp>
                            <wps:wsp>
                              <wps:cNvPr id="69" name="直接箭头连接符 69"/>
                              <wps:cNvCnPr/>
                              <wps:spPr>
                                <a:xfrm flipV="1">
                                  <a:off x="4008755" y="503555"/>
                                  <a:ext cx="546100" cy="0"/>
                                </a:xfrm>
                                <a:prstGeom prst="straightConnector1">
                                  <a:avLst/>
                                </a:prstGeom>
                                <a:ln w="9525" cap="flat" cmpd="sng">
                                  <a:solidFill>
                                    <a:srgbClr val="000000"/>
                                  </a:solidFill>
                                  <a:prstDash val="dash"/>
                                  <a:headEnd type="none" w="med" len="med"/>
                                  <a:tailEnd type="triangle" w="med" len="med"/>
                                </a:ln>
                                <a:effectLst/>
                              </wps:spPr>
                              <wps:bodyPr vert="horz" wrap="square" anchor="t" upright="1"/>
                            </wps:wsp>
                            <wps:wsp>
                              <wps:cNvPr id="70" name="矩形 70"/>
                              <wps:cNvSpPr/>
                              <wps:spPr>
                                <a:xfrm>
                                  <a:off x="4532630" y="160655"/>
                                  <a:ext cx="833120" cy="662306"/>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rPr>
                                        <w:rFonts w:hint="eastAsia"/>
                                        <w:sz w:val="21"/>
                                        <w:szCs w:val="21"/>
                                        <w:lang w:eastAsia="zh-CN"/>
                                      </w:rPr>
                                    </w:pPr>
                                    <w:r>
                                      <w:rPr>
                                        <w:rFonts w:hint="eastAsia" w:cs="Times New Roman"/>
                                        <w:color w:val="auto"/>
                                        <w:sz w:val="21"/>
                                        <w:szCs w:val="21"/>
                                        <w:lang w:eastAsia="zh-CN"/>
                                      </w:rPr>
                                      <w:t>威海初村污水处理厂</w:t>
                                    </w:r>
                                  </w:p>
                                </w:txbxContent>
                              </wps:txbx>
                              <wps:bodyPr vert="horz" wrap="square" anchor="t" upright="1"/>
                            </wps:wsp>
                            <wps:wsp>
                              <wps:cNvPr id="71" name="文本框 71"/>
                              <wps:cNvSpPr txBox="1"/>
                              <wps:spPr>
                                <a:xfrm>
                                  <a:off x="4029710" y="276860"/>
                                  <a:ext cx="469900" cy="266700"/>
                                </a:xfrm>
                                <a:prstGeom prst="rect">
                                  <a:avLst/>
                                </a:prstGeom>
                                <a:noFill/>
                                <a:ln w="9525">
                                  <a:noFill/>
                                </a:ln>
                                <a:effectLst/>
                              </wps:spPr>
                              <wps:txbx>
                                <w:txbxContent>
                                  <w:p>
                                    <w:pPr>
                                      <w:rPr>
                                        <w:rFonts w:hint="default" w:eastAsia="宋体"/>
                                        <w:lang w:val="en-US" w:eastAsia="zh-CN"/>
                                      </w:rPr>
                                    </w:pPr>
                                    <w:r>
                                      <w:rPr>
                                        <w:rFonts w:hint="eastAsia"/>
                                        <w:lang w:val="en-US" w:eastAsia="zh-CN"/>
                                      </w:rPr>
                                      <w:t>240</w:t>
                                    </w:r>
                                  </w:p>
                                </w:txbxContent>
                              </wps:txbx>
                              <wps:bodyPr vert="horz" wrap="square" anchor="t" upright="1"/>
                            </wps:wsp>
                            <wps:wsp>
                              <wps:cNvPr id="72" name="直接箭头连接符 72"/>
                              <wps:cNvCnPr/>
                              <wps:spPr>
                                <a:xfrm flipH="1">
                                  <a:off x="1007110" y="492125"/>
                                  <a:ext cx="3175" cy="681356"/>
                                </a:xfrm>
                                <a:prstGeom prst="straightConnector1">
                                  <a:avLst/>
                                </a:prstGeom>
                                <a:ln w="9525" cap="flat" cmpd="sng">
                                  <a:solidFill>
                                    <a:srgbClr val="000000"/>
                                  </a:solidFill>
                                  <a:prstDash val="dash"/>
                                  <a:round/>
                                  <a:headEnd type="none" w="med" len="med"/>
                                  <a:tailEnd type="none" w="med" len="med"/>
                                </a:ln>
                                <a:effectLst/>
                              </wps:spPr>
                              <wps:bodyPr/>
                            </wps:wsp>
                            <wps:wsp>
                              <wps:cNvPr id="73" name="直接箭头连接符 73"/>
                              <wps:cNvCnPr/>
                              <wps:spPr>
                                <a:xfrm>
                                  <a:off x="1009015" y="1148082"/>
                                  <a:ext cx="480060" cy="0"/>
                                </a:xfrm>
                                <a:prstGeom prst="straightConnector1">
                                  <a:avLst/>
                                </a:prstGeom>
                                <a:ln w="9525" cap="flat" cmpd="sng">
                                  <a:solidFill>
                                    <a:srgbClr val="000000"/>
                                  </a:solidFill>
                                  <a:prstDash val="dash"/>
                                  <a:round/>
                                  <a:headEnd type="none" w="med" len="med"/>
                                  <a:tailEnd type="triangle" w="med" len="med"/>
                                </a:ln>
                                <a:effectLst/>
                              </wps:spPr>
                              <wps:bodyPr/>
                            </wps:wsp>
                            <wps:wsp>
                              <wps:cNvPr id="74" name="文本框 74"/>
                              <wps:cNvSpPr txBox="1"/>
                              <wps:spPr>
                                <a:xfrm>
                                  <a:off x="1475105" y="1027431"/>
                                  <a:ext cx="762635" cy="280035"/>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pPr>
                                    <w:r>
                                      <w:rPr>
                                        <w:rFonts w:hint="eastAsia"/>
                                      </w:rPr>
                                      <w:t>冷却水</w:t>
                                    </w:r>
                                  </w:p>
                                </w:txbxContent>
                              </wps:txbx>
                              <wps:bodyPr vert="horz" wrap="square" anchor="t" upright="1"/>
                            </wps:wsp>
                            <wps:wsp>
                              <wps:cNvPr id="75" name="文本框 75"/>
                              <wps:cNvSpPr txBox="1"/>
                              <wps:spPr>
                                <a:xfrm>
                                  <a:off x="1029335" y="915036"/>
                                  <a:ext cx="469900" cy="266700"/>
                                </a:xfrm>
                                <a:prstGeom prst="rect">
                                  <a:avLst/>
                                </a:prstGeom>
                                <a:noFill/>
                                <a:ln w="9525">
                                  <a:noFill/>
                                </a:ln>
                                <a:effectLst/>
                              </wps:spPr>
                              <wps:txbx>
                                <w:txbxContent>
                                  <w:p>
                                    <w:pPr>
                                      <w:rPr>
                                        <w:rFonts w:hint="default" w:eastAsia="宋体"/>
                                        <w:lang w:val="en-US" w:eastAsia="zh-CN"/>
                                      </w:rPr>
                                    </w:pPr>
                                    <w:r>
                                      <w:rPr>
                                        <w:rFonts w:hint="eastAsia"/>
                                        <w:lang w:val="en-US" w:eastAsia="zh-CN"/>
                                      </w:rPr>
                                      <w:t>10</w:t>
                                    </w:r>
                                  </w:p>
                                </w:txbxContent>
                              </wps:txbx>
                              <wps:bodyPr vert="horz" wrap="square" anchor="t" upright="1"/>
                            </wps:wsp>
                            <wps:wsp>
                              <wps:cNvPr id="76" name="直接箭头连接符 76"/>
                              <wps:cNvCnPr/>
                              <wps:spPr>
                                <a:xfrm flipV="1">
                                  <a:off x="1467485" y="916941"/>
                                  <a:ext cx="317500" cy="127000"/>
                                </a:xfrm>
                                <a:prstGeom prst="straightConnector1">
                                  <a:avLst/>
                                </a:prstGeom>
                                <a:ln w="9525" cap="flat" cmpd="sng">
                                  <a:solidFill>
                                    <a:srgbClr val="000000"/>
                                  </a:solidFill>
                                  <a:prstDash val="dash"/>
                                  <a:headEnd type="none" w="med" len="med"/>
                                  <a:tailEnd type="triangle" w="med" len="med"/>
                                </a:ln>
                                <a:effectLst/>
                              </wps:spPr>
                              <wps:bodyPr vert="horz" wrap="square" anchor="t" upright="1"/>
                            </wps:wsp>
                            <wps:wsp>
                              <wps:cNvPr id="77" name="文本框 77"/>
                              <wps:cNvSpPr txBox="1"/>
                              <wps:spPr>
                                <a:xfrm>
                                  <a:off x="1680845" y="666751"/>
                                  <a:ext cx="812800" cy="276225"/>
                                </a:xfrm>
                                <a:prstGeom prst="rect">
                                  <a:avLst/>
                                </a:prstGeom>
                                <a:noFill/>
                                <a:ln w="9525">
                                  <a:noFill/>
                                </a:ln>
                                <a:effectLst/>
                              </wps:spPr>
                              <wps:txbx>
                                <w:txbxContent>
                                  <w:p>
                                    <w:pPr>
                                      <w:rPr>
                                        <w:rFonts w:hint="default" w:eastAsia="宋体"/>
                                        <w:lang w:val="en-US" w:eastAsia="zh-CN"/>
                                      </w:rPr>
                                    </w:pPr>
                                    <w:r>
                                      <w:rPr>
                                        <w:rFonts w:hint="eastAsia"/>
                                      </w:rPr>
                                      <w:t>损耗</w:t>
                                    </w:r>
                                    <w:r>
                                      <w:rPr>
                                        <w:rFonts w:hint="eastAsia"/>
                                        <w:lang w:val="en-US" w:eastAsia="zh-CN"/>
                                      </w:rPr>
                                      <w:t>10</w:t>
                                    </w:r>
                                  </w:p>
                                </w:txbxContent>
                              </wps:txbx>
                              <wps:bodyPr vert="horz" wrap="square" anchor="t" upright="1"/>
                            </wps:wsp>
                            <wps:wsp>
                              <wps:cNvPr id="78" name="直接箭头连接符 78"/>
                              <wps:cNvCnPr/>
                              <wps:spPr>
                                <a:xfrm flipV="1">
                                  <a:off x="669290" y="815341"/>
                                  <a:ext cx="356870" cy="635"/>
                                </a:xfrm>
                                <a:prstGeom prst="straightConnector1">
                                  <a:avLst/>
                                </a:prstGeom>
                                <a:ln w="9525" cap="flat" cmpd="sng">
                                  <a:solidFill>
                                    <a:srgbClr val="000000"/>
                                  </a:solidFill>
                                  <a:prstDash val="dash"/>
                                  <a:round/>
                                  <a:headEnd type="none" w="med" len="med"/>
                                  <a:tailEnd type="triangle" w="med" len="med"/>
                                </a:ln>
                                <a:effectLst/>
                              </wps:spPr>
                              <wps:bodyPr/>
                            </wps:wsp>
                            <wps:wsp>
                              <wps:cNvPr id="79" name="文本框 79"/>
                              <wps:cNvSpPr txBox="1"/>
                              <wps:spPr>
                                <a:xfrm>
                                  <a:off x="1002665" y="269240"/>
                                  <a:ext cx="469900" cy="266700"/>
                                </a:xfrm>
                                <a:prstGeom prst="rect">
                                  <a:avLst/>
                                </a:prstGeom>
                                <a:noFill/>
                                <a:ln w="9525">
                                  <a:noFill/>
                                </a:ln>
                                <a:effectLst/>
                              </wps:spPr>
                              <wps:txbx>
                                <w:txbxContent>
                                  <w:p>
                                    <w:pPr>
                                      <w:rPr>
                                        <w:rFonts w:hint="default" w:eastAsia="宋体"/>
                                        <w:lang w:val="en-US" w:eastAsia="zh-CN"/>
                                      </w:rPr>
                                    </w:pPr>
                                    <w:r>
                                      <w:rPr>
                                        <w:rFonts w:hint="eastAsia"/>
                                        <w:lang w:val="en-US" w:eastAsia="zh-CN"/>
                                      </w:rPr>
                                      <w:t>300</w:t>
                                    </w:r>
                                  </w:p>
                                </w:txbxContent>
                              </wps:txbx>
                              <wps:bodyPr vert="horz" wrap="square" anchor="t" upright="1"/>
                            </wps:wsp>
                          </wpc:wpc>
                        </a:graphicData>
                      </a:graphic>
                    </wp:inline>
                  </w:drawing>
                </mc:Choice>
                <mc:Fallback>
                  <w:pict>
                    <v:group id="画布 80" o:spid="_x0000_s1026" o:spt="203" style="height:101.25pt;width:459pt;" coordsize="5829300,1285875" editas="canvas" o:gfxdata="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">
                      <o:lock v:ext="edit" aspectratio="f"/>
                      <v:rect id="画布 80" o:spid="_x0000_s1026" o:spt="1" style="position:absolute;left:0;top:0;height:1285875;width:5829300;" filled="f" stroked="f" coordsize="21600,21600" o:gfxdata="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2GCjKNYAAAAFAQAADwAAAAAAAAABACAA&#10;AAAiAAAAZHJzL2Rvd25yZXYueG1sUEsBAhQAFAAAAAgAh07iQJg6+5oRBgAABywAAA4AAAAAAAAA&#10;AQAgAAAAJQEAAGRycy9lMm9Eb2MueG1sUEsFBgAAAAAGAAYAWQEAAKgJAAAAAA==&#10;">
                        <v:fill on="f" focussize="0,0"/>
                        <v:stroke on="f"/>
                        <v:imagedata o:title=""/>
                        <o:lock v:ext="edit" rotation="t" aspectratio="f"/>
                      </v:rect>
                      <v:rect id="_x0000_s1026" o:spid="_x0000_s1026" o:spt="1" style="position:absolute;left:64770;top:528320;height:476250;width:593725;" fillcolor="#FFFFFF" filled="t" stroked="t" coordsize="21600,21600" o:gfxdata="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psVx0wAAAAUBAAAPAAAAAAAAAAEAIAAA&#10;ACIAAABkcnMvZG93bnJldi54bWxQSwECFAAUAAAACACHTuJAyQIcIRECAAAXBAAADgAAAAAAAAAB&#10;ACAAAAAiAQAAZHJzL2Uyb0RvYy54bWxQSwUGAAAAAAYABgBZAQAApQUAAAAA&#10;">
                        <v:fill on="t" focussize="0,0"/>
                        <v:stroke weight="0.5pt" color="#000000" joinstyle="miter" dashstyle="dash"/>
                        <v:imagedata o:title=""/>
                        <o:lock v:ext="edit" aspectratio="f"/>
                        <v:textbox>
                          <w:txbxContent>
                            <w:p>
                              <w:pPr>
                                <w:jc w:val="center"/>
                                <w:rPr>
                                  <w:rFonts w:hint="eastAsia"/>
                                  <w:szCs w:val="21"/>
                                </w:rPr>
                              </w:pPr>
                              <w:r>
                                <w:rPr>
                                  <w:rFonts w:hint="eastAsia"/>
                                  <w:szCs w:val="21"/>
                                </w:rPr>
                                <w:t>新鲜水</w:t>
                              </w:r>
                            </w:p>
                            <w:p>
                              <w:pPr>
                                <w:jc w:val="center"/>
                                <w:rPr>
                                  <w:rFonts w:hint="default" w:eastAsia="宋体"/>
                                  <w:lang w:val="en-US" w:eastAsia="zh-CN"/>
                                </w:rPr>
                              </w:pPr>
                              <w:r>
                                <w:rPr>
                                  <w:rFonts w:hint="eastAsia"/>
                                  <w:szCs w:val="21"/>
                                  <w:lang w:val="en-US" w:eastAsia="zh-CN"/>
                                </w:rPr>
                                <w:t>310</w:t>
                              </w:r>
                            </w:p>
                          </w:txbxContent>
                        </v:textbox>
                      </v:rect>
                      <v:shape id="_x0000_s1026" o:spid="_x0000_s1026" o:spt="32" type="#_x0000_t32" style="position:absolute;left:1457960;top:202566;flip:y;height:127000;width:317500;" filled="f" stroked="t" coordsize="21600,21600" o:gfxdata="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DUn1NEA&#10;AAAFAQAADwAAAAAAAAABACAAAAAiAAAAZHJzL2Rvd25yZXYueG1sUEsBAhQAFAAAAAgAh07iQLWS&#10;8C8mAgAA+wMAAA4AAAAAAAAAAQAgAAAAIAEAAGRycy9lMm9Eb2MueG1sUEsFBgAAAAAGAAYAWQEA&#10;ALgFAAAAAA==&#10;">
                        <v:fill on="f" focussize="0,0"/>
                        <v:stroke color="#000000" joinstyle="round" dashstyle="dash" endarrow="block"/>
                        <v:imagedata o:title=""/>
                        <o:lock v:ext="edit" aspectratio="f"/>
                      </v:shape>
                      <v:shape id="_x0000_s1026" o:spid="_x0000_s1026" o:spt="202" type="#_x0000_t202" style="position:absolute;left:1437005;top:341631;height:280036;width:762635;" fillcolor="#FFFFFF" filled="t" stroked="t" coordsize="21600,21600" o:gfxdata="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vXK7zTAAAABQEAAA8AAAAA&#10;AAAAAQAgAAAAIgAAAGRycy9kb3ducmV2LnhtbFBLAQIUABQAAAAIAIdO4kCEKkJHGQIAACYEAAAO&#10;AAAAAAAAAAEAIAAAACIBAABkcnMvZTJvRG9jLnhtbFBLBQYAAAAABgAGAFkBAACtBQAAAAA=&#10;">
                        <v:fill on="t" focussize="0,0"/>
                        <v:stroke color="#000000" joinstyle="miter" dashstyle="dash"/>
                        <v:imagedata o:title=""/>
                        <o:lock v:ext="edit" aspectratio="f"/>
                        <v:textbox>
                          <w:txbxContent>
                            <w:p>
                              <w:r>
                                <w:rPr>
                                  <w:rFonts w:hint="eastAsia"/>
                                </w:rPr>
                                <w:t>生活用水</w:t>
                              </w:r>
                            </w:p>
                          </w:txbxContent>
                        </v:textbox>
                      </v:shape>
                      <v:shape id="_x0000_s1026" o:spid="_x0000_s1026" o:spt="32" type="#_x0000_t32" style="position:absolute;left:2246630;top:461011;flip:y;height:4445;width:775335;" filled="f" stroked="t" coordsize="21600,21600" o:gfxdata="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Q1J9TRAAAA&#10;BQEAAA8AAAAAAAAAAQAgAAAAIgAAAGRycy9kb3ducmV2LnhtbFBLAQIUABQAAAAIAIdO4kCh+Eny&#10;JAIAAPkDAAAOAAAAAAAAAAEAIAAAACABAABkcnMvZTJvRG9jLnhtbFBLBQYAAAAABgAGAFkBAAC2&#10;BQAAAAA=&#10;">
                        <v:fill on="f" focussize="0,0"/>
                        <v:stroke color="#000000" joinstyle="round" dashstyle="dash" endarrow="block"/>
                        <v:imagedata o:title=""/>
                        <o:lock v:ext="edit" aspectratio="f"/>
                      </v:shape>
                      <v:rect id="_x0000_s1026" o:spid="_x0000_s1026" o:spt="1" style="position:absolute;left:3056255;top:323216;height:334011;width:910590;" fillcolor="#FFFFFF" filled="t" stroked="t" coordsize="21600,21600" o:gfxdata="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7jGS9UAAAAFAQAADwAAAAAAAAABACAAAAAi&#10;AAAAZHJzL2Rvd25yZXYueG1sUEsBAhQAFAAAAAgAh07iQJVrMYcNAgAAGQQAAA4AAAAAAAAAAQAg&#10;AAAAJAEAAGRycy9lMm9Eb2MueG1sUEsFBgAAAAAGAAYAWQEAAKMFAAAAAA==&#10;">
                        <v:fill on="t" focussize="0,0"/>
                        <v:stroke color="#000000" joinstyle="miter" dashstyle="dash"/>
                        <v:imagedata o:title=""/>
                        <o:lock v:ext="edit" aspectratio="f"/>
                        <v:textbox>
                          <w:txbxContent>
                            <w:p>
                              <w:pPr>
                                <w:jc w:val="center"/>
                                <w:rPr>
                                  <w:rFonts w:hint="eastAsia"/>
                                </w:rPr>
                              </w:pPr>
                              <w:r>
                                <w:rPr>
                                  <w:rFonts w:hint="eastAsia"/>
                                </w:rPr>
                                <w:t>化粪池</w:t>
                              </w:r>
                            </w:p>
                          </w:txbxContent>
                        </v:textbox>
                      </v:rect>
                      <v:shape id="_x0000_s1026" o:spid="_x0000_s1026" o:spt="202" type="#_x0000_t202" style="position:absolute;left:1728470;top:0;height:276226;width:812800;" filled="f" stroked="f" coordsize="21600,21600" o:gfxdata="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S/2urTAAAABQEAAA8AAAAAAAAAAQAgAAAAIgAAAGRycy9kb3ducmV2LnhtbFBLAQIUABQA&#10;AAAIAIdO4kDRSW2avAEAAEMDAAAOAAAAAAAAAAEAIAAAACIBAABkcnMvZTJvRG9jLnhtbFBLBQYA&#10;AAAABgAGAFkBAABQBQAAAAA=&#10;">
                        <v:fill on="f" focussize="0,0"/>
                        <v:stroke on="f"/>
                        <v:imagedata o:title=""/>
                        <o:lock v:ext="edit" aspectratio="f"/>
                        <v:textbox>
                          <w:txbxContent>
                            <w:p>
                              <w:pPr>
                                <w:rPr>
                                  <w:rFonts w:hint="default" w:eastAsia="宋体"/>
                                  <w:lang w:val="en-US" w:eastAsia="zh-CN"/>
                                </w:rPr>
                              </w:pPr>
                              <w:r>
                                <w:rPr>
                                  <w:rFonts w:hint="eastAsia"/>
                                </w:rPr>
                                <w:t>损耗</w:t>
                              </w:r>
                              <w:r>
                                <w:rPr>
                                  <w:rFonts w:hint="eastAsia"/>
                                  <w:lang w:val="en-US" w:eastAsia="zh-CN"/>
                                </w:rPr>
                                <w:t>60</w:t>
                              </w:r>
                            </w:p>
                          </w:txbxContent>
                        </v:textbox>
                      </v:shape>
                      <v:shape id="_x0000_s1026" o:spid="_x0000_s1026" o:spt="32" type="#_x0000_t32" style="position:absolute;left:1002665;top:489586;height:4445;width:437515;" filled="f" stroked="t" coordsize="21600,21600" o:gfxdata="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KN3ttIAAAAFAQAADwAA&#10;AAAAAAABACAAAAAiAAAAZHJzL2Rvd25yZXYueG1sUEsBAhQAFAAAAAgAh07iQOdubpscAgAA7wMA&#10;AA4AAAAAAAAAAQAgAAAAIQEAAGRycy9lMm9Eb2MueG1sUEsFBgAAAAAGAAYAWQEAAK8FAAAAAA==&#10;">
                        <v:fill on="f" focussize="0,0"/>
                        <v:stroke color="#000000" joinstyle="round" dashstyle="dash" endarrow="block"/>
                        <v:imagedata o:title=""/>
                        <o:lock v:ext="edit" aspectratio="f"/>
                      </v:shape>
                      <v:shape id="_x0000_s1026" o:spid="_x0000_s1026" o:spt="202" type="#_x0000_t202" style="position:absolute;left:2364740;top:221615;height:266700;width:469900;" filled="f" stroked="f" coordsize="21600,21600" o:gfxdata="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S/2urTAAAABQEAAA8AAAAAAAAAAQAgAAAAIgAAAGRycy9kb3ducmV2LnhtbFBL&#10;AQIUABQAAAAIAIdO4kBsg642wgEAAEgDAAAOAAAAAAAAAAEAIAAAACIBAABkcnMvZTJvRG9jLnht&#10;bFBLBQYAAAAABgAGAFkBAABWBQAAAAA=&#10;">
                        <v:fill on="f" focussize="0,0"/>
                        <v:stroke on="f"/>
                        <v:imagedata o:title=""/>
                        <o:lock v:ext="edit" aspectratio="f"/>
                        <v:textbox>
                          <w:txbxContent>
                            <w:p>
                              <w:pPr>
                                <w:rPr>
                                  <w:rFonts w:hint="default" w:eastAsia="宋体"/>
                                  <w:lang w:val="en-US" w:eastAsia="zh-CN"/>
                                </w:rPr>
                              </w:pPr>
                              <w:r>
                                <w:rPr>
                                  <w:rFonts w:hint="eastAsia"/>
                                  <w:lang w:val="en-US" w:eastAsia="zh-CN"/>
                                </w:rPr>
                                <w:t>240</w:t>
                              </w:r>
                            </w:p>
                          </w:txbxContent>
                        </v:textbox>
                      </v:shape>
                      <v:shape id="_x0000_s1026" o:spid="_x0000_s1026" o:spt="32" type="#_x0000_t32" style="position:absolute;left:4008755;top:503555;flip:y;height:0;width:546100;" filled="f" stroked="t" coordsize="21600,21600" o:gfxdata="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DUn1NEAAAAF&#10;AQAADwAAAAAAAAABACAAAAAiAAAAZHJzL2Rvd25yZXYueG1sUEsBAhQAFAAAAAgAh07iQH3niNIj&#10;AgAA9gMAAA4AAAAAAAAAAQAgAAAAIAEAAGRycy9lMm9Eb2MueG1sUEsFBgAAAAAGAAYAWQEAALUF&#10;AAAAAA==&#10;">
                        <v:fill on="f" focussize="0,0"/>
                        <v:stroke color="#000000" joinstyle="round" dashstyle="dash" endarrow="block"/>
                        <v:imagedata o:title=""/>
                        <o:lock v:ext="edit" aspectratio="f"/>
                      </v:shape>
                      <v:rect id="_x0000_s1026" o:spid="_x0000_s1026" o:spt="1" style="position:absolute;left:4532630;top:160655;height:662305;width:833120;" fillcolor="#FFFFFF" filled="t" stroked="t" coordsize="21600,21600" o:gfxdata="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7jGS9UAAAAFAQAADwAAAAAAAAABACAA&#10;AAAiAAAAZHJzL2Rvd25yZXYueG1sUEsBAhQAFAAAAAgAh07iQLPe9vUQAgAAGQQAAA4AAAAAAAAA&#10;AQAgAAAAJAEAAGRycy9lMm9Eb2MueG1sUEsFBgAAAAAGAAYAWQEAAKYFAAAAAA==&#10;">
                        <v:fill on="t" focussize="0,0"/>
                        <v:stroke color="#000000" joinstyle="miter" dashstyle="dash"/>
                        <v:imagedata o:title=""/>
                        <o:lock v:ext="edit" aspectratio="f"/>
                        <v:textbox>
                          <w:txbxContent>
                            <w:p>
                              <w:pPr>
                                <w:jc w:val="center"/>
                                <w:rPr>
                                  <w:rFonts w:hint="eastAsia"/>
                                  <w:sz w:val="21"/>
                                  <w:szCs w:val="21"/>
                                  <w:lang w:eastAsia="zh-CN"/>
                                </w:rPr>
                              </w:pPr>
                              <w:r>
                                <w:rPr>
                                  <w:rFonts w:hint="eastAsia" w:cs="Times New Roman"/>
                                  <w:color w:val="auto"/>
                                  <w:sz w:val="21"/>
                                  <w:szCs w:val="21"/>
                                  <w:lang w:eastAsia="zh-CN"/>
                                </w:rPr>
                                <w:t>威海初村污水处理厂</w:t>
                              </w:r>
                            </w:p>
                          </w:txbxContent>
                        </v:textbox>
                      </v:rect>
                      <v:shape id="_x0000_s1026" o:spid="_x0000_s1026" o:spt="202" type="#_x0000_t202" style="position:absolute;left:4029709;top:276860;height:266700;width:469900;" filled="f" stroked="f" coordsize="21600,21600" o:gfxdata="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L/a6tMAAAAFAQAADwAAAAAAAAABACAAAAAiAAAAZHJzL2Rvd25yZXYueG1sUEsB&#10;AhQAFAAAAAgAh07iQB6yeW/BAQAASAMAAA4AAAAAAAAAAQAgAAAAIgEAAGRycy9lMm9Eb2MueG1s&#10;UEsFBgAAAAAGAAYAWQEAAFUFAAAAAA==&#10;">
                        <v:fill on="f" focussize="0,0"/>
                        <v:stroke on="f"/>
                        <v:imagedata o:title=""/>
                        <o:lock v:ext="edit" aspectratio="f"/>
                        <v:textbox>
                          <w:txbxContent>
                            <w:p>
                              <w:pPr>
                                <w:rPr>
                                  <w:rFonts w:hint="default" w:eastAsia="宋体"/>
                                  <w:lang w:val="en-US" w:eastAsia="zh-CN"/>
                                </w:rPr>
                              </w:pPr>
                              <w:r>
                                <w:rPr>
                                  <w:rFonts w:hint="eastAsia"/>
                                  <w:lang w:val="en-US" w:eastAsia="zh-CN"/>
                                </w:rPr>
                                <w:t>240</w:t>
                              </w:r>
                            </w:p>
                          </w:txbxContent>
                        </v:textbox>
                      </v:shape>
                      <v:shape id="_x0000_s1026" o:spid="_x0000_s1026" o:spt="32" type="#_x0000_t32" style="position:absolute;left:1007110;top:492125;flip:x;height:681355;width:3175;" filled="f" stroked="t" coordsize="21600,21600" o:gfxdata="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A74NdUAAAAFAQAADwAAAAAAAAABACAAAAAiAAAAZHJzL2Rv&#10;d25yZXYueG1sUEsBAhQAFAAAAAgAh07iQHuxG7sEAgAAzgMAAA4AAAAAAAAAAQAgAAAAJAEAAGRy&#10;cy9lMm9Eb2MueG1sUEsFBgAAAAAGAAYAWQEAAJoFAAAAAA==&#10;">
                        <v:fill on="f" focussize="0,0"/>
                        <v:stroke color="#000000" joinstyle="round" dashstyle="dash"/>
                        <v:imagedata o:title=""/>
                        <o:lock v:ext="edit" aspectratio="f"/>
                      </v:shape>
                      <v:shape id="_x0000_s1026" o:spid="_x0000_s1026" o:spt="32" type="#_x0000_t32" style="position:absolute;left:1009015;top:1148081;height:0;width:480060;" filled="f" stroked="t" coordsize="21600,21600" o:gfxdata="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ijd7bSAAAABQEAAA8AAAAAAAAAAQAgAAAAIgAAAGRycy9kb3ducmV2&#10;LnhtbFBLAQIUABQAAAAIAIdO4kCWQj+nAgIAAMYDAAAOAAAAAAAAAAEAIAAAACEBAABkcnMvZTJv&#10;RG9jLnhtbFBLBQYAAAAABgAGAFkBAACVBQAAAAA=&#10;">
                        <v:fill on="f" focussize="0,0"/>
                        <v:stroke color="#000000" joinstyle="round" dashstyle="dash" endarrow="block"/>
                        <v:imagedata o:title=""/>
                        <o:lock v:ext="edit" aspectratio="f"/>
                      </v:shape>
                      <v:shape id="_x0000_s1026" o:spid="_x0000_s1026" o:spt="202" type="#_x0000_t202" style="position:absolute;left:1475105;top:1027430;height:280035;width:762635;" fillcolor="#FFFFFF" filled="t" stroked="t" coordsize="21600,21600" o:gfxdata="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b1yu80wAAAAUBAAAPAAAAAAAA&#10;AAEAIAAAACIAAABkcnMvZG93bnJldi54bWxQSwECFAAUAAAACACHTuJA97BcthcCAAAnBAAADgAA&#10;AAAAAAABACAAAAAiAQAAZHJzL2Uyb0RvYy54bWxQSwUGAAAAAAYABgBZAQAAqwUAAAAA&#10;">
                        <v:fill on="t" focussize="0,0"/>
                        <v:stroke color="#000000" joinstyle="miter" dashstyle="dash"/>
                        <v:imagedata o:title=""/>
                        <o:lock v:ext="edit" aspectratio="f"/>
                        <v:textbox>
                          <w:txbxContent>
                            <w:p>
                              <w:pPr>
                                <w:jc w:val="center"/>
                              </w:pPr>
                              <w:r>
                                <w:rPr>
                                  <w:rFonts w:hint="eastAsia"/>
                                </w:rPr>
                                <w:t>冷却水</w:t>
                              </w:r>
                            </w:p>
                          </w:txbxContent>
                        </v:textbox>
                      </v:shape>
                      <v:shape id="_x0000_s1026" o:spid="_x0000_s1026" o:spt="202" type="#_x0000_t202" style="position:absolute;left:1029335;top:915035;height:266700;width:469900;" filled="f" stroked="f" coordsize="21600,21600" o:gfxdata="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0v9rq0wAAAAUBAAAPAAAAAAAAAAEAIAAAACIAAABkcnMvZG93bnJldi54bWxQ&#10;SwECFAAUAAAACACHTuJAjggNKsMBAABIAwAADgAAAAAAAAABACAAAAAiAQAAZHJzL2Uyb0RvYy54&#10;bWxQSwUGAAAAAAYABgBZAQAAVwUAAAAA&#10;">
                        <v:fill on="f" focussize="0,0"/>
                        <v:stroke on="f"/>
                        <v:imagedata o:title=""/>
                        <o:lock v:ext="edit" aspectratio="f"/>
                        <v:textbox>
                          <w:txbxContent>
                            <w:p>
                              <w:pPr>
                                <w:rPr>
                                  <w:rFonts w:hint="default" w:eastAsia="宋体"/>
                                  <w:lang w:val="en-US" w:eastAsia="zh-CN"/>
                                </w:rPr>
                              </w:pPr>
                              <w:r>
                                <w:rPr>
                                  <w:rFonts w:hint="eastAsia"/>
                                  <w:lang w:val="en-US" w:eastAsia="zh-CN"/>
                                </w:rPr>
                                <w:t>10</w:t>
                              </w:r>
                            </w:p>
                          </w:txbxContent>
                        </v:textbox>
                      </v:shape>
                      <v:shape id="_x0000_s1026" o:spid="_x0000_s1026" o:spt="32" type="#_x0000_t32" style="position:absolute;left:1467485;top:916940;flip:y;height:127000;width:317500;" filled="f" stroked="t" coordsize="21600,21600" o:gfxdata="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DUn1NEA&#10;AAAFAQAADwAAAAAAAAABACAAAAAiAAAAZHJzL2Rvd25yZXYueG1sUEsBAhQAFAAAAAgAh07iQHZg&#10;z7QmAgAA+wMAAA4AAAAAAAAAAQAgAAAAIAEAAGRycy9lMm9Eb2MueG1sUEsFBgAAAAAGAAYAWQEA&#10;ALgFAAAAAA==&#10;">
                        <v:fill on="f" focussize="0,0"/>
                        <v:stroke color="#000000" joinstyle="round" dashstyle="dash" endarrow="block"/>
                        <v:imagedata o:title=""/>
                        <o:lock v:ext="edit" aspectratio="f"/>
                      </v:shape>
                      <v:shape id="_x0000_s1026" o:spid="_x0000_s1026" o:spt="202" type="#_x0000_t202" style="position:absolute;left:1680845;top:666750;height:276225;width:812800;" filled="f" stroked="f" coordsize="21600,21600" o:gfxdata="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S/2urTAAAABQEAAA8AAAAAAAAAAQAgAAAAIgAAAGRycy9kb3ducmV2LnhtbFBL&#10;AQIUABQAAAAIAIdO4kBsxM+YwgEAAEgDAAAOAAAAAAAAAAEAIAAAACIBAABkcnMvZTJvRG9jLnht&#10;bFBLBQYAAAAABgAGAFkBAABWBQAAAAA=&#10;">
                        <v:fill on="f" focussize="0,0"/>
                        <v:stroke on="f"/>
                        <v:imagedata o:title=""/>
                        <o:lock v:ext="edit" aspectratio="f"/>
                        <v:textbox>
                          <w:txbxContent>
                            <w:p>
                              <w:pPr>
                                <w:rPr>
                                  <w:rFonts w:hint="default" w:eastAsia="宋体"/>
                                  <w:lang w:val="en-US" w:eastAsia="zh-CN"/>
                                </w:rPr>
                              </w:pPr>
                              <w:r>
                                <w:rPr>
                                  <w:rFonts w:hint="eastAsia"/>
                                </w:rPr>
                                <w:t>损耗</w:t>
                              </w:r>
                              <w:r>
                                <w:rPr>
                                  <w:rFonts w:hint="eastAsia"/>
                                  <w:lang w:val="en-US" w:eastAsia="zh-CN"/>
                                </w:rPr>
                                <w:t>10</w:t>
                              </w:r>
                            </w:p>
                          </w:txbxContent>
                        </v:textbox>
                      </v:shape>
                      <v:shape id="_x0000_s1026" o:spid="_x0000_s1026" o:spt="32" type="#_x0000_t32" style="position:absolute;left:669290;top:815340;flip:y;height:635;width:356870;" filled="f" stroked="t" coordsize="21600,21600" o:gfxdata="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Q1J9TRAAAABQEAAA8AAAAAAAAAAQAgAAAAIgAAAGRycy9k&#10;b3ducmV2LnhtbFBLAQIUABQAAAAIAIdO4kBpp6w/CQIAANADAAAOAAAAAAAAAAEAIAAAACABAABk&#10;cnMvZTJvRG9jLnhtbFBLBQYAAAAABgAGAFkBAACbBQAAAAA=&#10;">
                        <v:fill on="f" focussize="0,0"/>
                        <v:stroke color="#000000" joinstyle="round" dashstyle="dash" endarrow="block"/>
                        <v:imagedata o:title=""/>
                        <o:lock v:ext="edit" aspectratio="f"/>
                      </v:shape>
                      <v:shape id="_x0000_s1026" o:spid="_x0000_s1026" o:spt="202" type="#_x0000_t202" style="position:absolute;left:1002665;top:269240;height:266700;width:469900;" filled="f" stroked="f" coordsize="21600,21600" o:gfxdata="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L/a6tMAAAAFAQAADwAAAAAAAAABACAAAAAiAAAAZHJzL2Rvd25yZXYueG1sUEsB&#10;AhQAFAAAAAgAh07iQAn946PBAQAASAMAAA4AAAAAAAAAAQAgAAAAIgEAAGRycy9lMm9Eb2MueG1s&#10;UEsFBgAAAAAGAAYAWQEAAFUFAAAAAA==&#10;">
                        <v:fill on="f" focussize="0,0"/>
                        <v:stroke on="f"/>
                        <v:imagedata o:title=""/>
                        <o:lock v:ext="edit" aspectratio="f"/>
                        <v:textbox>
                          <w:txbxContent>
                            <w:p>
                              <w:pPr>
                                <w:rPr>
                                  <w:rFonts w:hint="default" w:eastAsia="宋体"/>
                                  <w:lang w:val="en-US" w:eastAsia="zh-CN"/>
                                </w:rPr>
                              </w:pPr>
                              <w:r>
                                <w:rPr>
                                  <w:rFonts w:hint="eastAsia"/>
                                  <w:lang w:val="en-US" w:eastAsia="zh-CN"/>
                                </w:rPr>
                                <w:t>300</w:t>
                              </w:r>
                            </w:p>
                          </w:txbxContent>
                        </v:textbox>
                      </v:shape>
                      <w10:wrap type="none"/>
                      <w10:anchorlock/>
                    </v:group>
                  </w:pict>
                </mc:Fallback>
              </mc:AlternateContent>
            </w:r>
          </w:p>
          <w:p>
            <w:pPr>
              <w:spacing w:line="360" w:lineRule="auto"/>
              <w:jc w:val="center"/>
              <w:rPr>
                <w:rFonts w:hint="default" w:ascii="Times New Roman" w:hAnsi="Times New Roman" w:cs="Times New Roman"/>
                <w:color w:val="auto"/>
                <w:sz w:val="24"/>
              </w:rPr>
            </w:pPr>
            <w:r>
              <w:rPr>
                <w:rFonts w:hint="default" w:ascii="Times New Roman" w:hAnsi="Times New Roman" w:eastAsia="宋体" w:cs="Times New Roman"/>
                <w:b/>
                <w:color w:val="auto"/>
                <w:sz w:val="24"/>
              </w:rPr>
              <w:t>图1-</w:t>
            </w:r>
            <w:r>
              <w:rPr>
                <w:rFonts w:hint="default" w:ascii="Times New Roman" w:hAnsi="Times New Roman" w:cs="Times New Roman"/>
                <w:b/>
                <w:color w:val="auto"/>
                <w:sz w:val="24"/>
                <w:lang w:val="en-US" w:eastAsia="zh-CN"/>
              </w:rPr>
              <w:t>2</w:t>
            </w:r>
            <w:r>
              <w:rPr>
                <w:rFonts w:hint="default" w:ascii="Times New Roman" w:hAnsi="Times New Roman" w:eastAsia="宋体" w:cs="Times New Roman"/>
                <w:b/>
                <w:color w:val="auto"/>
                <w:sz w:val="24"/>
              </w:rPr>
              <w:t xml:space="preserve">  项目水量平衡图（t/a）</w:t>
            </w:r>
          </w:p>
          <w:p>
            <w:pPr>
              <w:pStyle w:val="86"/>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4、项目建设合理性分析</w:t>
            </w:r>
          </w:p>
          <w:p>
            <w:pPr>
              <w:pStyle w:val="86"/>
              <w:spacing w:line="360" w:lineRule="auto"/>
              <w:ind w:left="0" w:leftChars="0" w:right="0" w:rightChars="0"/>
              <w:rPr>
                <w:rFonts w:hint="default" w:ascii="Times New Roman" w:hAnsi="Times New Roman"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cs="Times New Roman"/>
                <w:color w:val="auto"/>
              </w:rPr>
              <w:t>产业政策符合性</w:t>
            </w:r>
          </w:p>
          <w:p>
            <w:pPr>
              <w:spacing w:line="360" w:lineRule="auto"/>
              <w:ind w:firstLine="482"/>
              <w:rPr>
                <w:rFonts w:hint="default" w:ascii="Times New Roman" w:hAnsi="Times New Roman" w:cs="Times New Roman"/>
                <w:color w:val="auto"/>
                <w:sz w:val="24"/>
                <w:lang w:eastAsia="zh-CN"/>
              </w:rPr>
            </w:pPr>
            <w:r>
              <w:rPr>
                <w:rFonts w:hint="default" w:ascii="Times New Roman" w:hAnsi="Times New Roman" w:cs="Times New Roman"/>
                <w:color w:val="auto"/>
                <w:sz w:val="24"/>
              </w:rPr>
              <w:t>《产业结构调整指导目录（201</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年本）》（中华人民共和国国家发展和改革委员会令第2</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号）分为鼓励类、限制类和淘汰类产业名录。</w:t>
            </w:r>
            <w:r>
              <w:rPr>
                <w:rFonts w:hint="default" w:ascii="Times New Roman" w:hAnsi="Times New Roman" w:cs="Times New Roman"/>
                <w:color w:val="auto"/>
                <w:sz w:val="24"/>
                <w:lang w:eastAsia="zh-CN"/>
              </w:rPr>
              <w:t>本项目</w:t>
            </w:r>
            <w:r>
              <w:rPr>
                <w:rFonts w:hint="default" w:ascii="Times New Roman" w:hAnsi="Times New Roman" w:cs="Times New Roman"/>
                <w:color w:val="auto"/>
                <w:sz w:val="24"/>
              </w:rPr>
              <w:t>不属于这三种名录之列，且符合国家相关法律、法规及政策的规定，属于允许类建设项目</w:t>
            </w:r>
            <w:r>
              <w:rPr>
                <w:rFonts w:hint="default" w:ascii="Times New Roman" w:hAnsi="Times New Roman" w:cs="Times New Roman"/>
                <w:color w:val="auto"/>
                <w:sz w:val="24"/>
                <w:lang w:eastAsia="zh-CN"/>
              </w:rPr>
              <w:t>。</w:t>
            </w:r>
          </w:p>
          <w:p>
            <w:pPr>
              <w:bidi w:val="0"/>
              <w:spacing w:line="360" w:lineRule="auto"/>
              <w:ind w:firstLine="480" w:firstLineChars="200"/>
              <w:jc w:val="left"/>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eastAsia="zh-CN"/>
              </w:rPr>
              <w:t>本项目</w:t>
            </w:r>
            <w:r>
              <w:rPr>
                <w:rFonts w:hint="default" w:ascii="Times New Roman" w:hAnsi="Times New Roman" w:cs="Times New Roman"/>
                <w:color w:val="auto"/>
                <w:sz w:val="24"/>
                <w:szCs w:val="24"/>
              </w:rPr>
              <w:t>所选设备也未列入工信部《部分工业行业淘汰落后生产工艺装备和产品指导目录（2010年本）》（工产业[2010]第122号）</w:t>
            </w:r>
            <w:r>
              <w:rPr>
                <w:rFonts w:hint="default" w:ascii="Times New Roman" w:hAnsi="Times New Roman" w:cs="Times New Roman"/>
                <w:color w:val="auto"/>
                <w:sz w:val="24"/>
                <w:szCs w:val="24"/>
                <w:lang w:eastAsia="zh-CN"/>
              </w:rPr>
              <w:t>，也未列入《产业结构调整指导目录（</w:t>
            </w:r>
            <w:r>
              <w:rPr>
                <w:rFonts w:hint="default" w:ascii="Times New Roman" w:hAnsi="Times New Roman" w:cs="Times New Roman"/>
                <w:color w:val="auto"/>
                <w:sz w:val="24"/>
                <w:szCs w:val="24"/>
                <w:lang w:val="en-US" w:eastAsia="zh-CN"/>
              </w:rPr>
              <w:t>2019年本</w:t>
            </w:r>
            <w:r>
              <w:rPr>
                <w:rFonts w:hint="default" w:ascii="Times New Roman" w:hAnsi="Times New Roman" w:cs="Times New Roman"/>
                <w:color w:val="auto"/>
                <w:sz w:val="24"/>
                <w:szCs w:val="24"/>
                <w:lang w:eastAsia="zh-CN"/>
              </w:rPr>
              <w:t>）》第三类“淘汰类”第一条“落后生产工艺装备”中所列淘汰设备。</w:t>
            </w:r>
          </w:p>
          <w:p>
            <w:pPr>
              <w:pStyle w:val="86"/>
              <w:ind w:left="0" w:leftChars="0" w:right="0" w:rightChars="0"/>
              <w:rPr>
                <w:rFonts w:hint="default" w:ascii="Times New Roman" w:hAnsi="Times New Roman" w:cs="Times New Roman"/>
                <w:bCs/>
                <w:color w:val="auto"/>
                <w:lang w:val="en-US"/>
              </w:rPr>
            </w:pPr>
            <w:r>
              <w:rPr>
                <w:rFonts w:hint="default" w:ascii="Times New Roman" w:hAnsi="Times New Roman" w:cs="Times New Roman"/>
                <w:color w:val="auto"/>
                <w:sz w:val="24"/>
                <w:szCs w:val="24"/>
                <w:lang w:val="en-US"/>
              </w:rPr>
              <w:t>因此，</w:t>
            </w: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lang w:val="en-US"/>
              </w:rPr>
              <w:t>的建设符合国家产业政策</w:t>
            </w:r>
            <w:r>
              <w:rPr>
                <w:rFonts w:hint="default" w:ascii="Times New Roman" w:hAnsi="Times New Roman" w:cs="Times New Roman"/>
                <w:bCs/>
                <w:color w:val="auto"/>
                <w:lang w:val="en-US"/>
              </w:rPr>
              <w:t>。</w:t>
            </w:r>
          </w:p>
          <w:p>
            <w:pPr>
              <w:pStyle w:val="86"/>
              <w:ind w:left="0" w:leftChars="0" w:right="0" w:rightChars="0"/>
              <w:rPr>
                <w:rFonts w:hint="default" w:ascii="Times New Roman" w:hAnsi="Times New Roman" w:cs="Times New Roman"/>
                <w:bCs/>
                <w:color w:val="auto"/>
                <w:lang w:val="en-US"/>
              </w:rPr>
            </w:pPr>
            <w:r>
              <w:rPr>
                <w:rFonts w:hint="default" w:ascii="Times New Roman" w:hAnsi="Times New Roman" w:cs="Times New Roman"/>
                <w:bCs/>
                <w:color w:val="auto"/>
                <w:lang w:val="en-US" w:eastAsia="zh-CN"/>
              </w:rPr>
              <w:t>（2）</w:t>
            </w:r>
            <w:r>
              <w:rPr>
                <w:rFonts w:hint="default" w:ascii="Times New Roman" w:hAnsi="Times New Roman" w:cs="Times New Roman"/>
                <w:bCs/>
                <w:color w:val="auto"/>
                <w:lang w:val="en-US"/>
              </w:rPr>
              <w:t>选址合理性分析</w:t>
            </w:r>
          </w:p>
          <w:p>
            <w:pPr>
              <w:pStyle w:val="86"/>
              <w:ind w:left="0" w:leftChars="0" w:right="0" w:rightChars="0"/>
              <w:rPr>
                <w:rFonts w:hint="default" w:ascii="Times New Roman" w:hAnsi="Times New Roman" w:cs="Times New Roman"/>
                <w:color w:val="auto"/>
              </w:rPr>
            </w:pPr>
            <w:r>
              <w:rPr>
                <w:rFonts w:hint="default" w:ascii="Times New Roman" w:hAnsi="Times New Roman" w:cs="Times New Roman"/>
                <w:bCs/>
                <w:color w:val="auto"/>
                <w:lang w:val="en-US" w:eastAsia="zh-CN"/>
              </w:rPr>
              <w:t>本项目</w:t>
            </w:r>
            <w:r>
              <w:rPr>
                <w:rFonts w:hint="default" w:ascii="Times New Roman" w:hAnsi="Times New Roman" w:cs="Times New Roman"/>
                <w:bCs/>
                <w:color w:val="auto"/>
                <w:lang w:val="en-US"/>
              </w:rPr>
              <w:t>位于</w:t>
            </w:r>
            <w:r>
              <w:rPr>
                <w:rFonts w:hint="eastAsia" w:cs="Times New Roman"/>
                <w:color w:val="auto"/>
                <w:sz w:val="24"/>
                <w:lang w:eastAsia="zh-CN"/>
              </w:rPr>
              <w:t>威海市环翠区羊亭镇顺海路3-1号</w:t>
            </w:r>
            <w:r>
              <w:rPr>
                <w:rFonts w:hint="default" w:ascii="Times New Roman" w:hAnsi="Times New Roman" w:cs="Times New Roman"/>
                <w:color w:val="auto"/>
              </w:rPr>
              <w:t>，</w:t>
            </w:r>
            <w:r>
              <w:rPr>
                <w:rFonts w:hint="eastAsia" w:cs="Times New Roman"/>
                <w:color w:val="auto"/>
                <w:sz w:val="24"/>
                <w:szCs w:val="24"/>
                <w:lang w:val="en-US" w:eastAsia="zh-CN"/>
              </w:rPr>
              <w:t>使用已建</w:t>
            </w:r>
            <w:r>
              <w:rPr>
                <w:rFonts w:hint="default" w:ascii="Times New Roman" w:hAnsi="Times New Roman" w:cs="Times New Roman"/>
                <w:color w:val="auto"/>
                <w:sz w:val="24"/>
                <w:szCs w:val="24"/>
                <w:lang w:val="en-US" w:eastAsia="zh-CN"/>
              </w:rPr>
              <w:t>厂房</w:t>
            </w:r>
            <w:r>
              <w:rPr>
                <w:rFonts w:hint="default" w:ascii="Times New Roman" w:hAnsi="Times New Roman" w:cs="Times New Roman"/>
                <w:color w:val="auto"/>
                <w:szCs w:val="24"/>
              </w:rPr>
              <w:t>进行生产</w:t>
            </w:r>
            <w:r>
              <w:rPr>
                <w:rFonts w:hint="default" w:ascii="Times New Roman" w:hAnsi="Times New Roman" w:cs="Times New Roman"/>
                <w:color w:val="auto"/>
                <w:szCs w:val="24"/>
                <w:lang w:eastAsia="zh-CN"/>
              </w:rPr>
              <w:t>加工</w:t>
            </w:r>
            <w:r>
              <w:rPr>
                <w:rFonts w:hint="default" w:ascii="Times New Roman" w:hAnsi="Times New Roman" w:cs="Times New Roman"/>
                <w:color w:val="auto"/>
              </w:rPr>
              <w:t>，</w:t>
            </w:r>
            <w:r>
              <w:rPr>
                <w:rFonts w:hint="default" w:ascii="Times New Roman" w:hAnsi="Times New Roman" w:cs="Times New Roman"/>
                <w:color w:val="auto"/>
                <w:highlight w:val="none"/>
                <w:lang w:eastAsia="zh-CN"/>
              </w:rPr>
              <w:t>该地块于</w:t>
            </w:r>
            <w:r>
              <w:rPr>
                <w:rFonts w:hint="default" w:ascii="Times New Roman" w:hAnsi="Times New Roman" w:cs="Times New Roman"/>
                <w:color w:val="auto"/>
                <w:highlight w:val="none"/>
                <w:lang w:val="en-US" w:eastAsia="zh-CN"/>
              </w:rPr>
              <w:t>20</w:t>
            </w:r>
            <w:r>
              <w:rPr>
                <w:rFonts w:hint="eastAsia" w:cs="Times New Roman"/>
                <w:color w:val="auto"/>
                <w:highlight w:val="none"/>
                <w:lang w:val="en-US" w:eastAsia="zh-CN"/>
              </w:rPr>
              <w:t>09</w:t>
            </w:r>
            <w:r>
              <w:rPr>
                <w:rFonts w:hint="default" w:ascii="Times New Roman" w:hAnsi="Times New Roman" w:cs="Times New Roman"/>
                <w:color w:val="auto"/>
                <w:highlight w:val="none"/>
                <w:lang w:val="en-US" w:eastAsia="zh-CN"/>
              </w:rPr>
              <w:t>年办理了</w:t>
            </w:r>
            <w:r>
              <w:rPr>
                <w:rFonts w:hint="eastAsia" w:cs="Times New Roman"/>
                <w:color w:val="auto"/>
                <w:highlight w:val="none"/>
                <w:lang w:val="en-US" w:eastAsia="zh-CN"/>
              </w:rPr>
              <w:t>土地</w:t>
            </w:r>
            <w:r>
              <w:rPr>
                <w:rFonts w:hint="default" w:ascii="Times New Roman" w:hAnsi="Times New Roman" w:cs="Times New Roman"/>
                <w:color w:val="auto"/>
                <w:highlight w:val="none"/>
                <w:lang w:val="en-US" w:eastAsia="zh-CN"/>
              </w:rPr>
              <w:t>证，证号为：</w:t>
            </w:r>
            <w:r>
              <w:rPr>
                <w:rFonts w:hint="eastAsia" w:cs="Times New Roman"/>
                <w:color w:val="auto"/>
                <w:highlight w:val="none"/>
                <w:lang w:val="en-US" w:eastAsia="zh-CN"/>
              </w:rPr>
              <w:t>威环国用（2009）出第228号</w:t>
            </w:r>
            <w:r>
              <w:rPr>
                <w:rFonts w:hint="default" w:ascii="Times New Roman" w:hAnsi="Times New Roman" w:cs="Times New Roman"/>
                <w:color w:val="auto"/>
                <w:highlight w:val="none"/>
                <w:lang w:val="en-US" w:eastAsia="zh-CN"/>
              </w:rPr>
              <w:t>，用途为工业</w:t>
            </w:r>
            <w:r>
              <w:rPr>
                <w:rFonts w:hint="default" w:ascii="Times New Roman" w:hAnsi="Times New Roman" w:cs="Times New Roman"/>
                <w:color w:val="auto"/>
                <w:lang w:val="en-US" w:eastAsia="zh-CN"/>
              </w:rPr>
              <w:t>用地，根</w:t>
            </w:r>
            <w:r>
              <w:rPr>
                <w:rFonts w:hint="default" w:ascii="Times New Roman" w:hAnsi="Times New Roman" w:cs="Times New Roman"/>
                <w:color w:val="auto"/>
                <w:szCs w:val="24"/>
              </w:rPr>
              <w:t>据国土资源部、国家发展和改革委员会关于发布实施《限制用地项目目录（2012年本》和《禁止用地项目目录（2012年本）》相关规定，分析可知该项目用地不属于《限制用地项目目录（2012年本）》中规定的项目，也不属于《禁止用地项目目录（2012年本）》中的禁止用地项目；项目用地符合《关于工业建设项目节约集约利用土地的意见》（山东省国土资源厅、山东省发展和改革委员会、山东省经济贸易委员会、山东省建设厅2007年6月11日）中节约集约利用土地的指导思想和原则，</w:t>
            </w:r>
            <w:r>
              <w:rPr>
                <w:rFonts w:hint="default" w:ascii="Times New Roman" w:hAnsi="Times New Roman" w:cs="Times New Roman"/>
                <w:color w:val="auto"/>
              </w:rPr>
              <w:t>在规划的用地范围之内。</w:t>
            </w:r>
          </w:p>
          <w:p>
            <w:pPr>
              <w:pStyle w:val="86"/>
              <w:ind w:left="0" w:leftChars="0" w:right="0" w:rightChars="0"/>
              <w:rPr>
                <w:rFonts w:hint="default" w:ascii="Times New Roman" w:hAnsi="Times New Roman" w:cs="Times New Roman"/>
                <w:color w:val="auto"/>
                <w:sz w:val="24"/>
                <w:szCs w:val="24"/>
                <w:lang w:eastAsia="zh-CN"/>
              </w:rPr>
            </w:pPr>
            <w:r>
              <w:rPr>
                <w:rFonts w:hint="default" w:ascii="Times New Roman" w:hAnsi="Times New Roman" w:cs="Times New Roman"/>
                <w:color w:val="auto"/>
                <w:lang w:val="en-US"/>
              </w:rPr>
              <w:t>项目</w:t>
            </w:r>
            <w:r>
              <w:rPr>
                <w:rFonts w:hint="default" w:ascii="Times New Roman" w:hAnsi="Times New Roman" w:cs="Times New Roman"/>
                <w:color w:val="auto"/>
                <w:sz w:val="24"/>
                <w:szCs w:val="24"/>
              </w:rPr>
              <w:t>周边</w:t>
            </w:r>
            <w:r>
              <w:rPr>
                <w:rFonts w:hint="default" w:ascii="Times New Roman" w:hAnsi="Times New Roman" w:cs="Times New Roman"/>
                <w:color w:val="auto"/>
                <w:szCs w:val="24"/>
              </w:rPr>
              <w:t>主要以工业为主，位于《威海市城市总体规划（2004－2020）》中工业用地范围</w:t>
            </w:r>
            <w:r>
              <w:rPr>
                <w:rFonts w:hint="default" w:ascii="Times New Roman" w:hAnsi="Times New Roman" w:cs="Times New Roman"/>
                <w:color w:val="auto"/>
                <w:szCs w:val="24"/>
                <w:lang w:eastAsia="zh-CN"/>
              </w:rPr>
              <w:t>，</w:t>
            </w:r>
            <w:r>
              <w:rPr>
                <w:rFonts w:hint="default" w:ascii="Times New Roman" w:hAnsi="Times New Roman" w:cs="Times New Roman"/>
                <w:color w:val="auto"/>
                <w:sz w:val="24"/>
                <w:szCs w:val="24"/>
              </w:rPr>
              <w:t>无自然保护区、风景名胜区、文物保护单位，亦无需特殊保护的野生动植物，环境承载能力较强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厂址所在地地质情况较好，无不良工程地质现象，建设条件良好</w:t>
            </w: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lang w:val="en-US"/>
              </w:rPr>
              <w:t>所在地地理位置优越，交通便利，排水通畅，水、电、暖供应满足工程要求，选址合理</w:t>
            </w:r>
            <w:r>
              <w:rPr>
                <w:rFonts w:hint="default" w:ascii="Times New Roman" w:hAnsi="Times New Roman" w:cs="Times New Roman"/>
                <w:color w:val="auto"/>
                <w:lang w:val="en-US" w:eastAsia="zh-CN"/>
              </w:rPr>
              <w:t>。</w:t>
            </w:r>
          </w:p>
          <w:p>
            <w:pPr>
              <w:pStyle w:val="86"/>
              <w:numPr>
                <w:ilvl w:val="0"/>
                <w:numId w:val="0"/>
              </w:numPr>
              <w:ind w:leftChars="0" w:right="0" w:rightChars="0"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项目与“</w:t>
            </w:r>
            <w:r>
              <w:rPr>
                <w:rFonts w:hint="default" w:ascii="Times New Roman" w:hAnsi="Times New Roman" w:cs="Times New Roman"/>
                <w:color w:val="auto"/>
                <w:sz w:val="24"/>
                <w:szCs w:val="24"/>
              </w:rPr>
              <w:t>三线一单</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符合性分析</w:t>
            </w:r>
          </w:p>
          <w:p>
            <w:pPr>
              <w:pStyle w:val="86"/>
              <w:numPr>
                <w:ilvl w:val="0"/>
                <w:numId w:val="0"/>
              </w:numPr>
              <w:ind w:right="0" w:rightChars="0"/>
              <w:jc w:val="center"/>
              <w:rPr>
                <w:rFonts w:hint="default" w:ascii="Times New Roman" w:hAnsi="Times New Roman" w:cs="Times New Roman"/>
                <w:b/>
                <w:smallCaps/>
                <w:color w:val="auto"/>
                <w:szCs w:val="24"/>
              </w:rPr>
            </w:pPr>
            <w:r>
              <w:rPr>
                <w:rFonts w:hint="default" w:ascii="Times New Roman" w:hAnsi="Times New Roman" w:cs="Times New Roman"/>
                <w:b/>
                <w:color w:val="auto"/>
                <w:szCs w:val="24"/>
              </w:rPr>
              <w:t>表1-</w:t>
            </w:r>
            <w:r>
              <w:rPr>
                <w:rFonts w:hint="default" w:ascii="Times New Roman" w:hAnsi="Times New Roman" w:cs="Times New Roman"/>
                <w:b/>
                <w:color w:val="auto"/>
                <w:szCs w:val="24"/>
                <w:lang w:val="en-US" w:eastAsia="zh-CN"/>
              </w:rPr>
              <w:t>5</w:t>
            </w:r>
            <w:r>
              <w:rPr>
                <w:rFonts w:hint="default" w:ascii="Times New Roman" w:hAnsi="Times New Roman" w:cs="Times New Roman"/>
                <w:b/>
                <w:color w:val="auto"/>
                <w:szCs w:val="24"/>
                <w:lang w:val="en-US"/>
              </w:rPr>
              <w:t xml:space="preserve"> 项目与</w:t>
            </w:r>
            <w:r>
              <w:rPr>
                <w:rFonts w:hint="default" w:ascii="Times New Roman" w:hAnsi="Times New Roman" w:cs="Times New Roman"/>
                <w:b/>
                <w:smallCaps/>
                <w:color w:val="auto"/>
                <w:szCs w:val="24"/>
              </w:rPr>
              <w:t>“三线一单”符合性分析</w:t>
            </w:r>
          </w:p>
          <w:tbl>
            <w:tblPr>
              <w:tblStyle w:val="39"/>
              <w:tblW w:w="907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19"/>
              <w:gridCol w:w="1116"/>
              <w:gridCol w:w="5832"/>
              <w:gridCol w:w="15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5" w:hRule="atLeast"/>
                <w:tblHeader/>
                <w:jc w:val="center"/>
              </w:trPr>
              <w:tc>
                <w:tcPr>
                  <w:tcW w:w="619" w:type="dxa"/>
                  <w:vAlign w:val="center"/>
                </w:tcPr>
                <w:p>
                  <w:pPr>
                    <w:jc w:val="center"/>
                    <w:rPr>
                      <w:rFonts w:hint="default" w:ascii="Times New Roman" w:hAnsi="Times New Roman" w:cs="Times New Roman"/>
                      <w:bCs/>
                      <w:color w:val="auto"/>
                      <w:szCs w:val="21"/>
                    </w:rPr>
                  </w:pPr>
                  <w:bookmarkStart w:id="0" w:name="_Hlk496773778"/>
                  <w:r>
                    <w:rPr>
                      <w:rFonts w:hint="default" w:ascii="Times New Roman" w:hAnsi="Times New Roman" w:cs="Times New Roman"/>
                      <w:bCs/>
                      <w:color w:val="auto"/>
                      <w:szCs w:val="21"/>
                    </w:rPr>
                    <w:t>序号</w:t>
                  </w:r>
                </w:p>
              </w:tc>
              <w:tc>
                <w:tcPr>
                  <w:tcW w:w="111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判断类型</w:t>
                  </w:r>
                </w:p>
              </w:tc>
              <w:tc>
                <w:tcPr>
                  <w:tcW w:w="583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对照简析</w:t>
                  </w:r>
                </w:p>
              </w:tc>
              <w:tc>
                <w:tcPr>
                  <w:tcW w:w="15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本项目建设是否满足要求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96" w:hRule="atLeast"/>
                <w:jc w:val="center"/>
              </w:trPr>
              <w:tc>
                <w:tcPr>
                  <w:tcW w:w="61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w:t>
                  </w:r>
                </w:p>
              </w:tc>
              <w:tc>
                <w:tcPr>
                  <w:tcW w:w="111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生态红线区域保护规划</w:t>
                  </w:r>
                </w:p>
              </w:tc>
              <w:tc>
                <w:tcPr>
                  <w:tcW w:w="5832" w:type="dxa"/>
                  <w:vAlign w:val="center"/>
                </w:tcPr>
                <w:p>
                  <w:pPr>
                    <w:ind w:right="-78" w:rightChars="-37"/>
                    <w:jc w:val="left"/>
                    <w:rPr>
                      <w:rFonts w:hint="default" w:ascii="Times New Roman" w:hAnsi="Times New Roman" w:cs="Times New Roman"/>
                      <w:bCs/>
                      <w:color w:val="auto"/>
                      <w:szCs w:val="21"/>
                    </w:rPr>
                  </w:pPr>
                  <w:r>
                    <w:rPr>
                      <w:rFonts w:hint="default" w:ascii="Times New Roman" w:hAnsi="Times New Roman" w:eastAsia="宋体" w:cs="Times New Roman"/>
                      <w:color w:val="auto"/>
                      <w:sz w:val="21"/>
                      <w:szCs w:val="21"/>
                      <w:lang w:val="en-US" w:eastAsia="zh-CN"/>
                    </w:rPr>
                    <w:t>威海市生态保护红线区分一级管控区、二级管控区两个级别。一级管控区是禁止开发区域，二级管控区为限制开发区域</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本项目</w:t>
                  </w:r>
                  <w:r>
                    <w:rPr>
                      <w:rFonts w:hint="default" w:ascii="Times New Roman" w:hAnsi="Times New Roman" w:eastAsia="宋体" w:cs="Times New Roman"/>
                      <w:color w:val="auto"/>
                      <w:sz w:val="21"/>
                      <w:szCs w:val="21"/>
                    </w:rPr>
                    <w:t>位于</w:t>
                  </w:r>
                  <w:r>
                    <w:rPr>
                      <w:rFonts w:hint="eastAsia" w:cs="Times New Roman"/>
                      <w:color w:val="auto"/>
                      <w:sz w:val="21"/>
                      <w:szCs w:val="21"/>
                      <w:lang w:eastAsia="zh-CN"/>
                    </w:rPr>
                    <w:t>威海市环翠区羊亭镇顺海路3-1号</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rPr>
                    <w:t>不在《</w:t>
                  </w:r>
                  <w:r>
                    <w:rPr>
                      <w:rFonts w:hint="default" w:ascii="Times New Roman" w:hAnsi="Times New Roman" w:cs="Times New Roman"/>
                      <w:color w:val="auto"/>
                      <w:sz w:val="21"/>
                      <w:szCs w:val="21"/>
                      <w:lang w:eastAsia="zh-CN"/>
                    </w:rPr>
                    <w:t>威海市环境总体规划</w:t>
                  </w:r>
                  <w:r>
                    <w:rPr>
                      <w:rFonts w:hint="default" w:ascii="Times New Roman" w:hAnsi="Times New Roman" w:cs="Times New Roman"/>
                      <w:color w:val="auto"/>
                      <w:sz w:val="21"/>
                      <w:szCs w:val="21"/>
                    </w:rPr>
                    <w:t>（201</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20</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0年）》划定的“生态保护红线</w:t>
                  </w:r>
                  <w:r>
                    <w:rPr>
                      <w:rFonts w:hint="default" w:ascii="Times New Roman" w:hAnsi="Times New Roman" w:cs="Times New Roman"/>
                      <w:color w:val="auto"/>
                      <w:sz w:val="21"/>
                      <w:szCs w:val="21"/>
                      <w:lang w:eastAsia="zh-CN"/>
                    </w:rPr>
                    <w:t>管控</w:t>
                  </w:r>
                  <w:r>
                    <w:rPr>
                      <w:rFonts w:hint="default" w:ascii="Times New Roman" w:hAnsi="Times New Roman" w:cs="Times New Roman"/>
                      <w:color w:val="auto"/>
                      <w:sz w:val="21"/>
                      <w:szCs w:val="21"/>
                    </w:rPr>
                    <w:t>区”范围之内</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rPr>
                    <w:t>项目位置与</w:t>
                  </w:r>
                  <w:r>
                    <w:rPr>
                      <w:rFonts w:hint="default" w:ascii="Times New Roman" w:hAnsi="Times New Roman" w:cs="Times New Roman"/>
                      <w:color w:val="auto"/>
                      <w:sz w:val="21"/>
                      <w:szCs w:val="21"/>
                      <w:lang w:eastAsia="zh-CN"/>
                    </w:rPr>
                    <w:t>威海市</w:t>
                  </w:r>
                  <w:r>
                    <w:rPr>
                      <w:rFonts w:hint="default" w:ascii="Times New Roman" w:hAnsi="Times New Roman" w:cs="Times New Roman"/>
                      <w:color w:val="auto"/>
                      <w:sz w:val="21"/>
                      <w:szCs w:val="21"/>
                    </w:rPr>
                    <w:t>生态保护红线</w:t>
                  </w:r>
                  <w:r>
                    <w:rPr>
                      <w:rFonts w:hint="default" w:ascii="Times New Roman" w:hAnsi="Times New Roman" w:cs="Times New Roman"/>
                      <w:color w:val="auto"/>
                      <w:sz w:val="21"/>
                      <w:szCs w:val="21"/>
                      <w:lang w:eastAsia="zh-CN"/>
                    </w:rPr>
                    <w:t>管控</w:t>
                  </w:r>
                  <w:r>
                    <w:rPr>
                      <w:rFonts w:hint="default" w:ascii="Times New Roman" w:hAnsi="Times New Roman" w:cs="Times New Roman"/>
                      <w:color w:val="auto"/>
                      <w:sz w:val="21"/>
                      <w:szCs w:val="21"/>
                    </w:rPr>
                    <w:t>图</w:t>
                  </w:r>
                  <w:r>
                    <w:rPr>
                      <w:rFonts w:hint="default" w:ascii="Times New Roman" w:hAnsi="Times New Roman" w:eastAsia="宋体" w:cs="Times New Roman"/>
                      <w:color w:val="auto"/>
                      <w:sz w:val="21"/>
                      <w:szCs w:val="21"/>
                    </w:rPr>
                    <w:t>见</w:t>
                  </w:r>
                  <w:r>
                    <w:rPr>
                      <w:rFonts w:hint="default" w:ascii="Times New Roman" w:hAnsi="Times New Roman" w:eastAsia="宋体" w:cs="Times New Roman"/>
                      <w:color w:val="auto"/>
                      <w:sz w:val="21"/>
                      <w:szCs w:val="21"/>
                      <w:lang w:eastAsia="zh-CN"/>
                    </w:rPr>
                    <w:t>图</w:t>
                  </w:r>
                  <w:r>
                    <w:rPr>
                      <w:rFonts w:hint="default" w:ascii="Times New Roman" w:hAnsi="Times New Roman" w:eastAsia="宋体" w:cs="Times New Roman"/>
                      <w:color w:val="auto"/>
                      <w:sz w:val="21"/>
                      <w:szCs w:val="21"/>
                      <w:lang w:val="en-US" w:eastAsia="zh-CN"/>
                    </w:rPr>
                    <w:t>1-3</w:t>
                  </w:r>
                  <w:r>
                    <w:rPr>
                      <w:rFonts w:hint="default" w:ascii="Times New Roman" w:hAnsi="Times New Roman" w:eastAsia="宋体" w:cs="Times New Roman"/>
                      <w:bCs/>
                      <w:color w:val="auto"/>
                      <w:sz w:val="21"/>
                      <w:szCs w:val="21"/>
                    </w:rPr>
                    <w:t>。</w:t>
                  </w:r>
                </w:p>
              </w:tc>
              <w:tc>
                <w:tcPr>
                  <w:tcW w:w="15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91" w:hRule="atLeast"/>
                <w:jc w:val="center"/>
              </w:trPr>
              <w:tc>
                <w:tcPr>
                  <w:tcW w:w="61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w:t>
                  </w:r>
                </w:p>
              </w:tc>
              <w:tc>
                <w:tcPr>
                  <w:tcW w:w="111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环境质量底线</w:t>
                  </w:r>
                </w:p>
              </w:tc>
              <w:tc>
                <w:tcPr>
                  <w:tcW w:w="5832" w:type="dxa"/>
                  <w:vAlign w:val="center"/>
                </w:tcPr>
                <w:p>
                  <w:pPr>
                    <w:jc w:val="left"/>
                    <w:rPr>
                      <w:rFonts w:hint="default" w:ascii="Times New Roman" w:hAnsi="Times New Roman" w:cs="Times New Roman"/>
                      <w:bCs/>
                      <w:color w:val="auto"/>
                      <w:szCs w:val="21"/>
                    </w:rPr>
                  </w:pPr>
                  <w:r>
                    <w:rPr>
                      <w:rFonts w:hint="default" w:ascii="Times New Roman" w:hAnsi="Times New Roman" w:cs="Times New Roman"/>
                      <w:color w:val="auto"/>
                      <w:sz w:val="21"/>
                      <w:szCs w:val="21"/>
                    </w:rPr>
                    <w:t>根据《威海市环境质量报告</w:t>
                  </w:r>
                  <w:r>
                    <w:rPr>
                      <w:rFonts w:hint="default" w:ascii="Times New Roman" w:hAnsi="Times New Roman" w:eastAsia="宋体" w:cs="Times New Roman"/>
                      <w:color w:val="auto"/>
                      <w:sz w:val="21"/>
                      <w:szCs w:val="21"/>
                    </w:rPr>
                    <w:t>书（二</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一八年度</w:t>
                  </w:r>
                  <w:r>
                    <w:rPr>
                      <w:rFonts w:hint="default" w:ascii="Times New Roman" w:hAnsi="Times New Roman" w:cs="Times New Roman"/>
                      <w:color w:val="auto"/>
                      <w:sz w:val="21"/>
                      <w:szCs w:val="21"/>
                    </w:rPr>
                    <w:t>）》，项目所在地的大气、水、声环境质量良好。本项目废水、废气、固废均得到合理处置，噪声对周边影响较小，不会突破项目所在地的环境质量底线。因此采取本环评提出的相关防治措施后，本项目排放的污染物不会对区域环境质量底线造成冲击</w:t>
                  </w:r>
                  <w:r>
                    <w:rPr>
                      <w:rFonts w:hint="default" w:ascii="Times New Roman" w:hAnsi="Times New Roman" w:cs="Times New Roman"/>
                      <w:color w:val="auto"/>
                      <w:kern w:val="0"/>
                      <w:szCs w:val="21"/>
                    </w:rPr>
                    <w:t>。</w:t>
                  </w:r>
                </w:p>
              </w:tc>
              <w:tc>
                <w:tcPr>
                  <w:tcW w:w="15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2" w:hRule="atLeast"/>
                <w:jc w:val="center"/>
              </w:trPr>
              <w:tc>
                <w:tcPr>
                  <w:tcW w:w="61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w:t>
                  </w:r>
                </w:p>
              </w:tc>
              <w:tc>
                <w:tcPr>
                  <w:tcW w:w="111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资源能源消耗</w:t>
                  </w:r>
                </w:p>
              </w:tc>
              <w:tc>
                <w:tcPr>
                  <w:tcW w:w="5832" w:type="dxa"/>
                  <w:vAlign w:val="center"/>
                </w:tcPr>
                <w:p>
                  <w:pPr>
                    <w:jc w:val="left"/>
                    <w:rPr>
                      <w:rFonts w:hint="default" w:ascii="Times New Roman" w:hAnsi="Times New Roman" w:cs="Times New Roman"/>
                      <w:bCs/>
                      <w:color w:val="auto"/>
                      <w:szCs w:val="21"/>
                    </w:rPr>
                  </w:pPr>
                  <w:r>
                    <w:rPr>
                      <w:rFonts w:hint="default" w:ascii="Times New Roman" w:hAnsi="Times New Roman" w:cs="Times New Roman"/>
                      <w:color w:val="auto"/>
                      <w:sz w:val="21"/>
                      <w:szCs w:val="21"/>
                    </w:rPr>
                    <w:t>本项目建设过程中所利用的资源主要为水、电，均为清洁能源，项目建成后用水量和用电量均较小；项目占地也符合当地规划的要求，均不会突破区域的资源利用上线</w:t>
                  </w:r>
                  <w:r>
                    <w:rPr>
                      <w:rFonts w:hint="default" w:ascii="Times New Roman" w:hAnsi="Times New Roman" w:eastAsia="宋体" w:cs="Times New Roman"/>
                      <w:bCs/>
                      <w:color w:val="auto"/>
                      <w:sz w:val="21"/>
                      <w:szCs w:val="21"/>
                    </w:rPr>
                    <w:t>。</w:t>
                  </w:r>
                </w:p>
              </w:tc>
              <w:tc>
                <w:tcPr>
                  <w:tcW w:w="15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8" w:hRule="atLeast"/>
                <w:jc w:val="center"/>
              </w:trPr>
              <w:tc>
                <w:tcPr>
                  <w:tcW w:w="61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w:t>
                  </w:r>
                </w:p>
              </w:tc>
              <w:tc>
                <w:tcPr>
                  <w:tcW w:w="111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环境准入负面清单</w:t>
                  </w:r>
                </w:p>
              </w:tc>
              <w:tc>
                <w:tcPr>
                  <w:tcW w:w="5832" w:type="dxa"/>
                  <w:vAlign w:val="center"/>
                </w:tcPr>
                <w:p>
                  <w:pPr>
                    <w:jc w:val="left"/>
                    <w:rPr>
                      <w:rFonts w:hint="default" w:ascii="Times New Roman" w:hAnsi="Times New Roman" w:cs="Times New Roman"/>
                      <w:bCs/>
                      <w:color w:val="auto"/>
                      <w:szCs w:val="21"/>
                    </w:rPr>
                  </w:pPr>
                  <w:r>
                    <w:rPr>
                      <w:rFonts w:hint="default" w:ascii="Times New Roman" w:hAnsi="Times New Roman" w:eastAsia="宋体" w:cs="Times New Roman"/>
                      <w:bCs/>
                      <w:color w:val="auto"/>
                      <w:sz w:val="21"/>
                      <w:szCs w:val="21"/>
                    </w:rPr>
                    <w:t>符合区域环境准入要求，</w:t>
                  </w:r>
                  <w:r>
                    <w:rPr>
                      <w:rFonts w:hint="default" w:ascii="Times New Roman" w:hAnsi="Times New Roman" w:eastAsia="宋体" w:cs="Times New Roman"/>
                      <w:color w:val="auto"/>
                      <w:kern w:val="0"/>
                      <w:sz w:val="21"/>
                      <w:szCs w:val="21"/>
                    </w:rPr>
                    <w:t>目前山东省、威海市尚未发布环境准入负面清单</w:t>
                  </w:r>
                  <w:r>
                    <w:rPr>
                      <w:rFonts w:hint="default" w:ascii="Times New Roman" w:hAnsi="Times New Roman" w:eastAsia="宋体" w:cs="Times New Roman"/>
                      <w:bCs/>
                      <w:color w:val="auto"/>
                      <w:sz w:val="21"/>
                      <w:szCs w:val="21"/>
                    </w:rPr>
                    <w:t>。</w:t>
                  </w:r>
                </w:p>
              </w:tc>
              <w:tc>
                <w:tcPr>
                  <w:tcW w:w="15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w:t>
                  </w:r>
                </w:p>
              </w:tc>
            </w:tr>
            <w:bookmarkEnd w:id="0"/>
          </w:tbl>
          <w:p>
            <w:pPr>
              <w:pStyle w:val="86"/>
              <w:spacing w:beforeLines="50"/>
              <w:rPr>
                <w:rFonts w:hint="default" w:ascii="Times New Roman" w:hAnsi="Times New Roman" w:cs="Times New Roman"/>
                <w:color w:val="auto"/>
              </w:rPr>
            </w:pPr>
            <w:r>
              <w:rPr>
                <w:rFonts w:hint="default" w:ascii="Times New Roman" w:hAnsi="Times New Roman" w:cs="Times New Roman"/>
                <w:color w:val="auto"/>
                <w:szCs w:val="24"/>
              </w:rPr>
              <w:t>由上述分析可知，本项目建设符合“三线一单”的要求</w:t>
            </w:r>
            <w:r>
              <w:rPr>
                <w:rFonts w:hint="default" w:ascii="Times New Roman" w:hAnsi="Times New Roman" w:cs="Times New Roman"/>
                <w:color w:val="auto"/>
              </w:rPr>
              <w:t>。</w:t>
            </w:r>
          </w:p>
          <w:p>
            <w:pPr>
              <w:numPr>
                <w:ilvl w:val="0"/>
                <w:numId w:val="3"/>
              </w:numPr>
              <w:spacing w:line="360" w:lineRule="auto"/>
              <w:ind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项目与《重点行业挥发性有机物综合治理方案》（环大气[2019]53号）符合性分析</w:t>
            </w:r>
          </w:p>
          <w:p>
            <w:pPr>
              <w:spacing w:line="360" w:lineRule="auto"/>
              <w:ind w:right="-153" w:rightChars="-73"/>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表1-</w:t>
            </w:r>
            <w:r>
              <w:rPr>
                <w:rFonts w:hint="default" w:ascii="Times New Roman" w:hAnsi="Times New Roman" w:cs="Times New Roman"/>
                <w:b/>
                <w:color w:val="auto"/>
                <w:sz w:val="24"/>
                <w:szCs w:val="24"/>
                <w:lang w:val="en-US" w:eastAsia="zh-CN"/>
              </w:rPr>
              <w:t xml:space="preserve">6 </w:t>
            </w:r>
            <w:r>
              <w:rPr>
                <w:rFonts w:hint="default" w:ascii="Times New Roman" w:hAnsi="Times New Roman" w:cs="Times New Roman"/>
                <w:b/>
                <w:color w:val="auto"/>
                <w:sz w:val="24"/>
                <w:szCs w:val="24"/>
              </w:rPr>
              <w:t>本项目与</w:t>
            </w:r>
            <w:r>
              <w:rPr>
                <w:rFonts w:hint="default" w:ascii="Times New Roman" w:hAnsi="Times New Roman" w:cs="Times New Roman"/>
                <w:b/>
                <w:color w:val="auto"/>
                <w:kern w:val="0"/>
                <w:sz w:val="24"/>
              </w:rPr>
              <w:t>环大气[2019]53号</w:t>
            </w:r>
            <w:r>
              <w:rPr>
                <w:rFonts w:hint="default" w:ascii="Times New Roman" w:hAnsi="Times New Roman" w:cs="Times New Roman"/>
                <w:b/>
                <w:color w:val="auto"/>
                <w:sz w:val="24"/>
                <w:szCs w:val="24"/>
              </w:rPr>
              <w:t>文符合性一览表</w:t>
            </w:r>
          </w:p>
          <w:tbl>
            <w:tblPr>
              <w:tblStyle w:val="39"/>
              <w:tblW w:w="91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03"/>
              <w:gridCol w:w="3181"/>
              <w:gridCol w:w="8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环大气[2019]53号</w:t>
                  </w:r>
                  <w:r>
                    <w:rPr>
                      <w:rFonts w:hint="default" w:ascii="Times New Roman" w:hAnsi="Times New Roman" w:eastAsia="宋体" w:cs="Times New Roman"/>
                      <w:color w:val="auto"/>
                      <w:sz w:val="21"/>
                      <w:szCs w:val="21"/>
                      <w:lang w:val="zh-CN"/>
                    </w:rPr>
                    <w:t>要求</w:t>
                  </w:r>
                </w:p>
              </w:tc>
              <w:tc>
                <w:tcPr>
                  <w:tcW w:w="31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拟建项目</w:t>
                  </w:r>
                  <w:r>
                    <w:rPr>
                      <w:rFonts w:hint="default" w:ascii="Times New Roman" w:hAnsi="Times New Roman" w:eastAsia="宋体" w:cs="Times New Roman"/>
                      <w:bCs/>
                      <w:color w:val="auto"/>
                      <w:sz w:val="21"/>
                      <w:szCs w:val="21"/>
                    </w:rPr>
                    <w:t>情况</w:t>
                  </w:r>
                </w:p>
              </w:tc>
              <w:tc>
                <w:tcPr>
                  <w:tcW w:w="8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94" w:hRule="atLeast"/>
                <w:jc w:val="center"/>
              </w:trPr>
              <w:tc>
                <w:tcPr>
                  <w:tcW w:w="5103" w:type="dxa"/>
                  <w:tcBorders>
                    <w:tl2br w:val="nil"/>
                    <w:tr2bl w:val="nil"/>
                  </w:tcBorders>
                  <w:vAlign w:val="center"/>
                </w:tcPr>
                <w:p>
                  <w:pPr>
                    <w:adjustRightInd w:val="0"/>
                    <w:snapToGrid w:val="0"/>
                    <w:spacing w:line="34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kern w:val="0"/>
                      <w:sz w:val="21"/>
                      <w:szCs w:val="21"/>
                    </w:rPr>
                    <w:t>1、</w:t>
                  </w:r>
                  <w:r>
                    <w:rPr>
                      <w:rFonts w:hint="eastAsia" w:ascii="Times New Roman" w:hAnsi="Times New Roman" w:cs="Times New Roman"/>
                      <w:bCs/>
                      <w:color w:val="auto"/>
                      <w:kern w:val="0"/>
                      <w:sz w:val="21"/>
                      <w:szCs w:val="21"/>
                      <w:lang w:eastAsia="zh-CN"/>
                    </w:rPr>
                    <w:t>大力推进源头替代</w:t>
                  </w: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加快使用粉末、水性、高固体分、辐射固化等低VOCs含量的涂料替代溶剂型涂料，从源头减少VOCs的产生。</w:t>
                  </w:r>
                </w:p>
              </w:tc>
              <w:tc>
                <w:tcPr>
                  <w:tcW w:w="3181" w:type="dxa"/>
                  <w:tcBorders>
                    <w:tl2br w:val="nil"/>
                    <w:tr2bl w:val="nil"/>
                  </w:tcBorders>
                  <w:vAlign w:val="center"/>
                </w:tcPr>
                <w:p>
                  <w:pPr>
                    <w:adjustRightInd w:val="0"/>
                    <w:snapToGrid w:val="0"/>
                    <w:spacing w:line="340" w:lineRule="exact"/>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eastAsia="zh-CN"/>
                    </w:rPr>
                    <w:t>采用</w:t>
                  </w:r>
                  <w:r>
                    <w:rPr>
                      <w:rFonts w:hint="eastAsia" w:ascii="Times New Roman" w:hAnsi="Times New Roman" w:cs="Times New Roman"/>
                      <w:color w:val="auto"/>
                      <w:sz w:val="21"/>
                      <w:szCs w:val="21"/>
                      <w:lang w:eastAsia="zh-CN"/>
                    </w:rPr>
                    <w:t>原料</w:t>
                  </w:r>
                  <w:r>
                    <w:rPr>
                      <w:rFonts w:hint="eastAsia" w:cs="Times New Roman"/>
                      <w:color w:val="auto"/>
                      <w:sz w:val="21"/>
                      <w:szCs w:val="21"/>
                      <w:lang w:eastAsia="zh-CN"/>
                    </w:rPr>
                    <w:t>主要为</w:t>
                  </w:r>
                  <w:r>
                    <w:rPr>
                      <w:rFonts w:hint="eastAsia" w:cs="Times New Roman"/>
                      <w:color w:val="auto"/>
                      <w:sz w:val="21"/>
                      <w:szCs w:val="21"/>
                      <w:lang w:val="en-US" w:eastAsia="zh-CN"/>
                    </w:rPr>
                    <w:t>PS、ABS固体塑料颗粒</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不含有机溶剂，</w:t>
                  </w:r>
                  <w:r>
                    <w:rPr>
                      <w:rFonts w:hint="eastAsia"/>
                      <w:color w:val="auto"/>
                      <w:sz w:val="21"/>
                      <w:szCs w:val="21"/>
                    </w:rPr>
                    <w:t>熔融工序</w:t>
                  </w:r>
                  <w:r>
                    <w:rPr>
                      <w:rFonts w:hint="eastAsia"/>
                      <w:color w:val="auto"/>
                      <w:sz w:val="21"/>
                      <w:szCs w:val="21"/>
                      <w:lang w:eastAsia="zh-CN"/>
                    </w:rPr>
                    <w:t>挥发少量</w:t>
                  </w:r>
                  <w:r>
                    <w:rPr>
                      <w:rFonts w:hint="eastAsia"/>
                      <w:color w:val="auto"/>
                      <w:sz w:val="21"/>
                      <w:szCs w:val="21"/>
                    </w:rPr>
                    <w:t>V</w:t>
                  </w:r>
                  <w:r>
                    <w:rPr>
                      <w:color w:val="auto"/>
                      <w:sz w:val="21"/>
                      <w:szCs w:val="21"/>
                    </w:rPr>
                    <w:t>OC</w:t>
                  </w:r>
                  <w:r>
                    <w:rPr>
                      <w:rFonts w:hint="eastAsia"/>
                      <w:color w:val="auto"/>
                      <w:sz w:val="21"/>
                      <w:szCs w:val="21"/>
                    </w:rPr>
                    <w:t>s</w:t>
                  </w:r>
                  <w:r>
                    <w:rPr>
                      <w:rFonts w:hint="eastAsia"/>
                      <w:color w:val="auto"/>
                      <w:sz w:val="21"/>
                      <w:szCs w:val="21"/>
                      <w:lang w:eastAsia="zh-CN"/>
                    </w:rPr>
                    <w:t>，</w:t>
                  </w:r>
                  <w:r>
                    <w:rPr>
                      <w:rFonts w:hint="eastAsia"/>
                      <w:color w:val="auto"/>
                      <w:sz w:val="21"/>
                      <w:szCs w:val="21"/>
                    </w:rPr>
                    <w:t>产生量约</w:t>
                  </w:r>
                  <w:r>
                    <w:rPr>
                      <w:color w:val="auto"/>
                      <w:sz w:val="21"/>
                      <w:szCs w:val="21"/>
                    </w:rPr>
                    <w:t>0.35kg/t-</w:t>
                  </w:r>
                  <w:r>
                    <w:rPr>
                      <w:rFonts w:hint="eastAsia"/>
                      <w:color w:val="auto"/>
                      <w:sz w:val="21"/>
                      <w:szCs w:val="21"/>
                    </w:rPr>
                    <w:t>原料</w:t>
                  </w:r>
                  <w:r>
                    <w:rPr>
                      <w:rFonts w:hint="eastAsia"/>
                      <w:bCs/>
                      <w:color w:val="auto"/>
                      <w:sz w:val="21"/>
                      <w:szCs w:val="21"/>
                    </w:rPr>
                    <w:t>，</w:t>
                  </w:r>
                  <w:r>
                    <w:rPr>
                      <w:rFonts w:hint="eastAsia" w:ascii="Times New Roman" w:hAnsi="Times New Roman" w:cs="Times New Roman"/>
                      <w:color w:val="auto"/>
                      <w:sz w:val="21"/>
                      <w:szCs w:val="21"/>
                      <w:lang w:eastAsia="zh-CN"/>
                    </w:rPr>
                    <w:t>符合源头替代要求</w:t>
                  </w:r>
                  <w:r>
                    <w:rPr>
                      <w:rFonts w:hint="default" w:ascii="Times New Roman" w:hAnsi="Times New Roman" w:cs="Times New Roman"/>
                      <w:bCs/>
                      <w:color w:val="auto"/>
                      <w:sz w:val="21"/>
                      <w:szCs w:val="21"/>
                    </w:rPr>
                    <w:t>。</w:t>
                  </w:r>
                </w:p>
              </w:tc>
              <w:tc>
                <w:tcPr>
                  <w:tcW w:w="8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5103" w:type="dxa"/>
                  <w:tcBorders>
                    <w:tl2br w:val="nil"/>
                    <w:tr2bl w:val="nil"/>
                  </w:tcBorders>
                  <w:vAlign w:val="center"/>
                </w:tcPr>
                <w:p>
                  <w:pPr>
                    <w:bidi w:val="0"/>
                    <w:rPr>
                      <w:rFonts w:hint="default" w:ascii="Times New Roman" w:hAnsi="Times New Roman" w:eastAsia="宋体" w:cs="Times New Roman"/>
                      <w:color w:val="auto"/>
                      <w:kern w:val="2"/>
                      <w:szCs w:val="21"/>
                      <w:lang w:val="en-US" w:eastAsia="zh-CN" w:bidi="ar-SA"/>
                    </w:rPr>
                  </w:pPr>
                  <w:r>
                    <w:rPr>
                      <w:rFonts w:hint="eastAsia" w:cs="Times New Roman"/>
                      <w:color w:val="auto"/>
                      <w:lang w:val="en-US" w:eastAsia="zh-CN"/>
                    </w:rPr>
                    <w:t>2</w:t>
                  </w:r>
                  <w:r>
                    <w:rPr>
                      <w:rFonts w:hint="default" w:ascii="Times New Roman" w:hAnsi="Times New Roman" w:cs="Times New Roman"/>
                      <w:color w:val="auto"/>
                      <w:lang w:val="en-US" w:eastAsia="zh-CN"/>
                    </w:rPr>
                    <w:t>、</w:t>
                  </w:r>
                  <w:r>
                    <w:rPr>
                      <w:rFonts w:hint="default" w:ascii="Times New Roman" w:hAnsi="Times New Roman" w:cs="Times New Roman"/>
                      <w:color w:val="auto"/>
                    </w:rPr>
                    <w:t>化工行业VOCs综合治理。加强制药、农药、涂料、油墨、胶粘剂、橡胶和塑料制品等行业VOCs治理力度。重点提高涉VOCs排放主要工序密闭化水平，加强无组织排放收集，加大含VOCs物料储存和装卸治理力度</w:t>
                  </w:r>
                  <w:r>
                    <w:rPr>
                      <w:rFonts w:hint="default" w:ascii="Times New Roman" w:hAnsi="Times New Roman" w:cs="Times New Roman"/>
                      <w:color w:val="auto"/>
                      <w:lang w:val="en-US" w:eastAsia="zh-CN"/>
                    </w:rPr>
                    <w:t>。</w:t>
                  </w:r>
                </w:p>
              </w:tc>
              <w:tc>
                <w:tcPr>
                  <w:tcW w:w="31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bCs/>
                      <w:color w:val="auto"/>
                      <w:sz w:val="21"/>
                      <w:szCs w:val="21"/>
                      <w:lang w:val="en-US" w:eastAsia="zh-CN"/>
                    </w:rPr>
                    <w:t>项目</w:t>
                  </w:r>
                  <w:r>
                    <w:rPr>
                      <w:rFonts w:hint="eastAsia" w:cs="Times New Roman"/>
                      <w:bCs/>
                      <w:color w:val="auto"/>
                      <w:sz w:val="21"/>
                      <w:szCs w:val="21"/>
                      <w:lang w:val="en-US" w:eastAsia="zh-CN"/>
                    </w:rPr>
                    <w:t>注塑</w:t>
                  </w:r>
                  <w:r>
                    <w:rPr>
                      <w:rFonts w:hint="default" w:ascii="Times New Roman" w:hAnsi="Times New Roman" w:eastAsia="宋体" w:cs="Times New Roman"/>
                      <w:bCs/>
                      <w:color w:val="auto"/>
                      <w:sz w:val="21"/>
                      <w:szCs w:val="21"/>
                      <w:lang w:val="en-US" w:eastAsia="zh-CN"/>
                    </w:rPr>
                    <w:t>工序</w:t>
                  </w:r>
                  <w:r>
                    <w:rPr>
                      <w:rFonts w:hint="eastAsia" w:eastAsia="宋体" w:cs="Times New Roman"/>
                      <w:bCs/>
                      <w:color w:val="auto"/>
                      <w:sz w:val="21"/>
                      <w:szCs w:val="21"/>
                      <w:lang w:val="en-US" w:eastAsia="zh-CN"/>
                    </w:rPr>
                    <w:t>产生的</w:t>
                  </w:r>
                  <w:r>
                    <w:rPr>
                      <w:rFonts w:hint="default" w:ascii="Times New Roman" w:hAnsi="Times New Roman" w:eastAsia="宋体" w:cs="Times New Roman"/>
                      <w:bCs/>
                      <w:color w:val="auto"/>
                      <w:sz w:val="21"/>
                      <w:szCs w:val="21"/>
                      <w:lang w:val="en-US" w:eastAsia="zh-CN"/>
                    </w:rPr>
                    <w:t>有机废气经</w:t>
                  </w:r>
                  <w:r>
                    <w:rPr>
                      <w:rFonts w:hint="default" w:ascii="Times New Roman" w:hAnsi="Times New Roman" w:cs="Times New Roman"/>
                      <w:color w:val="auto"/>
                      <w:sz w:val="21"/>
                      <w:szCs w:val="21"/>
                    </w:rPr>
                    <w:t>由</w:t>
                  </w:r>
                  <w:r>
                    <w:rPr>
                      <w:rFonts w:hint="eastAsia" w:cs="Times New Roman"/>
                      <w:color w:val="auto"/>
                      <w:sz w:val="21"/>
                      <w:szCs w:val="21"/>
                      <w:lang w:eastAsia="zh-CN"/>
                    </w:rPr>
                    <w:t>密闭、</w:t>
                  </w:r>
                  <w:r>
                    <w:rPr>
                      <w:rFonts w:hint="default" w:ascii="Times New Roman" w:hAnsi="Times New Roman" w:cs="Times New Roman"/>
                      <w:color w:val="auto"/>
                      <w:sz w:val="21"/>
                      <w:szCs w:val="21"/>
                      <w:lang w:eastAsia="zh-CN"/>
                    </w:rPr>
                    <w:t>负压</w:t>
                  </w:r>
                  <w:r>
                    <w:rPr>
                      <w:rFonts w:hint="default" w:ascii="Times New Roman" w:hAnsi="Times New Roman" w:cs="Times New Roman"/>
                      <w:color w:val="auto"/>
                      <w:sz w:val="21"/>
                      <w:szCs w:val="21"/>
                    </w:rPr>
                    <w:t>抽风系统集气后</w:t>
                  </w:r>
                  <w:r>
                    <w:rPr>
                      <w:rFonts w:hint="default" w:ascii="Times New Roman" w:hAnsi="Times New Roman" w:eastAsia="宋体" w:cs="Times New Roman"/>
                      <w:bCs/>
                      <w:color w:val="auto"/>
                      <w:sz w:val="21"/>
                      <w:szCs w:val="21"/>
                      <w:lang w:val="en-US" w:eastAsia="zh-CN"/>
                    </w:rPr>
                    <w:t>送入废气处理设施中处理后排放。将有机废气的可能产生环节均控制在</w:t>
                  </w:r>
                  <w:r>
                    <w:rPr>
                      <w:rFonts w:hint="default" w:ascii="Times New Roman" w:hAnsi="Times New Roman" w:cs="Times New Roman"/>
                      <w:bCs/>
                      <w:color w:val="auto"/>
                      <w:sz w:val="21"/>
                      <w:szCs w:val="21"/>
                      <w:lang w:val="en-US" w:eastAsia="zh-CN"/>
                    </w:rPr>
                    <w:t>密闭的</w:t>
                  </w:r>
                  <w:r>
                    <w:rPr>
                      <w:rFonts w:hint="default" w:ascii="Times New Roman" w:hAnsi="Times New Roman" w:eastAsia="宋体" w:cs="Times New Roman"/>
                      <w:bCs/>
                      <w:color w:val="auto"/>
                      <w:sz w:val="21"/>
                      <w:szCs w:val="21"/>
                      <w:lang w:val="en-US" w:eastAsia="zh-CN"/>
                    </w:rPr>
                    <w:t>车间内完成，尽量削减</w:t>
                  </w:r>
                  <w:r>
                    <w:rPr>
                      <w:rFonts w:hint="default" w:ascii="Times New Roman" w:hAnsi="Times New Roman" w:eastAsia="宋体" w:cs="Times New Roman"/>
                      <w:color w:val="auto"/>
                      <w:kern w:val="2"/>
                      <w:sz w:val="21"/>
                      <w:szCs w:val="21"/>
                      <w:lang w:val="en-US" w:eastAsia="zh-CN" w:bidi="ar-SA"/>
                    </w:rPr>
                    <w:t>VOCs的无组织排放</w:t>
                  </w:r>
                  <w:r>
                    <w:rPr>
                      <w:rFonts w:hint="eastAsia" w:eastAsia="宋体" w:cs="Times New Roman"/>
                      <w:color w:val="auto"/>
                      <w:kern w:val="2"/>
                      <w:sz w:val="21"/>
                      <w:szCs w:val="21"/>
                      <w:lang w:val="en-US" w:eastAsia="zh-CN" w:bidi="ar-SA"/>
                    </w:rPr>
                    <w:t>。</w:t>
                  </w:r>
                </w:p>
              </w:tc>
              <w:tc>
                <w:tcPr>
                  <w:tcW w:w="8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28" w:hRule="atLeast"/>
                <w:jc w:val="center"/>
              </w:trPr>
              <w:tc>
                <w:tcPr>
                  <w:tcW w:w="5103" w:type="dxa"/>
                  <w:tcBorders>
                    <w:tl2br w:val="nil"/>
                    <w:tr2bl w:val="nil"/>
                  </w:tcBorders>
                  <w:vAlign w:val="center"/>
                </w:tcPr>
                <w:p>
                  <w:pPr>
                    <w:bidi w:val="0"/>
                    <w:rPr>
                      <w:rFonts w:hint="default" w:ascii="Times New Roman" w:hAnsi="Times New Roman" w:cs="Times New Roman"/>
                      <w:color w:val="auto"/>
                      <w:lang w:val="en-US" w:eastAsia="zh-CN"/>
                    </w:rPr>
                  </w:pPr>
                  <w:r>
                    <w:rPr>
                      <w:rFonts w:hint="eastAsia" w:cs="Times New Roman"/>
                      <w:color w:val="auto"/>
                      <w:lang w:val="en-US" w:eastAsia="zh-CN"/>
                    </w:rPr>
                    <w:t>3、</w:t>
                  </w:r>
                  <w:r>
                    <w:rPr>
                      <w:rFonts w:hint="default" w:ascii="Times New Roman" w:hAnsi="Times New Roman" w:cs="Times New Roman"/>
                      <w:color w:val="auto"/>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r>
                    <w:rPr>
                      <w:rFonts w:hint="default" w:ascii="Times New Roman" w:hAnsi="Times New Roman" w:cs="Times New Roman"/>
                      <w:color w:val="auto"/>
                      <w:lang w:eastAsia="zh-CN"/>
                    </w:rPr>
                    <w:t>。</w:t>
                  </w:r>
                </w:p>
              </w:tc>
              <w:tc>
                <w:tcPr>
                  <w:tcW w:w="31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项目</w:t>
                  </w:r>
                  <w:r>
                    <w:rPr>
                      <w:rFonts w:hint="eastAsia" w:cs="Times New Roman"/>
                      <w:bCs/>
                      <w:color w:val="auto"/>
                      <w:sz w:val="21"/>
                      <w:szCs w:val="21"/>
                      <w:lang w:val="en-US" w:eastAsia="zh-CN"/>
                    </w:rPr>
                    <w:t>注塑</w:t>
                  </w:r>
                  <w:r>
                    <w:rPr>
                      <w:rFonts w:hint="default" w:ascii="Times New Roman" w:hAnsi="Times New Roman" w:eastAsia="宋体" w:cs="Times New Roman"/>
                      <w:bCs/>
                      <w:color w:val="auto"/>
                      <w:sz w:val="21"/>
                      <w:szCs w:val="21"/>
                      <w:lang w:val="en-US" w:eastAsia="zh-CN"/>
                    </w:rPr>
                    <w:t>工序</w:t>
                  </w:r>
                  <w:r>
                    <w:rPr>
                      <w:rFonts w:hint="eastAsia" w:eastAsia="宋体" w:cs="Times New Roman"/>
                      <w:bCs/>
                      <w:color w:val="auto"/>
                      <w:sz w:val="21"/>
                      <w:szCs w:val="21"/>
                      <w:lang w:val="en-US" w:eastAsia="zh-CN"/>
                    </w:rPr>
                    <w:t>产生的</w:t>
                  </w:r>
                  <w:r>
                    <w:rPr>
                      <w:rFonts w:hint="default" w:ascii="Times New Roman" w:hAnsi="Times New Roman" w:eastAsia="宋体" w:cs="Times New Roman"/>
                      <w:bCs/>
                      <w:color w:val="auto"/>
                      <w:sz w:val="21"/>
                      <w:szCs w:val="21"/>
                      <w:lang w:val="en-US" w:eastAsia="zh-CN"/>
                    </w:rPr>
                    <w:t>有机废气</w:t>
                  </w:r>
                  <w:r>
                    <w:rPr>
                      <w:rFonts w:hint="default" w:ascii="Times New Roman" w:hAnsi="Times New Roman" w:cs="Times New Roman"/>
                      <w:color w:val="auto"/>
                      <w:sz w:val="21"/>
                      <w:szCs w:val="21"/>
                    </w:rPr>
                    <w:t>由</w:t>
                  </w:r>
                  <w:r>
                    <w:rPr>
                      <w:rFonts w:hint="eastAsia" w:cs="Times New Roman"/>
                      <w:color w:val="auto"/>
                      <w:sz w:val="21"/>
                      <w:szCs w:val="21"/>
                      <w:lang w:eastAsia="zh-CN"/>
                    </w:rPr>
                    <w:t>密闭、</w:t>
                  </w:r>
                  <w:r>
                    <w:rPr>
                      <w:rFonts w:hint="default" w:ascii="Times New Roman" w:hAnsi="Times New Roman" w:cs="Times New Roman"/>
                      <w:color w:val="auto"/>
                      <w:sz w:val="21"/>
                      <w:szCs w:val="21"/>
                      <w:lang w:eastAsia="zh-CN"/>
                    </w:rPr>
                    <w:t>负压</w:t>
                  </w:r>
                  <w:r>
                    <w:rPr>
                      <w:rFonts w:hint="default" w:ascii="Times New Roman" w:hAnsi="Times New Roman" w:cs="Times New Roman"/>
                      <w:color w:val="auto"/>
                      <w:sz w:val="21"/>
                      <w:szCs w:val="21"/>
                    </w:rPr>
                    <w:t>抽风系统集气后</w:t>
                  </w:r>
                  <w:r>
                    <w:rPr>
                      <w:rFonts w:hint="default" w:ascii="Times New Roman" w:hAnsi="Times New Roman" w:eastAsia="宋体" w:cs="Times New Roman"/>
                      <w:color w:val="auto"/>
                      <w:kern w:val="2"/>
                      <w:sz w:val="21"/>
                      <w:szCs w:val="21"/>
                      <w:lang w:val="en-US" w:eastAsia="zh-CN" w:bidi="ar-SA"/>
                    </w:rPr>
                    <w:t>经</w:t>
                  </w:r>
                  <w:r>
                    <w:rPr>
                      <w:rFonts w:hint="eastAsia" w:cs="Times New Roman"/>
                      <w:bCs/>
                      <w:color w:val="auto"/>
                      <w:szCs w:val="21"/>
                      <w:lang w:val="en-US" w:eastAsia="zh-CN"/>
                    </w:rPr>
                    <w:t>分子筛废气处理装置</w:t>
                  </w:r>
                  <w:r>
                    <w:rPr>
                      <w:rFonts w:hint="default" w:ascii="Times New Roman" w:hAnsi="Times New Roman" w:eastAsia="宋体" w:cs="Times New Roman"/>
                      <w:color w:val="auto"/>
                      <w:kern w:val="2"/>
                      <w:sz w:val="21"/>
                      <w:szCs w:val="21"/>
                      <w:lang w:val="en-US" w:eastAsia="zh-CN" w:bidi="ar-SA"/>
                    </w:rPr>
                    <w:t>处理后，由15m高排气筒达标排放，收集效率达9</w:t>
                  </w: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%以上，处理效率达</w:t>
                  </w:r>
                  <w:r>
                    <w:rPr>
                      <w:rFonts w:hint="eastAsia" w:cs="Times New Roman"/>
                      <w:color w:val="auto"/>
                      <w:kern w:val="2"/>
                      <w:sz w:val="21"/>
                      <w:szCs w:val="21"/>
                      <w:lang w:val="en-US" w:eastAsia="zh-CN" w:bidi="ar-SA"/>
                    </w:rPr>
                    <w:t>90</w:t>
                  </w:r>
                  <w:r>
                    <w:rPr>
                      <w:rFonts w:hint="default" w:ascii="Times New Roman" w:hAnsi="Times New Roman" w:eastAsia="宋体" w:cs="Times New Roman"/>
                      <w:color w:val="auto"/>
                      <w:kern w:val="2"/>
                      <w:sz w:val="21"/>
                      <w:szCs w:val="21"/>
                      <w:lang w:val="en-US" w:eastAsia="zh-CN" w:bidi="ar-SA"/>
                    </w:rPr>
                    <w:t>%以上。</w:t>
                  </w:r>
                </w:p>
              </w:tc>
              <w:tc>
                <w:tcPr>
                  <w:tcW w:w="8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01" w:hRule="atLeast"/>
                <w:jc w:val="center"/>
              </w:trPr>
              <w:tc>
                <w:tcPr>
                  <w:tcW w:w="5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加强企业运行管理。企业应系统梳理VOCs排放主要环节和工序，包括启停机、检维修作业等，制定具体操作规程，落实到具体责任人。健全内部考核制度。加强人员能力培训和技术交流。建立管理台账，记录企业生产和治污设施运行的关键参数</w:t>
                  </w:r>
                  <w:r>
                    <w:rPr>
                      <w:rFonts w:hint="eastAsia" w:cs="Times New Roman"/>
                      <w:color w:val="auto"/>
                      <w:kern w:val="2"/>
                      <w:sz w:val="21"/>
                      <w:szCs w:val="21"/>
                      <w:lang w:val="en-US" w:eastAsia="zh-CN" w:bidi="ar-SA"/>
                    </w:rPr>
                    <w:t>。</w:t>
                  </w:r>
                </w:p>
              </w:tc>
              <w:tc>
                <w:tcPr>
                  <w:tcW w:w="31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项目加强VOCs排放环节和工序的管理，所有产生工序均在密闭的车间内进行，制定相关操作规程，建立管理台帐，并做好记录</w:t>
                  </w:r>
                  <w:r>
                    <w:rPr>
                      <w:rFonts w:hint="eastAsia" w:cs="Times New Roman"/>
                      <w:color w:val="auto"/>
                      <w:kern w:val="2"/>
                      <w:sz w:val="21"/>
                      <w:szCs w:val="21"/>
                      <w:lang w:val="en-US" w:eastAsia="zh-CN" w:bidi="ar-SA"/>
                    </w:rPr>
                    <w:t>。</w:t>
                  </w:r>
                </w:p>
              </w:tc>
              <w:tc>
                <w:tcPr>
                  <w:tcW w:w="8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bl>
          <w:p>
            <w:pPr>
              <w:pStyle w:val="86"/>
              <w:spacing w:beforeLines="50"/>
              <w:rPr>
                <w:rFonts w:hint="default" w:ascii="Times New Roman" w:hAnsi="Times New Roman" w:cs="Times New Roman"/>
                <w:color w:val="auto"/>
              </w:rPr>
            </w:pPr>
            <w:r>
              <w:rPr>
                <w:rFonts w:hint="default" w:ascii="Times New Roman" w:hAnsi="Times New Roman" w:cs="Times New Roman"/>
                <w:color w:val="auto"/>
              </w:rPr>
              <w:t>综上，本项目符合</w:t>
            </w:r>
            <w:r>
              <w:rPr>
                <w:rFonts w:hint="default" w:ascii="Times New Roman" w:hAnsi="Times New Roman" w:cs="Times New Roman"/>
                <w:color w:val="auto"/>
                <w:kern w:val="0"/>
                <w:lang w:val="en-US"/>
              </w:rPr>
              <w:t>环大气[2019]53号</w:t>
            </w:r>
            <w:r>
              <w:rPr>
                <w:rFonts w:hint="default" w:ascii="Times New Roman" w:hAnsi="Times New Roman" w:cs="Times New Roman"/>
                <w:color w:val="auto"/>
                <w:szCs w:val="24"/>
              </w:rPr>
              <w:t>文件要求</w:t>
            </w:r>
            <w:r>
              <w:rPr>
                <w:rFonts w:hint="default" w:ascii="Times New Roman" w:hAnsi="Times New Roman" w:cs="Times New Roman"/>
                <w:color w:val="auto"/>
              </w:rPr>
              <w:t>。</w:t>
            </w:r>
          </w:p>
          <w:p>
            <w:pPr>
              <w:spacing w:line="360" w:lineRule="auto"/>
              <w:ind w:firstLine="480" w:firstLineChars="200"/>
              <w:jc w:val="left"/>
              <w:outlineLvl w:val="2"/>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与鲁环发[2019]132号文</w:t>
            </w:r>
            <w:r>
              <w:rPr>
                <w:rFonts w:hint="default" w:ascii="Times New Roman" w:hAnsi="Times New Roman" w:cs="Times New Roman" w:eastAsiaTheme="minorEastAsia"/>
                <w:color w:val="auto"/>
                <w:sz w:val="24"/>
                <w:szCs w:val="24"/>
                <w:lang w:eastAsia="zh-CN"/>
              </w:rPr>
              <w:t>、威环函</w:t>
            </w:r>
            <w:r>
              <w:rPr>
                <w:rFonts w:hint="default" w:ascii="Times New Roman" w:hAnsi="Times New Roman" w:cs="Times New Roman" w:eastAsiaTheme="minorEastAsia"/>
                <w:color w:val="auto"/>
                <w:sz w:val="24"/>
                <w:szCs w:val="24"/>
                <w:lang w:val="en-US" w:eastAsia="zh-CN"/>
              </w:rPr>
              <w:t>[2020]8号文</w:t>
            </w:r>
            <w:r>
              <w:rPr>
                <w:rFonts w:hint="default" w:ascii="Times New Roman" w:hAnsi="Times New Roman" w:cs="Times New Roman" w:eastAsiaTheme="minorEastAsia"/>
                <w:color w:val="auto"/>
                <w:sz w:val="24"/>
                <w:szCs w:val="24"/>
              </w:rPr>
              <w:t>符合性分析</w:t>
            </w:r>
          </w:p>
          <w:p>
            <w:pPr>
              <w:spacing w:line="360" w:lineRule="auto"/>
              <w:jc w:val="center"/>
              <w:rPr>
                <w:rFonts w:hint="default" w:ascii="Times New Roman" w:hAnsi="Times New Roman" w:eastAsia="黑体" w:cs="Times New Roman"/>
                <w:b/>
                <w:bCs/>
                <w:color w:val="auto"/>
                <w:szCs w:val="24"/>
              </w:rPr>
            </w:pPr>
            <w:r>
              <w:rPr>
                <w:rFonts w:hint="default" w:ascii="Times New Roman" w:hAnsi="Times New Roman" w:cs="Times New Roman" w:eastAsiaTheme="minorEastAsia"/>
                <w:b/>
                <w:bCs/>
                <w:color w:val="auto"/>
                <w:sz w:val="24"/>
                <w:szCs w:val="24"/>
              </w:rPr>
              <w:t>表</w:t>
            </w:r>
            <w:r>
              <w:rPr>
                <w:rFonts w:hint="default" w:ascii="Times New Roman" w:hAnsi="Times New Roman" w:cs="Times New Roman" w:eastAsiaTheme="minorEastAsia"/>
                <w:b/>
                <w:bCs/>
                <w:color w:val="auto"/>
                <w:sz w:val="24"/>
                <w:szCs w:val="24"/>
                <w:lang w:val="en-US" w:eastAsia="zh-CN"/>
              </w:rPr>
              <w:t>1-7</w:t>
            </w:r>
            <w:r>
              <w:rPr>
                <w:rFonts w:hint="default" w:ascii="Times New Roman" w:hAnsi="Times New Roman" w:cs="Times New Roman" w:eastAsiaTheme="minorEastAsia"/>
                <w:b/>
                <w:bCs/>
                <w:color w:val="auto"/>
                <w:sz w:val="24"/>
                <w:szCs w:val="24"/>
              </w:rPr>
              <w:t xml:space="preserve"> 本项目与鲁环发[2019]132号文</w:t>
            </w:r>
            <w:r>
              <w:rPr>
                <w:rFonts w:hint="default" w:ascii="Times New Roman" w:hAnsi="Times New Roman" w:cs="Times New Roman" w:eastAsiaTheme="minorEastAsia"/>
                <w:b/>
                <w:bCs/>
                <w:color w:val="auto"/>
                <w:sz w:val="24"/>
                <w:szCs w:val="24"/>
                <w:lang w:eastAsia="zh-CN"/>
              </w:rPr>
              <w:t>、威环函</w:t>
            </w:r>
            <w:r>
              <w:rPr>
                <w:rFonts w:hint="default" w:ascii="Times New Roman" w:hAnsi="Times New Roman" w:cs="Times New Roman" w:eastAsiaTheme="minorEastAsia"/>
                <w:b/>
                <w:bCs/>
                <w:color w:val="auto"/>
                <w:sz w:val="24"/>
                <w:szCs w:val="24"/>
                <w:lang w:val="en-US" w:eastAsia="zh-CN"/>
              </w:rPr>
              <w:t>[2020]8号文</w:t>
            </w:r>
            <w:r>
              <w:rPr>
                <w:rFonts w:hint="default" w:ascii="Times New Roman" w:hAnsi="Times New Roman" w:cs="Times New Roman" w:eastAsiaTheme="minorEastAsia"/>
                <w:b/>
                <w:bCs/>
                <w:color w:val="auto"/>
                <w:sz w:val="24"/>
                <w:szCs w:val="24"/>
              </w:rPr>
              <w:t>的符合情况</w:t>
            </w:r>
          </w:p>
          <w:tbl>
            <w:tblPr>
              <w:tblStyle w:val="39"/>
              <w:tblW w:w="907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83"/>
              <w:gridCol w:w="2575"/>
              <w:gridCol w:w="7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5783" w:type="dxa"/>
                  <w:tcBorders>
                    <w:tl2br w:val="nil"/>
                    <w:tr2bl w:val="nil"/>
                  </w:tcBorders>
                  <w:vAlign w:val="center"/>
                </w:tcPr>
                <w:p>
                  <w:pPr>
                    <w:adjustRightInd w:val="0"/>
                    <w:snapToGrid w:val="0"/>
                    <w:spacing w:line="340" w:lineRule="exact"/>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鲁环发[2019]132号文要求</w:t>
                  </w:r>
                </w:p>
              </w:tc>
              <w:tc>
                <w:tcPr>
                  <w:tcW w:w="2575" w:type="dxa"/>
                  <w:tcBorders>
                    <w:tl2br w:val="nil"/>
                    <w:tr2bl w:val="nil"/>
                  </w:tcBorders>
                  <w:vAlign w:val="center"/>
                </w:tcPr>
                <w:p>
                  <w:pPr>
                    <w:adjustRightInd w:val="0"/>
                    <w:snapToGrid w:val="0"/>
                    <w:spacing w:line="340" w:lineRule="exact"/>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项目情况</w:t>
                  </w:r>
                </w:p>
              </w:tc>
              <w:tc>
                <w:tcPr>
                  <w:tcW w:w="721" w:type="dxa"/>
                  <w:tcBorders>
                    <w:tl2br w:val="nil"/>
                    <w:tr2bl w:val="nil"/>
                  </w:tcBorders>
                  <w:vAlign w:val="center"/>
                </w:tcPr>
                <w:p>
                  <w:pPr>
                    <w:adjustRightInd w:val="0"/>
                    <w:snapToGrid w:val="0"/>
                    <w:spacing w:line="340" w:lineRule="exact"/>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5783" w:type="dxa"/>
                  <w:tcBorders>
                    <w:tl2br w:val="nil"/>
                    <w:tr2bl w:val="nil"/>
                  </w:tcBorders>
                  <w:vAlign w:val="center"/>
                </w:tcPr>
                <w:p>
                  <w:pPr>
                    <w:adjustRightInd w:val="0"/>
                    <w:snapToGrid w:val="0"/>
                    <w:spacing w:line="340" w:lineRule="exact"/>
                    <w:ind w:firstLine="420" w:firstLineChars="200"/>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kern w:val="0"/>
                      <w:sz w:val="21"/>
                      <w:szCs w:val="21"/>
                    </w:rPr>
                    <w:t>二、指标来源</w:t>
                  </w:r>
                </w:p>
                <w:p>
                  <w:pPr>
                    <w:adjustRightInd w:val="0"/>
                    <w:snapToGrid w:val="0"/>
                    <w:spacing w:line="340" w:lineRule="exact"/>
                    <w:ind w:firstLine="420" w:firstLineChars="200"/>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kern w:val="0"/>
                      <w:sz w:val="21"/>
                      <w:szCs w:val="21"/>
                    </w:rPr>
                    <w:t>“可替代总量指标”核算基准年为2017年。建设项目污染物排放总量替代指标应来源于2017年1月1日以后，企事业单位采取减排措施后正常工况下或者关停可形成的年排放削减量，或者从拟替代关停的现有企业、设施或者治理项目可形成的污染物削减量中预支。</w:t>
                  </w:r>
                </w:p>
              </w:tc>
              <w:tc>
                <w:tcPr>
                  <w:tcW w:w="2575" w:type="dxa"/>
                  <w:tcBorders>
                    <w:tl2br w:val="nil"/>
                    <w:tr2bl w:val="nil"/>
                  </w:tcBorders>
                  <w:vAlign w:val="center"/>
                </w:tcPr>
                <w:p>
                  <w:pPr>
                    <w:adjustRightInd w:val="0"/>
                    <w:snapToGrid w:val="0"/>
                    <w:spacing w:line="340" w:lineRule="exact"/>
                    <w:ind w:firstLine="420" w:firstLineChars="20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项目VOCs来源于</w:t>
                  </w:r>
                  <w:r>
                    <w:rPr>
                      <w:rFonts w:hint="eastAsia" w:cs="Times New Roman" w:eastAsiaTheme="minorEastAsia"/>
                      <w:b w:val="0"/>
                      <w:bCs w:val="0"/>
                      <w:color w:val="auto"/>
                      <w:sz w:val="21"/>
                      <w:szCs w:val="21"/>
                      <w:highlight w:val="none"/>
                      <w:lang w:eastAsia="zh-CN"/>
                    </w:rPr>
                    <w:t>威海市畅源化纤有限责任公司羊亭分公司</w:t>
                  </w:r>
                  <w:r>
                    <w:rPr>
                      <w:rFonts w:hint="default" w:ascii="Times New Roman" w:hAnsi="Times New Roman" w:cs="Times New Roman" w:eastAsiaTheme="minorEastAsia"/>
                      <w:b w:val="0"/>
                      <w:bCs w:val="0"/>
                      <w:color w:val="auto"/>
                      <w:sz w:val="21"/>
                      <w:szCs w:val="21"/>
                      <w:highlight w:val="none"/>
                      <w:lang w:eastAsia="zh-CN"/>
                    </w:rPr>
                    <w:t>减排量</w:t>
                  </w:r>
                  <w:r>
                    <w:rPr>
                      <w:rFonts w:hint="default" w:ascii="Times New Roman" w:hAnsi="Times New Roman" w:cs="Times New Roman" w:eastAsiaTheme="minorEastAsia"/>
                      <w:b w:val="0"/>
                      <w:bCs w:val="0"/>
                      <w:color w:val="auto"/>
                      <w:sz w:val="21"/>
                      <w:szCs w:val="21"/>
                      <w:highlight w:val="none"/>
                    </w:rPr>
                    <w:t>，该厂于201</w:t>
                  </w:r>
                  <w:r>
                    <w:rPr>
                      <w:rFonts w:hint="eastAsia" w:cs="Times New Roman" w:eastAsiaTheme="minorEastAsia"/>
                      <w:b w:val="0"/>
                      <w:bCs w:val="0"/>
                      <w:color w:val="auto"/>
                      <w:sz w:val="21"/>
                      <w:szCs w:val="21"/>
                      <w:highlight w:val="none"/>
                      <w:lang w:val="en-US" w:eastAsia="zh-CN"/>
                    </w:rPr>
                    <w:t>7年3</w:t>
                  </w:r>
                  <w:r>
                    <w:rPr>
                      <w:rFonts w:hint="default" w:ascii="Times New Roman" w:hAnsi="Times New Roman" w:cs="Times New Roman" w:eastAsiaTheme="minorEastAsia"/>
                      <w:b w:val="0"/>
                      <w:bCs w:val="0"/>
                      <w:color w:val="auto"/>
                      <w:sz w:val="21"/>
                      <w:szCs w:val="21"/>
                      <w:highlight w:val="none"/>
                    </w:rPr>
                    <w:t>月份</w:t>
                  </w:r>
                  <w:r>
                    <w:rPr>
                      <w:rFonts w:hint="default" w:ascii="Times New Roman" w:hAnsi="Times New Roman" w:cs="Times New Roman" w:eastAsiaTheme="minorEastAsia"/>
                      <w:b w:val="0"/>
                      <w:bCs w:val="0"/>
                      <w:color w:val="auto"/>
                      <w:sz w:val="21"/>
                      <w:szCs w:val="21"/>
                      <w:highlight w:val="none"/>
                      <w:lang w:eastAsia="zh-CN"/>
                    </w:rPr>
                    <w:t>停产，</w:t>
                  </w:r>
                  <w:r>
                    <w:rPr>
                      <w:rFonts w:hint="default" w:ascii="Times New Roman" w:hAnsi="Times New Roman" w:cs="Times New Roman" w:eastAsiaTheme="minorEastAsia"/>
                      <w:b w:val="0"/>
                      <w:bCs w:val="0"/>
                      <w:color w:val="auto"/>
                      <w:sz w:val="21"/>
                      <w:szCs w:val="21"/>
                      <w:highlight w:val="none"/>
                    </w:rPr>
                    <w:t>能够满足</w:t>
                  </w:r>
                  <w:r>
                    <w:rPr>
                      <w:rFonts w:hint="default" w:ascii="Times New Roman" w:hAnsi="Times New Roman" w:cs="Times New Roman" w:eastAsiaTheme="minorEastAsia"/>
                      <w:b w:val="0"/>
                      <w:bCs w:val="0"/>
                      <w:color w:val="auto"/>
                      <w:sz w:val="21"/>
                      <w:szCs w:val="21"/>
                      <w:highlight w:val="none"/>
                      <w:lang w:eastAsia="zh-CN"/>
                    </w:rPr>
                    <w:t>替代</w:t>
                  </w:r>
                  <w:r>
                    <w:rPr>
                      <w:rFonts w:hint="default" w:ascii="Times New Roman" w:hAnsi="Times New Roman" w:cs="Times New Roman" w:eastAsiaTheme="minorEastAsia"/>
                      <w:b w:val="0"/>
                      <w:bCs w:val="0"/>
                      <w:color w:val="auto"/>
                      <w:sz w:val="21"/>
                      <w:szCs w:val="21"/>
                      <w:highlight w:val="none"/>
                    </w:rPr>
                    <w:t>要求。</w:t>
                  </w:r>
                </w:p>
              </w:tc>
              <w:tc>
                <w:tcPr>
                  <w:tcW w:w="721" w:type="dxa"/>
                  <w:tcBorders>
                    <w:tl2br w:val="nil"/>
                    <w:tr2bl w:val="nil"/>
                  </w:tcBorders>
                  <w:vAlign w:val="center"/>
                </w:tcPr>
                <w:p>
                  <w:pPr>
                    <w:adjustRightInd w:val="0"/>
                    <w:snapToGrid w:val="0"/>
                    <w:spacing w:line="340" w:lineRule="exact"/>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5783" w:type="dxa"/>
                  <w:tcBorders>
                    <w:tl2br w:val="nil"/>
                    <w:tr2bl w:val="nil"/>
                  </w:tcBorders>
                  <w:vAlign w:val="center"/>
                </w:tcPr>
                <w:p>
                  <w:pPr>
                    <w:adjustRightInd w:val="0"/>
                    <w:snapToGrid w:val="0"/>
                    <w:spacing w:line="340" w:lineRule="exact"/>
                    <w:ind w:firstLine="420" w:firstLineChars="200"/>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kern w:val="0"/>
                      <w:sz w:val="21"/>
                      <w:szCs w:val="21"/>
                    </w:rPr>
                    <w:t>四、指标审核</w:t>
                  </w:r>
                </w:p>
                <w:p>
                  <w:pPr>
                    <w:adjustRightInd w:val="0"/>
                    <w:snapToGrid w:val="0"/>
                    <w:spacing w:line="340" w:lineRule="exact"/>
                    <w:ind w:firstLine="420" w:firstLineChars="200"/>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kern w:val="0"/>
                      <w:sz w:val="21"/>
                      <w:szCs w:val="21"/>
                    </w:rPr>
                    <w:t>用于建设项目的“可替代总量指标”不得低于建设项目所需替代的主要污染物排放总量指标。上一年度环境空气质量年平均浓度达标的城市，相关污染物进行等量替代。上一年度环境空气质量年平均浓度不达标的城市，相关污染物应按照建设项目所需替代的污染物排放总量指标的2倍进行削减替代（燃煤发电机组大气污染物排放浓度达到超低排放标准的进行等量替代）。上一年度细颗粒物年平均浓度超标的设区的市，实行二氧化硫、氮氧化物、烟粉尘、挥发性有机物四项污染物排放总量指标2倍削减替代。各设区的市有更严格倍量替代要求的，按照有关规定执行。</w:t>
                  </w:r>
                </w:p>
              </w:tc>
              <w:tc>
                <w:tcPr>
                  <w:tcW w:w="2575" w:type="dxa"/>
                  <w:tcBorders>
                    <w:tl2br w:val="nil"/>
                    <w:tr2bl w:val="nil"/>
                  </w:tcBorders>
                  <w:vAlign w:val="center"/>
                </w:tcPr>
                <w:p>
                  <w:pPr>
                    <w:adjustRightInd w:val="0"/>
                    <w:snapToGrid w:val="0"/>
                    <w:spacing w:line="340" w:lineRule="exact"/>
                    <w:ind w:firstLine="420" w:firstLineChars="20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项目VOCs排放量为</w:t>
                  </w:r>
                  <w:r>
                    <w:rPr>
                      <w:rFonts w:hint="eastAsia" w:cs="Times New Roman" w:eastAsiaTheme="minorEastAsia"/>
                      <w:b w:val="0"/>
                      <w:bCs w:val="0"/>
                      <w:color w:val="auto"/>
                      <w:sz w:val="21"/>
                      <w:szCs w:val="21"/>
                      <w:highlight w:val="none"/>
                      <w:lang w:val="en-US" w:eastAsia="zh-CN"/>
                    </w:rPr>
                    <w:t>0.013</w:t>
                  </w:r>
                  <w:r>
                    <w:rPr>
                      <w:rFonts w:hint="default" w:ascii="Times New Roman" w:hAnsi="Times New Roman" w:cs="Times New Roman" w:eastAsiaTheme="minorEastAsia"/>
                      <w:b w:val="0"/>
                      <w:bCs w:val="0"/>
                      <w:color w:val="auto"/>
                      <w:sz w:val="21"/>
                      <w:szCs w:val="21"/>
                      <w:highlight w:val="none"/>
                    </w:rPr>
                    <w:t>t/a，可从</w:t>
                  </w:r>
                  <w:r>
                    <w:rPr>
                      <w:rFonts w:hint="eastAsia" w:cs="Times New Roman" w:eastAsiaTheme="minorEastAsia"/>
                      <w:b w:val="0"/>
                      <w:bCs w:val="0"/>
                      <w:color w:val="auto"/>
                      <w:sz w:val="21"/>
                      <w:szCs w:val="21"/>
                      <w:highlight w:val="none"/>
                      <w:lang w:eastAsia="zh-CN"/>
                    </w:rPr>
                    <w:t>威海市畅源化纤有限责任公司羊亭分公司</w:t>
                  </w:r>
                  <w:r>
                    <w:rPr>
                      <w:rFonts w:hint="default" w:ascii="Times New Roman" w:hAnsi="Times New Roman" w:cs="Times New Roman" w:eastAsiaTheme="minorEastAsia"/>
                      <w:b w:val="0"/>
                      <w:bCs w:val="0"/>
                      <w:color w:val="auto"/>
                      <w:sz w:val="21"/>
                      <w:szCs w:val="21"/>
                      <w:highlight w:val="none"/>
                    </w:rPr>
                    <w:t>的VOCs减排量中进行替代，减排量</w:t>
                  </w:r>
                  <w:r>
                    <w:rPr>
                      <w:rFonts w:hint="default" w:ascii="Times New Roman" w:hAnsi="Times New Roman" w:cs="Times New Roman" w:eastAsiaTheme="minorEastAsia"/>
                      <w:b w:val="0"/>
                      <w:bCs w:val="0"/>
                      <w:color w:val="auto"/>
                      <w:sz w:val="21"/>
                      <w:szCs w:val="21"/>
                      <w:highlight w:val="none"/>
                      <w:lang w:eastAsia="zh-CN"/>
                    </w:rPr>
                    <w:t>为</w:t>
                  </w:r>
                  <w:r>
                    <w:rPr>
                      <w:rFonts w:hint="eastAsia" w:cs="Times New Roman" w:eastAsiaTheme="minorEastAsia"/>
                      <w:b w:val="0"/>
                      <w:bCs w:val="0"/>
                      <w:color w:val="auto"/>
                      <w:sz w:val="21"/>
                      <w:szCs w:val="21"/>
                      <w:highlight w:val="none"/>
                      <w:lang w:val="en-US" w:eastAsia="zh-CN"/>
                    </w:rPr>
                    <w:t>0.175</w:t>
                  </w:r>
                  <w:r>
                    <w:rPr>
                      <w:rFonts w:hint="default" w:ascii="Times New Roman" w:hAnsi="Times New Roman" w:cs="Times New Roman" w:eastAsiaTheme="minorEastAsia"/>
                      <w:b w:val="0"/>
                      <w:bCs w:val="0"/>
                      <w:color w:val="auto"/>
                      <w:sz w:val="21"/>
                      <w:szCs w:val="21"/>
                      <w:highlight w:val="none"/>
                    </w:rPr>
                    <w:t>t，</w:t>
                  </w:r>
                  <w:r>
                    <w:rPr>
                      <w:rFonts w:hint="default" w:ascii="Times New Roman" w:hAnsi="Times New Roman" w:cs="Times New Roman" w:eastAsiaTheme="minorEastAsia"/>
                      <w:b w:val="0"/>
                      <w:bCs w:val="0"/>
                      <w:color w:val="auto"/>
                      <w:sz w:val="21"/>
                      <w:szCs w:val="21"/>
                      <w:highlight w:val="none"/>
                      <w:lang w:eastAsia="zh-CN"/>
                    </w:rPr>
                    <w:t>目前剩余量</w:t>
                  </w:r>
                  <w:r>
                    <w:rPr>
                      <w:rFonts w:hint="default" w:ascii="Times New Roman" w:hAnsi="Times New Roman" w:cs="Times New Roman" w:eastAsiaTheme="minorEastAsia"/>
                      <w:b w:val="0"/>
                      <w:bCs w:val="0"/>
                      <w:color w:val="auto"/>
                      <w:sz w:val="21"/>
                      <w:szCs w:val="21"/>
                      <w:highlight w:val="none"/>
                    </w:rPr>
                    <w:t>为</w:t>
                  </w:r>
                  <w:r>
                    <w:rPr>
                      <w:rFonts w:hint="eastAsia" w:cs="Times New Roman" w:eastAsiaTheme="minorEastAsia"/>
                      <w:b w:val="0"/>
                      <w:bCs w:val="0"/>
                      <w:color w:val="auto"/>
                      <w:sz w:val="21"/>
                      <w:szCs w:val="21"/>
                      <w:highlight w:val="none"/>
                      <w:lang w:val="en-US" w:eastAsia="zh-CN"/>
                    </w:rPr>
                    <w:t>0.175</w:t>
                  </w:r>
                  <w:r>
                    <w:rPr>
                      <w:rFonts w:hint="default" w:ascii="Times New Roman" w:hAnsi="Times New Roman" w:cs="Times New Roman" w:eastAsiaTheme="minorEastAsia"/>
                      <w:b w:val="0"/>
                      <w:bCs w:val="0"/>
                      <w:color w:val="auto"/>
                      <w:sz w:val="21"/>
                      <w:szCs w:val="21"/>
                      <w:highlight w:val="none"/>
                    </w:rPr>
                    <w:t>t</w:t>
                  </w:r>
                  <w:r>
                    <w:rPr>
                      <w:rFonts w:hint="default" w:ascii="Times New Roman" w:hAnsi="Times New Roman" w:cs="Times New Roman" w:eastAsiaTheme="minorEastAsia"/>
                      <w:b w:val="0"/>
                      <w:bCs w:val="0"/>
                      <w:color w:val="auto"/>
                      <w:sz w:val="21"/>
                      <w:szCs w:val="21"/>
                      <w:highlight w:val="none"/>
                      <w:lang w:eastAsia="zh-CN"/>
                    </w:rPr>
                    <w:t>，</w:t>
                  </w:r>
                  <w:r>
                    <w:rPr>
                      <w:rFonts w:hint="default" w:ascii="Times New Roman" w:hAnsi="Times New Roman" w:cs="Times New Roman" w:eastAsiaTheme="minorEastAsia"/>
                      <w:b w:val="0"/>
                      <w:bCs w:val="0"/>
                      <w:color w:val="auto"/>
                      <w:sz w:val="21"/>
                      <w:szCs w:val="21"/>
                      <w:highlight w:val="none"/>
                    </w:rPr>
                    <w:t>能够满足</w:t>
                  </w:r>
                  <w:r>
                    <w:rPr>
                      <w:rFonts w:hint="eastAsia" w:cs="Times New Roman" w:eastAsiaTheme="minorEastAsia"/>
                      <w:b w:val="0"/>
                      <w:bCs w:val="0"/>
                      <w:color w:val="auto"/>
                      <w:sz w:val="21"/>
                      <w:szCs w:val="21"/>
                      <w:highlight w:val="none"/>
                      <w:lang w:eastAsia="zh-CN"/>
                    </w:rPr>
                    <w:t>等</w:t>
                  </w:r>
                  <w:r>
                    <w:rPr>
                      <w:rFonts w:hint="default" w:ascii="Times New Roman" w:hAnsi="Times New Roman" w:cs="Times New Roman" w:eastAsiaTheme="minorEastAsia"/>
                      <w:b w:val="0"/>
                      <w:bCs w:val="0"/>
                      <w:color w:val="auto"/>
                      <w:sz w:val="21"/>
                      <w:szCs w:val="21"/>
                      <w:highlight w:val="none"/>
                      <w:lang w:eastAsia="zh-CN"/>
                    </w:rPr>
                    <w:t>量</w:t>
                  </w:r>
                  <w:r>
                    <w:rPr>
                      <w:rFonts w:hint="default" w:ascii="Times New Roman" w:hAnsi="Times New Roman" w:cs="Times New Roman" w:eastAsiaTheme="minorEastAsia"/>
                      <w:b w:val="0"/>
                      <w:bCs w:val="0"/>
                      <w:color w:val="auto"/>
                      <w:sz w:val="21"/>
                      <w:szCs w:val="21"/>
                      <w:highlight w:val="none"/>
                    </w:rPr>
                    <w:t>替代的要求，项目VOCs替代源具体说明见附件。</w:t>
                  </w:r>
                </w:p>
              </w:tc>
              <w:tc>
                <w:tcPr>
                  <w:tcW w:w="721" w:type="dxa"/>
                  <w:tcBorders>
                    <w:tl2br w:val="nil"/>
                    <w:tr2bl w:val="nil"/>
                  </w:tcBorders>
                  <w:vAlign w:val="center"/>
                </w:tcPr>
                <w:p>
                  <w:pPr>
                    <w:adjustRightInd w:val="0"/>
                    <w:snapToGrid w:val="0"/>
                    <w:spacing w:line="340" w:lineRule="exact"/>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符合</w:t>
                  </w:r>
                </w:p>
              </w:tc>
            </w:tr>
          </w:tbl>
          <w:p>
            <w:pPr>
              <w:spacing w:line="360" w:lineRule="auto"/>
              <w:ind w:firstLine="480" w:firstLineChars="200"/>
              <w:jc w:val="left"/>
              <w:outlineLvl w:val="2"/>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综上所述，本项目符合鲁环发[2019]132号文</w:t>
            </w:r>
            <w:r>
              <w:rPr>
                <w:rFonts w:hint="default" w:ascii="Times New Roman" w:hAnsi="Times New Roman" w:cs="Times New Roman" w:eastAsiaTheme="minorEastAsia"/>
                <w:color w:val="auto"/>
                <w:sz w:val="24"/>
                <w:szCs w:val="24"/>
                <w:lang w:eastAsia="zh-CN"/>
              </w:rPr>
              <w:t>、威环函</w:t>
            </w:r>
            <w:r>
              <w:rPr>
                <w:rFonts w:hint="default" w:ascii="Times New Roman" w:hAnsi="Times New Roman" w:cs="Times New Roman" w:eastAsiaTheme="minorEastAsia"/>
                <w:color w:val="auto"/>
                <w:sz w:val="24"/>
                <w:szCs w:val="24"/>
                <w:lang w:val="en-US" w:eastAsia="zh-CN"/>
              </w:rPr>
              <w:t>[2020]8号文</w:t>
            </w:r>
            <w:r>
              <w:rPr>
                <w:rFonts w:hint="default" w:ascii="Times New Roman" w:hAnsi="Times New Roman" w:cs="Times New Roman" w:eastAsiaTheme="minorEastAsia"/>
                <w:color w:val="auto"/>
                <w:sz w:val="24"/>
                <w:szCs w:val="24"/>
              </w:rPr>
              <w:t>的相关要求</w:t>
            </w:r>
            <w:r>
              <w:rPr>
                <w:rFonts w:hint="default" w:ascii="Times New Roman" w:hAnsi="Times New Roman" w:cs="Times New Roman" w:eastAsiaTheme="minorEastAsia"/>
                <w:color w:val="auto"/>
                <w:sz w:val="24"/>
                <w:szCs w:val="24"/>
                <w:lang w:eastAsia="zh-CN"/>
              </w:rPr>
              <w:t>。</w:t>
            </w:r>
          </w:p>
          <w:p>
            <w:pPr>
              <w:spacing w:line="360" w:lineRule="auto"/>
              <w:ind w:firstLine="480" w:firstLineChars="200"/>
              <w:jc w:val="left"/>
              <w:outlineLvl w:val="2"/>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与威环发[2018]85号文符合性分析</w:t>
            </w:r>
          </w:p>
          <w:p>
            <w:pPr>
              <w:spacing w:line="360" w:lineRule="auto"/>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w:t>
            </w:r>
            <w:r>
              <w:rPr>
                <w:rFonts w:hint="default" w:ascii="Times New Roman" w:hAnsi="Times New Roman" w:cs="Times New Roman" w:eastAsiaTheme="minorEastAsia"/>
                <w:b/>
                <w:bCs/>
                <w:color w:val="auto"/>
                <w:sz w:val="24"/>
                <w:szCs w:val="24"/>
                <w:lang w:val="en-US" w:eastAsia="zh-CN"/>
              </w:rPr>
              <w:t>1-8</w:t>
            </w:r>
            <w:r>
              <w:rPr>
                <w:rFonts w:hint="default" w:ascii="Times New Roman" w:hAnsi="Times New Roman" w:cs="Times New Roman" w:eastAsiaTheme="minorEastAsia"/>
                <w:b/>
                <w:bCs/>
                <w:color w:val="auto"/>
                <w:sz w:val="24"/>
                <w:szCs w:val="24"/>
              </w:rPr>
              <w:t xml:space="preserve"> 本项目与威环发[2018]85号文的符合情况</w:t>
            </w:r>
          </w:p>
          <w:tbl>
            <w:tblPr>
              <w:tblStyle w:val="39"/>
              <w:tblW w:w="907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22"/>
              <w:gridCol w:w="4336"/>
              <w:gridCol w:w="7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4022" w:type="dxa"/>
                  <w:tcBorders>
                    <w:tl2br w:val="nil"/>
                    <w:tr2bl w:val="nil"/>
                  </w:tcBorders>
                  <w:vAlign w:val="center"/>
                </w:tcPr>
                <w:p>
                  <w:pPr>
                    <w:adjustRightInd w:val="0"/>
                    <w:snapToGrid w:val="0"/>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威环发[2018]85号文要求</w:t>
                  </w:r>
                </w:p>
              </w:tc>
              <w:tc>
                <w:tcPr>
                  <w:tcW w:w="4336" w:type="dxa"/>
                  <w:tcBorders>
                    <w:tl2br w:val="nil"/>
                    <w:tr2bl w:val="nil"/>
                  </w:tcBorders>
                  <w:vAlign w:val="center"/>
                </w:tcPr>
                <w:p>
                  <w:pPr>
                    <w:adjustRightInd w:val="0"/>
                    <w:snapToGrid w:val="0"/>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项目情况</w:t>
                  </w:r>
                </w:p>
              </w:tc>
              <w:tc>
                <w:tcPr>
                  <w:tcW w:w="721" w:type="dxa"/>
                  <w:tcBorders>
                    <w:tl2br w:val="nil"/>
                    <w:tr2bl w:val="nil"/>
                  </w:tcBorders>
                  <w:vAlign w:val="center"/>
                </w:tcPr>
                <w:p>
                  <w:pPr>
                    <w:adjustRightInd w:val="0"/>
                    <w:snapToGrid w:val="0"/>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4022" w:type="dxa"/>
                  <w:tcBorders>
                    <w:tl2br w:val="nil"/>
                    <w:tr2bl w:val="nil"/>
                  </w:tcBorders>
                  <w:vAlign w:val="center"/>
                </w:tcPr>
                <w:p>
                  <w:pPr>
                    <w:adjustRightInd w:val="0"/>
                    <w:snapToGrid w:val="0"/>
                    <w:spacing w:line="34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kern w:val="0"/>
                      <w:sz w:val="21"/>
                      <w:szCs w:val="21"/>
                    </w:rPr>
                    <w:t>1、加快推进“散乱污”企业综合整治。针对涉VOCs排放的“散乱污”企业，在落实《威海市2017年环境保护突出问题综合整治攻坚方案》等要求的基础上，坚持边整治、边摸排，对新排查出的“散乱污”企业，坚持“先停后治”的原则，建立管理台账，实施分类处置。</w:t>
                  </w:r>
                </w:p>
              </w:tc>
              <w:tc>
                <w:tcPr>
                  <w:tcW w:w="4336" w:type="dxa"/>
                  <w:tcBorders>
                    <w:tl2br w:val="nil"/>
                    <w:tr2bl w:val="nil"/>
                  </w:tcBorders>
                  <w:vAlign w:val="center"/>
                </w:tcPr>
                <w:p>
                  <w:pPr>
                    <w:adjustRightInd w:val="0"/>
                    <w:snapToGrid w:val="0"/>
                    <w:spacing w:line="34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本项目属于</w:t>
                  </w:r>
                  <w:r>
                    <w:rPr>
                      <w:rFonts w:hint="default" w:ascii="Times New Roman" w:hAnsi="Times New Roman" w:cs="Times New Roman" w:eastAsiaTheme="minorEastAsia"/>
                      <w:color w:val="auto"/>
                      <w:sz w:val="21"/>
                      <w:szCs w:val="21"/>
                      <w:lang w:eastAsia="zh-CN"/>
                    </w:rPr>
                    <w:t>新建</w:t>
                  </w:r>
                  <w:r>
                    <w:rPr>
                      <w:rFonts w:hint="default" w:ascii="Times New Roman" w:hAnsi="Times New Roman" w:cs="Times New Roman" w:eastAsiaTheme="minorEastAsia"/>
                      <w:color w:val="auto"/>
                      <w:sz w:val="21"/>
                      <w:szCs w:val="21"/>
                    </w:rPr>
                    <w:t>项目，不存在涉VOCs排放的“散乱污”现象。</w:t>
                  </w:r>
                </w:p>
              </w:tc>
              <w:tc>
                <w:tcPr>
                  <w:tcW w:w="721" w:type="dxa"/>
                  <w:tcBorders>
                    <w:tl2br w:val="nil"/>
                    <w:tr2bl w:val="nil"/>
                  </w:tcBorders>
                  <w:vAlign w:val="center"/>
                </w:tcPr>
                <w:p>
                  <w:pPr>
                    <w:adjustRightInd w:val="0"/>
                    <w:snapToGrid w:val="0"/>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4022" w:type="dxa"/>
                  <w:tcBorders>
                    <w:tl2br w:val="nil"/>
                    <w:tr2bl w:val="nil"/>
                  </w:tcBorders>
                  <w:vAlign w:val="center"/>
                </w:tcPr>
                <w:p>
                  <w:pPr>
                    <w:adjustRightInd w:val="0"/>
                    <w:snapToGrid w:val="0"/>
                    <w:spacing w:line="340" w:lineRule="exact"/>
                    <w:ind w:firstLine="420" w:firstLineChars="200"/>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Cs/>
                      <w:color w:val="auto"/>
                      <w:kern w:val="0"/>
                      <w:sz w:val="21"/>
                      <w:szCs w:val="21"/>
                    </w:rPr>
                    <w:t>2、严格建设项目环境准入。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tc>
              <w:tc>
                <w:tcPr>
                  <w:tcW w:w="4336" w:type="dxa"/>
                  <w:tcBorders>
                    <w:tl2br w:val="nil"/>
                    <w:tr2bl w:val="nil"/>
                  </w:tcBorders>
                  <w:vAlign w:val="center"/>
                </w:tcPr>
                <w:p>
                  <w:pPr>
                    <w:adjustRightInd w:val="0"/>
                    <w:snapToGrid w:val="0"/>
                    <w:spacing w:line="340" w:lineRule="exact"/>
                    <w:ind w:firstLine="420" w:firstLineChars="20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rPr>
                    <w:t>本项目位于</w:t>
                  </w:r>
                  <w:r>
                    <w:rPr>
                      <w:rFonts w:hint="eastAsia" w:cs="Times New Roman"/>
                      <w:color w:val="auto"/>
                      <w:sz w:val="21"/>
                      <w:szCs w:val="21"/>
                      <w:lang w:eastAsia="zh-CN"/>
                    </w:rPr>
                    <w:t>威海市环翠区羊亭镇顺海路3-1号</w:t>
                  </w:r>
                  <w:r>
                    <w:rPr>
                      <w:rFonts w:hint="default" w:ascii="Times New Roman" w:hAnsi="Times New Roman" w:cs="Times New Roman" w:eastAsiaTheme="minorEastAsia"/>
                      <w:color w:val="auto"/>
                      <w:sz w:val="21"/>
                      <w:szCs w:val="21"/>
                    </w:rPr>
                    <w:t>。项目</w:t>
                  </w:r>
                  <w:r>
                    <w:rPr>
                      <w:rFonts w:hint="default" w:ascii="Times New Roman" w:hAnsi="Times New Roman" w:cs="Times New Roman" w:eastAsiaTheme="minorEastAsia"/>
                      <w:color w:val="auto"/>
                      <w:sz w:val="21"/>
                      <w:szCs w:val="21"/>
                      <w:lang w:eastAsia="zh-CN"/>
                    </w:rPr>
                    <w:t>生产过程</w:t>
                  </w:r>
                  <w:r>
                    <w:rPr>
                      <w:rFonts w:hint="default" w:ascii="Times New Roman" w:hAnsi="Times New Roman" w:cs="Times New Roman" w:eastAsiaTheme="minorEastAsia"/>
                      <w:color w:val="auto"/>
                      <w:sz w:val="21"/>
                      <w:szCs w:val="21"/>
                    </w:rPr>
                    <w:t>产生的</w:t>
                  </w:r>
                  <w:r>
                    <w:rPr>
                      <w:rFonts w:hint="default" w:ascii="Times New Roman" w:hAnsi="Times New Roman" w:cs="Times New Roman" w:eastAsiaTheme="minorEastAsia"/>
                      <w:color w:val="auto"/>
                      <w:sz w:val="21"/>
                      <w:szCs w:val="21"/>
                      <w:lang w:eastAsia="zh-CN"/>
                    </w:rPr>
                    <w:t>有机</w:t>
                  </w:r>
                  <w:r>
                    <w:rPr>
                      <w:rFonts w:hint="default" w:ascii="Times New Roman" w:hAnsi="Times New Roman" w:cs="Times New Roman" w:eastAsiaTheme="minorEastAsia"/>
                      <w:color w:val="auto"/>
                      <w:sz w:val="21"/>
                      <w:szCs w:val="21"/>
                    </w:rPr>
                    <w:t>废气由</w:t>
                  </w:r>
                  <w:r>
                    <w:rPr>
                      <w:rFonts w:hint="default" w:ascii="Times New Roman" w:hAnsi="Times New Roman" w:cs="Times New Roman" w:eastAsiaTheme="minorEastAsia"/>
                      <w:color w:val="auto"/>
                      <w:sz w:val="21"/>
                      <w:szCs w:val="21"/>
                      <w:lang w:eastAsia="zh-CN"/>
                    </w:rPr>
                    <w:t>密闭、负压</w:t>
                  </w:r>
                  <w:r>
                    <w:rPr>
                      <w:rFonts w:hint="default" w:ascii="Times New Roman" w:hAnsi="Times New Roman" w:cs="Times New Roman" w:eastAsiaTheme="minorEastAsia"/>
                      <w:color w:val="auto"/>
                      <w:sz w:val="21"/>
                      <w:szCs w:val="21"/>
                    </w:rPr>
                    <w:t>抽风系统</w:t>
                  </w:r>
                  <w:r>
                    <w:rPr>
                      <w:rFonts w:hint="default" w:ascii="Times New Roman" w:hAnsi="Times New Roman" w:cs="Times New Roman" w:eastAsiaTheme="minorEastAsia"/>
                      <w:color w:val="auto"/>
                      <w:sz w:val="21"/>
                      <w:szCs w:val="21"/>
                      <w:highlight w:val="none"/>
                    </w:rPr>
                    <w:t>集气，</w:t>
                  </w:r>
                  <w:r>
                    <w:rPr>
                      <w:rFonts w:hint="default" w:ascii="Times New Roman" w:hAnsi="Times New Roman" w:cs="Times New Roman"/>
                      <w:color w:val="auto"/>
                      <w:sz w:val="21"/>
                      <w:szCs w:val="21"/>
                    </w:rPr>
                    <w:t>经</w:t>
                  </w:r>
                  <w:r>
                    <w:rPr>
                      <w:rFonts w:hint="eastAsia" w:cs="Times New Roman"/>
                      <w:color w:val="auto"/>
                      <w:sz w:val="21"/>
                      <w:szCs w:val="21"/>
                      <w:lang w:eastAsia="zh-CN"/>
                    </w:rPr>
                    <w:t>分子筛废气处理装置</w:t>
                  </w:r>
                  <w:r>
                    <w:rPr>
                      <w:rFonts w:hint="default" w:ascii="Times New Roman" w:hAnsi="Times New Roman" w:cs="Times New Roman"/>
                      <w:color w:val="auto"/>
                      <w:sz w:val="21"/>
                      <w:szCs w:val="21"/>
                    </w:rPr>
                    <w:t>处理后由1根</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5m高排气筒达标排放</w:t>
                  </w:r>
                  <w:r>
                    <w:rPr>
                      <w:rFonts w:hint="default" w:ascii="Times New Roman" w:hAnsi="Times New Roman" w:cs="Times New Roman" w:eastAsiaTheme="minorEastAsia"/>
                      <w:color w:val="auto"/>
                      <w:sz w:val="21"/>
                      <w:szCs w:val="21"/>
                      <w:highlight w:val="none"/>
                    </w:rPr>
                    <w:t>。</w:t>
                  </w:r>
                </w:p>
                <w:p>
                  <w:pPr>
                    <w:adjustRightInd w:val="0"/>
                    <w:snapToGrid w:val="0"/>
                    <w:spacing w:line="34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color w:val="auto"/>
                      <w:sz w:val="21"/>
                      <w:szCs w:val="21"/>
                      <w:highlight w:val="none"/>
                    </w:rPr>
                    <w:t>项目VOCs排放量为</w:t>
                  </w:r>
                  <w:r>
                    <w:rPr>
                      <w:rFonts w:hint="eastAsia" w:cs="Times New Roman" w:eastAsiaTheme="minorEastAsia"/>
                      <w:b w:val="0"/>
                      <w:bCs w:val="0"/>
                      <w:color w:val="auto"/>
                      <w:sz w:val="21"/>
                      <w:szCs w:val="21"/>
                      <w:highlight w:val="none"/>
                      <w:lang w:val="en-US" w:eastAsia="zh-CN"/>
                    </w:rPr>
                    <w:t>0.013</w:t>
                  </w:r>
                  <w:r>
                    <w:rPr>
                      <w:rFonts w:hint="default" w:ascii="Times New Roman" w:hAnsi="Times New Roman" w:cs="Times New Roman" w:eastAsiaTheme="minorEastAsia"/>
                      <w:b w:val="0"/>
                      <w:bCs w:val="0"/>
                      <w:color w:val="auto"/>
                      <w:sz w:val="21"/>
                      <w:szCs w:val="21"/>
                      <w:highlight w:val="none"/>
                    </w:rPr>
                    <w:t>t/a，可从</w:t>
                  </w:r>
                  <w:r>
                    <w:rPr>
                      <w:rFonts w:hint="eastAsia" w:cs="Times New Roman" w:eastAsiaTheme="minorEastAsia"/>
                      <w:b w:val="0"/>
                      <w:bCs w:val="0"/>
                      <w:color w:val="auto"/>
                      <w:sz w:val="21"/>
                      <w:szCs w:val="21"/>
                      <w:highlight w:val="none"/>
                      <w:lang w:eastAsia="zh-CN"/>
                    </w:rPr>
                    <w:t>威海市畅源化纤有限责任公司羊亭分公司</w:t>
                  </w:r>
                  <w:r>
                    <w:rPr>
                      <w:rFonts w:hint="default" w:ascii="Times New Roman" w:hAnsi="Times New Roman" w:cs="Times New Roman" w:eastAsiaTheme="minorEastAsia"/>
                      <w:b w:val="0"/>
                      <w:bCs w:val="0"/>
                      <w:color w:val="auto"/>
                      <w:sz w:val="21"/>
                      <w:szCs w:val="21"/>
                      <w:highlight w:val="none"/>
                    </w:rPr>
                    <w:t>的VOCs减排量中进行替代，减排量为</w:t>
                  </w:r>
                  <w:r>
                    <w:rPr>
                      <w:rFonts w:hint="eastAsia" w:cs="Times New Roman" w:eastAsiaTheme="minorEastAsia"/>
                      <w:b w:val="0"/>
                      <w:bCs w:val="0"/>
                      <w:color w:val="auto"/>
                      <w:sz w:val="21"/>
                      <w:szCs w:val="21"/>
                      <w:highlight w:val="none"/>
                      <w:lang w:val="en-US" w:eastAsia="zh-CN"/>
                    </w:rPr>
                    <w:t>0.175</w:t>
                  </w:r>
                  <w:r>
                    <w:rPr>
                      <w:rFonts w:hint="default" w:ascii="Times New Roman" w:hAnsi="Times New Roman" w:cs="Times New Roman" w:eastAsiaTheme="minorEastAsia"/>
                      <w:b w:val="0"/>
                      <w:bCs w:val="0"/>
                      <w:color w:val="auto"/>
                      <w:sz w:val="21"/>
                      <w:szCs w:val="21"/>
                      <w:highlight w:val="none"/>
                    </w:rPr>
                    <w:t>t，</w:t>
                  </w:r>
                  <w:r>
                    <w:rPr>
                      <w:rFonts w:hint="default" w:ascii="Times New Roman" w:hAnsi="Times New Roman" w:cs="Times New Roman" w:eastAsiaTheme="minorEastAsia"/>
                      <w:b w:val="0"/>
                      <w:bCs w:val="0"/>
                      <w:color w:val="auto"/>
                      <w:sz w:val="21"/>
                      <w:szCs w:val="21"/>
                      <w:highlight w:val="none"/>
                      <w:lang w:eastAsia="zh-CN"/>
                    </w:rPr>
                    <w:t>目前剩余量</w:t>
                  </w:r>
                  <w:r>
                    <w:rPr>
                      <w:rFonts w:hint="default" w:ascii="Times New Roman" w:hAnsi="Times New Roman" w:cs="Times New Roman" w:eastAsiaTheme="minorEastAsia"/>
                      <w:b w:val="0"/>
                      <w:bCs w:val="0"/>
                      <w:color w:val="auto"/>
                      <w:sz w:val="21"/>
                      <w:szCs w:val="21"/>
                      <w:highlight w:val="none"/>
                    </w:rPr>
                    <w:t>为</w:t>
                  </w:r>
                  <w:r>
                    <w:rPr>
                      <w:rFonts w:hint="eastAsia" w:cs="Times New Roman" w:eastAsiaTheme="minorEastAsia"/>
                      <w:b w:val="0"/>
                      <w:bCs w:val="0"/>
                      <w:color w:val="auto"/>
                      <w:sz w:val="21"/>
                      <w:szCs w:val="21"/>
                      <w:highlight w:val="none"/>
                      <w:lang w:val="en-US" w:eastAsia="zh-CN"/>
                    </w:rPr>
                    <w:t>0.175</w:t>
                  </w:r>
                  <w:r>
                    <w:rPr>
                      <w:rFonts w:hint="default" w:ascii="Times New Roman" w:hAnsi="Times New Roman" w:cs="Times New Roman" w:eastAsiaTheme="minorEastAsia"/>
                      <w:b w:val="0"/>
                      <w:bCs w:val="0"/>
                      <w:color w:val="auto"/>
                      <w:sz w:val="21"/>
                      <w:szCs w:val="21"/>
                      <w:highlight w:val="none"/>
                    </w:rPr>
                    <w:t>t</w:t>
                  </w:r>
                  <w:r>
                    <w:rPr>
                      <w:rFonts w:hint="default" w:ascii="Times New Roman" w:hAnsi="Times New Roman" w:cs="Times New Roman" w:eastAsiaTheme="minorEastAsia"/>
                      <w:b w:val="0"/>
                      <w:bCs w:val="0"/>
                      <w:color w:val="auto"/>
                      <w:sz w:val="21"/>
                      <w:szCs w:val="21"/>
                      <w:highlight w:val="none"/>
                      <w:lang w:eastAsia="zh-CN"/>
                    </w:rPr>
                    <w:t>，</w:t>
                  </w:r>
                  <w:r>
                    <w:rPr>
                      <w:rFonts w:hint="default" w:ascii="Times New Roman" w:hAnsi="Times New Roman" w:cs="Times New Roman" w:eastAsiaTheme="minorEastAsia"/>
                      <w:b w:val="0"/>
                      <w:bCs w:val="0"/>
                      <w:color w:val="auto"/>
                      <w:sz w:val="21"/>
                      <w:szCs w:val="21"/>
                      <w:highlight w:val="none"/>
                    </w:rPr>
                    <w:t>能够满足</w:t>
                  </w:r>
                  <w:r>
                    <w:rPr>
                      <w:rFonts w:hint="eastAsia" w:cs="Times New Roman" w:eastAsiaTheme="minorEastAsia"/>
                      <w:b w:val="0"/>
                      <w:bCs w:val="0"/>
                      <w:color w:val="auto"/>
                      <w:sz w:val="21"/>
                      <w:szCs w:val="21"/>
                      <w:highlight w:val="none"/>
                      <w:lang w:eastAsia="zh-CN"/>
                    </w:rPr>
                    <w:t>等</w:t>
                  </w:r>
                  <w:r>
                    <w:rPr>
                      <w:rFonts w:hint="default" w:ascii="Times New Roman" w:hAnsi="Times New Roman" w:cs="Times New Roman" w:eastAsiaTheme="minorEastAsia"/>
                      <w:b w:val="0"/>
                      <w:bCs w:val="0"/>
                      <w:color w:val="auto"/>
                      <w:sz w:val="21"/>
                      <w:szCs w:val="21"/>
                      <w:highlight w:val="none"/>
                      <w:lang w:eastAsia="zh-CN"/>
                    </w:rPr>
                    <w:t>量</w:t>
                  </w:r>
                  <w:r>
                    <w:rPr>
                      <w:rFonts w:hint="default" w:ascii="Times New Roman" w:hAnsi="Times New Roman" w:cs="Times New Roman" w:eastAsiaTheme="minorEastAsia"/>
                      <w:b w:val="0"/>
                      <w:bCs w:val="0"/>
                      <w:color w:val="auto"/>
                      <w:sz w:val="21"/>
                      <w:szCs w:val="21"/>
                      <w:highlight w:val="none"/>
                    </w:rPr>
                    <w:t>替代的要求，项目VOCs替代源具体说明见附件</w:t>
                  </w:r>
                  <w:r>
                    <w:rPr>
                      <w:rFonts w:hint="default" w:ascii="Times New Roman" w:hAnsi="Times New Roman" w:cs="Times New Roman" w:eastAsiaTheme="minorEastAsia"/>
                      <w:color w:val="auto"/>
                      <w:sz w:val="21"/>
                      <w:szCs w:val="21"/>
                      <w:highlight w:val="none"/>
                    </w:rPr>
                    <w:t>。</w:t>
                  </w:r>
                </w:p>
              </w:tc>
              <w:tc>
                <w:tcPr>
                  <w:tcW w:w="721" w:type="dxa"/>
                  <w:tcBorders>
                    <w:tl2br w:val="nil"/>
                    <w:tr2bl w:val="nil"/>
                  </w:tcBorders>
                  <w:vAlign w:val="center"/>
                </w:tcPr>
                <w:p>
                  <w:pPr>
                    <w:adjustRightInd w:val="0"/>
                    <w:snapToGrid w:val="0"/>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4022" w:type="dxa"/>
                  <w:tcBorders>
                    <w:tl2br w:val="nil"/>
                    <w:tr2bl w:val="nil"/>
                  </w:tcBorders>
                  <w:vAlign w:val="center"/>
                </w:tcPr>
                <w:p>
                  <w:pPr>
                    <w:adjustRightInd w:val="0"/>
                    <w:snapToGrid w:val="0"/>
                    <w:spacing w:line="340" w:lineRule="exact"/>
                    <w:ind w:firstLine="420" w:firstLineChars="200"/>
                    <w:rPr>
                      <w:rFonts w:hint="default" w:ascii="Times New Roman" w:hAnsi="Times New Roman" w:cs="Times New Roman" w:eastAsiaTheme="minorEastAsia"/>
                      <w:bCs/>
                      <w:color w:val="auto"/>
                      <w:kern w:val="0"/>
                      <w:sz w:val="21"/>
                      <w:szCs w:val="21"/>
                    </w:rPr>
                  </w:pPr>
                  <w:r>
                    <w:rPr>
                      <w:rFonts w:hint="default" w:ascii="Times New Roman" w:hAnsi="Times New Roman" w:cs="Times New Roman" w:eastAsiaTheme="minorEastAsia"/>
                      <w:bCs/>
                      <w:color w:val="auto"/>
                      <w:kern w:val="0"/>
                      <w:sz w:val="21"/>
                      <w:szCs w:val="21"/>
                    </w:rPr>
                    <w:t>3、</w:t>
                  </w:r>
                  <w:r>
                    <w:rPr>
                      <w:rFonts w:hint="default" w:ascii="Times New Roman" w:hAnsi="Times New Roman" w:cs="Times New Roman" w:eastAsiaTheme="minorEastAsia"/>
                      <w:bCs/>
                      <w:color w:val="auto"/>
                      <w:kern w:val="0"/>
                      <w:sz w:val="21"/>
                      <w:szCs w:val="21"/>
                      <w:lang w:eastAsia="zh-CN"/>
                    </w:rPr>
                    <w:t>加快实施工业源</w:t>
                  </w:r>
                  <w:r>
                    <w:rPr>
                      <w:rFonts w:hint="default" w:ascii="Times New Roman" w:hAnsi="Times New Roman" w:cs="Times New Roman" w:eastAsiaTheme="minorEastAsia"/>
                      <w:bCs/>
                      <w:color w:val="auto"/>
                      <w:kern w:val="0"/>
                      <w:sz w:val="21"/>
                      <w:szCs w:val="21"/>
                    </w:rPr>
                    <w:t>VOCs</w:t>
                  </w:r>
                  <w:r>
                    <w:rPr>
                      <w:rFonts w:hint="default" w:ascii="Times New Roman" w:hAnsi="Times New Roman" w:cs="Times New Roman" w:eastAsiaTheme="minorEastAsia"/>
                      <w:bCs/>
                      <w:color w:val="auto"/>
                      <w:kern w:val="0"/>
                      <w:sz w:val="21"/>
                      <w:szCs w:val="21"/>
                      <w:lang w:eastAsia="zh-CN"/>
                    </w:rPr>
                    <w:t>污染防治</w:t>
                  </w:r>
                  <w:r>
                    <w:rPr>
                      <w:rFonts w:hint="default" w:ascii="Times New Roman" w:hAnsi="Times New Roman" w:cs="Times New Roman" w:eastAsiaTheme="minorEastAsia"/>
                      <w:bCs/>
                      <w:color w:val="auto"/>
                      <w:kern w:val="0"/>
                      <w:sz w:val="21"/>
                      <w:szCs w:val="21"/>
                    </w:rPr>
                    <w:t>。</w:t>
                  </w:r>
                </w:p>
                <w:p>
                  <w:pPr>
                    <w:adjustRightInd w:val="0"/>
                    <w:snapToGrid w:val="0"/>
                    <w:spacing w:line="340" w:lineRule="exact"/>
                    <w:ind w:firstLine="420" w:firstLineChars="200"/>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Cs/>
                      <w:color w:val="auto"/>
                      <w:kern w:val="0"/>
                      <w:sz w:val="21"/>
                      <w:szCs w:val="21"/>
                    </w:rPr>
                    <w:t>加强废气收集与处理，有机废气收集效率不低于80%；建设吸附燃烧等高效治理设施，实现达标排放。</w:t>
                  </w:r>
                </w:p>
              </w:tc>
              <w:tc>
                <w:tcPr>
                  <w:tcW w:w="4336" w:type="dxa"/>
                  <w:tcBorders>
                    <w:tl2br w:val="nil"/>
                    <w:tr2bl w:val="nil"/>
                  </w:tcBorders>
                  <w:vAlign w:val="center"/>
                </w:tcPr>
                <w:p>
                  <w:pPr>
                    <w:adjustRightInd w:val="0"/>
                    <w:snapToGrid w:val="0"/>
                    <w:spacing w:line="34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w:t>
                  </w:r>
                  <w:r>
                    <w:rPr>
                      <w:rFonts w:hint="default" w:ascii="Times New Roman" w:hAnsi="Times New Roman" w:cs="Times New Roman" w:eastAsiaTheme="minorEastAsia"/>
                      <w:color w:val="auto"/>
                      <w:sz w:val="21"/>
                      <w:szCs w:val="21"/>
                      <w:lang w:eastAsia="zh-CN"/>
                    </w:rPr>
                    <w:t>生产车间</w:t>
                  </w:r>
                  <w:r>
                    <w:rPr>
                      <w:rFonts w:hint="default" w:ascii="Times New Roman" w:hAnsi="Times New Roman" w:cs="Times New Roman" w:eastAsiaTheme="minorEastAsia"/>
                      <w:color w:val="auto"/>
                      <w:sz w:val="21"/>
                      <w:szCs w:val="21"/>
                    </w:rPr>
                    <w:t>采取密闭、负压设计，产生的</w:t>
                  </w:r>
                  <w:r>
                    <w:rPr>
                      <w:rFonts w:hint="default" w:ascii="Times New Roman" w:hAnsi="Times New Roman" w:cs="Times New Roman" w:eastAsiaTheme="minorEastAsia"/>
                      <w:color w:val="auto"/>
                      <w:sz w:val="21"/>
                      <w:szCs w:val="21"/>
                      <w:lang w:eastAsia="zh-CN"/>
                    </w:rPr>
                    <w:t>有机</w:t>
                  </w:r>
                  <w:r>
                    <w:rPr>
                      <w:rFonts w:hint="default" w:ascii="Times New Roman" w:hAnsi="Times New Roman" w:cs="Times New Roman" w:eastAsiaTheme="minorEastAsia"/>
                      <w:color w:val="auto"/>
                      <w:sz w:val="21"/>
                      <w:szCs w:val="21"/>
                    </w:rPr>
                    <w:t>废气经</w:t>
                  </w:r>
                  <w:r>
                    <w:rPr>
                      <w:rFonts w:hint="default" w:ascii="Times New Roman" w:hAnsi="Times New Roman" w:cs="Times New Roman" w:eastAsiaTheme="minorEastAsia"/>
                      <w:color w:val="auto"/>
                      <w:sz w:val="21"/>
                      <w:szCs w:val="21"/>
                      <w:lang w:eastAsia="zh-CN"/>
                    </w:rPr>
                    <w:t>抽风系统</w:t>
                  </w:r>
                  <w:r>
                    <w:rPr>
                      <w:rFonts w:hint="default" w:ascii="Times New Roman" w:hAnsi="Times New Roman" w:cs="Times New Roman" w:eastAsiaTheme="minorEastAsia"/>
                      <w:color w:val="auto"/>
                      <w:sz w:val="21"/>
                      <w:szCs w:val="21"/>
                    </w:rPr>
                    <w:t>收集，收集率约为9</w:t>
                  </w:r>
                  <w:r>
                    <w:rPr>
                      <w:rFonts w:hint="eastAsia"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％以上，符合有机废气收集效率不低于80%的要求；收集后的废气经</w:t>
                  </w:r>
                  <w:r>
                    <w:rPr>
                      <w:rFonts w:hint="eastAsia" w:cs="Times New Roman" w:eastAsiaTheme="minorEastAsia"/>
                      <w:color w:val="auto"/>
                      <w:sz w:val="21"/>
                      <w:szCs w:val="21"/>
                      <w:lang w:eastAsia="zh-CN"/>
                    </w:rPr>
                    <w:t>分子筛废气处理装置</w:t>
                  </w:r>
                  <w:r>
                    <w:rPr>
                      <w:rFonts w:hint="default" w:ascii="Times New Roman" w:hAnsi="Times New Roman" w:cs="Times New Roman" w:eastAsiaTheme="minorEastAsia"/>
                      <w:color w:val="auto"/>
                      <w:sz w:val="21"/>
                      <w:szCs w:val="21"/>
                    </w:rPr>
                    <w:t>处理后（</w:t>
                  </w:r>
                  <w:r>
                    <w:rPr>
                      <w:rFonts w:hint="default" w:ascii="Times New Roman" w:hAnsi="Times New Roman" w:cs="Times New Roman" w:eastAsiaTheme="minorEastAsia"/>
                      <w:color w:val="auto"/>
                      <w:kern w:val="0"/>
                      <w:sz w:val="21"/>
                      <w:szCs w:val="21"/>
                      <w:lang w:val="zh-CN"/>
                    </w:rPr>
                    <w:t>处理效率大于</w:t>
                  </w:r>
                  <w:r>
                    <w:rPr>
                      <w:rFonts w:hint="eastAsia" w:cs="Times New Roman" w:eastAsiaTheme="minorEastAsia"/>
                      <w:color w:val="auto"/>
                      <w:kern w:val="0"/>
                      <w:sz w:val="21"/>
                      <w:szCs w:val="21"/>
                      <w:lang w:val="en-US" w:eastAsia="zh-CN"/>
                    </w:rPr>
                    <w:t>90</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）由1根</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5m高排气筒达标排放。</w:t>
                  </w:r>
                </w:p>
              </w:tc>
              <w:tc>
                <w:tcPr>
                  <w:tcW w:w="721" w:type="dxa"/>
                  <w:tcBorders>
                    <w:tl2br w:val="nil"/>
                    <w:tr2bl w:val="nil"/>
                  </w:tcBorders>
                  <w:vAlign w:val="center"/>
                </w:tcPr>
                <w:p>
                  <w:pPr>
                    <w:adjustRightInd w:val="0"/>
                    <w:snapToGrid w:val="0"/>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bl>
          <w:p>
            <w:pPr>
              <w:spacing w:line="360" w:lineRule="auto"/>
              <w:ind w:firstLine="480" w:firstLineChars="200"/>
              <w:textAlignment w:val="baseline"/>
              <w:rPr>
                <w:rFonts w:hint="default" w:ascii="Times New Roman" w:hAnsi="Times New Roman" w:cs="Times New Roman"/>
                <w:color w:val="auto"/>
                <w:sz w:val="24"/>
                <w:lang w:eastAsia="zh-CN"/>
              </w:rPr>
            </w:pPr>
            <w:r>
              <w:rPr>
                <w:rFonts w:hint="default" w:ascii="Times New Roman" w:hAnsi="Times New Roman" w:cs="Times New Roman"/>
                <w:color w:val="auto"/>
                <w:sz w:val="24"/>
                <w:szCs w:val="24"/>
              </w:rPr>
              <w:t>综上所述，本项目符合威环发[2018]85号文的相关要求</w:t>
            </w:r>
            <w:r>
              <w:rPr>
                <w:rFonts w:hint="default" w:ascii="Times New Roman" w:hAnsi="Times New Roman" w:cs="Times New Roman"/>
                <w:color w:val="auto"/>
                <w:sz w:val="24"/>
                <w:szCs w:val="24"/>
                <w:lang w:eastAsia="zh-CN"/>
              </w:rPr>
              <w:t>。</w:t>
            </w:r>
          </w:p>
          <w:p>
            <w:pPr>
              <w:spacing w:line="360" w:lineRule="auto"/>
              <w:ind w:firstLine="480" w:firstLineChars="200"/>
              <w:textAlignment w:val="baseline"/>
              <w:rPr>
                <w:rFonts w:hint="default" w:ascii="Times New Roman" w:hAnsi="Times New Roman" w:cs="Times New Roman"/>
                <w:b w:val="0"/>
                <w:bCs w:val="0"/>
                <w:color w:val="auto"/>
                <w:sz w:val="24"/>
                <w:szCs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lang w:eastAsia="zh-CN"/>
              </w:rPr>
              <w:t>）</w:t>
            </w:r>
            <w:r>
              <w:rPr>
                <w:rFonts w:hint="default" w:ascii="Times New Roman" w:hAnsi="Times New Roman" w:cs="Times New Roman"/>
                <w:b w:val="0"/>
                <w:bCs w:val="0"/>
                <w:color w:val="auto"/>
                <w:sz w:val="24"/>
                <w:szCs w:val="24"/>
              </w:rPr>
              <w:t>与《土壤污染防治行动计划》（土十条）国发〔2016〕31号文符合性分析</w:t>
            </w:r>
          </w:p>
          <w:p>
            <w:pPr>
              <w:spacing w:line="360" w:lineRule="auto"/>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w:t>
            </w:r>
            <w:r>
              <w:rPr>
                <w:rFonts w:hint="default" w:ascii="Times New Roman" w:hAnsi="Times New Roman" w:cs="Times New Roman" w:eastAsiaTheme="minorEastAsia"/>
                <w:b/>
                <w:bCs/>
                <w:color w:val="auto"/>
                <w:sz w:val="24"/>
                <w:szCs w:val="24"/>
                <w:lang w:val="en-US" w:eastAsia="zh-CN"/>
              </w:rPr>
              <w:t>1-9</w:t>
            </w:r>
            <w:r>
              <w:rPr>
                <w:rFonts w:hint="default" w:ascii="Times New Roman" w:hAnsi="Times New Roman" w:cs="Times New Roman" w:eastAsiaTheme="minorEastAsia"/>
                <w:b/>
                <w:bCs/>
                <w:color w:val="auto"/>
                <w:sz w:val="24"/>
                <w:szCs w:val="24"/>
              </w:rPr>
              <w:t xml:space="preserve"> 本项目与国发〔2016〕31号文符合性一览表</w:t>
            </w:r>
          </w:p>
          <w:tbl>
            <w:tblPr>
              <w:tblStyle w:val="39"/>
              <w:tblW w:w="91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4325"/>
              <w:gridCol w:w="2593"/>
              <w:gridCol w:w="7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8" w:type="dxa"/>
                  <w:tcBorders>
                    <w:tl2br w:val="nil"/>
                    <w:tr2bl w:val="nil"/>
                  </w:tcBorders>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分类</w:t>
                  </w:r>
                </w:p>
              </w:tc>
              <w:tc>
                <w:tcPr>
                  <w:tcW w:w="4325" w:type="dxa"/>
                  <w:tcBorders>
                    <w:tl2br w:val="nil"/>
                    <w:tr2bl w:val="nil"/>
                  </w:tcBorders>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国发〔2016〕31号文要求</w:t>
                  </w:r>
                </w:p>
              </w:tc>
              <w:tc>
                <w:tcPr>
                  <w:tcW w:w="2593" w:type="dxa"/>
                  <w:tcBorders>
                    <w:tl2br w:val="nil"/>
                    <w:tr2bl w:val="nil"/>
                  </w:tcBorders>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项目情况</w:t>
                  </w:r>
                </w:p>
              </w:tc>
              <w:tc>
                <w:tcPr>
                  <w:tcW w:w="719" w:type="dxa"/>
                  <w:tcBorders>
                    <w:tl2br w:val="nil"/>
                    <w:tr2bl w:val="nil"/>
                  </w:tcBorders>
                  <w:vAlign w:val="center"/>
                </w:tcPr>
                <w:p>
                  <w:pPr>
                    <w:autoSpaceDE w:val="0"/>
                    <w:autoSpaceDN w:val="0"/>
                    <w:adjustRightInd w:val="0"/>
                    <w:snapToGrid w:val="0"/>
                    <w:spacing w:line="3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jc w:val="center"/>
              </w:trPr>
              <w:tc>
                <w:tcPr>
                  <w:tcW w:w="1498" w:type="dxa"/>
                  <w:tcBorders>
                    <w:tl2br w:val="nil"/>
                    <w:tr2bl w:val="nil"/>
                  </w:tcBorders>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切实加大保护力度</w:t>
                  </w:r>
                </w:p>
              </w:tc>
              <w:tc>
                <w:tcPr>
                  <w:tcW w:w="4325" w:type="dxa"/>
                  <w:tcBorders>
                    <w:tl2br w:val="nil"/>
                    <w:tr2bl w:val="nil"/>
                  </w:tcBorders>
                  <w:vAlign w:val="center"/>
                </w:tcPr>
                <w:p>
                  <w:pPr>
                    <w:autoSpaceDE w:val="0"/>
                    <w:autoSpaceDN w:val="0"/>
                    <w:adjustRightInd w:val="0"/>
                    <w:snapToGrid w:val="0"/>
                    <w:spacing w:line="340" w:lineRule="exact"/>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防控企业污染。严格控制在优先保护类耕地集中区域新建有色金属冶炼、石油加工、化工、焦化、电镀、制革等行业企业，现有相关行业企业要采用新技术、新工艺，加快提标升级改造步伐</w:t>
                  </w:r>
                  <w:r>
                    <w:rPr>
                      <w:rFonts w:hint="eastAsia" w:cs="Times New Roman"/>
                      <w:color w:val="auto"/>
                      <w:sz w:val="21"/>
                      <w:szCs w:val="21"/>
                      <w:lang w:eastAsia="zh-CN"/>
                    </w:rPr>
                    <w:t>。</w:t>
                  </w:r>
                </w:p>
              </w:tc>
              <w:tc>
                <w:tcPr>
                  <w:tcW w:w="2593" w:type="dxa"/>
                  <w:tcBorders>
                    <w:tl2br w:val="nil"/>
                    <w:tr2bl w:val="nil"/>
                  </w:tcBorders>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项目不在耕地集中区域，且不属于控制行业</w:t>
                  </w:r>
                </w:p>
              </w:tc>
              <w:tc>
                <w:tcPr>
                  <w:tcW w:w="719" w:type="dxa"/>
                  <w:tcBorders>
                    <w:tl2br w:val="nil"/>
                    <w:tr2bl w:val="nil"/>
                  </w:tcBorders>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jc w:val="center"/>
              </w:trPr>
              <w:tc>
                <w:tcPr>
                  <w:tcW w:w="1498" w:type="dxa"/>
                  <w:tcBorders>
                    <w:tl2br w:val="nil"/>
                    <w:tr2bl w:val="nil"/>
                  </w:tcBorders>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防范建设用地新增污染</w:t>
                  </w:r>
                </w:p>
              </w:tc>
              <w:tc>
                <w:tcPr>
                  <w:tcW w:w="4325" w:type="dxa"/>
                  <w:tcBorders>
                    <w:tl2br w:val="nil"/>
                    <w:tr2bl w:val="nil"/>
                  </w:tcBorders>
                  <w:vAlign w:val="center"/>
                </w:tcPr>
                <w:p>
                  <w:pPr>
                    <w:autoSpaceDE w:val="0"/>
                    <w:autoSpaceDN w:val="0"/>
                    <w:adjustRightInd w:val="0"/>
                    <w:snapToGrid w:val="0"/>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2593" w:type="dxa"/>
                  <w:tcBorders>
                    <w:tl2br w:val="nil"/>
                    <w:tr2bl w:val="nil"/>
                  </w:tcBorders>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项目不属于重点污染物排放项目，地下水防范措施可有效防范土壤污染，与主体工程同时设计、同时施工、同时投产使用</w:t>
                  </w:r>
                </w:p>
              </w:tc>
              <w:tc>
                <w:tcPr>
                  <w:tcW w:w="719" w:type="dxa"/>
                  <w:tcBorders>
                    <w:tl2br w:val="nil"/>
                    <w:tr2bl w:val="nil"/>
                  </w:tcBorders>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8" w:type="dxa"/>
                  <w:tcBorders>
                    <w:tl2br w:val="nil"/>
                    <w:tr2bl w:val="nil"/>
                  </w:tcBorders>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严控工矿污染</w:t>
                  </w:r>
                </w:p>
              </w:tc>
              <w:tc>
                <w:tcPr>
                  <w:tcW w:w="4325" w:type="dxa"/>
                  <w:tcBorders>
                    <w:tl2br w:val="nil"/>
                    <w:tr2bl w:val="nil"/>
                  </w:tcBorders>
                  <w:vAlign w:val="center"/>
                </w:tcPr>
                <w:p>
                  <w:pPr>
                    <w:autoSpaceDE w:val="0"/>
                    <w:autoSpaceDN w:val="0"/>
                    <w:adjustRightInd w:val="0"/>
                    <w:snapToGrid w:val="0"/>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有色金属冶炼、石油加工、化工、焦化、电镀、制革等行业企业拆除生产设施设备、构筑物和污染治理设施，要事先制定残留污染物清理和安全处置方案，并报所在地县级环境保护、工业和信息化部门备案</w:t>
                  </w:r>
                </w:p>
              </w:tc>
              <w:tc>
                <w:tcPr>
                  <w:tcW w:w="2593" w:type="dxa"/>
                  <w:tcBorders>
                    <w:tl2br w:val="nil"/>
                    <w:tr2bl w:val="nil"/>
                  </w:tcBorders>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项目污染物均可妥善安全处理且不属于重点管控行业</w:t>
                  </w:r>
                </w:p>
              </w:tc>
              <w:tc>
                <w:tcPr>
                  <w:tcW w:w="719" w:type="dxa"/>
                  <w:tcBorders>
                    <w:tl2br w:val="nil"/>
                    <w:tr2bl w:val="nil"/>
                  </w:tcBorders>
                  <w:vAlign w:val="center"/>
                </w:tcPr>
                <w:p>
                  <w:pPr>
                    <w:autoSpaceDE w:val="0"/>
                    <w:autoSpaceDN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pPr>
              <w:spacing w:line="360" w:lineRule="auto"/>
              <w:ind w:firstLine="480" w:firstLineChars="200"/>
              <w:jc w:val="left"/>
              <w:outlineLvl w:val="2"/>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szCs w:val="24"/>
              </w:rPr>
              <w:t>综上所述，本项目符合</w:t>
            </w:r>
            <w:r>
              <w:rPr>
                <w:rFonts w:hint="default" w:ascii="Times New Roman" w:hAnsi="Times New Roman" w:cs="Times New Roman"/>
                <w:b w:val="0"/>
                <w:bCs w:val="0"/>
                <w:color w:val="auto"/>
                <w:sz w:val="24"/>
                <w:szCs w:val="24"/>
              </w:rPr>
              <w:t>国发〔2016〕31号文</w:t>
            </w:r>
            <w:r>
              <w:rPr>
                <w:rFonts w:hint="default" w:ascii="Times New Roman" w:hAnsi="Times New Roman" w:cs="Times New Roman"/>
                <w:color w:val="auto"/>
                <w:sz w:val="24"/>
                <w:szCs w:val="24"/>
              </w:rPr>
              <w:t>的相关要求</w:t>
            </w:r>
            <w:r>
              <w:rPr>
                <w:rFonts w:hint="default" w:ascii="Times New Roman" w:hAnsi="Times New Roman" w:cs="Times New Roman"/>
                <w:color w:val="auto"/>
                <w:sz w:val="24"/>
                <w:szCs w:val="24"/>
                <w:lang w:eastAsia="zh-CN"/>
              </w:rPr>
              <w:t>。</w:t>
            </w:r>
          </w:p>
          <w:p>
            <w:pPr>
              <w:spacing w:line="360" w:lineRule="auto"/>
              <w:ind w:firstLine="480" w:firstLineChars="200"/>
              <w:textAlignment w:val="baseline"/>
              <w:rPr>
                <w:rFonts w:hint="default" w:ascii="Times New Roman" w:hAnsi="Times New Roman" w:cs="Times New Roman" w:eastAsiaTheme="minorEastAsia"/>
                <w:color w:val="auto"/>
                <w:sz w:val="24"/>
                <w:szCs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lang w:eastAsia="zh-CN"/>
              </w:rPr>
              <w:t>）</w:t>
            </w:r>
            <w:r>
              <w:rPr>
                <w:rFonts w:hint="default" w:ascii="Times New Roman" w:hAnsi="Times New Roman" w:cs="Times New Roman" w:eastAsiaTheme="minorEastAsia"/>
                <w:color w:val="auto"/>
                <w:sz w:val="24"/>
                <w:szCs w:val="24"/>
              </w:rPr>
              <w:t>与《山东省2013—2020年大气污染防治规划》</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color w:val="auto"/>
                <w:sz w:val="24"/>
                <w:szCs w:val="24"/>
              </w:rPr>
              <w:t>鲁政发〔2018〕17号</w:t>
            </w:r>
            <w:r>
              <w:rPr>
                <w:rFonts w:hint="default" w:ascii="Times New Roman" w:hAnsi="Times New Roman" w:cs="Times New Roman" w:eastAsiaTheme="minorEastAsia"/>
                <w:color w:val="auto"/>
                <w:sz w:val="24"/>
                <w:szCs w:val="24"/>
                <w:lang w:eastAsia="zh-CN"/>
              </w:rPr>
              <w:t>）文</w:t>
            </w:r>
            <w:r>
              <w:rPr>
                <w:rFonts w:hint="default" w:ascii="Times New Roman" w:hAnsi="Times New Roman" w:cs="Times New Roman" w:eastAsiaTheme="minorEastAsia"/>
                <w:color w:val="auto"/>
                <w:sz w:val="24"/>
                <w:szCs w:val="24"/>
              </w:rPr>
              <w:t>符合性分析</w:t>
            </w:r>
          </w:p>
          <w:p>
            <w:pPr>
              <w:spacing w:line="360" w:lineRule="auto"/>
              <w:jc w:val="center"/>
              <w:rPr>
                <w:rFonts w:hint="default" w:ascii="Times New Roman" w:hAnsi="Times New Roman" w:cs="Times New Roman" w:eastAsiaTheme="minorEastAsia"/>
                <w:b/>
                <w:bCs w:val="0"/>
                <w:color w:val="auto"/>
                <w:sz w:val="24"/>
                <w:szCs w:val="24"/>
              </w:rPr>
            </w:pPr>
            <w:r>
              <w:rPr>
                <w:rFonts w:hint="default" w:ascii="Times New Roman" w:hAnsi="Times New Roman" w:cs="Times New Roman" w:eastAsiaTheme="minorEastAsia"/>
                <w:b/>
                <w:bCs w:val="0"/>
                <w:color w:val="auto"/>
                <w:sz w:val="24"/>
                <w:szCs w:val="24"/>
              </w:rPr>
              <w:t>表</w:t>
            </w:r>
            <w:r>
              <w:rPr>
                <w:rFonts w:hint="default" w:ascii="Times New Roman" w:hAnsi="Times New Roman" w:cs="Times New Roman" w:eastAsiaTheme="minorEastAsia"/>
                <w:b/>
                <w:bCs w:val="0"/>
                <w:color w:val="auto"/>
                <w:sz w:val="24"/>
                <w:szCs w:val="24"/>
                <w:lang w:val="en-US" w:eastAsia="zh-CN"/>
              </w:rPr>
              <w:t>1-10</w:t>
            </w:r>
            <w:r>
              <w:rPr>
                <w:rFonts w:hint="default" w:ascii="Times New Roman" w:hAnsi="Times New Roman" w:cs="Times New Roman" w:eastAsiaTheme="minorEastAsia"/>
                <w:b/>
                <w:bCs w:val="0"/>
                <w:color w:val="auto"/>
                <w:sz w:val="24"/>
                <w:szCs w:val="24"/>
              </w:rPr>
              <w:t xml:space="preserve"> 本项目与鲁政发〔2018〕17号的符合性分析</w:t>
            </w:r>
          </w:p>
          <w:tbl>
            <w:tblPr>
              <w:tblStyle w:val="39"/>
              <w:tblW w:w="907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859"/>
              <w:gridCol w:w="4103"/>
              <w:gridCol w:w="1494"/>
              <w:gridCol w:w="11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2363" w:type="dxa"/>
                  <w:gridSpan w:val="2"/>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分类</w:t>
                  </w:r>
                </w:p>
              </w:tc>
              <w:tc>
                <w:tcPr>
                  <w:tcW w:w="4103"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rPr>
                    <w:t>鲁政发[2018]17号文</w:t>
                  </w:r>
                  <w:r>
                    <w:rPr>
                      <w:rFonts w:hint="default" w:ascii="Times New Roman" w:hAnsi="Times New Roman" w:cs="Times New Roman"/>
                      <w:color w:val="auto"/>
                      <w:kern w:val="0"/>
                      <w:sz w:val="21"/>
                      <w:szCs w:val="21"/>
                      <w:lang w:val="zh-CN"/>
                    </w:rPr>
                    <w:t>要求</w:t>
                  </w:r>
                </w:p>
              </w:tc>
              <w:tc>
                <w:tcPr>
                  <w:tcW w:w="1494"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项目情况</w:t>
                  </w:r>
                </w:p>
              </w:tc>
              <w:tc>
                <w:tcPr>
                  <w:tcW w:w="1117"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18" w:hRule="atLeast"/>
                <w:jc w:val="center"/>
              </w:trPr>
              <w:tc>
                <w:tcPr>
                  <w:tcW w:w="504" w:type="dxa"/>
                  <w:vMerge w:val="restart"/>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优化</w:t>
                  </w:r>
                </w:p>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结构</w:t>
                  </w:r>
                </w:p>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与</w:t>
                  </w:r>
                </w:p>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布局</w:t>
                  </w:r>
                </w:p>
              </w:tc>
              <w:tc>
                <w:tcPr>
                  <w:tcW w:w="1859"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着力调整产业结构</w:t>
                  </w:r>
                </w:p>
              </w:tc>
              <w:tc>
                <w:tcPr>
                  <w:tcW w:w="4103"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加大落后产能淘汰和过剩产能压减力度，严格执行质量、环保、能耗、安全等法规标准，推动钢铁、地炼、电解铝、焦化、轮胎、化肥、氯碱等高耗能行业转型升级</w:t>
                  </w:r>
                </w:p>
              </w:tc>
              <w:tc>
                <w:tcPr>
                  <w:tcW w:w="1494"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项目不属于落后和过剩产能行业</w:t>
                  </w:r>
                </w:p>
              </w:tc>
              <w:tc>
                <w:tcPr>
                  <w:tcW w:w="1117"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57" w:hRule="atLeast"/>
                <w:jc w:val="center"/>
              </w:trPr>
              <w:tc>
                <w:tcPr>
                  <w:tcW w:w="504" w:type="dxa"/>
                  <w:vMerge w:val="continue"/>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p>
              </w:tc>
              <w:tc>
                <w:tcPr>
                  <w:tcW w:w="1859"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持续实施“散乱污”企业整治</w:t>
                  </w:r>
                </w:p>
              </w:tc>
              <w:tc>
                <w:tcPr>
                  <w:tcW w:w="4103"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根据产业政策、产业布局规划，以及土地、环保、质量、安全、能耗等要求，按照国家的“散乱污”企业及集群整治标准，将“散乱污”企业及集群整治到位。</w:t>
                  </w:r>
                </w:p>
              </w:tc>
              <w:tc>
                <w:tcPr>
                  <w:tcW w:w="1494"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项目不属于“散乱污”企业</w:t>
                  </w:r>
                </w:p>
              </w:tc>
              <w:tc>
                <w:tcPr>
                  <w:tcW w:w="1117"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81" w:hRule="atLeast"/>
                <w:jc w:val="center"/>
              </w:trPr>
              <w:tc>
                <w:tcPr>
                  <w:tcW w:w="504" w:type="dxa"/>
                  <w:vMerge w:val="continue"/>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p>
              </w:tc>
              <w:tc>
                <w:tcPr>
                  <w:tcW w:w="1859"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rPr>
                    <w:t>严格控制“两高”行业新增产能</w:t>
                  </w:r>
                </w:p>
              </w:tc>
              <w:tc>
                <w:tcPr>
                  <w:tcW w:w="4103"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严禁新增钢铁、焦化、电解铝、铸造、水泥和平板玻璃等产能；严格执行钢铁、水泥、平板玻璃等行业产能置换实施办法。</w:t>
                  </w:r>
                </w:p>
              </w:tc>
              <w:tc>
                <w:tcPr>
                  <w:tcW w:w="1494"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项目不属于两高行业</w:t>
                  </w:r>
                </w:p>
              </w:tc>
              <w:tc>
                <w:tcPr>
                  <w:tcW w:w="1117"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07" w:hRule="atLeast"/>
                <w:jc w:val="center"/>
              </w:trPr>
              <w:tc>
                <w:tcPr>
                  <w:tcW w:w="504" w:type="dxa"/>
                  <w:vMerge w:val="restart"/>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强化</w:t>
                  </w:r>
                  <w:r>
                    <w:rPr>
                      <w:rFonts w:hint="default" w:ascii="Times New Roman" w:hAnsi="Times New Roman" w:cs="Times New Roman"/>
                      <w:color w:val="auto"/>
                      <w:kern w:val="0"/>
                      <w:sz w:val="21"/>
                      <w:szCs w:val="21"/>
                      <w:lang w:val="zh-CN"/>
                    </w:rPr>
                    <w:t>污染</w:t>
                  </w:r>
                  <w:r>
                    <w:rPr>
                      <w:rFonts w:hint="default" w:ascii="Times New Roman" w:hAnsi="Times New Roman" w:cs="Times New Roman"/>
                      <w:color w:val="auto"/>
                      <w:kern w:val="0"/>
                      <w:sz w:val="21"/>
                      <w:szCs w:val="21"/>
                    </w:rPr>
                    <w:t>综合防治</w:t>
                  </w:r>
                </w:p>
              </w:tc>
              <w:tc>
                <w:tcPr>
                  <w:tcW w:w="1859"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全面实施排污许可管理</w:t>
                  </w:r>
                </w:p>
              </w:tc>
              <w:tc>
                <w:tcPr>
                  <w:tcW w:w="4103"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加快推进排污许可证核发工作，各市要按照《排污许可证管理暂行规定》的申请与核发程序，制定排污许可证核发时间表，在《固定污染源排污许可分类管理名录（2017年版）》中规定的时间节点完成，到2020年，完成排污许可分类管理名录规定的行业许可证核发。</w:t>
                  </w:r>
                </w:p>
              </w:tc>
              <w:tc>
                <w:tcPr>
                  <w:tcW w:w="1494"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项目将按照要求尽快办理排污许可证</w:t>
                  </w:r>
                </w:p>
              </w:tc>
              <w:tc>
                <w:tcPr>
                  <w:tcW w:w="1117"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83" w:hRule="atLeast"/>
                <w:jc w:val="center"/>
              </w:trPr>
              <w:tc>
                <w:tcPr>
                  <w:tcW w:w="504" w:type="dxa"/>
                  <w:vMerge w:val="continue"/>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p>
              </w:tc>
              <w:tc>
                <w:tcPr>
                  <w:tcW w:w="1859"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工业污染源全面达标排放</w:t>
                  </w:r>
                </w:p>
              </w:tc>
              <w:tc>
                <w:tcPr>
                  <w:tcW w:w="4103"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持续推进工业污染源提标改造。7个传输通道城市二氧化硫、氮氧化物、颗粒物、挥发性有机物（VOCs）全面执行大气污染物特别排放限值。全省推动实施钢铁等行业超低排放改造。</w:t>
                  </w:r>
                </w:p>
              </w:tc>
              <w:tc>
                <w:tcPr>
                  <w:tcW w:w="1494"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项目对</w:t>
                  </w:r>
                  <w:r>
                    <w:rPr>
                      <w:rFonts w:hint="default" w:ascii="Times New Roman" w:hAnsi="Times New Roman" w:cs="Times New Roman"/>
                      <w:color w:val="auto"/>
                      <w:kern w:val="0"/>
                      <w:sz w:val="21"/>
                      <w:szCs w:val="21"/>
                      <w:lang w:eastAsia="zh-CN"/>
                    </w:rPr>
                    <w:t>有机废气</w:t>
                  </w:r>
                  <w:r>
                    <w:rPr>
                      <w:rFonts w:hint="default" w:ascii="Times New Roman" w:hAnsi="Times New Roman" w:cs="Times New Roman"/>
                      <w:color w:val="auto"/>
                      <w:kern w:val="0"/>
                      <w:sz w:val="21"/>
                      <w:szCs w:val="21"/>
                    </w:rPr>
                    <w:t>进行了治理，符合相关标准</w:t>
                  </w:r>
                </w:p>
              </w:tc>
              <w:tc>
                <w:tcPr>
                  <w:tcW w:w="1117"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65" w:hRule="atLeast"/>
                <w:jc w:val="center"/>
              </w:trPr>
              <w:tc>
                <w:tcPr>
                  <w:tcW w:w="504" w:type="dxa"/>
                  <w:vMerge w:val="continue"/>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p>
              </w:tc>
              <w:tc>
                <w:tcPr>
                  <w:tcW w:w="1859"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加强VOCs专项整治</w:t>
                  </w:r>
                </w:p>
              </w:tc>
              <w:tc>
                <w:tcPr>
                  <w:tcW w:w="4103"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落实《山东省“十三五”挥发性有机物污染防治工作方案》，采取源头削减、过程控制、末端治理全过程防控措施，全面加强VOCs污染防治。</w:t>
                  </w:r>
                </w:p>
              </w:tc>
              <w:tc>
                <w:tcPr>
                  <w:tcW w:w="1494"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项目对有机废气进行了治理</w:t>
                  </w:r>
                </w:p>
              </w:tc>
              <w:tc>
                <w:tcPr>
                  <w:tcW w:w="1117"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w:t>
                  </w:r>
                </w:p>
              </w:tc>
            </w:tr>
          </w:tbl>
          <w:p>
            <w:pPr>
              <w:spacing w:line="360" w:lineRule="auto"/>
              <w:ind w:firstLine="480" w:firstLineChars="200"/>
              <w:jc w:val="left"/>
              <w:outlineLvl w:val="2"/>
              <w:rPr>
                <w:rFonts w:hint="default" w:ascii="Times New Roman" w:hAnsi="Times New Roman" w:cs="Times New Roman"/>
                <w:color w:val="auto"/>
                <w:sz w:val="24"/>
                <w:lang w:eastAsia="zh-CN"/>
              </w:rPr>
            </w:pPr>
            <w:r>
              <w:rPr>
                <w:rFonts w:hint="default" w:ascii="Times New Roman" w:hAnsi="Times New Roman" w:cs="Times New Roman"/>
                <w:color w:val="auto"/>
                <w:sz w:val="24"/>
                <w:szCs w:val="24"/>
              </w:rPr>
              <w:t>综上所述，本项目符合鲁政发〔2018〕17号</w:t>
            </w:r>
            <w:r>
              <w:rPr>
                <w:rFonts w:hint="default" w:ascii="Times New Roman" w:hAnsi="Times New Roman" w:cs="Times New Roman"/>
                <w:b w:val="0"/>
                <w:bCs w:val="0"/>
                <w:color w:val="auto"/>
                <w:sz w:val="24"/>
                <w:szCs w:val="24"/>
              </w:rPr>
              <w:t>文</w:t>
            </w:r>
            <w:r>
              <w:rPr>
                <w:rFonts w:hint="default" w:ascii="Times New Roman" w:hAnsi="Times New Roman" w:cs="Times New Roman"/>
                <w:color w:val="auto"/>
                <w:sz w:val="24"/>
                <w:szCs w:val="24"/>
              </w:rPr>
              <w:t>的相关要求</w:t>
            </w:r>
            <w:r>
              <w:rPr>
                <w:rFonts w:hint="default" w:ascii="Times New Roman" w:hAnsi="Times New Roman" w:cs="Times New Roman"/>
                <w:color w:val="auto"/>
                <w:sz w:val="24"/>
                <w:szCs w:val="24"/>
                <w:lang w:eastAsia="zh-CN"/>
              </w:rPr>
              <w:t>。</w:t>
            </w:r>
          </w:p>
          <w:p>
            <w:pPr>
              <w:numPr>
                <w:ilvl w:val="0"/>
                <w:numId w:val="0"/>
              </w:numPr>
              <w:spacing w:line="360" w:lineRule="auto"/>
              <w:ind w:firstLine="480" w:firstLineChars="200"/>
              <w:jc w:val="left"/>
              <w:outlineLvl w:val="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与《水污染防治行动计划》（水十条）国发〔2015〕17号文符合性分析</w:t>
            </w:r>
          </w:p>
          <w:p>
            <w:pPr>
              <w:numPr>
                <w:ilvl w:val="0"/>
                <w:numId w:val="0"/>
              </w:numPr>
              <w:spacing w:line="360" w:lineRule="auto"/>
              <w:jc w:val="center"/>
              <w:outlineLvl w:val="2"/>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表</w:t>
            </w:r>
            <w:r>
              <w:rPr>
                <w:rFonts w:hint="default" w:ascii="Times New Roman" w:hAnsi="Times New Roman" w:eastAsia="宋体" w:cs="Times New Roman"/>
                <w:b/>
                <w:bCs w:val="0"/>
                <w:color w:val="auto"/>
                <w:sz w:val="24"/>
                <w:szCs w:val="24"/>
                <w:lang w:val="en-US" w:eastAsia="zh-CN"/>
              </w:rPr>
              <w:t>1-</w:t>
            </w:r>
            <w:r>
              <w:rPr>
                <w:rFonts w:hint="default" w:ascii="Times New Roman" w:hAnsi="Times New Roman" w:cs="Times New Roman"/>
                <w:b/>
                <w:bCs w:val="0"/>
                <w:color w:val="auto"/>
                <w:sz w:val="24"/>
                <w:szCs w:val="24"/>
                <w:lang w:val="en-US" w:eastAsia="zh-CN"/>
              </w:rPr>
              <w:t>11</w:t>
            </w:r>
            <w:r>
              <w:rPr>
                <w:rFonts w:hint="default" w:ascii="Times New Roman" w:hAnsi="Times New Roman" w:eastAsia="宋体" w:cs="Times New Roman"/>
                <w:b/>
                <w:bCs w:val="0"/>
                <w:color w:val="auto"/>
                <w:sz w:val="24"/>
                <w:szCs w:val="24"/>
              </w:rPr>
              <w:t xml:space="preserve">  本项目与国发〔2015〕17号文的符合性分析</w:t>
            </w:r>
          </w:p>
          <w:tbl>
            <w:tblPr>
              <w:tblStyle w:val="39"/>
              <w:tblW w:w="897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5280"/>
              <w:gridCol w:w="1701"/>
              <w:gridCol w:w="9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085"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分类</w:t>
                  </w:r>
                </w:p>
              </w:tc>
              <w:tc>
                <w:tcPr>
                  <w:tcW w:w="5280"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rPr>
                    <w:t>国发〔2015〕17号文</w:t>
                  </w:r>
                  <w:r>
                    <w:rPr>
                      <w:rFonts w:hint="default" w:ascii="Times New Roman" w:hAnsi="Times New Roman" w:cs="Times New Roman"/>
                      <w:color w:val="auto"/>
                      <w:kern w:val="0"/>
                      <w:sz w:val="21"/>
                      <w:szCs w:val="21"/>
                      <w:lang w:val="zh-CN"/>
                    </w:rPr>
                    <w:t>要求</w:t>
                  </w:r>
                </w:p>
              </w:tc>
              <w:tc>
                <w:tcPr>
                  <w:tcW w:w="1701"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项目情况</w:t>
                  </w:r>
                </w:p>
              </w:tc>
              <w:tc>
                <w:tcPr>
                  <w:tcW w:w="906"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71" w:hRule="atLeast"/>
                <w:jc w:val="center"/>
              </w:trPr>
              <w:tc>
                <w:tcPr>
                  <w:tcW w:w="1085" w:type="dxa"/>
                  <w:vMerge w:val="restart"/>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全面控制</w:t>
                  </w:r>
                </w:p>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污染物排放</w:t>
                  </w:r>
                </w:p>
              </w:tc>
              <w:tc>
                <w:tcPr>
                  <w:tcW w:w="5280"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狠抓工业污染防治。取缔“十小”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1701"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本项目不属于“十小”企业。</w:t>
                  </w:r>
                </w:p>
              </w:tc>
              <w:tc>
                <w:tcPr>
                  <w:tcW w:w="906"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03" w:hRule="atLeast"/>
                <w:jc w:val="center"/>
              </w:trPr>
              <w:tc>
                <w:tcPr>
                  <w:tcW w:w="1085" w:type="dxa"/>
                  <w:vMerge w:val="continue"/>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p>
              </w:tc>
              <w:tc>
                <w:tcPr>
                  <w:tcW w:w="5280"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专项整治十大重点行业。制定造纸、焦化、氮肥、有色金属、印染、农副食品、加工、原料药制造、制革、农药、电镀等行业专项治理方案，实施清洁化改造。新建、改建、扩建上述行业建设项目实行主要污染物排放等量或减量置换。</w:t>
                  </w:r>
                </w:p>
              </w:tc>
              <w:tc>
                <w:tcPr>
                  <w:tcW w:w="1701"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 xml:space="preserve">本项目不属于十大重点行业。 </w:t>
                  </w:r>
                </w:p>
              </w:tc>
              <w:tc>
                <w:tcPr>
                  <w:tcW w:w="906"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55" w:hRule="atLeast"/>
                <w:jc w:val="center"/>
              </w:trPr>
              <w:tc>
                <w:tcPr>
                  <w:tcW w:w="1085" w:type="dxa"/>
                  <w:vMerge w:val="continue"/>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p>
              </w:tc>
              <w:tc>
                <w:tcPr>
                  <w:tcW w:w="5280"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集中治理工业集聚区水污染。强化经济技术开发区、高新技术产业开发区、出口加工区等工业集聚区污染治理。集聚区内工业废水必须经预处理达到集中处理要求，方可进入污水集中处理设施。新建、升级工业集聚区应同步规划、建设污水、垃圾集中处理等污染治理设施。</w:t>
                  </w:r>
                </w:p>
              </w:tc>
              <w:tc>
                <w:tcPr>
                  <w:tcW w:w="1701"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废水满足《污水排入城镇下水道水质标准》（GB/T31962-2015）B级标准要求，排入市政污水管网。</w:t>
                  </w:r>
                </w:p>
              </w:tc>
              <w:tc>
                <w:tcPr>
                  <w:tcW w:w="906"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32" w:hRule="atLeast"/>
                <w:jc w:val="center"/>
              </w:trPr>
              <w:tc>
                <w:tcPr>
                  <w:tcW w:w="1085" w:type="dxa"/>
                  <w:vMerge w:val="restart"/>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推动经济结构</w:t>
                  </w:r>
                </w:p>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转型升级</w:t>
                  </w:r>
                </w:p>
              </w:tc>
              <w:tc>
                <w:tcPr>
                  <w:tcW w:w="5280"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调整产业结构。依法淘汰落后产能。严格环境准入。根据流域水质目标和主体功能区规划要求，明确区域环境准入条件，细化功能分区，实施差别化环境准入政策。</w:t>
                  </w:r>
                </w:p>
              </w:tc>
              <w:tc>
                <w:tcPr>
                  <w:tcW w:w="1701"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不属于落后产能。</w:t>
                  </w:r>
                </w:p>
              </w:tc>
              <w:tc>
                <w:tcPr>
                  <w:tcW w:w="906"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1085" w:type="dxa"/>
                  <w:vMerge w:val="continue"/>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p>
              </w:tc>
              <w:tc>
                <w:tcPr>
                  <w:tcW w:w="5280"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重大项目原则上布局在优化开发区和重</w:t>
                  </w:r>
                </w:p>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点开发区，并符合城乡规划和土地利用</w:t>
                  </w:r>
                </w:p>
                <w:p>
                  <w:pPr>
                    <w:autoSpaceDE w:val="0"/>
                    <w:autoSpaceDN w:val="0"/>
                    <w:adjustRightInd w:val="0"/>
                    <w:jc w:val="center"/>
                    <w:rPr>
                      <w:rFonts w:hint="default" w:ascii="Times New Roman" w:hAnsi="Times New Roman" w:cs="Times New Roman"/>
                      <w:color w:val="auto"/>
                      <w:sz w:val="21"/>
                      <w:szCs w:val="21"/>
                      <w:shd w:val="clear" w:color="auto" w:fill="FFFFFF"/>
                    </w:rPr>
                  </w:pPr>
                  <w:r>
                    <w:rPr>
                      <w:rFonts w:hint="default" w:ascii="Times New Roman" w:hAnsi="Times New Roman" w:cs="Times New Roman"/>
                      <w:color w:val="auto"/>
                      <w:kern w:val="0"/>
                      <w:sz w:val="21"/>
                      <w:szCs w:val="21"/>
                    </w:rPr>
                    <w:t>总体规划。</w:t>
                  </w:r>
                </w:p>
              </w:tc>
              <w:tc>
                <w:tcPr>
                  <w:tcW w:w="1701"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项目符合城市土地利用规划。</w:t>
                  </w:r>
                </w:p>
              </w:tc>
              <w:tc>
                <w:tcPr>
                  <w:tcW w:w="906" w:type="dxa"/>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bl>
          <w:p>
            <w:pPr>
              <w:spacing w:line="360" w:lineRule="auto"/>
              <w:ind w:firstLine="480" w:firstLineChars="200"/>
              <w:jc w:val="left"/>
              <w:outlineLvl w:val="2"/>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szCs w:val="24"/>
              </w:rPr>
              <w:t>综上所述，本项目符合</w:t>
            </w:r>
            <w:r>
              <w:rPr>
                <w:rFonts w:hint="default" w:ascii="Times New Roman" w:hAnsi="Times New Roman" w:eastAsia="宋体" w:cs="Times New Roman"/>
                <w:color w:val="auto"/>
                <w:sz w:val="24"/>
                <w:szCs w:val="24"/>
              </w:rPr>
              <w:t>国发〔2015〕17号文</w:t>
            </w:r>
            <w:r>
              <w:rPr>
                <w:rFonts w:hint="default" w:ascii="Times New Roman" w:hAnsi="Times New Roman" w:cs="Times New Roman"/>
                <w:color w:val="auto"/>
                <w:sz w:val="24"/>
                <w:szCs w:val="24"/>
              </w:rPr>
              <w:t>的相关要求</w:t>
            </w:r>
            <w:r>
              <w:rPr>
                <w:rFonts w:hint="default" w:ascii="Times New Roman" w:hAnsi="Times New Roman" w:cs="Times New Roman"/>
                <w:color w:val="auto"/>
                <w:sz w:val="24"/>
                <w:szCs w:val="24"/>
                <w:lang w:eastAsia="zh-CN"/>
              </w:rPr>
              <w:t>。</w:t>
            </w:r>
          </w:p>
          <w:p>
            <w:pPr>
              <w:pStyle w:val="86"/>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、环保投资</w:t>
            </w:r>
          </w:p>
          <w:p>
            <w:pPr>
              <w:pStyle w:val="86"/>
              <w:rPr>
                <w:rFonts w:hint="default" w:ascii="Times New Roman" w:hAnsi="Times New Roman" w:cs="Times New Roman"/>
                <w:color w:val="auto"/>
              </w:rPr>
            </w:pPr>
            <w:r>
              <w:rPr>
                <w:rFonts w:hint="default" w:ascii="Times New Roman" w:hAnsi="Times New Roman" w:cs="Times New Roman"/>
                <w:color w:val="auto"/>
              </w:rPr>
              <w:t>本项目环保投资包括废水、废气、固体废物、噪声处理，项目环保投资组成如下表所示。</w:t>
            </w:r>
          </w:p>
          <w:p>
            <w:pPr>
              <w:pStyle w:val="12"/>
              <w:keepNext/>
              <w:spacing w:beforeLines="50" w:afterLines="5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表1-</w:t>
            </w:r>
            <w:r>
              <w:rPr>
                <w:rFonts w:hint="default" w:ascii="Times New Roman" w:hAnsi="Times New Roman"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rPr>
              <w:t xml:space="preserve"> 本项目环保投资估算一览表</w:t>
            </w:r>
          </w:p>
          <w:tbl>
            <w:tblPr>
              <w:tblStyle w:val="39"/>
              <w:tblW w:w="909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08"/>
              <w:gridCol w:w="6204"/>
              <w:gridCol w:w="14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w:t>
                  </w:r>
                </w:p>
              </w:tc>
              <w:tc>
                <w:tcPr>
                  <w:tcW w:w="6204"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环保措施</w:t>
                  </w:r>
                </w:p>
              </w:tc>
              <w:tc>
                <w:tcPr>
                  <w:tcW w:w="1478"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投资额（万）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废水治理</w:t>
                  </w:r>
                </w:p>
              </w:tc>
              <w:tc>
                <w:tcPr>
                  <w:tcW w:w="6204" w:type="dxa"/>
                  <w:tcBorders>
                    <w:tl2br w:val="nil"/>
                    <w:tr2bl w:val="nil"/>
                  </w:tcBorders>
                  <w:vAlign w:val="center"/>
                </w:tcPr>
                <w:p>
                  <w:pPr>
                    <w:spacing w:line="320" w:lineRule="exact"/>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szCs w:val="21"/>
                    </w:rPr>
                    <w:t>化粪池、排污管道</w:t>
                  </w:r>
                </w:p>
              </w:tc>
              <w:tc>
                <w:tcPr>
                  <w:tcW w:w="1478" w:type="dxa"/>
                  <w:tcBorders>
                    <w:tl2br w:val="nil"/>
                    <w:tr2bl w:val="nil"/>
                  </w:tcBorders>
                  <w:vAlign w:val="center"/>
                </w:tcPr>
                <w:p>
                  <w:pPr>
                    <w:spacing w:line="32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废气治理</w:t>
                  </w:r>
                </w:p>
              </w:tc>
              <w:tc>
                <w:tcPr>
                  <w:tcW w:w="6204" w:type="dxa"/>
                  <w:tcBorders>
                    <w:tl2br w:val="nil"/>
                    <w:tr2bl w:val="nil"/>
                  </w:tcBorders>
                  <w:vAlign w:val="center"/>
                </w:tcPr>
                <w:p>
                  <w:pPr>
                    <w:spacing w:line="320" w:lineRule="exact"/>
                    <w:jc w:val="center"/>
                    <w:rPr>
                      <w:rFonts w:hint="default" w:ascii="Times New Roman" w:hAnsi="Times New Roman" w:eastAsia="宋体" w:cs="Times New Roman"/>
                      <w:color w:val="auto"/>
                      <w:kern w:val="0"/>
                      <w:szCs w:val="21"/>
                      <w:lang w:val="en-US" w:eastAsia="zh-CN"/>
                    </w:rPr>
                  </w:pPr>
                  <w:r>
                    <w:rPr>
                      <w:rFonts w:hint="eastAsia" w:cs="Times New Roman"/>
                      <w:color w:val="auto"/>
                      <w:sz w:val="21"/>
                      <w:szCs w:val="21"/>
                      <w:lang w:val="en-US" w:eastAsia="zh-CN"/>
                    </w:rPr>
                    <w:t>分子筛废气处理装置</w:t>
                  </w:r>
                  <w:r>
                    <w:rPr>
                      <w:rFonts w:hint="default" w:ascii="Times New Roman" w:hAnsi="Times New Roman" w:eastAsia="宋体" w:cs="Times New Roman"/>
                      <w:color w:val="auto"/>
                      <w:sz w:val="21"/>
                      <w:szCs w:val="21"/>
                      <w:lang w:val="en-US" w:eastAsia="zh-CN"/>
                    </w:rPr>
                    <w:t>+15m排气筒</w:t>
                  </w:r>
                </w:p>
              </w:tc>
              <w:tc>
                <w:tcPr>
                  <w:tcW w:w="1478" w:type="dxa"/>
                  <w:tcBorders>
                    <w:tl2br w:val="nil"/>
                    <w:tr2bl w:val="nil"/>
                  </w:tcBorders>
                  <w:vAlign w:val="center"/>
                </w:tcPr>
                <w:p>
                  <w:pPr>
                    <w:spacing w:line="320" w:lineRule="exact"/>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噪声治理</w:t>
                  </w:r>
                </w:p>
              </w:tc>
              <w:tc>
                <w:tcPr>
                  <w:tcW w:w="6204"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采取隔声、减震</w:t>
                  </w:r>
                  <w:r>
                    <w:rPr>
                      <w:rFonts w:hint="default" w:ascii="Times New Roman" w:hAnsi="Times New Roman" w:cs="Times New Roman"/>
                      <w:color w:val="auto"/>
                      <w:szCs w:val="21"/>
                      <w:lang w:eastAsia="zh-CN"/>
                    </w:rPr>
                    <w:t>、合理布局</w:t>
                  </w:r>
                  <w:r>
                    <w:rPr>
                      <w:rFonts w:hint="default" w:ascii="Times New Roman" w:hAnsi="Times New Roman" w:cs="Times New Roman"/>
                      <w:color w:val="auto"/>
                      <w:szCs w:val="21"/>
                    </w:rPr>
                    <w:t>等措施</w:t>
                  </w:r>
                </w:p>
              </w:tc>
              <w:tc>
                <w:tcPr>
                  <w:tcW w:w="1478" w:type="dxa"/>
                  <w:tcBorders>
                    <w:tl2br w:val="nil"/>
                    <w:tr2bl w:val="nil"/>
                  </w:tcBorders>
                  <w:vAlign w:val="center"/>
                </w:tcPr>
                <w:p>
                  <w:pPr>
                    <w:spacing w:line="320" w:lineRule="exact"/>
                    <w:jc w:val="center"/>
                    <w:rPr>
                      <w:rFonts w:hint="default" w:ascii="Times New Roman" w:hAnsi="Times New Roman" w:eastAsia="宋体" w:cs="Times New Roman"/>
                      <w:color w:val="auto"/>
                      <w:kern w:val="0"/>
                      <w:szCs w:val="21"/>
                      <w:lang w:eastAsia="zh-CN"/>
                    </w:rPr>
                  </w:pPr>
                  <w:r>
                    <w:rPr>
                      <w:rFonts w:hint="eastAsia" w:cs="Times New Roman"/>
                      <w:color w:val="auto"/>
                      <w:kern w:val="0"/>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固体废物处置</w:t>
                  </w:r>
                </w:p>
              </w:tc>
              <w:tc>
                <w:tcPr>
                  <w:tcW w:w="6204"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垃圾箱、固废（危废）库</w:t>
                  </w:r>
                </w:p>
              </w:tc>
              <w:tc>
                <w:tcPr>
                  <w:tcW w:w="1478" w:type="dxa"/>
                  <w:tcBorders>
                    <w:tl2br w:val="nil"/>
                    <w:tr2bl w:val="nil"/>
                  </w:tcBorders>
                  <w:vAlign w:val="center"/>
                </w:tcPr>
                <w:p>
                  <w:pPr>
                    <w:spacing w:line="320" w:lineRule="exact"/>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合计</w:t>
                  </w:r>
                </w:p>
              </w:tc>
              <w:tc>
                <w:tcPr>
                  <w:tcW w:w="6204" w:type="dxa"/>
                  <w:tcBorders>
                    <w:tl2br w:val="nil"/>
                    <w:tr2bl w:val="nil"/>
                  </w:tcBorders>
                  <w:vAlign w:val="center"/>
                </w:tcPr>
                <w:p>
                  <w:pPr>
                    <w:spacing w:line="3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478" w:type="dxa"/>
                  <w:tcBorders>
                    <w:tl2br w:val="nil"/>
                    <w:tr2bl w:val="nil"/>
                  </w:tcBorders>
                  <w:vAlign w:val="center"/>
                </w:tcPr>
                <w:p>
                  <w:pPr>
                    <w:spacing w:line="320" w:lineRule="exact"/>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w:t>
                  </w:r>
                </w:p>
              </w:tc>
            </w:tr>
          </w:tbl>
          <w:p>
            <w:pPr>
              <w:pStyle w:val="12"/>
              <w:keepNext/>
              <w:spacing w:beforeLines="50" w:afterLines="50"/>
              <w:jc w:val="center"/>
              <w:rPr>
                <w:rFonts w:hint="default" w:ascii="Times New Roman" w:hAnsi="Times New Roman" w:eastAsia="宋体" w:cs="Times New Roman"/>
                <w:b/>
                <w:bCs/>
                <w:color w:val="auto"/>
                <w:sz w:val="24"/>
                <w:szCs w:val="24"/>
              </w:rPr>
            </w:pPr>
          </w:p>
          <w:p>
            <w:pPr>
              <w:rPr>
                <w:rFonts w:hint="default" w:ascii="Times New Roman" w:hAnsi="Times New Roman" w:eastAsia="宋体" w:cs="Times New Roman"/>
                <w:b/>
                <w:bCs/>
                <w:color w:val="auto"/>
                <w:sz w:val="24"/>
                <w:szCs w:val="24"/>
              </w:rPr>
            </w:pPr>
          </w:p>
          <w:p>
            <w:pPr>
              <w:spacing w:line="360" w:lineRule="auto"/>
              <w:outlineLvl w:val="2"/>
              <w:rPr>
                <w:rFonts w:hint="default" w:ascii="Times New Roman" w:hAnsi="Times New Roman" w:cs="Times New Roman"/>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9356" w:type="dxa"/>
            <w:gridSpan w:val="9"/>
          </w:tcPr>
          <w:p>
            <w:pPr>
              <w:spacing w:before="120" w:after="120" w:line="360" w:lineRule="auto"/>
              <w:rPr>
                <w:rFonts w:hint="default" w:ascii="Times New Roman" w:hAnsi="Times New Roman" w:cs="Times New Roman"/>
                <w:color w:val="auto"/>
                <w:sz w:val="24"/>
              </w:rPr>
            </w:pPr>
            <w:r>
              <w:rPr>
                <w:rFonts w:hint="default" w:ascii="Times New Roman" w:hAnsi="Times New Roman" w:cs="Times New Roman"/>
                <w:b/>
                <w:color w:val="auto"/>
                <w:sz w:val="24"/>
              </w:rPr>
              <w:t>与本项目有关的原有污染情况及主要环境问题</w:t>
            </w:r>
            <w:r>
              <w:rPr>
                <w:rFonts w:hint="default" w:ascii="Times New Roman" w:hAnsi="Times New Roman" w:cs="Times New Roman"/>
                <w:color w:val="auto"/>
                <w:sz w:val="24"/>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本</w:t>
            </w:r>
            <w:r>
              <w:rPr>
                <w:rFonts w:hint="default" w:ascii="Times New Roman" w:hAnsi="Times New Roman" w:cs="Times New Roman"/>
                <w:color w:val="auto"/>
                <w:sz w:val="24"/>
                <w:szCs w:val="24"/>
              </w:rPr>
              <w:t>项目为新建项目，周边环境较好，不存在与</w:t>
            </w:r>
            <w:r>
              <w:rPr>
                <w:rFonts w:hint="default" w:ascii="Times New Roman" w:hAnsi="Times New Roman" w:cs="Times New Roman"/>
                <w:color w:val="auto"/>
                <w:sz w:val="24"/>
                <w:szCs w:val="24"/>
                <w:lang w:eastAsia="zh-CN"/>
              </w:rPr>
              <w:t>本</w:t>
            </w:r>
            <w:r>
              <w:rPr>
                <w:rFonts w:hint="default" w:ascii="Times New Roman" w:hAnsi="Times New Roman" w:cs="Times New Roman"/>
                <w:color w:val="auto"/>
                <w:sz w:val="24"/>
                <w:szCs w:val="24"/>
              </w:rPr>
              <w:t>项目有关的原有污染情况及环境问题</w:t>
            </w:r>
            <w:r>
              <w:rPr>
                <w:rFonts w:hint="default" w:ascii="Times New Roman" w:hAnsi="Times New Roman" w:cs="Times New Roman"/>
                <w:color w:val="auto"/>
                <w:kern w:val="0"/>
                <w:sz w:val="24"/>
                <w:szCs w:val="24"/>
                <w:lang w:val="zh-CN"/>
              </w:rPr>
              <w:t>。</w:t>
            </w:r>
          </w:p>
          <w:p>
            <w:pPr>
              <w:adjustRightInd w:val="0"/>
              <w:snapToGrid w:val="0"/>
              <w:spacing w:line="360" w:lineRule="auto"/>
              <w:rPr>
                <w:rFonts w:hint="default" w:ascii="Times New Roman" w:hAnsi="Times New Roman" w:cs="Times New Roman"/>
                <w:color w:val="auto"/>
                <w:sz w:val="24"/>
                <w:szCs w:val="24"/>
              </w:rPr>
            </w:pPr>
          </w:p>
        </w:tc>
      </w:tr>
    </w:tbl>
    <w:p>
      <w:pPr>
        <w:spacing w:after="120"/>
        <w:rPr>
          <w:rFonts w:hint="default" w:ascii="Times New Roman" w:hAnsi="Times New Roman" w:eastAsia="黑体" w:cs="Times New Roman"/>
          <w:color w:val="auto"/>
          <w:sz w:val="30"/>
          <w:szCs w:val="30"/>
        </w:rPr>
        <w:sectPr>
          <w:headerReference r:id="rId3" w:type="default"/>
          <w:footerReference r:id="rId4" w:type="default"/>
          <w:pgSz w:w="11907" w:h="16840"/>
          <w:pgMar w:top="1402" w:right="1797" w:bottom="1558"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spacing w:after="120"/>
        <w:rPr>
          <w:rFonts w:hint="default" w:ascii="Times New Roman" w:hAnsi="Times New Roman" w:eastAsia="黑体" w:cs="Times New Roman"/>
          <w:color w:val="auto"/>
          <w:sz w:val="30"/>
          <w:szCs w:val="30"/>
        </w:rPr>
        <w:sectPr>
          <w:footerReference r:id="rId5" w:type="default"/>
          <w:pgSz w:w="16840" w:h="11907" w:orient="landscape"/>
          <w:pgMar w:top="1797" w:right="1402" w:bottom="1797" w:left="155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auto"/>
          <w:sz w:val="24"/>
        </w:rPr>
        <mc:AlternateContent>
          <mc:Choice Requires="wps">
            <w:drawing>
              <wp:anchor distT="0" distB="0" distL="114300" distR="114300" simplePos="0" relativeHeight="251652096" behindDoc="0" locked="0" layoutInCell="1" allowOverlap="1">
                <wp:simplePos x="0" y="0"/>
                <wp:positionH relativeFrom="column">
                  <wp:posOffset>3371215</wp:posOffset>
                </wp:positionH>
                <wp:positionV relativeFrom="paragraph">
                  <wp:posOffset>948055</wp:posOffset>
                </wp:positionV>
                <wp:extent cx="544195" cy="224790"/>
                <wp:effectExtent l="4445" t="4445" r="60960" b="361315"/>
                <wp:wrapNone/>
                <wp:docPr id="3" name="矩形标注 40"/>
                <wp:cNvGraphicFramePr/>
                <a:graphic xmlns:a="http://schemas.openxmlformats.org/drawingml/2006/main">
                  <a:graphicData uri="http://schemas.microsoft.com/office/word/2010/wordprocessingShape">
                    <wps:wsp>
                      <wps:cNvSpPr/>
                      <wps:spPr>
                        <a:xfrm>
                          <a:off x="0" y="0"/>
                          <a:ext cx="544195" cy="224790"/>
                        </a:xfrm>
                        <a:prstGeom prst="wedgeRectCallout">
                          <a:avLst>
                            <a:gd name="adj1" fmla="val 57236"/>
                            <a:gd name="adj2" fmla="val 207343"/>
                          </a:avLst>
                        </a:prstGeom>
                        <a:solidFill>
                          <a:srgbClr val="FF0000"/>
                        </a:solidFill>
                        <a:ln w="9525" cap="flat" cmpd="sng">
                          <a:solidFill>
                            <a:srgbClr val="000000"/>
                          </a:solidFill>
                          <a:prstDash val="solid"/>
                          <a:round/>
                          <a:headEnd type="none" w="med" len="med"/>
                          <a:tailEnd type="none" w="med" len="med"/>
                        </a:ln>
                      </wps:spPr>
                      <wps:txbx>
                        <w:txbxContent>
                          <w:p>
                            <w:pPr>
                              <w:spacing w:line="240" w:lineRule="exact"/>
                              <w:rPr>
                                <w:rFonts w:hint="eastAsia"/>
                                <w:b/>
                                <w:bCs/>
                                <w:sz w:val="18"/>
                                <w:szCs w:val="18"/>
                              </w:rPr>
                            </w:pPr>
                            <w:r>
                              <w:rPr>
                                <w:rFonts w:hint="eastAsia"/>
                                <w:b/>
                                <w:bCs/>
                                <w:sz w:val="18"/>
                                <w:szCs w:val="18"/>
                              </w:rPr>
                              <w:t>项目位置</w:t>
                            </w:r>
                          </w:p>
                          <w:p>
                            <w:pPr>
                              <w:rPr>
                                <w:rFonts w:hint="eastAsia"/>
                                <w:b/>
                                <w:bCs/>
                                <w:sz w:val="18"/>
                                <w:szCs w:val="18"/>
                              </w:rPr>
                            </w:pPr>
                          </w:p>
                          <w:p>
                            <w:pPr>
                              <w:rPr>
                                <w:rFonts w:hint="eastAsia"/>
                                <w:b/>
                                <w:bCs/>
                                <w:sz w:val="18"/>
                                <w:szCs w:val="18"/>
                              </w:rPr>
                            </w:pPr>
                            <w:r>
                              <w:rPr>
                                <w:rFonts w:hint="eastAsia"/>
                                <w:b/>
                                <w:bCs/>
                                <w:sz w:val="18"/>
                                <w:szCs w:val="18"/>
                              </w:rPr>
                              <w:t>项目位置</w:t>
                            </w:r>
                          </w:p>
                        </w:txbxContent>
                      </wps:txbx>
                      <wps:bodyPr lIns="36000" tIns="36000" rIns="36000" bIns="0" anchor="ctr" upright="1"/>
                    </wps:wsp>
                  </a:graphicData>
                </a:graphic>
              </wp:anchor>
            </w:drawing>
          </mc:Choice>
          <mc:Fallback>
            <w:pict>
              <v:shape id="矩形标注 40" o:spid="_x0000_s1026" o:spt="61" type="#_x0000_t61" style="position:absolute;left:0pt;margin-left:265.45pt;margin-top:74.65pt;height:17.7pt;width:42.85pt;z-index:251652096;v-text-anchor:middle;mso-width-relative:page;mso-height-relative:page;" fillcolor="#FF0000" filled="t" stroked="t" coordsize="21600,21600" o:gfxdata="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7q/wDbAAAACwEAAA8AAAAAAAAAAQAgAAAAIgAAAGRycy9k&#10;b3ducmV2LnhtbFBLAQIUABQAAAAIAIdO4kAqCno1OAIAAHwEAAAOAAAAAAAAAAEAIAAAACoBAABk&#10;cnMvZTJvRG9jLnhtbFBLBQYAAAAABgAGAFkBAADUBQAAAAA=&#10;" adj="23163,55586">
                <v:fill on="t" focussize="0,0"/>
                <v:stroke color="#000000" joinstyle="round"/>
                <v:imagedata o:title=""/>
                <o:lock v:ext="edit" aspectratio="f"/>
                <v:textbox inset="1mm,1mm,1mm,0mm">
                  <w:txbxContent>
                    <w:p>
                      <w:pPr>
                        <w:spacing w:line="240" w:lineRule="exact"/>
                        <w:rPr>
                          <w:rFonts w:hint="eastAsia"/>
                          <w:b/>
                          <w:bCs/>
                          <w:sz w:val="18"/>
                          <w:szCs w:val="18"/>
                        </w:rPr>
                      </w:pPr>
                      <w:r>
                        <w:rPr>
                          <w:rFonts w:hint="eastAsia"/>
                          <w:b/>
                          <w:bCs/>
                          <w:sz w:val="18"/>
                          <w:szCs w:val="18"/>
                        </w:rPr>
                        <w:t>项目位置</w:t>
                      </w:r>
                    </w:p>
                    <w:p>
                      <w:pPr>
                        <w:rPr>
                          <w:rFonts w:hint="eastAsia"/>
                          <w:b/>
                          <w:bCs/>
                          <w:sz w:val="18"/>
                          <w:szCs w:val="18"/>
                        </w:rPr>
                      </w:pPr>
                    </w:p>
                    <w:p>
                      <w:pPr>
                        <w:rPr>
                          <w:rFonts w:hint="eastAsia"/>
                          <w:b/>
                          <w:bCs/>
                          <w:sz w:val="18"/>
                          <w:szCs w:val="18"/>
                        </w:rPr>
                      </w:pPr>
                      <w:r>
                        <w:rPr>
                          <w:rFonts w:hint="eastAsia"/>
                          <w:b/>
                          <w:bCs/>
                          <w:sz w:val="18"/>
                          <w:szCs w:val="18"/>
                        </w:rPr>
                        <w:t>项目位置</w:t>
                      </w:r>
                    </w:p>
                  </w:txbxContent>
                </v:textbox>
              </v:shape>
            </w:pict>
          </mc:Fallback>
        </mc:AlternateContent>
      </w:r>
      <w:r>
        <w:rPr>
          <w:rFonts w:hint="default" w:ascii="Times New Roman" w:hAnsi="Times New Roman" w:cs="Times New Roman"/>
          <w:color w:val="auto"/>
          <w:sz w:val="24"/>
        </w:rPr>
        <w:drawing>
          <wp:inline distT="0" distB="0" distL="114300" distR="114300">
            <wp:extent cx="8719820" cy="5861685"/>
            <wp:effectExtent l="0" t="0" r="12700" b="5715"/>
            <wp:docPr id="2"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
                    <pic:cNvPicPr>
                      <a:picLocks noChangeAspect="1"/>
                    </pic:cNvPicPr>
                  </pic:nvPicPr>
                  <pic:blipFill>
                    <a:blip r:embed="rId13"/>
                    <a:srcRect l="966" t="1518" r="752" b="5013"/>
                    <a:stretch>
                      <a:fillRect/>
                    </a:stretch>
                  </pic:blipFill>
                  <pic:spPr>
                    <a:xfrm>
                      <a:off x="0" y="0"/>
                      <a:ext cx="8719820" cy="5861685"/>
                    </a:xfrm>
                    <a:prstGeom prst="rect">
                      <a:avLst/>
                    </a:prstGeom>
                    <a:noFill/>
                    <a:ln>
                      <a:noFill/>
                    </a:ln>
                  </pic:spPr>
                </pic:pic>
              </a:graphicData>
            </a:graphic>
          </wp:inline>
        </w:drawing>
      </w:r>
      <w:r>
        <w:rPr>
          <w:rFonts w:hint="default" w:ascii="Times New Roman" w:hAnsi="Times New Roman" w:eastAsia="黑体" w:cs="Times New Roman"/>
          <w:bCs/>
          <w:color w:val="auto"/>
          <w:sz w:val="24"/>
        </w:rPr>
        <mc:AlternateContent>
          <mc:Choice Requires="wps">
            <w:drawing>
              <wp:anchor distT="0" distB="0" distL="114300" distR="114300" simplePos="0" relativeHeight="251653120" behindDoc="0" locked="0" layoutInCell="1" allowOverlap="1">
                <wp:simplePos x="0" y="0"/>
                <wp:positionH relativeFrom="column">
                  <wp:posOffset>2344420</wp:posOffset>
                </wp:positionH>
                <wp:positionV relativeFrom="paragraph">
                  <wp:posOffset>5285740</wp:posOffset>
                </wp:positionV>
                <wp:extent cx="3685540" cy="381000"/>
                <wp:effectExtent l="0" t="0" r="0" b="0"/>
                <wp:wrapNone/>
                <wp:docPr id="46" name="文本框 778"/>
                <wp:cNvGraphicFramePr/>
                <a:graphic xmlns:a="http://schemas.openxmlformats.org/drawingml/2006/main">
                  <a:graphicData uri="http://schemas.microsoft.com/office/word/2010/wordprocessingShape">
                    <wps:wsp>
                      <wps:cNvSpPr txBox="1"/>
                      <wps:spPr>
                        <a:xfrm>
                          <a:off x="0" y="0"/>
                          <a:ext cx="3676650" cy="381000"/>
                        </a:xfrm>
                        <a:prstGeom prst="rect">
                          <a:avLst/>
                        </a:prstGeom>
                        <a:noFill/>
                        <a:ln w="9525">
                          <a:noFill/>
                        </a:ln>
                        <a:effectLst/>
                      </wps:spPr>
                      <wps:txbx>
                        <w:txbxContent>
                          <w:p>
                            <w:pPr>
                              <w:spacing w:line="360" w:lineRule="auto"/>
                              <w:jc w:val="center"/>
                              <w:rPr>
                                <w:b/>
                                <w:bCs/>
                                <w:sz w:val="24"/>
                              </w:rPr>
                            </w:pPr>
                            <w:r>
                              <w:rPr>
                                <w:b/>
                                <w:bCs/>
                                <w:sz w:val="24"/>
                              </w:rPr>
                              <w:t>图1-</w:t>
                            </w:r>
                            <w:r>
                              <w:rPr>
                                <w:rFonts w:hint="eastAsia"/>
                                <w:b/>
                                <w:bCs/>
                                <w:sz w:val="24"/>
                                <w:lang w:val="en-US" w:eastAsia="zh-CN"/>
                              </w:rPr>
                              <w:t>3</w:t>
                            </w:r>
                            <w:r>
                              <w:rPr>
                                <w:b/>
                                <w:bCs/>
                                <w:sz w:val="24"/>
                              </w:rPr>
                              <w:t>项目</w:t>
                            </w:r>
                            <w:r>
                              <w:rPr>
                                <w:rFonts w:hint="eastAsia"/>
                                <w:b/>
                                <w:bCs/>
                                <w:sz w:val="24"/>
                              </w:rPr>
                              <w:t>位置与</w:t>
                            </w:r>
                            <w:r>
                              <w:rPr>
                                <w:rFonts w:hint="eastAsia"/>
                                <w:b/>
                                <w:bCs/>
                                <w:sz w:val="24"/>
                                <w:lang w:eastAsia="zh-CN"/>
                              </w:rPr>
                              <w:t>威海市</w:t>
                            </w:r>
                            <w:r>
                              <w:rPr>
                                <w:rFonts w:hint="eastAsia"/>
                                <w:b/>
                                <w:bCs/>
                                <w:sz w:val="24"/>
                              </w:rPr>
                              <w:t>生态保护红线</w:t>
                            </w:r>
                            <w:r>
                              <w:rPr>
                                <w:rFonts w:hint="eastAsia"/>
                                <w:b/>
                                <w:bCs/>
                                <w:sz w:val="24"/>
                                <w:lang w:eastAsia="zh-CN"/>
                              </w:rPr>
                              <w:t>管控</w:t>
                            </w:r>
                            <w:r>
                              <w:rPr>
                                <w:rFonts w:hint="eastAsia"/>
                                <w:b/>
                                <w:bCs/>
                                <w:sz w:val="24"/>
                              </w:rPr>
                              <w:t>图关系图</w:t>
                            </w:r>
                          </w:p>
                        </w:txbxContent>
                      </wps:txbx>
                      <wps:bodyPr wrap="square" upright="1"/>
                    </wps:wsp>
                  </a:graphicData>
                </a:graphic>
              </wp:anchor>
            </w:drawing>
          </mc:Choice>
          <mc:Fallback>
            <w:pict>
              <v:shape id="文本框 778" o:spid="_x0000_s1026" o:spt="202" type="#_x0000_t202" style="position:absolute;left:0pt;margin-left:184.6pt;margin-top:416.2pt;height:30pt;width:290.2pt;z-index:251653120;mso-width-relative:page;mso-height-relative:page;" filled="f" stroked="f" coordsize="21600,21600" o:gfxdata="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p7cPzXAAAA&#10;CwEAAA8AAAAAAAAAAQAgAAAAIgAAAGRycy9kb3ducmV2LnhtbFBLAQIUABQAAAAIAIdO4kA2kguv&#10;rAEAACgDAAAOAAAAAAAAAAEAIAAAACYBAABkcnMvZTJvRG9jLnhtbFBLBQYAAAAABgAGAFkBAABE&#10;BQAAAAA=&#10;">
                <v:fill on="f" focussize="0,0"/>
                <v:stroke on="f"/>
                <v:imagedata o:title=""/>
                <o:lock v:ext="edit" aspectratio="f"/>
                <v:textbox>
                  <w:txbxContent>
                    <w:p>
                      <w:pPr>
                        <w:spacing w:line="360" w:lineRule="auto"/>
                        <w:jc w:val="center"/>
                        <w:rPr>
                          <w:b/>
                          <w:bCs/>
                          <w:sz w:val="24"/>
                        </w:rPr>
                      </w:pPr>
                      <w:r>
                        <w:rPr>
                          <w:b/>
                          <w:bCs/>
                          <w:sz w:val="24"/>
                        </w:rPr>
                        <w:t>图1-</w:t>
                      </w:r>
                      <w:r>
                        <w:rPr>
                          <w:rFonts w:hint="eastAsia"/>
                          <w:b/>
                          <w:bCs/>
                          <w:sz w:val="24"/>
                          <w:lang w:val="en-US" w:eastAsia="zh-CN"/>
                        </w:rPr>
                        <w:t>3</w:t>
                      </w:r>
                      <w:r>
                        <w:rPr>
                          <w:b/>
                          <w:bCs/>
                          <w:sz w:val="24"/>
                        </w:rPr>
                        <w:t>项目</w:t>
                      </w:r>
                      <w:r>
                        <w:rPr>
                          <w:rFonts w:hint="eastAsia"/>
                          <w:b/>
                          <w:bCs/>
                          <w:sz w:val="24"/>
                        </w:rPr>
                        <w:t>位置与</w:t>
                      </w:r>
                      <w:r>
                        <w:rPr>
                          <w:rFonts w:hint="eastAsia"/>
                          <w:b/>
                          <w:bCs/>
                          <w:sz w:val="24"/>
                          <w:lang w:eastAsia="zh-CN"/>
                        </w:rPr>
                        <w:t>威海市</w:t>
                      </w:r>
                      <w:r>
                        <w:rPr>
                          <w:rFonts w:hint="eastAsia"/>
                          <w:b/>
                          <w:bCs/>
                          <w:sz w:val="24"/>
                        </w:rPr>
                        <w:t>生态保护红线</w:t>
                      </w:r>
                      <w:r>
                        <w:rPr>
                          <w:rFonts w:hint="eastAsia"/>
                          <w:b/>
                          <w:bCs/>
                          <w:sz w:val="24"/>
                          <w:lang w:eastAsia="zh-CN"/>
                        </w:rPr>
                        <w:t>管控</w:t>
                      </w:r>
                      <w:r>
                        <w:rPr>
                          <w:rFonts w:hint="eastAsia"/>
                          <w:b/>
                          <w:bCs/>
                          <w:sz w:val="24"/>
                        </w:rPr>
                        <w:t>图关系图</w:t>
                      </w:r>
                    </w:p>
                  </w:txbxContent>
                </v:textbox>
              </v:shape>
            </w:pict>
          </mc:Fallback>
        </mc:AlternateContent>
      </w:r>
    </w:p>
    <w:p>
      <w:pPr>
        <w:spacing w:after="12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二、建设项目所在地自然环境社会环境简况</w:t>
      </w:r>
    </w:p>
    <w:tbl>
      <w:tblPr>
        <w:tblStyle w:val="39"/>
        <w:tblW w:w="935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356" w:type="dxa"/>
          </w:tcPr>
          <w:p>
            <w:pPr>
              <w:spacing w:line="360" w:lineRule="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自然环境简况（地形、地貌、地质、气候、气象、水文、植被、生物多样性等）：</w:t>
            </w:r>
          </w:p>
          <w:p>
            <w:pPr>
              <w:pStyle w:val="10"/>
              <w:spacing w:line="360" w:lineRule="auto"/>
              <w:ind w:firstLine="482" w:firstLineChars="200"/>
              <w:textAlignment w:val="baseline"/>
              <w:rPr>
                <w:rFonts w:hint="default" w:ascii="Times New Roman" w:hAnsi="Times New Roman" w:cs="Times New Roman"/>
                <w:b/>
                <w:bCs/>
                <w:color w:val="auto"/>
                <w:szCs w:val="24"/>
              </w:rPr>
            </w:pPr>
            <w:r>
              <w:rPr>
                <w:rFonts w:hint="default" w:ascii="Times New Roman" w:hAnsi="Times New Roman" w:cs="Times New Roman"/>
                <w:b/>
                <w:bCs/>
                <w:color w:val="auto"/>
                <w:szCs w:val="24"/>
              </w:rPr>
              <w:t>1 、地理位置</w:t>
            </w:r>
          </w:p>
          <w:p>
            <w:pPr>
              <w:snapToGrid w:val="0"/>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威海市位于山东半岛东端，地处北纬36°41′～37°35′，东经121°11′～122°42′。北、东、南三面濒临天乐湾，北与辽东半岛相对，东及东南与朝鲜半岛和日本列岛隔海相望，西与烟台市接壤。东西最大横距135 km，南北最大纵距81 km，总面积5436 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，其中市区面积731 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。海岸线长985.9 km。辖环翠区、火炬高技术产业开发区、经济技术开发区、临港经济技术开发区、文登区及乳山、荣成2市。</w:t>
            </w:r>
          </w:p>
          <w:p>
            <w:pPr>
              <w:snapToGrid w:val="0"/>
              <w:spacing w:line="360" w:lineRule="auto"/>
              <w:ind w:firstLine="480"/>
              <w:jc w:val="left"/>
              <w:rPr>
                <w:rFonts w:hint="eastAsia"/>
                <w:color w:val="auto"/>
                <w:sz w:val="24"/>
                <w:szCs w:val="24"/>
                <w:lang w:eastAsia="zh-CN"/>
              </w:rPr>
            </w:pPr>
            <w:r>
              <w:rPr>
                <w:color w:val="auto"/>
                <w:sz w:val="24"/>
                <w:szCs w:val="24"/>
              </w:rPr>
              <w:t>环翠区是威海市中心区，全区辖3个镇、5个街道，计64个村、102个社区，总面积276.21平方公里，海岸线长约43公里。全区户籍人口31.68万人</w:t>
            </w:r>
            <w:r>
              <w:rPr>
                <w:rFonts w:hint="eastAsia"/>
                <w:color w:val="auto"/>
                <w:sz w:val="24"/>
                <w:szCs w:val="24"/>
                <w:lang w:eastAsia="zh-CN"/>
              </w:rPr>
              <w:t>，</w:t>
            </w:r>
            <w:r>
              <w:rPr>
                <w:color w:val="auto"/>
                <w:sz w:val="24"/>
                <w:szCs w:val="24"/>
              </w:rPr>
              <w:t>全区有少数民族常住人口5769人</w:t>
            </w:r>
            <w:r>
              <w:rPr>
                <w:rFonts w:hint="eastAsia"/>
                <w:color w:val="auto"/>
                <w:sz w:val="24"/>
                <w:szCs w:val="24"/>
                <w:lang w:eastAsia="zh-CN"/>
              </w:rPr>
              <w:t>。</w:t>
            </w:r>
          </w:p>
          <w:p>
            <w:pPr>
              <w:spacing w:line="360" w:lineRule="auto"/>
              <w:ind w:firstLine="420" w:firstLineChars="200"/>
              <w:jc w:val="left"/>
              <w:rPr>
                <w:rFonts w:hint="default" w:ascii="Times New Roman" w:hAnsi="Times New Roman" w:cs="Times New Roman"/>
                <w:color w:val="auto"/>
                <w:sz w:val="24"/>
                <w:szCs w:val="24"/>
              </w:rPr>
            </w:pPr>
            <w:r>
              <w:rPr>
                <w:color w:val="auto"/>
              </w:rPr>
              <w:fldChar w:fldCharType="begin"/>
            </w:r>
            <w:r>
              <w:rPr>
                <w:color w:val="auto"/>
              </w:rPr>
              <w:instrText xml:space="preserve"> HYPERLINK "https://baike.baidu.com/item/%E7%BE%8A%E4%BA%AD%E9%95%87" \t "https://baike.baidu.com/item/_blank" </w:instrText>
            </w:r>
            <w:r>
              <w:rPr>
                <w:color w:val="auto"/>
              </w:rPr>
              <w:fldChar w:fldCharType="separate"/>
            </w:r>
            <w:r>
              <w:rPr>
                <w:rStyle w:val="35"/>
                <w:color w:val="auto"/>
                <w:u w:val="none"/>
                <w:shd w:val="clear" w:color="auto" w:fill="FFFFFF"/>
              </w:rPr>
              <w:t>羊亭镇</w:t>
            </w:r>
            <w:r>
              <w:rPr>
                <w:rStyle w:val="35"/>
                <w:color w:val="auto"/>
                <w:u w:val="none"/>
                <w:shd w:val="clear" w:color="auto" w:fill="FFFFFF"/>
              </w:rPr>
              <w:fldChar w:fldCharType="end"/>
            </w:r>
            <w:r>
              <w:rPr>
                <w:color w:val="auto"/>
                <w:sz w:val="24"/>
                <w:szCs w:val="24"/>
              </w:rPr>
              <w:t>位于威海市西南19公里，辖28个行政村，5个居民委员会，常住人口2.6万人，流动人口10000人。拥有耕地3.6万亩，山峦3.5万亩，资源丰富，环境优美，景色宜人、交通便利，北依里口山风景名胜区，距离威海市区11公里，距离威海汽车站12公里，距离威海机场40公里，距离威海港14公里，空港、海港、车站均非常方便到达</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本项目位于</w:t>
            </w:r>
            <w:r>
              <w:rPr>
                <w:rFonts w:hint="eastAsia" w:cs="Times New Roman"/>
                <w:color w:val="auto"/>
                <w:sz w:val="24"/>
                <w:szCs w:val="24"/>
                <w:lang w:eastAsia="zh-CN"/>
              </w:rPr>
              <w:t>威海市环翠区羊亭镇顺海路3-1号</w:t>
            </w:r>
            <w:r>
              <w:rPr>
                <w:rFonts w:hint="default" w:ascii="Times New Roman" w:hAnsi="Times New Roman" w:cs="Times New Roman"/>
                <w:color w:val="auto"/>
                <w:sz w:val="24"/>
                <w:szCs w:val="24"/>
              </w:rPr>
              <w:t>。</w:t>
            </w:r>
          </w:p>
          <w:p>
            <w:pPr>
              <w:pStyle w:val="10"/>
              <w:spacing w:line="360" w:lineRule="auto"/>
              <w:ind w:firstLine="482" w:firstLineChars="200"/>
              <w:textAlignment w:val="baseline"/>
              <w:rPr>
                <w:rFonts w:hint="default" w:ascii="Times New Roman" w:hAnsi="Times New Roman" w:cs="Times New Roman"/>
                <w:b/>
                <w:color w:val="auto"/>
                <w:szCs w:val="24"/>
              </w:rPr>
            </w:pPr>
            <w:r>
              <w:rPr>
                <w:rFonts w:hint="default" w:ascii="Times New Roman" w:hAnsi="Times New Roman" w:cs="Times New Roman"/>
                <w:b/>
                <w:color w:val="auto"/>
                <w:szCs w:val="24"/>
              </w:rPr>
              <w:t>2、地形、地貌、地质</w:t>
            </w:r>
          </w:p>
          <w:p>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翠区位于山东省胶北断块隆起的东端，其南侧与胶莱拗陷的东部边缘接壤。环翠区出露地层自老至新有晚太古界的胶东群、中生界白垩系青山群及新生界第四系。褶皱构造栖霞复式背斜延至境内，且由近东西向向北弯转为北东走向，是古老的基底构造。断裂构造有近南北向的双岛断裂，北北东向的金牛山断裂和老母猪河断裂，北西向的望岛断裂、海埠和神道口断裂、俚岛和海西头断裂。岩浆岩主要有中生代燕山早期的昆嵛山岩体和文登岩体及晚期的石岛岩体、伟德山岩体和龙须岛岩体。</w:t>
            </w:r>
          </w:p>
          <w:p>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翠区地处胶东低山丘陵区，地势中部和东南部高，西部和北部低，地势起伏和缓。除少数山峰海拔500米以上，大部分为200～300米的波状丘陵。低山丘陵和平原低地相间分布，低山丘陵区坡度较大，平原低地区地势较平缓。</w:t>
            </w:r>
          </w:p>
          <w:p>
            <w:pPr>
              <w:pStyle w:val="10"/>
              <w:spacing w:line="360" w:lineRule="auto"/>
              <w:ind w:firstLine="482" w:firstLineChars="200"/>
              <w:textAlignment w:val="baseline"/>
              <w:rPr>
                <w:rFonts w:hint="default" w:ascii="Times New Roman" w:hAnsi="Times New Roman" w:cs="Times New Roman"/>
                <w:b/>
                <w:color w:val="auto"/>
                <w:szCs w:val="24"/>
              </w:rPr>
            </w:pPr>
            <w:r>
              <w:rPr>
                <w:rFonts w:hint="default" w:ascii="Times New Roman" w:hAnsi="Times New Roman" w:cs="Times New Roman"/>
                <w:b/>
                <w:color w:val="auto"/>
                <w:szCs w:val="24"/>
              </w:rPr>
              <w:t>3、气候、气象</w:t>
            </w:r>
          </w:p>
          <w:p>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翠区地处中纬度，属于北温带季风型大陆性气候，四季变化和季风进退都较明显。与同纬度的内陆地区相比，具有雨水丰富、年温适中、气候温和的特点。另外，受海洋的调节作用，又具有春冷、夏凉、秋暖、冬温，昼夜温差小、无霜期长、大风多和湿度大等海洋性气候特点。全区历年平均气温12.2℃，历年平均降水量737.7毫米，历年平均日照时数2480.0小时。</w:t>
            </w:r>
          </w:p>
          <w:p>
            <w:pPr>
              <w:pStyle w:val="10"/>
              <w:spacing w:line="360" w:lineRule="auto"/>
              <w:ind w:firstLine="482" w:firstLineChars="200"/>
              <w:textAlignment w:val="baseline"/>
              <w:rPr>
                <w:rFonts w:hint="default" w:ascii="Times New Roman" w:hAnsi="Times New Roman" w:cs="Times New Roman"/>
                <w:b/>
                <w:color w:val="auto"/>
                <w:szCs w:val="24"/>
              </w:rPr>
            </w:pPr>
            <w:r>
              <w:rPr>
                <w:rFonts w:hint="default" w:ascii="Times New Roman" w:hAnsi="Times New Roman" w:cs="Times New Roman"/>
                <w:b/>
                <w:color w:val="auto"/>
                <w:szCs w:val="24"/>
              </w:rPr>
              <w:t>4、</w:t>
            </w:r>
            <w:r>
              <w:rPr>
                <w:rFonts w:hint="eastAsia" w:ascii="Times New Roman" w:cs="Times New Roman"/>
                <w:b/>
                <w:color w:val="auto"/>
                <w:szCs w:val="24"/>
                <w:lang w:eastAsia="zh-CN"/>
              </w:rPr>
              <w:t>水系、</w:t>
            </w:r>
            <w:r>
              <w:rPr>
                <w:rFonts w:hint="default" w:ascii="Times New Roman" w:hAnsi="Times New Roman" w:cs="Times New Roman"/>
                <w:b/>
                <w:color w:val="auto"/>
                <w:szCs w:val="24"/>
              </w:rPr>
              <w:t>水文</w:t>
            </w:r>
          </w:p>
          <w:p>
            <w:pPr>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（1）地表水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hd w:val="clear" w:color="auto" w:fill="FFFFFF"/>
              </w:rPr>
              <w:t>威海市河流属半岛边沿水系，为季风区雨源型河流。河床比降大，源短流急，暴涨暴落。径流量受季节影响差异较大，枯水季节多断流。全市有大小河流1000多条，其中母猪河、乳山河、黄垒河三条较大河流贯穿于文登、乳山市境内，总流域面积2884平方公里，占全市土地总面积的53%，母猪河流域面积最大，流域面积1278平方公里。境内河流长度大于5公里的有94条，其中大于10公里的有44条，黄垒河最长，全长69公里。河网平均密度为0.22公里/平方公里。多年平均年径流系数为0.36左右，2012年径流系数为0.386</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4"/>
                <w:szCs w:val="24"/>
              </w:rPr>
              <w:t>项目区附近主要河流为</w:t>
            </w:r>
            <w:r>
              <w:rPr>
                <w:rFonts w:hint="eastAsia" w:cs="Times New Roman"/>
                <w:color w:val="auto"/>
                <w:sz w:val="24"/>
                <w:szCs w:val="24"/>
                <w:lang w:eastAsia="zh-CN"/>
              </w:rPr>
              <w:t>羊亭河</w:t>
            </w:r>
            <w:r>
              <w:rPr>
                <w:rFonts w:hint="default" w:ascii="Times New Roman" w:hAnsi="Times New Roman" w:eastAsia="宋体" w:cs="Times New Roman"/>
                <w:color w:val="auto"/>
                <w:sz w:val="24"/>
                <w:vertAlign w:val="baseline"/>
                <w:lang w:eastAsia="zh-CN"/>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（2）地下水</w:t>
            </w:r>
          </w:p>
          <w:p>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eastAsia="zh-CN"/>
              </w:rPr>
              <w:t>环翠区</w:t>
            </w:r>
            <w:r>
              <w:rPr>
                <w:rFonts w:hint="default" w:ascii="Times New Roman" w:hAnsi="Times New Roman" w:cs="Times New Roman" w:eastAsiaTheme="minorEastAsia"/>
                <w:color w:val="auto"/>
                <w:sz w:val="24"/>
                <w:szCs w:val="24"/>
              </w:rPr>
              <w:t>境内位于胶东半岛东部的低山丘陵区，地下水资源量除受大气降水影响外，还受地形、地貌、岩性、地质构造和人类活动的影响，地下水位也呈动态变化状态。在一年之中，1月—6月地下水位一般呈下降趋势，7月—9月地下水位上升，10月—12月又呈缓慢下降。其年变化幅度，山丘区地下水位年变幅较大，平原区地下水位年变幅较小。</w:t>
            </w:r>
          </w:p>
          <w:p>
            <w:pPr>
              <w:pStyle w:val="10"/>
              <w:spacing w:line="360" w:lineRule="auto"/>
              <w:ind w:firstLine="482" w:firstLineChars="200"/>
              <w:textAlignment w:val="baseline"/>
              <w:rPr>
                <w:rFonts w:hint="default" w:ascii="Times New Roman" w:hAnsi="Times New Roman" w:cs="Times New Roman"/>
                <w:b/>
                <w:color w:val="auto"/>
                <w:szCs w:val="24"/>
              </w:rPr>
            </w:pPr>
            <w:r>
              <w:rPr>
                <w:rFonts w:hint="default" w:ascii="Times New Roman" w:hAnsi="Times New Roman" w:cs="Times New Roman"/>
                <w:b/>
                <w:color w:val="auto"/>
                <w:szCs w:val="24"/>
              </w:rPr>
              <w:t>5、土壤</w:t>
            </w:r>
          </w:p>
          <w:p>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翠区土壤类型有棕壤、潮土、盐土、风砂土、水稻土、山地草甸土6个土类。依据其各自的发育程度、附加成土过程和土壤属性，又分为棕壤性土、棕壤、潮棕壤；潮土、盐化潮土；盐土；半固定风砂土、固定风砂土8个亚类14个土属68个土种。棕壤土类是全区分布最广、面积最大的土类，遍及全区各镇（街道）的山丘地区，占土壤总面积的83.5%，占全区耕地总面积的82.5%。潮土土类为环翠区第二大类土壤，占土壤总面积的13.2%，占耕地总面积的17.5%。盐土和风砂土无耕地。从土壤（耕层）质地可归为3大类：砂性土、轻壤土、中壤土。从土体构型可分为15种类型，按其对作物的影响主要归纳为4大类型：均壤质型，均砂、夹砂、夹砾石型，夹粘、均粘型，硬（酥）石底型。砂性土占耕地总面积的61.3%，轻壤土占36.8%，中壤土占1.9%。从化学性状来分，环翠区成土母质大部分为酸性岩和中性岩风化物，pH值除沿海一带少部分盐化潮土稍高外，其余土壤均呈中性至酸性，土壤pH值在3.8～8.1之间，众数为5.2。由于长期大量化肥的施用，造成环翠区土壤严重酸化，90%以上土壤酸化，已严重影响作物正常生长发育。2018年，经土壤酸化改良，环翠区土壤pH值众数提高到5.4。</w:t>
            </w:r>
          </w:p>
          <w:p>
            <w:pPr>
              <w:pStyle w:val="10"/>
              <w:spacing w:line="360" w:lineRule="auto"/>
              <w:ind w:firstLine="482" w:firstLineChars="200"/>
              <w:textAlignment w:val="baseline"/>
              <w:rPr>
                <w:rFonts w:hint="default" w:ascii="Times New Roman" w:hAnsi="Times New Roman" w:cs="Times New Roman"/>
                <w:b/>
                <w:color w:val="auto"/>
                <w:szCs w:val="24"/>
              </w:rPr>
            </w:pPr>
            <w:r>
              <w:rPr>
                <w:rFonts w:hint="default" w:ascii="Times New Roman" w:hAnsi="Times New Roman" w:cs="Times New Roman"/>
                <w:b/>
                <w:color w:val="auto"/>
                <w:szCs w:val="24"/>
              </w:rPr>
              <w:t>6、生物资源</w:t>
            </w:r>
          </w:p>
          <w:p>
            <w:pPr>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环翠区</w:t>
            </w:r>
            <w:r>
              <w:rPr>
                <w:rFonts w:hint="default" w:ascii="Times New Roman" w:hAnsi="Times New Roman" w:cs="Times New Roman" w:eastAsiaTheme="minorEastAsia"/>
                <w:i w:val="0"/>
                <w:caps w:val="0"/>
                <w:color w:val="auto"/>
                <w:spacing w:val="0"/>
                <w:sz w:val="24"/>
                <w:szCs w:val="24"/>
                <w:shd w:val="clear" w:fill="FFFFFF"/>
              </w:rPr>
              <w:t>野生经济植物70科248种</w:t>
            </w:r>
            <w:r>
              <w:rPr>
                <w:rFonts w:hint="default" w:ascii="Times New Roman" w:hAnsi="Times New Roman" w:cs="Times New Roman" w:eastAsiaTheme="minorEastAsia"/>
                <w:i w:val="0"/>
                <w:caps w:val="0"/>
                <w:color w:val="auto"/>
                <w:spacing w:val="0"/>
                <w:sz w:val="24"/>
                <w:szCs w:val="24"/>
                <w:shd w:val="clear" w:fill="FFFFFF"/>
                <w:lang w:eastAsia="zh-CN"/>
              </w:rPr>
              <w:t>；</w:t>
            </w:r>
            <w:r>
              <w:rPr>
                <w:rFonts w:hint="default" w:ascii="Times New Roman" w:hAnsi="Times New Roman" w:cs="Times New Roman" w:eastAsiaTheme="minorEastAsia"/>
                <w:i w:val="0"/>
                <w:caps w:val="0"/>
                <w:color w:val="auto"/>
                <w:spacing w:val="0"/>
                <w:sz w:val="24"/>
                <w:szCs w:val="24"/>
                <w:shd w:val="clear" w:fill="FFFFFF"/>
              </w:rPr>
              <w:t>野生牧草12科92种</w:t>
            </w:r>
            <w:r>
              <w:rPr>
                <w:rFonts w:hint="default" w:ascii="Times New Roman" w:hAnsi="Times New Roman" w:cs="Times New Roman" w:eastAsiaTheme="minorEastAsia"/>
                <w:i w:val="0"/>
                <w:caps w:val="0"/>
                <w:color w:val="auto"/>
                <w:spacing w:val="0"/>
                <w:sz w:val="24"/>
                <w:szCs w:val="24"/>
                <w:shd w:val="clear" w:fill="FFFFFF"/>
                <w:lang w:eastAsia="zh-CN"/>
              </w:rPr>
              <w:t>；</w:t>
            </w:r>
            <w:r>
              <w:rPr>
                <w:rFonts w:hint="default" w:ascii="Times New Roman" w:hAnsi="Times New Roman" w:cs="Times New Roman" w:eastAsiaTheme="minorEastAsia"/>
                <w:i w:val="0"/>
                <w:caps w:val="0"/>
                <w:color w:val="auto"/>
                <w:spacing w:val="0"/>
                <w:sz w:val="24"/>
                <w:szCs w:val="24"/>
                <w:shd w:val="clear" w:fill="FFFFFF"/>
              </w:rPr>
              <w:t>野生牧草12科92种</w:t>
            </w:r>
            <w:r>
              <w:rPr>
                <w:rFonts w:hint="default" w:ascii="Times New Roman" w:hAnsi="Times New Roman" w:cs="Times New Roman" w:eastAsiaTheme="minorEastAsia"/>
                <w:i w:val="0"/>
                <w:caps w:val="0"/>
                <w:color w:val="auto"/>
                <w:spacing w:val="0"/>
                <w:sz w:val="24"/>
                <w:szCs w:val="24"/>
                <w:shd w:val="clear" w:fill="FFFFFF"/>
                <w:lang w:eastAsia="zh-CN"/>
              </w:rPr>
              <w:t>；</w:t>
            </w:r>
            <w:r>
              <w:rPr>
                <w:rFonts w:hint="default" w:ascii="Times New Roman" w:hAnsi="Times New Roman" w:cs="Times New Roman" w:eastAsiaTheme="minorEastAsia"/>
                <w:i w:val="0"/>
                <w:caps w:val="0"/>
                <w:color w:val="auto"/>
                <w:spacing w:val="0"/>
                <w:sz w:val="24"/>
                <w:szCs w:val="24"/>
                <w:shd w:val="clear" w:fill="FFFFFF"/>
              </w:rPr>
              <w:t>经济树种主要有：苹果、梨、桃、</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"https://baike.baidu.com/item/%E5%B1%B1%E6%A5%82/200032"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山楂</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"https://baike.baidu.com/item/%E8%91%A1%E8%90%84/1116"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葡萄</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、大枣、樱桃、杏、李子、</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"https://baike.baidu.com/item/%E6%B5%B7%E6%A3%A0/546"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海棠</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、柿子、</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"https://baike.baidu.com/item/%E6%9D%BF%E6%A0%97/6064"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板栗</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等</w:t>
            </w:r>
            <w:r>
              <w:rPr>
                <w:rFonts w:hint="default" w:ascii="Times New Roman" w:hAnsi="Times New Roman" w:cs="Times New Roman" w:eastAsiaTheme="minorEastAsia"/>
                <w:i w:val="0"/>
                <w:caps w:val="0"/>
                <w:color w:val="auto"/>
                <w:spacing w:val="0"/>
                <w:sz w:val="24"/>
                <w:szCs w:val="24"/>
                <w:shd w:val="clear" w:fill="FFFFFF"/>
                <w:lang w:eastAsia="zh-CN"/>
              </w:rPr>
              <w:t>；</w:t>
            </w:r>
            <w:r>
              <w:rPr>
                <w:rFonts w:hint="default" w:ascii="Times New Roman" w:hAnsi="Times New Roman" w:cs="Times New Roman" w:eastAsiaTheme="minorEastAsia"/>
                <w:i w:val="0"/>
                <w:caps w:val="0"/>
                <w:color w:val="auto"/>
                <w:spacing w:val="0"/>
                <w:sz w:val="24"/>
                <w:szCs w:val="24"/>
                <w:shd w:val="clear" w:fill="FFFFFF"/>
              </w:rPr>
              <w:t>观赏花木树种主要有：雪松、侧柏、</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"https://baike.baidu.com/item/%E5%8D%83%E5%A4%B4%E6%9F%8F"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千头柏</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"https://baike.baidu.com/item/%E9%BE%99%E6%9F%8F"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龙柏</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"https://baike.baidu.com/item/%E5%90%88%E6%AC%A2/22164"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合欢</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"https://baike.baidu.com/item/%E5%9E%82%E6%9F%B3/3935180"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垂柳</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"https://baike.baidu.com/item/%E6%A8%B1%E8%8A%B1/70387"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樱花</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"https://baike.baidu.com/item/%E6%9C%88%E5%AD%A3/32865"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月季</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、玫瑰、</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"https://baike.baidu.com/item/%E5%86%AC%E9%9D%92/28972"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冬青</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等（多为引进种）。野生和栽培经济药材植物有70科248种</w:t>
            </w:r>
            <w:r>
              <w:rPr>
                <w:rFonts w:hint="default" w:ascii="Times New Roman" w:hAnsi="Times New Roman" w:cs="Times New Roman" w:eastAsiaTheme="minorEastAsia"/>
                <w:i w:val="0"/>
                <w:caps w:val="0"/>
                <w:color w:val="auto"/>
                <w:spacing w:val="0"/>
                <w:sz w:val="24"/>
                <w:szCs w:val="24"/>
                <w:shd w:val="clear" w:fill="FFFFFF"/>
                <w:lang w:eastAsia="zh-CN"/>
              </w:rPr>
              <w:t>；</w:t>
            </w:r>
            <w:r>
              <w:rPr>
                <w:rFonts w:hint="default" w:ascii="Times New Roman" w:hAnsi="Times New Roman" w:cs="Times New Roman" w:eastAsiaTheme="minorEastAsia"/>
                <w:i w:val="0"/>
                <w:caps w:val="0"/>
                <w:color w:val="auto"/>
                <w:spacing w:val="0"/>
                <w:sz w:val="24"/>
                <w:szCs w:val="24"/>
                <w:shd w:val="clear" w:fill="FFFFFF"/>
              </w:rPr>
              <w:t>野生草类12科92种</w:t>
            </w:r>
            <w:r>
              <w:rPr>
                <w:rFonts w:hint="default" w:ascii="Times New Roman" w:hAnsi="Times New Roman" w:cs="Times New Roman" w:eastAsiaTheme="minorEastAsia"/>
                <w:color w:val="auto"/>
                <w:sz w:val="24"/>
                <w:szCs w:val="24"/>
              </w:rPr>
              <w:t>。</w:t>
            </w:r>
          </w:p>
          <w:p>
            <w:pPr>
              <w:pStyle w:val="1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eastAsiaTheme="minorEastAsia"/>
                <w:i w:val="0"/>
                <w:caps w:val="0"/>
                <w:color w:val="auto"/>
                <w:spacing w:val="0"/>
                <w:sz w:val="24"/>
                <w:szCs w:val="24"/>
                <w:shd w:val="clear" w:fill="FFFFFF"/>
              </w:rPr>
              <w:t>环翠区动物有7门25纲84目883种（包括水生动物）</w:t>
            </w:r>
            <w:r>
              <w:rPr>
                <w:rFonts w:hint="default" w:ascii="Times New Roman" w:hAnsi="Times New Roman" w:cs="Times New Roman" w:eastAsiaTheme="minorEastAsia"/>
                <w:i w:val="0"/>
                <w:caps w:val="0"/>
                <w:color w:val="auto"/>
                <w:spacing w:val="0"/>
                <w:sz w:val="24"/>
                <w:szCs w:val="24"/>
                <w:shd w:val="clear" w:fill="FFFFFF"/>
                <w:lang w:eastAsia="zh-CN"/>
              </w:rPr>
              <w:t>。</w:t>
            </w:r>
            <w:r>
              <w:rPr>
                <w:rFonts w:hint="default" w:ascii="Times New Roman" w:hAnsi="Times New Roman" w:cs="Times New Roman" w:eastAsiaTheme="minorEastAsia"/>
                <w:i w:val="0"/>
                <w:caps w:val="0"/>
                <w:color w:val="auto"/>
                <w:spacing w:val="0"/>
                <w:sz w:val="24"/>
                <w:szCs w:val="24"/>
                <w:shd w:val="clear" w:fill="FFFFFF"/>
              </w:rPr>
              <w:t>鸟类有250种，其中候鸟、旅鸟占70%以上，留鸟种类较少。列入国家保护的野生动物一级的有梅花鹿、中华秋沙鸭、</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"https://baike.baidu.com/item/%E9%87%91%E9%9B%95"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金雕</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、黑鹮4种，二级的有大天鹅、鸳鸯、灰鹤、</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"https://baike.baidu.com/item/%E8%8B%8D%E9%B9%B0"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苍鹰</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等12种；其余鸟类及狐狸、豹猫、獾、黄鼬、刺猬等列入山东重点保护野生动物</w:t>
            </w:r>
            <w:r>
              <w:rPr>
                <w:rFonts w:hint="default" w:ascii="Times New Roman" w:hAnsi="Times New Roman" w:cs="Times New Roman" w:eastAsiaTheme="minorEastAsia"/>
                <w:i w:val="0"/>
                <w:caps w:val="0"/>
                <w:color w:val="auto"/>
                <w:spacing w:val="0"/>
                <w:sz w:val="24"/>
                <w:szCs w:val="24"/>
                <w:shd w:val="clear" w:fill="FFFFFF"/>
                <w:lang w:eastAsia="zh-CN"/>
              </w:rPr>
              <w:t>。</w:t>
            </w:r>
            <w:r>
              <w:rPr>
                <w:rFonts w:hint="default" w:ascii="Times New Roman" w:hAnsi="Times New Roman" w:cs="Times New Roman" w:eastAsiaTheme="minorEastAsia"/>
                <w:i w:val="0"/>
                <w:caps w:val="0"/>
                <w:color w:val="auto"/>
                <w:spacing w:val="0"/>
                <w:sz w:val="24"/>
                <w:szCs w:val="24"/>
                <w:shd w:val="clear" w:fill="FFFFFF"/>
              </w:rPr>
              <w:t>环翠区有海洋生物资源700余种，其中，动物600余种，植物100余种。动物中，鱼类主要有大黄鱼、小黄鱼、梭鱼、鲻鱼、鲈鱼、鲅鱼、</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"https://baike.baidu.com/item/%E9%9D%92%E9%B3%9E%E9%B1%BC"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青鳞鱼</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、太平洋鲱鱼、</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"https://baike.baidu.com/item/%E9%B2%B3%E9%B1%BC"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鲳鱼</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、黄姑、</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"https://baike.baidu.com/item/%E6%AF%94%E7%9B%AE%E9%B1%BC"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比目鱼</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等100余种；虾蟹类主要有鹰爪虾、对虾、毛虾、</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"https://baike.baidu.com/item/%E8%84%8A%E5%B0%BE%E7%99%BD%E8%99%BE"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脊尾白虾</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、三疣梭子蟹等；贝类主要有栉孔扇贝、</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"https://baike.baidu.com/item/%E9%B2%8D%E9%B1%BC"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鲍鱼</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、泥蚶、菲律宾蛤仔、文蛤、毛蚶、魁蚶、牡蛎、中国蛤蜊、四角蛤蜊、</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"https://baike.baidu.com/item/%E8%B4%BB%E8%B4%9D"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贻贝</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、青蛤等；棘皮类中有刺参、</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"https://baike.baidu.com/item/%E6%B5%B7%E8%9C%87/71295" \t "https://baike.baidu.com/item/%E7%8E%AF%E7%BF%A0%E5%8C%BA/_blank"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35"/>
                <w:rFonts w:hint="default" w:ascii="Times New Roman" w:hAnsi="Times New Roman" w:cs="Times New Roman" w:eastAsiaTheme="minorEastAsia"/>
                <w:i w:val="0"/>
                <w:caps w:val="0"/>
                <w:color w:val="auto"/>
                <w:spacing w:val="0"/>
                <w:sz w:val="24"/>
                <w:szCs w:val="24"/>
                <w:u w:val="none"/>
                <w:shd w:val="clear" w:fill="FFFFFF"/>
              </w:rPr>
              <w:t>海蜇</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shd w:val="clear" w:fill="FFFFFF"/>
              </w:rPr>
              <w:t>、马粪海胆、海星等</w:t>
            </w:r>
            <w:r>
              <w:rPr>
                <w:rFonts w:hint="default" w:ascii="Times New Roman" w:hAnsi="Times New Roman" w:cs="Times New Roman"/>
                <w:color w:val="auto"/>
                <w:szCs w:val="24"/>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356" w:type="dxa"/>
          </w:tcPr>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社会环境简况（</w:t>
            </w:r>
            <w:r>
              <w:rPr>
                <w:rFonts w:hint="default" w:ascii="Times New Roman" w:hAnsi="Times New Roman" w:cs="Times New Roman"/>
                <w:b/>
                <w:color w:val="auto"/>
                <w:sz w:val="24"/>
                <w:lang w:eastAsia="zh-CN"/>
              </w:rPr>
              <w:t>经济发展</w:t>
            </w:r>
            <w:r>
              <w:rPr>
                <w:rFonts w:hint="default" w:ascii="Times New Roman" w:hAnsi="Times New Roman" w:cs="Times New Roman"/>
                <w:b/>
                <w:color w:val="auto"/>
                <w:sz w:val="24"/>
              </w:rPr>
              <w:t>、</w:t>
            </w:r>
            <w:r>
              <w:rPr>
                <w:rFonts w:hint="eastAsia" w:cs="Times New Roman"/>
                <w:b/>
                <w:color w:val="auto"/>
                <w:sz w:val="24"/>
                <w:lang w:eastAsia="zh-CN"/>
              </w:rPr>
              <w:t>社会事业</w:t>
            </w:r>
            <w:r>
              <w:rPr>
                <w:rFonts w:hint="default" w:ascii="Times New Roman" w:hAnsi="Times New Roman" w:cs="Times New Roman"/>
                <w:b/>
                <w:color w:val="auto"/>
                <w:sz w:val="24"/>
              </w:rPr>
              <w:t>、文物保护等）：</w:t>
            </w:r>
          </w:p>
          <w:p>
            <w:pPr>
              <w:bidi w:val="0"/>
              <w:spacing w:line="360" w:lineRule="auto"/>
              <w:ind w:firstLine="482" w:firstLineChars="200"/>
              <w:jc w:val="left"/>
              <w:rPr>
                <w:rFonts w:hint="default" w:ascii="Times New Roman" w:hAnsi="Times New Roman" w:cs="Times New Roman" w:eastAsiaTheme="minorEastAsia"/>
                <w:b/>
                <w:bCs/>
                <w:color w:val="auto"/>
                <w:sz w:val="24"/>
                <w:szCs w:val="24"/>
              </w:rPr>
            </w:pPr>
            <w:r>
              <w:rPr>
                <w:rFonts w:hint="eastAsia" w:cs="Times New Roman" w:eastAsiaTheme="minorEastAsia"/>
                <w:b/>
                <w:bCs/>
                <w:color w:val="auto"/>
                <w:sz w:val="24"/>
                <w:szCs w:val="24"/>
                <w:lang w:val="en-US" w:eastAsia="zh-CN"/>
              </w:rPr>
              <w:t>1</w:t>
            </w:r>
            <w:r>
              <w:rPr>
                <w:rFonts w:hint="default" w:ascii="Times New Roman" w:hAnsi="Times New Roman" w:cs="Times New Roman" w:eastAsiaTheme="minorEastAsia"/>
                <w:b/>
                <w:bCs/>
                <w:color w:val="auto"/>
                <w:sz w:val="24"/>
                <w:szCs w:val="24"/>
                <w:lang w:val="en-US" w:eastAsia="zh-CN"/>
              </w:rPr>
              <w:t>、经济发展</w:t>
            </w:r>
          </w:p>
          <w:p>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2019年，全区生产总值376.03亿元，按可比价格计算，比上年增长3.2%。其中，第一产业增加值30.28亿元，比上年下降1.1%；第二产业增加值120.76亿元，增长5.0%；第三产业增加值224.99亿元，增长2.6%。三次产业结构调整为8.1︰32.1︰59.8。</w:t>
            </w:r>
          </w:p>
          <w:p>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2019年，全区对外贸易进出口总额215.7亿元，下降27.3%。其中，出口157.5亿元，下降22.3%；进口58.2亿元，下降38.1%。从企业性质看，外商投资企业进出口24.5亿元，下降14.1%，占全区进出口的11.4%；私营企业进出口101.6亿元，下降31.2%，占全区进出口的47.1%。从贸易方式看，一般贸易进出口161.5亿元，下降33.3%，占全区的74.9%；加工贸易进出口52.8亿元，增长1.4%，占全区的24.5%；其他贸易进出口1.3亿元，下降26.8%，占全区的0.6%。从主要市场看，全区企业与188个国家和地区有贸易往来。其中，对韩国出口29亿元，占全区出口的18.4%；对欧盟出口28.3亿元，占全区出口的17.9%；对日本出口27.3亿元，占全区出口的17.3%；对美国出口20.6亿元，占全区出口的13.1%。从出口商品看，纺织服装出口67.8亿元，下降25.2%，占全区出口的43.1%；机电高新技术产品出口28.4亿元，下降25.4%，占全区出口的18%；农产品出口8.7亿元，下降2.9%，占全区出口的5.5%。</w:t>
            </w:r>
          </w:p>
          <w:p>
            <w:pPr>
              <w:bidi w:val="0"/>
              <w:spacing w:line="360" w:lineRule="auto"/>
              <w:ind w:firstLine="480" w:firstLineChars="200"/>
              <w:jc w:val="left"/>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2019年，全区有规模以上民营工业企业86家，占全区规模以上工业企业总数的78.9%，完成工业总产值223.8亿元，比上年增长7.2%；实现营业收入190.2亿元、利润18.1亿元，分别比上年增长5.0%、36.7%，营业收入、利润指标占全区规模以上工业企业的比重分别为80.1%、72.1%，民营经济发展质量明显提升。至年末。全区有民营经济市场主体64118户，比上年增长13.28%，注册资金674.8亿元，比上年增长12.16%。其中，个体工商户43321户，比上年增长14.15%，注册资金24.4亿元，比上年增长30.83%；私营企业20583户，比上年增长11.55%，注册资金640.09亿元，比上年增长11.77%；农民专业合作社214户，比上年增长7%，注册资金10.31亿元，比上年增长0.31%。民营经济市场主体发展活跃，总量持续扩大</w:t>
            </w:r>
            <w:r>
              <w:rPr>
                <w:rFonts w:hint="eastAsia" w:ascii="Times New Roman" w:hAnsi="Times New Roman" w:cs="Times New Roman" w:eastAsiaTheme="minorEastAsia"/>
                <w:color w:val="auto"/>
                <w:sz w:val="24"/>
                <w:szCs w:val="24"/>
                <w:lang w:eastAsia="zh-CN"/>
              </w:rPr>
              <w:t>。</w:t>
            </w:r>
          </w:p>
          <w:p>
            <w:pPr>
              <w:bidi w:val="0"/>
              <w:spacing w:line="360" w:lineRule="auto"/>
              <w:ind w:firstLine="482" w:firstLineChars="200"/>
              <w:jc w:val="left"/>
              <w:rPr>
                <w:rFonts w:hint="default" w:ascii="Times New Roman" w:hAnsi="Times New Roman" w:cs="Times New Roman" w:eastAsiaTheme="minorEastAsia"/>
                <w:b/>
                <w:bCs/>
                <w:color w:val="auto"/>
                <w:sz w:val="24"/>
                <w:szCs w:val="24"/>
                <w:lang w:val="en-US" w:eastAsia="zh-CN"/>
              </w:rPr>
            </w:pPr>
            <w:r>
              <w:rPr>
                <w:rFonts w:hint="eastAsia" w:cs="Times New Roman" w:eastAsiaTheme="minorEastAsia"/>
                <w:b/>
                <w:bCs/>
                <w:color w:val="auto"/>
                <w:sz w:val="24"/>
                <w:szCs w:val="24"/>
                <w:lang w:val="en-US" w:eastAsia="zh-CN"/>
              </w:rPr>
              <w:t>2</w:t>
            </w:r>
            <w:r>
              <w:rPr>
                <w:rFonts w:hint="eastAsia" w:ascii="Times New Roman" w:hAnsi="Times New Roman" w:cs="Times New Roman" w:eastAsiaTheme="minorEastAsia"/>
                <w:b/>
                <w:bCs/>
                <w:color w:val="auto"/>
                <w:sz w:val="24"/>
                <w:szCs w:val="24"/>
                <w:lang w:val="en-US" w:eastAsia="zh-CN"/>
              </w:rPr>
              <w:t>、</w:t>
            </w:r>
            <w:r>
              <w:rPr>
                <w:rFonts w:hint="default" w:ascii="Times New Roman" w:hAnsi="Times New Roman" w:cs="Times New Roman" w:eastAsiaTheme="minorEastAsia"/>
                <w:b/>
                <w:bCs/>
                <w:color w:val="auto"/>
                <w:sz w:val="24"/>
                <w:szCs w:val="24"/>
                <w:lang w:val="en-US" w:eastAsia="zh-CN"/>
              </w:rPr>
              <w:t>社会事业</w:t>
            </w:r>
          </w:p>
          <w:p>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val="0"/>
                <w:caps w:val="0"/>
                <w:color w:val="auto"/>
                <w:spacing w:val="0"/>
                <w:sz w:val="24"/>
                <w:szCs w:val="24"/>
                <w:shd w:val="clear" w:fill="FFFFFF"/>
              </w:rPr>
              <w:t>2018年，环翠区累计取得重要科学技术成果8项。累计登记技术合同99项，合同金额5.56亿元。共授权发明专利77件，授权专利数796件。新备案省级科技企业孵化器3家，总数达到7家；新增市工程技术研究中心2家，区工程技术研究中心3家。截至年末，共建有国家工程技术研究中心1家，省工程技术研究中心10家，省重点实验室3家，院士工作站2家，市工程技术研究中心25家，市重点实验室2家，区工程技术研究中心27家。新认定市级工业设计中心3家，区级工业设计中心3家。截至年末，全区共有各级工业设计中心17家。其中，国家级工业设计中心1家，省级工业设计中心4家，市级工业设计中心7家，区级工业设计中心5家。新认定各级企业技术中心9家。其中，省级1家、市级5家、区级3家。截至年末，全区共有省级企业技术中心21家，市级企业技术中心23家，区级企业技术中心24家。新增高新技术企业18家。截至年末，全区共拥有高新技术企业71家，国家科技型中小企业66家。全区拥有中国驰名商标7件；地理标志商标3件；山东省著名商标15件；威海市知名商标42件。山东名牌产品38个，新增2个；山东省服务名牌30个，新增6个</w:t>
            </w:r>
            <w:r>
              <w:rPr>
                <w:rFonts w:hint="default" w:ascii="Times New Roman" w:hAnsi="Times New Roman" w:cs="Times New Roman" w:eastAsiaTheme="minorEastAsia"/>
                <w:color w:val="auto"/>
                <w:sz w:val="24"/>
                <w:szCs w:val="24"/>
              </w:rPr>
              <w:t>。</w:t>
            </w:r>
          </w:p>
          <w:p>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val="0"/>
                <w:caps w:val="0"/>
                <w:color w:val="auto"/>
                <w:spacing w:val="0"/>
                <w:sz w:val="24"/>
                <w:szCs w:val="24"/>
                <w:shd w:val="clear" w:fill="FFFFFF"/>
              </w:rPr>
              <w:t>截至2018年末，环翠区共有中等职业学校2所，在校学生1018人；义务教育学校32所（九年一贯制学校4所、初中9所、小学19所），在校学生49921人，在编教职工3045人，全区省级规范化学校比例为87%；幼儿园55所，幼儿园在园幼儿15735人，教职工1971人，全区学前教育三年幼儿入园率达到99%以上，省市级示范幼儿园比例为98.2%，学前教育普惠率达到88.4%</w:t>
            </w:r>
            <w:r>
              <w:rPr>
                <w:rFonts w:hint="default" w:ascii="Times New Roman" w:hAnsi="Times New Roman" w:cs="Times New Roman" w:eastAsiaTheme="minorEastAsia"/>
                <w:color w:val="auto"/>
                <w:sz w:val="24"/>
                <w:szCs w:val="24"/>
              </w:rPr>
              <w:t>。</w:t>
            </w:r>
          </w:p>
          <w:p>
            <w:pPr>
              <w:bidi w:val="0"/>
              <w:spacing w:line="360" w:lineRule="auto"/>
              <w:ind w:firstLine="480" w:firstLineChars="200"/>
              <w:jc w:val="left"/>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i w:val="0"/>
                <w:caps w:val="0"/>
                <w:color w:val="auto"/>
                <w:spacing w:val="0"/>
                <w:sz w:val="24"/>
                <w:szCs w:val="24"/>
                <w:shd w:val="clear" w:fill="FFFFFF"/>
              </w:rPr>
              <w:t>截至2018年末，环翠区有各类民间艺术团体220个，文化馆1个，公共图书馆1个，美术馆1个。各类电影放映单位15个（其中含镇放映队10个），其中电影院5座，2018年，环翠区总票房2977.7万元</w:t>
            </w:r>
            <w:r>
              <w:rPr>
                <w:rFonts w:hint="default" w:ascii="Times New Roman" w:hAnsi="Times New Roman" w:cs="Times New Roman" w:eastAsiaTheme="minorEastAsia"/>
                <w:i w:val="0"/>
                <w:caps w:val="0"/>
                <w:color w:val="auto"/>
                <w:spacing w:val="0"/>
                <w:sz w:val="24"/>
                <w:szCs w:val="24"/>
                <w:shd w:val="clear" w:fill="FFFFFF"/>
                <w:lang w:eastAsia="zh-CN"/>
              </w:rPr>
              <w:t>。</w:t>
            </w:r>
          </w:p>
          <w:p>
            <w:pPr>
              <w:bidi w:val="0"/>
              <w:spacing w:line="360" w:lineRule="auto"/>
              <w:ind w:firstLine="480" w:firstLineChars="200"/>
              <w:jc w:val="left"/>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i w:val="0"/>
                <w:caps w:val="0"/>
                <w:color w:val="auto"/>
                <w:spacing w:val="0"/>
                <w:sz w:val="24"/>
                <w:szCs w:val="24"/>
                <w:shd w:val="clear" w:fill="FFFFFF"/>
              </w:rPr>
              <w:t>2018年，环翠区有9.35万人参加城镇职工基本养老保险，有4.23万名离退休职工享受养老保险。有10.73万人参加城镇职工基本医疗保险，12.37万人参加居民医疗保险。</w:t>
            </w:r>
          </w:p>
          <w:p>
            <w:pPr>
              <w:bidi w:val="0"/>
              <w:spacing w:line="360" w:lineRule="auto"/>
              <w:ind w:firstLine="482" w:firstLineChars="200"/>
              <w:jc w:val="left"/>
              <w:rPr>
                <w:rFonts w:hint="default" w:ascii="Times New Roman" w:hAnsi="Times New Roman" w:cs="Times New Roman" w:eastAsiaTheme="minorEastAsia"/>
                <w:b/>
                <w:bCs/>
                <w:color w:val="auto"/>
                <w:sz w:val="24"/>
                <w:szCs w:val="24"/>
              </w:rPr>
            </w:pPr>
            <w:r>
              <w:rPr>
                <w:rFonts w:hint="eastAsia" w:cs="Times New Roman" w:eastAsiaTheme="minorEastAsia"/>
                <w:b/>
                <w:bCs/>
                <w:color w:val="auto"/>
                <w:sz w:val="24"/>
                <w:szCs w:val="24"/>
                <w:lang w:val="en-US" w:eastAsia="zh-CN"/>
              </w:rPr>
              <w:t>3</w:t>
            </w:r>
            <w:r>
              <w:rPr>
                <w:rFonts w:hint="eastAsia" w:ascii="Times New Roman" w:hAnsi="Times New Roman" w:cs="Times New Roman" w:eastAsiaTheme="minorEastAsia"/>
                <w:b/>
                <w:bCs/>
                <w:color w:val="auto"/>
                <w:sz w:val="24"/>
                <w:szCs w:val="24"/>
                <w:lang w:val="en-US" w:eastAsia="zh-CN"/>
              </w:rPr>
              <w:t>、</w:t>
            </w:r>
            <w:r>
              <w:rPr>
                <w:rFonts w:hint="default" w:ascii="Times New Roman" w:hAnsi="Times New Roman" w:cs="Times New Roman" w:eastAsiaTheme="minorEastAsia"/>
                <w:b/>
                <w:bCs/>
                <w:color w:val="auto"/>
                <w:sz w:val="24"/>
                <w:szCs w:val="24"/>
              </w:rPr>
              <w:t>文物保护</w:t>
            </w:r>
          </w:p>
          <w:p>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本项目</w:t>
            </w:r>
            <w:r>
              <w:rPr>
                <w:rFonts w:hint="default" w:ascii="Times New Roman" w:hAnsi="Times New Roman" w:cs="Times New Roman" w:eastAsiaTheme="minorEastAsia"/>
                <w:color w:val="auto"/>
                <w:sz w:val="24"/>
                <w:szCs w:val="24"/>
              </w:rPr>
              <w:t>所在区域内无国家、省、市级重点文物保护单位、名胜古迹及自然保护区。</w:t>
            </w: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spacing w:line="360" w:lineRule="auto"/>
              <w:rPr>
                <w:rFonts w:hint="default" w:ascii="Times New Roman" w:hAnsi="Times New Roman" w:cs="Times New Roman"/>
                <w:color w:val="auto"/>
                <w:sz w:val="24"/>
                <w:szCs w:val="24"/>
              </w:rPr>
            </w:pPr>
          </w:p>
        </w:tc>
      </w:tr>
    </w:tbl>
    <w:p>
      <w:pPr>
        <w:spacing w:after="12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三、环境质量状况</w:t>
      </w:r>
    </w:p>
    <w:tbl>
      <w:tblPr>
        <w:tblStyle w:val="39"/>
        <w:tblW w:w="935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8" w:hRule="atLeast"/>
          <w:jc w:val="center"/>
        </w:trPr>
        <w:tc>
          <w:tcPr>
            <w:tcW w:w="9356" w:type="dxa"/>
            <w:vAlign w:val="center"/>
          </w:tcPr>
          <w:p>
            <w:pPr>
              <w:snapToGrid w:val="0"/>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建设项目所在地区域环境质量现状及主要环境问题（环境空气、地表水、地下水、声环境、生态环境等）：</w:t>
            </w:r>
          </w:p>
          <w:p>
            <w:pPr>
              <w:spacing w:beforeLines="50" w:line="360" w:lineRule="auto"/>
              <w:ind w:firstLine="480" w:firstLineChars="200"/>
              <w:rPr>
                <w:color w:val="auto"/>
                <w:sz w:val="24"/>
                <w:szCs w:val="24"/>
              </w:rPr>
            </w:pPr>
            <w:r>
              <w:rPr>
                <w:rFonts w:hint="default" w:ascii="Times New Roman" w:hAnsi="Times New Roman" w:cs="Times New Roman"/>
                <w:color w:val="auto"/>
                <w:sz w:val="24"/>
                <w:szCs w:val="24"/>
              </w:rPr>
              <w:t>根据建设项目所在区域环保功能区划，环境空气为二类区，声环境为</w:t>
            </w:r>
            <w:r>
              <w:rPr>
                <w:rFonts w:hint="eastAsia" w:cs="Times New Roman"/>
                <w:color w:val="auto"/>
                <w:sz w:val="24"/>
                <w:szCs w:val="24"/>
                <w:lang w:val="en-US" w:eastAsia="zh-CN"/>
              </w:rPr>
              <w:t>3</w:t>
            </w:r>
            <w:r>
              <w:rPr>
                <w:rFonts w:hint="default" w:ascii="Times New Roman" w:hAnsi="Times New Roman" w:cs="Times New Roman"/>
                <w:color w:val="auto"/>
                <w:sz w:val="24"/>
                <w:szCs w:val="24"/>
              </w:rPr>
              <w:t>类区，地表水</w:t>
            </w:r>
            <w:r>
              <w:rPr>
                <w:rFonts w:hint="default" w:ascii="Times New Roman" w:hAnsi="Times New Roman" w:cs="Times New Roman"/>
                <w:color w:val="auto"/>
                <w:sz w:val="24"/>
                <w:szCs w:val="24"/>
                <w:lang w:eastAsia="zh-CN"/>
              </w:rPr>
              <w:t>为</w:t>
            </w:r>
            <w:r>
              <w:rPr>
                <w:rFonts w:hint="eastAsia" w:ascii="宋体" w:hAnsi="宋体" w:eastAsia="宋体" w:cs="宋体"/>
                <w:color w:val="auto"/>
                <w:sz w:val="24"/>
                <w:szCs w:val="24"/>
              </w:rPr>
              <w:t>Ⅳ</w:t>
            </w:r>
            <w:r>
              <w:rPr>
                <w:rFonts w:hint="default" w:ascii="Times New Roman" w:hAnsi="Times New Roman" w:cs="Times New Roman"/>
                <w:color w:val="auto"/>
                <w:sz w:val="24"/>
                <w:lang w:eastAsia="zh-CN"/>
              </w:rPr>
              <w:t>类区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地下水</w:t>
            </w:r>
            <w:r>
              <w:rPr>
                <w:rFonts w:hint="default" w:ascii="Times New Roman" w:hAnsi="Times New Roman" w:cs="Times New Roman"/>
                <w:color w:val="auto"/>
                <w:sz w:val="24"/>
                <w:szCs w:val="24"/>
                <w:lang w:eastAsia="zh-CN"/>
              </w:rPr>
              <w:t>为</w:t>
            </w:r>
            <w:r>
              <w:rPr>
                <w:rFonts w:hint="default" w:ascii="Times New Roman" w:hAnsi="Times New Roman" w:cs="Times New Roman"/>
                <w:color w:val="auto"/>
                <w:sz w:val="24"/>
                <w:szCs w:val="24"/>
              </w:rPr>
              <w:t>Ⅲ类区，生态环境为城市生态环境类型</w:t>
            </w:r>
            <w:r>
              <w:rPr>
                <w:color w:val="auto"/>
                <w:sz w:val="24"/>
                <w:szCs w:val="24"/>
              </w:rPr>
              <w:t>。</w:t>
            </w:r>
          </w:p>
          <w:p>
            <w:pPr>
              <w:spacing w:line="360" w:lineRule="auto"/>
              <w:ind w:firstLine="482" w:firstLineChars="200"/>
              <w:rPr>
                <w:b/>
                <w:bCs/>
                <w:color w:val="auto"/>
                <w:sz w:val="24"/>
                <w:szCs w:val="24"/>
              </w:rPr>
            </w:pPr>
            <w:r>
              <w:rPr>
                <w:b/>
                <w:bCs/>
                <w:color w:val="auto"/>
                <w:sz w:val="24"/>
                <w:szCs w:val="24"/>
              </w:rPr>
              <w:t>一、空气环境</w:t>
            </w:r>
          </w:p>
          <w:p>
            <w:pPr>
              <w:spacing w:line="360" w:lineRule="auto"/>
              <w:ind w:firstLine="480" w:firstLineChars="200"/>
              <w:jc w:val="left"/>
              <w:rPr>
                <w:color w:val="auto"/>
                <w:sz w:val="24"/>
                <w:szCs w:val="24"/>
              </w:rPr>
            </w:pPr>
            <w:r>
              <w:rPr>
                <w:color w:val="auto"/>
                <w:sz w:val="24"/>
                <w:szCs w:val="24"/>
              </w:rPr>
              <w:t>依据</w:t>
            </w:r>
            <w:r>
              <w:rPr>
                <w:rFonts w:hint="eastAsia"/>
                <w:color w:val="auto"/>
                <w:sz w:val="24"/>
                <w:szCs w:val="24"/>
                <w:lang w:eastAsia="zh-CN"/>
              </w:rPr>
              <w:t>威海市生态环境局官网公示的威海市</w:t>
            </w:r>
            <w:r>
              <w:rPr>
                <w:rFonts w:hint="eastAsia"/>
                <w:color w:val="auto"/>
                <w:sz w:val="24"/>
                <w:szCs w:val="24"/>
                <w:lang w:val="en-US" w:eastAsia="zh-CN"/>
              </w:rPr>
              <w:t>2020年4月份全市空气质量状况，</w:t>
            </w:r>
            <w:r>
              <w:rPr>
                <w:rFonts w:hint="eastAsia"/>
                <w:color w:val="auto"/>
                <w:sz w:val="24"/>
                <w:szCs w:val="24"/>
                <w:lang w:eastAsia="zh-CN"/>
              </w:rPr>
              <w:t>常规监测数据统计结果</w:t>
            </w:r>
            <w:r>
              <w:rPr>
                <w:color w:val="auto"/>
                <w:sz w:val="24"/>
                <w:szCs w:val="24"/>
              </w:rPr>
              <w:t>见下表。</w:t>
            </w:r>
          </w:p>
          <w:p>
            <w:pPr>
              <w:spacing w:line="360" w:lineRule="auto"/>
              <w:jc w:val="center"/>
              <w:rPr>
                <w:b/>
                <w:bCs/>
                <w:color w:val="auto"/>
                <w:sz w:val="24"/>
                <w:szCs w:val="24"/>
              </w:rPr>
            </w:pPr>
            <w:r>
              <w:rPr>
                <w:b/>
                <w:bCs/>
                <w:color w:val="auto"/>
                <w:sz w:val="24"/>
                <w:szCs w:val="24"/>
              </w:rPr>
              <w:t>表3-1项目区域环境空气监测数据</w:t>
            </w:r>
          </w:p>
          <w:tbl>
            <w:tblPr>
              <w:tblStyle w:val="39"/>
              <w:tblW w:w="889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036"/>
              <w:gridCol w:w="1043"/>
              <w:gridCol w:w="1039"/>
              <w:gridCol w:w="936"/>
              <w:gridCol w:w="998"/>
              <w:gridCol w:w="1041"/>
              <w:gridCol w:w="1082"/>
              <w:gridCol w:w="9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1" w:type="dxa"/>
                  <w:tcBorders>
                    <w:tl2br w:val="nil"/>
                    <w:tr2bl w:val="nil"/>
                  </w:tcBorders>
                  <w:vAlign w:val="center"/>
                </w:tcPr>
                <w:p>
                  <w:pPr>
                    <w:adjustRightInd w:val="0"/>
                    <w:jc w:val="center"/>
                    <w:rPr>
                      <w:bCs/>
                      <w:color w:val="auto"/>
                      <w:kern w:val="0"/>
                      <w:szCs w:val="21"/>
                    </w:rPr>
                  </w:pPr>
                  <w:r>
                    <w:rPr>
                      <w:bCs/>
                      <w:color w:val="auto"/>
                      <w:kern w:val="0"/>
                      <w:szCs w:val="21"/>
                    </w:rPr>
                    <w:t>项目</w:t>
                  </w:r>
                </w:p>
                <w:p>
                  <w:pPr>
                    <w:adjustRightInd w:val="0"/>
                    <w:jc w:val="center"/>
                    <w:rPr>
                      <w:bCs/>
                      <w:color w:val="auto"/>
                      <w:kern w:val="0"/>
                      <w:szCs w:val="21"/>
                    </w:rPr>
                  </w:pPr>
                  <w:r>
                    <w:rPr>
                      <w:bCs/>
                      <w:color w:val="auto"/>
                      <w:kern w:val="0"/>
                      <w:szCs w:val="21"/>
                    </w:rPr>
                    <w:t>指标</w:t>
                  </w:r>
                </w:p>
              </w:tc>
              <w:tc>
                <w:tcPr>
                  <w:tcW w:w="2079" w:type="dxa"/>
                  <w:gridSpan w:val="2"/>
                  <w:tcBorders>
                    <w:tl2br w:val="nil"/>
                    <w:tr2bl w:val="nil"/>
                  </w:tcBorders>
                  <w:vAlign w:val="center"/>
                </w:tcPr>
                <w:p>
                  <w:pPr>
                    <w:adjustRightInd w:val="0"/>
                    <w:ind w:firstLine="174" w:firstLineChars="83"/>
                    <w:jc w:val="center"/>
                    <w:rPr>
                      <w:bCs/>
                      <w:color w:val="auto"/>
                      <w:kern w:val="0"/>
                      <w:szCs w:val="21"/>
                    </w:rPr>
                  </w:pPr>
                  <w:r>
                    <w:rPr>
                      <w:bCs/>
                      <w:color w:val="auto"/>
                      <w:kern w:val="0"/>
                      <w:szCs w:val="21"/>
                    </w:rPr>
                    <w:t>SO</w:t>
                  </w:r>
                  <w:r>
                    <w:rPr>
                      <w:bCs/>
                      <w:color w:val="auto"/>
                      <w:kern w:val="0"/>
                      <w:szCs w:val="21"/>
                      <w:vertAlign w:val="subscript"/>
                    </w:rPr>
                    <w:t>2</w:t>
                  </w:r>
                  <w:r>
                    <w:rPr>
                      <w:bCs/>
                      <w:color w:val="auto"/>
                      <w:kern w:val="0"/>
                      <w:szCs w:val="21"/>
                    </w:rPr>
                    <w:t>（ug/m</w:t>
                  </w:r>
                  <w:r>
                    <w:rPr>
                      <w:bCs/>
                      <w:color w:val="auto"/>
                      <w:kern w:val="0"/>
                      <w:szCs w:val="21"/>
                      <w:vertAlign w:val="superscript"/>
                    </w:rPr>
                    <w:t>3</w:t>
                  </w:r>
                  <w:r>
                    <w:rPr>
                      <w:bCs/>
                      <w:color w:val="auto"/>
                      <w:kern w:val="0"/>
                      <w:szCs w:val="21"/>
                    </w:rPr>
                    <w:t>）</w:t>
                  </w:r>
                </w:p>
              </w:tc>
              <w:tc>
                <w:tcPr>
                  <w:tcW w:w="1975" w:type="dxa"/>
                  <w:gridSpan w:val="2"/>
                  <w:tcBorders>
                    <w:tl2br w:val="nil"/>
                    <w:tr2bl w:val="nil"/>
                  </w:tcBorders>
                  <w:vAlign w:val="center"/>
                </w:tcPr>
                <w:p>
                  <w:pPr>
                    <w:adjustRightInd w:val="0"/>
                    <w:ind w:firstLine="174" w:firstLineChars="83"/>
                    <w:jc w:val="center"/>
                    <w:rPr>
                      <w:bCs/>
                      <w:color w:val="auto"/>
                      <w:kern w:val="0"/>
                      <w:szCs w:val="21"/>
                    </w:rPr>
                  </w:pPr>
                  <w:r>
                    <w:rPr>
                      <w:bCs/>
                      <w:color w:val="auto"/>
                      <w:kern w:val="0"/>
                      <w:szCs w:val="21"/>
                    </w:rPr>
                    <w:t>NO</w:t>
                  </w:r>
                  <w:r>
                    <w:rPr>
                      <w:bCs/>
                      <w:color w:val="auto"/>
                      <w:kern w:val="0"/>
                      <w:szCs w:val="21"/>
                      <w:vertAlign w:val="subscript"/>
                    </w:rPr>
                    <w:t>2</w:t>
                  </w:r>
                  <w:r>
                    <w:rPr>
                      <w:bCs/>
                      <w:color w:val="auto"/>
                      <w:kern w:val="0"/>
                      <w:szCs w:val="21"/>
                    </w:rPr>
                    <w:t>（ug/m</w:t>
                  </w:r>
                  <w:r>
                    <w:rPr>
                      <w:bCs/>
                      <w:color w:val="auto"/>
                      <w:kern w:val="0"/>
                      <w:szCs w:val="21"/>
                      <w:vertAlign w:val="superscript"/>
                    </w:rPr>
                    <w:t>3</w:t>
                  </w:r>
                  <w:r>
                    <w:rPr>
                      <w:bCs/>
                      <w:color w:val="auto"/>
                      <w:kern w:val="0"/>
                      <w:szCs w:val="21"/>
                    </w:rPr>
                    <w:t>）</w:t>
                  </w:r>
                </w:p>
              </w:tc>
              <w:tc>
                <w:tcPr>
                  <w:tcW w:w="2039" w:type="dxa"/>
                  <w:gridSpan w:val="2"/>
                  <w:tcBorders>
                    <w:tl2br w:val="nil"/>
                    <w:tr2bl w:val="nil"/>
                  </w:tcBorders>
                  <w:vAlign w:val="center"/>
                </w:tcPr>
                <w:p>
                  <w:pPr>
                    <w:adjustRightInd w:val="0"/>
                    <w:jc w:val="center"/>
                    <w:rPr>
                      <w:bCs/>
                      <w:color w:val="auto"/>
                      <w:kern w:val="0"/>
                      <w:szCs w:val="21"/>
                    </w:rPr>
                  </w:pPr>
                  <w:r>
                    <w:rPr>
                      <w:bCs/>
                      <w:color w:val="auto"/>
                      <w:kern w:val="0"/>
                      <w:szCs w:val="21"/>
                    </w:rPr>
                    <w:t>PM</w:t>
                  </w:r>
                  <w:r>
                    <w:rPr>
                      <w:bCs/>
                      <w:color w:val="auto"/>
                      <w:kern w:val="0"/>
                      <w:szCs w:val="21"/>
                      <w:vertAlign w:val="subscript"/>
                    </w:rPr>
                    <w:t>10</w:t>
                  </w:r>
                  <w:r>
                    <w:rPr>
                      <w:bCs/>
                      <w:color w:val="auto"/>
                      <w:kern w:val="0"/>
                      <w:szCs w:val="21"/>
                    </w:rPr>
                    <w:t>(ug/m</w:t>
                  </w:r>
                  <w:r>
                    <w:rPr>
                      <w:bCs/>
                      <w:color w:val="auto"/>
                      <w:kern w:val="0"/>
                      <w:szCs w:val="21"/>
                      <w:vertAlign w:val="superscript"/>
                    </w:rPr>
                    <w:t>3</w:t>
                  </w:r>
                  <w:r>
                    <w:rPr>
                      <w:bCs/>
                      <w:color w:val="auto"/>
                      <w:kern w:val="0"/>
                      <w:szCs w:val="21"/>
                    </w:rPr>
                    <w:t>)</w:t>
                  </w:r>
                </w:p>
              </w:tc>
              <w:tc>
                <w:tcPr>
                  <w:tcW w:w="2073" w:type="dxa"/>
                  <w:gridSpan w:val="2"/>
                  <w:tcBorders>
                    <w:tl2br w:val="nil"/>
                    <w:tr2bl w:val="nil"/>
                  </w:tcBorders>
                  <w:vAlign w:val="center"/>
                </w:tcPr>
                <w:p>
                  <w:pPr>
                    <w:adjustRightInd w:val="0"/>
                    <w:ind w:firstLine="174" w:firstLineChars="83"/>
                    <w:jc w:val="center"/>
                    <w:rPr>
                      <w:bCs/>
                      <w:color w:val="auto"/>
                      <w:kern w:val="0"/>
                      <w:szCs w:val="21"/>
                    </w:rPr>
                  </w:pPr>
                  <w:r>
                    <w:rPr>
                      <w:bCs/>
                      <w:color w:val="auto"/>
                      <w:kern w:val="0"/>
                      <w:szCs w:val="21"/>
                    </w:rPr>
                    <w:t>PM</w:t>
                  </w:r>
                  <w:r>
                    <w:rPr>
                      <w:bCs/>
                      <w:color w:val="auto"/>
                      <w:kern w:val="0"/>
                      <w:szCs w:val="21"/>
                      <w:vertAlign w:val="subscript"/>
                    </w:rPr>
                    <w:t>2.5</w:t>
                  </w:r>
                  <w:r>
                    <w:rPr>
                      <w:bCs/>
                      <w:color w:val="auto"/>
                      <w:kern w:val="0"/>
                      <w:szCs w:val="21"/>
                    </w:rPr>
                    <w:t>(ug/m</w:t>
                  </w:r>
                  <w:r>
                    <w:rPr>
                      <w:bCs/>
                      <w:color w:val="auto"/>
                      <w:kern w:val="0"/>
                      <w:szCs w:val="21"/>
                      <w:vertAlign w:val="superscript"/>
                    </w:rPr>
                    <w:t>3</w:t>
                  </w:r>
                  <w:r>
                    <w:rPr>
                      <w:bCs/>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1" w:type="dxa"/>
                  <w:vMerge w:val="restart"/>
                  <w:tcBorders>
                    <w:tl2br w:val="nil"/>
                    <w:tr2bl w:val="nil"/>
                  </w:tcBorders>
                  <w:vAlign w:val="center"/>
                </w:tcPr>
                <w:p>
                  <w:pPr>
                    <w:adjustRightInd w:val="0"/>
                    <w:jc w:val="center"/>
                    <w:rPr>
                      <w:bCs/>
                      <w:color w:val="auto"/>
                      <w:kern w:val="0"/>
                      <w:szCs w:val="21"/>
                    </w:rPr>
                  </w:pPr>
                  <w:r>
                    <w:rPr>
                      <w:bCs/>
                      <w:color w:val="auto"/>
                      <w:kern w:val="0"/>
                      <w:szCs w:val="21"/>
                    </w:rPr>
                    <w:t>环境空气</w:t>
                  </w:r>
                </w:p>
              </w:tc>
              <w:tc>
                <w:tcPr>
                  <w:tcW w:w="1036" w:type="dxa"/>
                  <w:tcBorders>
                    <w:tl2br w:val="nil"/>
                    <w:tr2bl w:val="nil"/>
                  </w:tcBorders>
                  <w:vAlign w:val="center"/>
                </w:tcPr>
                <w:p>
                  <w:pPr>
                    <w:adjustRightInd w:val="0"/>
                    <w:jc w:val="center"/>
                    <w:rPr>
                      <w:bCs/>
                      <w:color w:val="auto"/>
                      <w:kern w:val="0"/>
                      <w:szCs w:val="21"/>
                    </w:rPr>
                  </w:pPr>
                  <w:r>
                    <w:rPr>
                      <w:bCs/>
                      <w:color w:val="auto"/>
                      <w:kern w:val="0"/>
                      <w:szCs w:val="21"/>
                    </w:rPr>
                    <w:t>年均值</w:t>
                  </w:r>
                </w:p>
              </w:tc>
              <w:tc>
                <w:tcPr>
                  <w:tcW w:w="1043" w:type="dxa"/>
                  <w:tcBorders>
                    <w:tl2br w:val="nil"/>
                    <w:tr2bl w:val="nil"/>
                  </w:tcBorders>
                  <w:vAlign w:val="center"/>
                </w:tcPr>
                <w:p>
                  <w:pPr>
                    <w:adjustRightInd w:val="0"/>
                    <w:jc w:val="center"/>
                    <w:rPr>
                      <w:bCs/>
                      <w:color w:val="auto"/>
                      <w:kern w:val="0"/>
                      <w:szCs w:val="21"/>
                    </w:rPr>
                  </w:pPr>
                  <w:r>
                    <w:rPr>
                      <w:bCs/>
                      <w:color w:val="auto"/>
                      <w:kern w:val="0"/>
                      <w:szCs w:val="21"/>
                    </w:rPr>
                    <w:t>标准值</w:t>
                  </w:r>
                </w:p>
              </w:tc>
              <w:tc>
                <w:tcPr>
                  <w:tcW w:w="1039" w:type="dxa"/>
                  <w:tcBorders>
                    <w:tl2br w:val="nil"/>
                    <w:tr2bl w:val="nil"/>
                  </w:tcBorders>
                  <w:vAlign w:val="center"/>
                </w:tcPr>
                <w:p>
                  <w:pPr>
                    <w:adjustRightInd w:val="0"/>
                    <w:jc w:val="center"/>
                    <w:rPr>
                      <w:bCs/>
                      <w:color w:val="auto"/>
                      <w:kern w:val="0"/>
                      <w:szCs w:val="21"/>
                    </w:rPr>
                  </w:pPr>
                  <w:r>
                    <w:rPr>
                      <w:bCs/>
                      <w:color w:val="auto"/>
                      <w:kern w:val="0"/>
                      <w:szCs w:val="21"/>
                    </w:rPr>
                    <w:t>年均值</w:t>
                  </w:r>
                </w:p>
              </w:tc>
              <w:tc>
                <w:tcPr>
                  <w:tcW w:w="936" w:type="dxa"/>
                  <w:tcBorders>
                    <w:tl2br w:val="nil"/>
                    <w:tr2bl w:val="nil"/>
                  </w:tcBorders>
                  <w:vAlign w:val="center"/>
                </w:tcPr>
                <w:p>
                  <w:pPr>
                    <w:adjustRightInd w:val="0"/>
                    <w:jc w:val="center"/>
                    <w:rPr>
                      <w:bCs/>
                      <w:color w:val="auto"/>
                      <w:kern w:val="0"/>
                      <w:szCs w:val="21"/>
                    </w:rPr>
                  </w:pPr>
                  <w:r>
                    <w:rPr>
                      <w:bCs/>
                      <w:color w:val="auto"/>
                      <w:kern w:val="0"/>
                      <w:szCs w:val="21"/>
                    </w:rPr>
                    <w:t>标准值</w:t>
                  </w:r>
                </w:p>
              </w:tc>
              <w:tc>
                <w:tcPr>
                  <w:tcW w:w="998" w:type="dxa"/>
                  <w:tcBorders>
                    <w:tl2br w:val="nil"/>
                    <w:tr2bl w:val="nil"/>
                  </w:tcBorders>
                  <w:vAlign w:val="center"/>
                </w:tcPr>
                <w:p>
                  <w:pPr>
                    <w:adjustRightInd w:val="0"/>
                    <w:jc w:val="center"/>
                    <w:rPr>
                      <w:bCs/>
                      <w:color w:val="auto"/>
                      <w:kern w:val="0"/>
                      <w:szCs w:val="21"/>
                    </w:rPr>
                  </w:pPr>
                  <w:r>
                    <w:rPr>
                      <w:bCs/>
                      <w:color w:val="auto"/>
                      <w:kern w:val="0"/>
                      <w:szCs w:val="21"/>
                    </w:rPr>
                    <w:t>年均值</w:t>
                  </w:r>
                </w:p>
              </w:tc>
              <w:tc>
                <w:tcPr>
                  <w:tcW w:w="1041" w:type="dxa"/>
                  <w:tcBorders>
                    <w:tl2br w:val="nil"/>
                    <w:tr2bl w:val="nil"/>
                  </w:tcBorders>
                  <w:vAlign w:val="center"/>
                </w:tcPr>
                <w:p>
                  <w:pPr>
                    <w:adjustRightInd w:val="0"/>
                    <w:jc w:val="center"/>
                    <w:rPr>
                      <w:bCs/>
                      <w:color w:val="auto"/>
                      <w:kern w:val="0"/>
                      <w:szCs w:val="21"/>
                    </w:rPr>
                  </w:pPr>
                  <w:r>
                    <w:rPr>
                      <w:bCs/>
                      <w:color w:val="auto"/>
                      <w:kern w:val="0"/>
                      <w:szCs w:val="21"/>
                    </w:rPr>
                    <w:t>标准值</w:t>
                  </w:r>
                </w:p>
              </w:tc>
              <w:tc>
                <w:tcPr>
                  <w:tcW w:w="1082" w:type="dxa"/>
                  <w:tcBorders>
                    <w:tl2br w:val="nil"/>
                    <w:tr2bl w:val="nil"/>
                  </w:tcBorders>
                  <w:vAlign w:val="center"/>
                </w:tcPr>
                <w:p>
                  <w:pPr>
                    <w:adjustRightInd w:val="0"/>
                    <w:jc w:val="center"/>
                    <w:rPr>
                      <w:bCs/>
                      <w:color w:val="auto"/>
                      <w:kern w:val="0"/>
                      <w:szCs w:val="21"/>
                    </w:rPr>
                  </w:pPr>
                  <w:r>
                    <w:rPr>
                      <w:bCs/>
                      <w:color w:val="auto"/>
                      <w:kern w:val="0"/>
                      <w:szCs w:val="21"/>
                    </w:rPr>
                    <w:t>年均值</w:t>
                  </w:r>
                </w:p>
              </w:tc>
              <w:tc>
                <w:tcPr>
                  <w:tcW w:w="991" w:type="dxa"/>
                  <w:tcBorders>
                    <w:tl2br w:val="nil"/>
                    <w:tr2bl w:val="nil"/>
                  </w:tcBorders>
                  <w:vAlign w:val="center"/>
                </w:tcPr>
                <w:p>
                  <w:pPr>
                    <w:adjustRightInd w:val="0"/>
                    <w:jc w:val="center"/>
                    <w:rPr>
                      <w:bCs/>
                      <w:color w:val="auto"/>
                      <w:kern w:val="0"/>
                      <w:szCs w:val="21"/>
                    </w:rPr>
                  </w:pPr>
                  <w:r>
                    <w:rPr>
                      <w:bCs/>
                      <w:color w:val="auto"/>
                      <w:kern w:val="0"/>
                      <w:szCs w:val="2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1" w:type="dxa"/>
                  <w:vMerge w:val="continue"/>
                  <w:tcBorders>
                    <w:tl2br w:val="nil"/>
                    <w:tr2bl w:val="nil"/>
                  </w:tcBorders>
                  <w:vAlign w:val="center"/>
                </w:tcPr>
                <w:p>
                  <w:pPr>
                    <w:adjustRightInd w:val="0"/>
                    <w:ind w:firstLine="420"/>
                    <w:jc w:val="center"/>
                    <w:rPr>
                      <w:bCs/>
                      <w:color w:val="auto"/>
                      <w:kern w:val="0"/>
                      <w:szCs w:val="21"/>
                    </w:rPr>
                  </w:pPr>
                </w:p>
              </w:tc>
              <w:tc>
                <w:tcPr>
                  <w:tcW w:w="1036" w:type="dxa"/>
                  <w:tcBorders>
                    <w:tl2br w:val="nil"/>
                    <w:tr2bl w:val="nil"/>
                  </w:tcBorders>
                  <w:vAlign w:val="center"/>
                </w:tcPr>
                <w:p>
                  <w:pPr>
                    <w:adjustRightInd w:val="0"/>
                    <w:jc w:val="center"/>
                    <w:rPr>
                      <w:rFonts w:hint="eastAsia" w:eastAsia="宋体"/>
                      <w:bCs/>
                      <w:color w:val="auto"/>
                      <w:kern w:val="0"/>
                      <w:szCs w:val="21"/>
                      <w:lang w:eastAsia="zh-CN"/>
                    </w:rPr>
                  </w:pPr>
                  <w:r>
                    <w:rPr>
                      <w:rFonts w:hint="eastAsia"/>
                      <w:bCs/>
                      <w:color w:val="auto"/>
                      <w:kern w:val="0"/>
                      <w:szCs w:val="21"/>
                      <w:lang w:val="en-US" w:eastAsia="zh-CN"/>
                    </w:rPr>
                    <w:t>5</w:t>
                  </w:r>
                </w:p>
              </w:tc>
              <w:tc>
                <w:tcPr>
                  <w:tcW w:w="1043" w:type="dxa"/>
                  <w:tcBorders>
                    <w:tl2br w:val="nil"/>
                    <w:tr2bl w:val="nil"/>
                  </w:tcBorders>
                  <w:vAlign w:val="center"/>
                </w:tcPr>
                <w:p>
                  <w:pPr>
                    <w:adjustRightInd w:val="0"/>
                    <w:jc w:val="center"/>
                    <w:rPr>
                      <w:bCs/>
                      <w:color w:val="auto"/>
                      <w:kern w:val="0"/>
                      <w:szCs w:val="21"/>
                    </w:rPr>
                  </w:pPr>
                  <w:r>
                    <w:rPr>
                      <w:bCs/>
                      <w:color w:val="auto"/>
                      <w:kern w:val="0"/>
                      <w:szCs w:val="21"/>
                    </w:rPr>
                    <w:t>60</w:t>
                  </w:r>
                </w:p>
              </w:tc>
              <w:tc>
                <w:tcPr>
                  <w:tcW w:w="1039" w:type="dxa"/>
                  <w:tcBorders>
                    <w:tl2br w:val="nil"/>
                    <w:tr2bl w:val="nil"/>
                  </w:tcBorders>
                  <w:vAlign w:val="center"/>
                </w:tcPr>
                <w:p>
                  <w:pPr>
                    <w:adjustRightInd w:val="0"/>
                    <w:jc w:val="center"/>
                    <w:rPr>
                      <w:rFonts w:hint="default" w:eastAsia="宋体"/>
                      <w:bCs/>
                      <w:color w:val="auto"/>
                      <w:kern w:val="0"/>
                      <w:szCs w:val="21"/>
                      <w:lang w:val="en-US" w:eastAsia="zh-CN"/>
                    </w:rPr>
                  </w:pPr>
                  <w:r>
                    <w:rPr>
                      <w:rFonts w:hint="eastAsia"/>
                      <w:bCs/>
                      <w:color w:val="auto"/>
                      <w:kern w:val="0"/>
                      <w:szCs w:val="21"/>
                      <w:lang w:val="en-US" w:eastAsia="zh-CN"/>
                    </w:rPr>
                    <w:t>18</w:t>
                  </w:r>
                </w:p>
              </w:tc>
              <w:tc>
                <w:tcPr>
                  <w:tcW w:w="936" w:type="dxa"/>
                  <w:tcBorders>
                    <w:tl2br w:val="nil"/>
                    <w:tr2bl w:val="nil"/>
                  </w:tcBorders>
                  <w:vAlign w:val="center"/>
                </w:tcPr>
                <w:p>
                  <w:pPr>
                    <w:adjustRightInd w:val="0"/>
                    <w:jc w:val="center"/>
                    <w:rPr>
                      <w:bCs/>
                      <w:color w:val="auto"/>
                      <w:kern w:val="0"/>
                      <w:szCs w:val="21"/>
                    </w:rPr>
                  </w:pPr>
                  <w:r>
                    <w:rPr>
                      <w:bCs/>
                      <w:color w:val="auto"/>
                      <w:kern w:val="0"/>
                      <w:szCs w:val="21"/>
                    </w:rPr>
                    <w:t>40</w:t>
                  </w:r>
                </w:p>
              </w:tc>
              <w:tc>
                <w:tcPr>
                  <w:tcW w:w="998" w:type="dxa"/>
                  <w:tcBorders>
                    <w:tl2br w:val="nil"/>
                    <w:tr2bl w:val="nil"/>
                  </w:tcBorders>
                  <w:vAlign w:val="center"/>
                </w:tcPr>
                <w:p>
                  <w:pPr>
                    <w:adjustRightInd w:val="0"/>
                    <w:jc w:val="center"/>
                    <w:rPr>
                      <w:rFonts w:hint="default" w:eastAsia="宋体"/>
                      <w:bCs/>
                      <w:color w:val="auto"/>
                      <w:kern w:val="0"/>
                      <w:szCs w:val="21"/>
                      <w:lang w:val="en-US" w:eastAsia="zh-CN"/>
                    </w:rPr>
                  </w:pPr>
                  <w:r>
                    <w:rPr>
                      <w:rFonts w:hint="eastAsia"/>
                      <w:bCs/>
                      <w:color w:val="auto"/>
                      <w:kern w:val="0"/>
                      <w:szCs w:val="21"/>
                      <w:lang w:val="en-US" w:eastAsia="zh-CN"/>
                    </w:rPr>
                    <w:t>65</w:t>
                  </w:r>
                </w:p>
              </w:tc>
              <w:tc>
                <w:tcPr>
                  <w:tcW w:w="1041" w:type="dxa"/>
                  <w:tcBorders>
                    <w:tl2br w:val="nil"/>
                    <w:tr2bl w:val="nil"/>
                  </w:tcBorders>
                  <w:vAlign w:val="center"/>
                </w:tcPr>
                <w:p>
                  <w:pPr>
                    <w:adjustRightInd w:val="0"/>
                    <w:jc w:val="center"/>
                    <w:rPr>
                      <w:bCs/>
                      <w:color w:val="auto"/>
                      <w:kern w:val="0"/>
                      <w:szCs w:val="21"/>
                    </w:rPr>
                  </w:pPr>
                  <w:r>
                    <w:rPr>
                      <w:bCs/>
                      <w:color w:val="auto"/>
                      <w:kern w:val="0"/>
                      <w:szCs w:val="21"/>
                    </w:rPr>
                    <w:t>70</w:t>
                  </w:r>
                </w:p>
              </w:tc>
              <w:tc>
                <w:tcPr>
                  <w:tcW w:w="1082" w:type="dxa"/>
                  <w:tcBorders>
                    <w:tl2br w:val="nil"/>
                    <w:tr2bl w:val="nil"/>
                  </w:tcBorders>
                  <w:vAlign w:val="center"/>
                </w:tcPr>
                <w:p>
                  <w:pPr>
                    <w:adjustRightInd w:val="0"/>
                    <w:jc w:val="center"/>
                    <w:rPr>
                      <w:rFonts w:hint="default" w:eastAsia="宋体"/>
                      <w:bCs/>
                      <w:color w:val="auto"/>
                      <w:kern w:val="0"/>
                      <w:szCs w:val="21"/>
                      <w:lang w:val="en-US" w:eastAsia="zh-CN"/>
                    </w:rPr>
                  </w:pPr>
                  <w:r>
                    <w:rPr>
                      <w:rFonts w:hint="eastAsia"/>
                      <w:bCs/>
                      <w:color w:val="auto"/>
                      <w:kern w:val="0"/>
                      <w:szCs w:val="21"/>
                      <w:lang w:val="en-US" w:eastAsia="zh-CN"/>
                    </w:rPr>
                    <w:t>29</w:t>
                  </w:r>
                </w:p>
              </w:tc>
              <w:tc>
                <w:tcPr>
                  <w:tcW w:w="991" w:type="dxa"/>
                  <w:tcBorders>
                    <w:tl2br w:val="nil"/>
                    <w:tr2bl w:val="nil"/>
                  </w:tcBorders>
                  <w:vAlign w:val="center"/>
                </w:tcPr>
                <w:p>
                  <w:pPr>
                    <w:adjustRightInd w:val="0"/>
                    <w:jc w:val="center"/>
                    <w:rPr>
                      <w:bCs/>
                      <w:color w:val="auto"/>
                      <w:kern w:val="0"/>
                      <w:szCs w:val="21"/>
                    </w:rPr>
                  </w:pPr>
                  <w:r>
                    <w:rPr>
                      <w:bCs/>
                      <w:color w:val="auto"/>
                      <w:kern w:val="0"/>
                      <w:szCs w:val="21"/>
                    </w:rPr>
                    <w:t>35</w:t>
                  </w:r>
                </w:p>
              </w:tc>
            </w:tr>
          </w:tbl>
          <w:p>
            <w:pPr>
              <w:spacing w:line="360" w:lineRule="auto"/>
              <w:ind w:firstLine="480" w:firstLineChars="200"/>
              <w:rPr>
                <w:color w:val="auto"/>
                <w:sz w:val="24"/>
                <w:szCs w:val="24"/>
              </w:rPr>
            </w:pPr>
            <w:r>
              <w:rPr>
                <w:bCs/>
                <w:color w:val="auto"/>
                <w:kern w:val="0"/>
                <w:sz w:val="24"/>
                <w:szCs w:val="24"/>
              </w:rPr>
              <w:t>由上表可知，</w:t>
            </w:r>
            <w:r>
              <w:rPr>
                <w:color w:val="auto"/>
                <w:kern w:val="24"/>
                <w:sz w:val="24"/>
                <w:szCs w:val="24"/>
              </w:rPr>
              <w:t>项目所在区域空气质量能够达到《环境空气质量标准》（GB3095-2012）中二级及修改单标准要求，区域空气环境质量较好</w:t>
            </w:r>
            <w:r>
              <w:rPr>
                <w:color w:val="auto"/>
                <w:sz w:val="24"/>
                <w:szCs w:val="24"/>
              </w:rPr>
              <w:t>。</w:t>
            </w:r>
          </w:p>
          <w:p>
            <w:pPr>
              <w:numPr>
                <w:ilvl w:val="0"/>
                <w:numId w:val="4"/>
              </w:numPr>
              <w:spacing w:line="360" w:lineRule="auto"/>
              <w:ind w:firstLine="482" w:firstLineChars="200"/>
              <w:rPr>
                <w:b/>
                <w:bCs/>
                <w:color w:val="auto"/>
                <w:sz w:val="24"/>
                <w:szCs w:val="24"/>
              </w:rPr>
            </w:pPr>
            <w:r>
              <w:rPr>
                <w:b/>
                <w:bCs/>
                <w:color w:val="auto"/>
                <w:sz w:val="24"/>
                <w:szCs w:val="24"/>
              </w:rPr>
              <w:t>地表水环境</w:t>
            </w:r>
          </w:p>
          <w:p>
            <w:pPr>
              <w:bidi w:val="0"/>
              <w:spacing w:line="360" w:lineRule="auto"/>
              <w:ind w:firstLine="480" w:firstLineChars="200"/>
              <w:jc w:val="left"/>
              <w:rPr>
                <w:rFonts w:hint="default" w:ascii="Times New Roman" w:hAnsi="Times New Roman" w:eastAsia="宋体" w:cs="Times New Roman"/>
                <w:color w:val="auto"/>
                <w:sz w:val="24"/>
                <w:szCs w:val="24"/>
              </w:rPr>
            </w:pPr>
            <w:r>
              <w:rPr>
                <w:color w:val="auto"/>
                <w:sz w:val="24"/>
                <w:szCs w:val="24"/>
              </w:rPr>
              <w:t>依据</w:t>
            </w:r>
            <w:r>
              <w:rPr>
                <w:rFonts w:hint="eastAsia"/>
                <w:color w:val="auto"/>
                <w:sz w:val="24"/>
                <w:szCs w:val="24"/>
                <w:lang w:eastAsia="zh-CN"/>
              </w:rPr>
              <w:t>威海市生态环境局官网公示的威海市</w:t>
            </w:r>
            <w:r>
              <w:rPr>
                <w:rFonts w:hint="eastAsia"/>
                <w:color w:val="auto"/>
                <w:sz w:val="24"/>
                <w:szCs w:val="24"/>
                <w:lang w:val="en-US" w:eastAsia="zh-CN"/>
              </w:rPr>
              <w:t>2020年4月份全市主要河流断面质量状况，山东省</w:t>
            </w:r>
            <w:r>
              <w:rPr>
                <w:rFonts w:hint="eastAsia" w:cs="Times New Roman"/>
                <w:color w:val="auto"/>
                <w:kern w:val="0"/>
                <w:sz w:val="24"/>
                <w:lang w:eastAsia="zh-CN"/>
              </w:rPr>
              <w:t>威海生态环境监测中心于</w:t>
            </w:r>
            <w:r>
              <w:rPr>
                <w:rFonts w:hint="eastAsia" w:cs="Times New Roman"/>
                <w:color w:val="auto"/>
                <w:kern w:val="0"/>
                <w:sz w:val="24"/>
                <w:lang w:val="en-US" w:eastAsia="zh-CN"/>
              </w:rPr>
              <w:t>2020年4月2日对羊亭河孙家滩桥断面进行了采样监测，</w:t>
            </w:r>
            <w:r>
              <w:rPr>
                <w:rFonts w:hint="default" w:ascii="Times New Roman" w:hAnsi="Times New Roman" w:cs="Times New Roman"/>
                <w:color w:val="auto"/>
                <w:sz w:val="24"/>
              </w:rPr>
              <w:t>水质</w:t>
            </w:r>
            <w:r>
              <w:rPr>
                <w:rFonts w:hint="default" w:ascii="Times New Roman" w:hAnsi="Times New Roman" w:cs="Times New Roman"/>
                <w:color w:val="auto"/>
                <w:kern w:val="0"/>
                <w:sz w:val="24"/>
              </w:rPr>
              <w:t>监测结果见</w:t>
            </w:r>
            <w:r>
              <w:rPr>
                <w:rFonts w:hint="eastAsia" w:cs="Times New Roman"/>
                <w:color w:val="auto"/>
                <w:kern w:val="0"/>
                <w:sz w:val="24"/>
                <w:lang w:eastAsia="zh-CN"/>
              </w:rPr>
              <w:t>下表</w:t>
            </w:r>
            <w:r>
              <w:rPr>
                <w:rFonts w:hint="default" w:ascii="Times New Roman" w:hAnsi="Times New Roman" w:eastAsia="宋体" w:cs="Times New Roman"/>
                <w:color w:val="auto"/>
                <w:sz w:val="24"/>
                <w:szCs w:val="24"/>
              </w:rPr>
              <w:t>。</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表3-2  地表水现状监测结果</w:t>
            </w:r>
          </w:p>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单位：mg/L，pH、粪大肠杆菌除外</w:t>
            </w:r>
          </w:p>
          <w:tbl>
            <w:tblPr>
              <w:tblStyle w:val="39"/>
              <w:tblW w:w="902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701"/>
              <w:gridCol w:w="1134"/>
              <w:gridCol w:w="1134"/>
              <w:gridCol w:w="1134"/>
              <w:gridCol w:w="993"/>
              <w:gridCol w:w="14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53" w:type="dxa"/>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项目</w:t>
                  </w:r>
                </w:p>
              </w:tc>
              <w:tc>
                <w:tcPr>
                  <w:tcW w:w="1701" w:type="dxa"/>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PH</w:t>
                  </w:r>
                </w:p>
              </w:tc>
              <w:tc>
                <w:tcPr>
                  <w:tcW w:w="1134" w:type="dxa"/>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石油类</w:t>
                  </w:r>
                </w:p>
              </w:tc>
              <w:tc>
                <w:tcPr>
                  <w:tcW w:w="1134" w:type="dxa"/>
                  <w:vAlign w:val="center"/>
                </w:tcPr>
                <w:p>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1134" w:type="dxa"/>
                  <w:vAlign w:val="center"/>
                </w:tcPr>
                <w:p>
                  <w:pPr>
                    <w:widowControl/>
                    <w:spacing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挥发酚</w:t>
                  </w:r>
                </w:p>
              </w:tc>
              <w:tc>
                <w:tcPr>
                  <w:tcW w:w="993" w:type="dxa"/>
                  <w:vAlign w:val="center"/>
                </w:tcPr>
                <w:p>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1480" w:type="dxa"/>
                  <w:vAlign w:val="center"/>
                </w:tcPr>
                <w:p>
                  <w:pPr>
                    <w:widowControl/>
                    <w:spacing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阴离子表面活性剂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53"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监测值</w:t>
                  </w:r>
                </w:p>
              </w:tc>
              <w:tc>
                <w:tcPr>
                  <w:tcW w:w="1701"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7.91</w:t>
                  </w:r>
                </w:p>
              </w:tc>
              <w:tc>
                <w:tcPr>
                  <w:tcW w:w="1134"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w:t>
                  </w:r>
                </w:p>
              </w:tc>
              <w:tc>
                <w:tcPr>
                  <w:tcW w:w="1134"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w:t>
                  </w:r>
                </w:p>
              </w:tc>
              <w:tc>
                <w:tcPr>
                  <w:tcW w:w="1134"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0.0003L</w:t>
                  </w:r>
                </w:p>
              </w:tc>
              <w:tc>
                <w:tcPr>
                  <w:tcW w:w="993"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0.33</w:t>
                  </w:r>
                </w:p>
              </w:tc>
              <w:tc>
                <w:tcPr>
                  <w:tcW w:w="1480"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53"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w:t>
                  </w:r>
                </w:p>
              </w:tc>
              <w:tc>
                <w:tcPr>
                  <w:tcW w:w="1701"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Cs w:val="21"/>
                      <w:lang w:val="en-US" w:eastAsia="zh-CN"/>
                    </w:rPr>
                    <w:t>6-9</w:t>
                  </w:r>
                </w:p>
              </w:tc>
              <w:tc>
                <w:tcPr>
                  <w:tcW w:w="1134" w:type="dxa"/>
                  <w:vAlign w:val="center"/>
                </w:tcPr>
                <w:p>
                  <w:pPr>
                    <w:spacing w:line="240" w:lineRule="auto"/>
                    <w:ind w:right="-178" w:hanging="84"/>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w:t>
                  </w:r>
                  <w:r>
                    <w:rPr>
                      <w:rFonts w:hint="eastAsia" w:cs="Times New Roman"/>
                      <w:color w:val="auto"/>
                      <w:sz w:val="21"/>
                      <w:szCs w:val="21"/>
                      <w:lang w:val="en-US" w:eastAsia="zh-CN"/>
                    </w:rPr>
                    <w:t>0.5</w:t>
                  </w:r>
                </w:p>
              </w:tc>
              <w:tc>
                <w:tcPr>
                  <w:tcW w:w="1134"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w:t>
                  </w:r>
                  <w:r>
                    <w:rPr>
                      <w:rFonts w:hint="eastAsia" w:cs="Times New Roman"/>
                      <w:color w:val="auto"/>
                      <w:sz w:val="21"/>
                      <w:szCs w:val="21"/>
                      <w:lang w:val="en-US" w:eastAsia="zh-CN"/>
                    </w:rPr>
                    <w:t>30</w:t>
                  </w:r>
                </w:p>
              </w:tc>
              <w:tc>
                <w:tcPr>
                  <w:tcW w:w="1134"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w:t>
                  </w:r>
                  <w:r>
                    <w:rPr>
                      <w:rFonts w:hint="eastAsia" w:cs="Times New Roman"/>
                      <w:color w:val="auto"/>
                      <w:sz w:val="21"/>
                      <w:szCs w:val="21"/>
                      <w:lang w:val="en-US" w:eastAsia="zh-CN"/>
                    </w:rPr>
                    <w:t>0.01</w:t>
                  </w:r>
                </w:p>
              </w:tc>
              <w:tc>
                <w:tcPr>
                  <w:tcW w:w="993" w:type="dxa"/>
                  <w:vAlign w:val="center"/>
                </w:tcPr>
                <w:p>
                  <w:pPr>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Cs w:val="21"/>
                    </w:rPr>
                    <w:t>≦</w:t>
                  </w:r>
                  <w:r>
                    <w:rPr>
                      <w:rFonts w:hint="default" w:ascii="Times New Roman" w:hAnsi="Times New Roman" w:cs="Times New Roman"/>
                      <w:color w:val="auto"/>
                      <w:sz w:val="21"/>
                      <w:szCs w:val="21"/>
                    </w:rPr>
                    <w:t>1.</w:t>
                  </w:r>
                  <w:r>
                    <w:rPr>
                      <w:rFonts w:hint="eastAsia" w:cs="Times New Roman"/>
                      <w:color w:val="auto"/>
                      <w:sz w:val="21"/>
                      <w:szCs w:val="21"/>
                      <w:lang w:val="en-US" w:eastAsia="zh-CN"/>
                    </w:rPr>
                    <w:t>5</w:t>
                  </w:r>
                </w:p>
              </w:tc>
              <w:tc>
                <w:tcPr>
                  <w:tcW w:w="1480" w:type="dxa"/>
                  <w:vAlign w:val="center"/>
                </w:tcPr>
                <w:p>
                  <w:pPr>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Cs w:val="21"/>
                    </w:rPr>
                    <w:t>≦</w:t>
                  </w:r>
                  <w:r>
                    <w:rPr>
                      <w:rFonts w:hint="default" w:ascii="Times New Roman" w:hAnsi="Times New Roman" w:cs="Times New Roman"/>
                      <w:color w:val="auto"/>
                      <w:sz w:val="21"/>
                      <w:szCs w:val="21"/>
                    </w:rPr>
                    <w:t>0.</w:t>
                  </w:r>
                  <w:r>
                    <w:rPr>
                      <w:rFonts w:hint="eastAsia" w:cs="Times New Roman"/>
                      <w:color w:val="auto"/>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53" w:type="dxa"/>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项目</w:t>
                  </w:r>
                </w:p>
              </w:tc>
              <w:tc>
                <w:tcPr>
                  <w:tcW w:w="1701" w:type="dxa"/>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硫化物</w:t>
                  </w:r>
                </w:p>
              </w:tc>
              <w:tc>
                <w:tcPr>
                  <w:tcW w:w="1134" w:type="dxa"/>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六价铬</w:t>
                  </w:r>
                </w:p>
              </w:tc>
              <w:tc>
                <w:tcPr>
                  <w:tcW w:w="1134" w:type="dxa"/>
                  <w:vAlign w:val="center"/>
                </w:tcPr>
                <w:p>
                  <w:pPr>
                    <w:widowControl/>
                    <w:spacing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砷</w:t>
                  </w:r>
                </w:p>
              </w:tc>
              <w:tc>
                <w:tcPr>
                  <w:tcW w:w="1134" w:type="dxa"/>
                  <w:vAlign w:val="center"/>
                </w:tcPr>
                <w:p>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氰化物</w:t>
                  </w:r>
                </w:p>
              </w:tc>
              <w:tc>
                <w:tcPr>
                  <w:tcW w:w="993" w:type="dxa"/>
                  <w:vAlign w:val="center"/>
                </w:tcPr>
                <w:p>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锌</w:t>
                  </w:r>
                </w:p>
              </w:tc>
              <w:tc>
                <w:tcPr>
                  <w:tcW w:w="1480" w:type="dxa"/>
                  <w:vAlign w:val="center"/>
                </w:tcPr>
                <w:p>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粪大肠杆菌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53"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监测值</w:t>
                  </w:r>
                </w:p>
              </w:tc>
              <w:tc>
                <w:tcPr>
                  <w:tcW w:w="1701"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0.005L</w:t>
                  </w:r>
                </w:p>
              </w:tc>
              <w:tc>
                <w:tcPr>
                  <w:tcW w:w="1134"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0.004L</w:t>
                  </w:r>
                </w:p>
              </w:tc>
              <w:tc>
                <w:tcPr>
                  <w:tcW w:w="1134"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0.0009</w:t>
                  </w:r>
                </w:p>
              </w:tc>
              <w:tc>
                <w:tcPr>
                  <w:tcW w:w="1134"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0.004L</w:t>
                  </w:r>
                </w:p>
              </w:tc>
              <w:tc>
                <w:tcPr>
                  <w:tcW w:w="993"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0.0007L</w:t>
                  </w:r>
                </w:p>
              </w:tc>
              <w:tc>
                <w:tcPr>
                  <w:tcW w:w="1480"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53"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w:t>
                  </w:r>
                </w:p>
              </w:tc>
              <w:tc>
                <w:tcPr>
                  <w:tcW w:w="1701" w:type="dxa"/>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w:t>
                  </w: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5</w:t>
                  </w:r>
                </w:p>
              </w:tc>
              <w:tc>
                <w:tcPr>
                  <w:tcW w:w="1134" w:type="dxa"/>
                  <w:vAlign w:val="center"/>
                </w:tcPr>
                <w:p>
                  <w:pPr>
                    <w:spacing w:line="240" w:lineRule="auto"/>
                    <w:ind w:right="-178" w:hanging="84"/>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w:t>
                  </w:r>
                  <w:r>
                    <w:rPr>
                      <w:rFonts w:hint="default" w:ascii="Times New Roman" w:hAnsi="Times New Roman" w:cs="Times New Roman"/>
                      <w:color w:val="auto"/>
                      <w:sz w:val="21"/>
                      <w:szCs w:val="21"/>
                      <w:lang w:val="en-US" w:eastAsia="zh-CN"/>
                    </w:rPr>
                    <w:t>0.05</w:t>
                  </w:r>
                </w:p>
              </w:tc>
              <w:tc>
                <w:tcPr>
                  <w:tcW w:w="1134"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w:t>
                  </w:r>
                  <w:r>
                    <w:rPr>
                      <w:rFonts w:hint="eastAsia" w:cs="Times New Roman"/>
                      <w:color w:val="auto"/>
                      <w:sz w:val="21"/>
                      <w:szCs w:val="21"/>
                      <w:lang w:val="en-US" w:eastAsia="zh-CN"/>
                    </w:rPr>
                    <w:t>0.1</w:t>
                  </w:r>
                </w:p>
              </w:tc>
              <w:tc>
                <w:tcPr>
                  <w:tcW w:w="1134"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Cs w:val="21"/>
                    </w:rPr>
                    <w:t>≦</w:t>
                  </w:r>
                  <w:r>
                    <w:rPr>
                      <w:rFonts w:hint="default" w:ascii="Times New Roman" w:hAnsi="Times New Roman" w:cs="Times New Roman"/>
                      <w:color w:val="auto"/>
                      <w:sz w:val="21"/>
                      <w:szCs w:val="21"/>
                    </w:rPr>
                    <w:t>0.2</w:t>
                  </w:r>
                </w:p>
              </w:tc>
              <w:tc>
                <w:tcPr>
                  <w:tcW w:w="993"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w:t>
                  </w:r>
                  <w:r>
                    <w:rPr>
                      <w:rFonts w:hint="eastAsia" w:cs="Times New Roman"/>
                      <w:color w:val="auto"/>
                      <w:sz w:val="21"/>
                      <w:szCs w:val="21"/>
                      <w:lang w:val="en-US" w:eastAsia="zh-CN"/>
                    </w:rPr>
                    <w:t>2.0</w:t>
                  </w:r>
                </w:p>
              </w:tc>
              <w:tc>
                <w:tcPr>
                  <w:tcW w:w="1480"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Cs w:val="21"/>
                    </w:rPr>
                    <w:t>≦</w:t>
                  </w:r>
                  <w:r>
                    <w:rPr>
                      <w:rFonts w:hint="eastAsia" w:cs="Times New Roman"/>
                      <w:color w:val="auto"/>
                      <w:sz w:val="21"/>
                      <w:szCs w:val="21"/>
                      <w:lang w:val="en-US" w:eastAsia="zh-CN"/>
                    </w:rPr>
                    <w:t>2</w:t>
                  </w:r>
                  <w:r>
                    <w:rPr>
                      <w:rFonts w:hint="default" w:ascii="Times New Roman" w:hAnsi="Times New Roman" w:cs="Times New Roman"/>
                      <w:color w:val="auto"/>
                      <w:sz w:val="21"/>
                      <w:szCs w:val="21"/>
                    </w:rPr>
                    <w:t>0000</w:t>
                  </w:r>
                </w:p>
              </w:tc>
            </w:tr>
          </w:tbl>
          <w:p>
            <w:pPr>
              <w:spacing w:line="360" w:lineRule="auto"/>
              <w:ind w:firstLine="480" w:firstLineChars="200"/>
              <w:rPr>
                <w:color w:val="auto"/>
                <w:sz w:val="24"/>
                <w:szCs w:val="24"/>
              </w:rPr>
            </w:pPr>
            <w:r>
              <w:rPr>
                <w:rFonts w:hint="default" w:ascii="Times New Roman" w:hAnsi="Times New Roman" w:cs="Times New Roman"/>
                <w:color w:val="auto"/>
                <w:sz w:val="24"/>
              </w:rPr>
              <w:t>由监测结果可知，</w:t>
            </w:r>
            <w:r>
              <w:rPr>
                <w:rFonts w:hint="default" w:ascii="Times New Roman" w:hAnsi="Times New Roman" w:cs="Times New Roman"/>
                <w:color w:val="auto"/>
                <w:sz w:val="24"/>
                <w:szCs w:val="24"/>
              </w:rPr>
              <w:t>地</w:t>
            </w:r>
            <w:r>
              <w:rPr>
                <w:rFonts w:hint="default" w:ascii="Times New Roman" w:hAnsi="Times New Roman" w:cs="Times New Roman"/>
                <w:color w:val="auto"/>
                <w:sz w:val="24"/>
                <w:szCs w:val="24"/>
                <w:lang w:eastAsia="zh-CN"/>
              </w:rPr>
              <w:t>表</w:t>
            </w:r>
            <w:r>
              <w:rPr>
                <w:rFonts w:hint="default" w:ascii="Times New Roman" w:hAnsi="Times New Roman" w:cs="Times New Roman"/>
                <w:color w:val="auto"/>
                <w:sz w:val="24"/>
                <w:szCs w:val="24"/>
              </w:rPr>
              <w:t>水水质符合应执行</w:t>
            </w:r>
            <w:r>
              <w:rPr>
                <w:rFonts w:hint="default" w:ascii="Times New Roman" w:hAnsi="Times New Roman" w:cs="Times New Roman"/>
                <w:color w:val="auto"/>
                <w:sz w:val="24"/>
                <w:szCs w:val="24"/>
                <w:lang w:eastAsia="zh-CN"/>
              </w:rPr>
              <w:t>的</w:t>
            </w:r>
            <w:r>
              <w:rPr>
                <w:rFonts w:hint="default" w:ascii="Times New Roman" w:hAnsi="Times New Roman" w:cs="Times New Roman"/>
                <w:color w:val="auto"/>
                <w:sz w:val="24"/>
                <w:szCs w:val="24"/>
              </w:rPr>
              <w:t>《</w:t>
            </w:r>
            <w:r>
              <w:rPr>
                <w:rFonts w:hint="default" w:ascii="Times New Roman" w:hAnsi="Times New Roman" w:cs="Times New Roman"/>
                <w:color w:val="auto"/>
                <w:sz w:val="24"/>
              </w:rPr>
              <w:t>地表水环境质量标准》（GB3838-2002）</w:t>
            </w:r>
            <w:r>
              <w:rPr>
                <w:rFonts w:hint="eastAsia" w:ascii="宋体" w:hAnsi="宋体" w:eastAsia="宋体" w:cs="宋体"/>
                <w:color w:val="auto"/>
                <w:sz w:val="24"/>
                <w:szCs w:val="24"/>
              </w:rPr>
              <w:t>Ⅳ</w:t>
            </w:r>
            <w:r>
              <w:rPr>
                <w:rFonts w:hint="default" w:ascii="Times New Roman" w:hAnsi="Times New Roman" w:cs="Times New Roman"/>
                <w:color w:val="auto"/>
                <w:sz w:val="24"/>
              </w:rPr>
              <w:t>类标准的要求</w:t>
            </w:r>
            <w:r>
              <w:rPr>
                <w:color w:val="auto"/>
                <w:sz w:val="24"/>
                <w:szCs w:val="24"/>
              </w:rPr>
              <w:t>。</w:t>
            </w:r>
          </w:p>
          <w:p>
            <w:pPr>
              <w:spacing w:line="360" w:lineRule="auto"/>
              <w:ind w:firstLine="482" w:firstLineChars="200"/>
              <w:rPr>
                <w:b/>
                <w:bCs/>
                <w:color w:val="auto"/>
                <w:sz w:val="24"/>
                <w:szCs w:val="24"/>
              </w:rPr>
            </w:pPr>
            <w:r>
              <w:rPr>
                <w:b/>
                <w:bCs/>
                <w:color w:val="auto"/>
                <w:sz w:val="24"/>
                <w:szCs w:val="24"/>
              </w:rPr>
              <w:t>三、地下水环境</w:t>
            </w:r>
          </w:p>
          <w:p>
            <w:pPr>
              <w:spacing w:line="360" w:lineRule="auto"/>
              <w:ind w:firstLine="480" w:firstLineChars="200"/>
              <w:jc w:val="left"/>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威海市环翠区羊亭镇总体规划项目环评期间，山东中泽环境检测有限公司（MA：161512340850）于2018年10月17日对</w:t>
            </w:r>
            <w:r>
              <w:rPr>
                <w:rFonts w:hint="default" w:ascii="Times New Roman" w:hAnsi="Times New Roman" w:cs="Times New Roman" w:eastAsiaTheme="minorEastAsia"/>
                <w:color w:val="auto"/>
                <w:sz w:val="24"/>
                <w:szCs w:val="24"/>
                <w:lang w:eastAsia="zh-CN"/>
              </w:rPr>
              <w:t>羊亭镇</w:t>
            </w:r>
            <w:r>
              <w:rPr>
                <w:rFonts w:hint="default" w:ascii="Times New Roman" w:hAnsi="Times New Roman" w:cs="Times New Roman" w:eastAsiaTheme="minorEastAsia"/>
                <w:color w:val="auto"/>
                <w:sz w:val="24"/>
                <w:szCs w:val="24"/>
              </w:rPr>
              <w:t>孙家滩村地下水进行了一次性采样分析，主要指标监测结果如下</w:t>
            </w:r>
            <w:r>
              <w:rPr>
                <w:rFonts w:hint="eastAsia" w:ascii="Times New Roman" w:hAnsi="Times New Roman" w:cs="Times New Roman" w:eastAsiaTheme="minorEastAsia"/>
                <w:color w:val="auto"/>
                <w:sz w:val="24"/>
                <w:szCs w:val="24"/>
                <w:lang w:eastAsia="zh-CN"/>
              </w:rPr>
              <w:t>：</w:t>
            </w:r>
          </w:p>
          <w:p>
            <w:pPr>
              <w:spacing w:line="360" w:lineRule="auto"/>
              <w:jc w:val="center"/>
              <w:rPr>
                <w:rFonts w:hint="default" w:ascii="Times New Roman" w:hAnsi="Times New Roman" w:eastAsia="黑体" w:cs="Times New Roman"/>
                <w:color w:val="auto"/>
                <w:sz w:val="24"/>
                <w:szCs w:val="24"/>
              </w:rPr>
            </w:pPr>
            <w:r>
              <w:rPr>
                <w:rFonts w:hint="default" w:ascii="Times New Roman" w:hAnsi="Times New Roman" w:cs="Times New Roman"/>
                <w:b/>
                <w:bCs/>
                <w:color w:val="auto"/>
                <w:sz w:val="24"/>
                <w:szCs w:val="24"/>
              </w:rPr>
              <w:t>表3-3  地</w:t>
            </w:r>
            <w:r>
              <w:rPr>
                <w:rFonts w:hint="eastAsia" w:cs="Times New Roman"/>
                <w:b/>
                <w:bCs/>
                <w:color w:val="auto"/>
                <w:sz w:val="24"/>
                <w:szCs w:val="24"/>
                <w:lang w:eastAsia="zh-CN"/>
              </w:rPr>
              <w:t>下</w:t>
            </w:r>
            <w:r>
              <w:rPr>
                <w:rFonts w:hint="default" w:ascii="Times New Roman" w:hAnsi="Times New Roman" w:cs="Times New Roman"/>
                <w:b/>
                <w:bCs/>
                <w:color w:val="auto"/>
                <w:sz w:val="24"/>
                <w:szCs w:val="24"/>
              </w:rPr>
              <w:t>水现状监测结果</w:t>
            </w:r>
          </w:p>
          <w:p>
            <w:pPr>
              <w:pStyle w:val="2"/>
              <w:jc w:val="center"/>
              <w:rPr>
                <w:rFonts w:hint="default" w:ascii="Times New Roman" w:hAnsi="Times New Roman" w:eastAsia="仿宋_GB2312" w:cs="Times New Roman"/>
                <w:color w:val="auto"/>
                <w:spacing w:val="-6"/>
                <w:sz w:val="21"/>
              </w:rPr>
            </w:pPr>
            <w:r>
              <w:rPr>
                <w:rFonts w:hint="eastAsia" w:ascii="Times New Roman" w:cs="Times New Roman"/>
                <w:snapToGrid w:val="0"/>
                <w:color w:val="auto"/>
                <w:spacing w:val="-6"/>
                <w:sz w:val="21"/>
                <w:lang w:val="en-US" w:eastAsia="zh-CN"/>
              </w:rPr>
              <w:t xml:space="preserve">                                                                       </w:t>
            </w:r>
            <w:r>
              <w:rPr>
                <w:rFonts w:hint="default" w:ascii="Times New Roman" w:hAnsi="Times New Roman" w:cs="Times New Roman"/>
                <w:snapToGrid w:val="0"/>
                <w:color w:val="auto"/>
                <w:spacing w:val="-6"/>
                <w:sz w:val="21"/>
              </w:rPr>
              <w:t>单位：</w:t>
            </w:r>
            <w:r>
              <w:rPr>
                <w:rFonts w:hint="default" w:ascii="Times New Roman" w:hAnsi="Times New Roman" w:cs="Times New Roman"/>
                <w:color w:val="auto"/>
                <w:spacing w:val="-6"/>
                <w:sz w:val="21"/>
              </w:rPr>
              <w:t>mg/L</w:t>
            </w:r>
            <w:r>
              <w:rPr>
                <w:rFonts w:hint="default" w:ascii="Times New Roman" w:hAnsi="Times New Roman" w:cs="Times New Roman"/>
                <w:snapToGrid w:val="0"/>
                <w:color w:val="auto"/>
                <w:spacing w:val="-6"/>
                <w:sz w:val="21"/>
              </w:rPr>
              <w:t>（注明除外）</w:t>
            </w:r>
          </w:p>
          <w:tbl>
            <w:tblPr>
              <w:tblStyle w:val="39"/>
              <w:tblW w:w="88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4"/>
              <w:gridCol w:w="908"/>
              <w:gridCol w:w="825"/>
              <w:gridCol w:w="952"/>
              <w:gridCol w:w="893"/>
              <w:gridCol w:w="886"/>
              <w:gridCol w:w="842"/>
              <w:gridCol w:w="787"/>
              <w:gridCol w:w="946"/>
              <w:gridCol w:w="9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74"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点位</w:t>
                  </w:r>
                </w:p>
              </w:tc>
              <w:tc>
                <w:tcPr>
                  <w:tcW w:w="908"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825"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溶解性总固体</w:t>
                  </w:r>
                </w:p>
              </w:tc>
              <w:tc>
                <w:tcPr>
                  <w:tcW w:w="952"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总硬度</w:t>
                  </w:r>
                </w:p>
              </w:tc>
              <w:tc>
                <w:tcPr>
                  <w:tcW w:w="893"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耗氧量</w:t>
                  </w:r>
                </w:p>
              </w:tc>
              <w:tc>
                <w:tcPr>
                  <w:tcW w:w="886"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842"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硫酸盐</w:t>
                  </w:r>
                </w:p>
              </w:tc>
              <w:tc>
                <w:tcPr>
                  <w:tcW w:w="787"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硝酸盐</w:t>
                  </w:r>
                </w:p>
              </w:tc>
              <w:tc>
                <w:tcPr>
                  <w:tcW w:w="946"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亚硝酸盐</w:t>
                  </w:r>
                </w:p>
              </w:tc>
              <w:tc>
                <w:tcPr>
                  <w:tcW w:w="915"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氟化物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74"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孙家滩村</w:t>
                  </w:r>
                </w:p>
              </w:tc>
              <w:tc>
                <w:tcPr>
                  <w:tcW w:w="908"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7.57</w:t>
                  </w:r>
                </w:p>
              </w:tc>
              <w:tc>
                <w:tcPr>
                  <w:tcW w:w="825"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573</w:t>
                  </w:r>
                </w:p>
              </w:tc>
              <w:tc>
                <w:tcPr>
                  <w:tcW w:w="952"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284.5</w:t>
                  </w:r>
                </w:p>
              </w:tc>
              <w:tc>
                <w:tcPr>
                  <w:tcW w:w="893"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0.67</w:t>
                  </w:r>
                </w:p>
              </w:tc>
              <w:tc>
                <w:tcPr>
                  <w:tcW w:w="886"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0.081</w:t>
                  </w:r>
                </w:p>
              </w:tc>
              <w:tc>
                <w:tcPr>
                  <w:tcW w:w="842"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97.4</w:t>
                  </w:r>
                </w:p>
              </w:tc>
              <w:tc>
                <w:tcPr>
                  <w:tcW w:w="787"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6.6</w:t>
                  </w:r>
                </w:p>
              </w:tc>
              <w:tc>
                <w:tcPr>
                  <w:tcW w:w="946"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15"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74"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w:t>
                  </w:r>
                </w:p>
              </w:tc>
              <w:tc>
                <w:tcPr>
                  <w:tcW w:w="908"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6.5～8.5</w:t>
                  </w:r>
                </w:p>
              </w:tc>
              <w:tc>
                <w:tcPr>
                  <w:tcW w:w="825"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w:t>
                  </w:r>
                </w:p>
              </w:tc>
              <w:tc>
                <w:tcPr>
                  <w:tcW w:w="952"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450</w:t>
                  </w:r>
                </w:p>
              </w:tc>
              <w:tc>
                <w:tcPr>
                  <w:tcW w:w="893"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886"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842"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787"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cr/>
                  </w:r>
                  <w:r>
                    <w:rPr>
                      <w:rFonts w:hint="default" w:ascii="Times New Roman" w:hAnsi="Times New Roman" w:cs="Times New Roman"/>
                      <w:color w:val="auto"/>
                      <w:sz w:val="21"/>
                      <w:szCs w:val="21"/>
                    </w:rPr>
                    <w:t>0</w:t>
                  </w:r>
                </w:p>
              </w:tc>
              <w:tc>
                <w:tcPr>
                  <w:tcW w:w="946"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915"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74"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点位</w:t>
                  </w:r>
                </w:p>
              </w:tc>
              <w:tc>
                <w:tcPr>
                  <w:tcW w:w="908"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氯化物</w:t>
                  </w:r>
                </w:p>
              </w:tc>
              <w:tc>
                <w:tcPr>
                  <w:tcW w:w="825"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挥发酚</w:t>
                  </w:r>
                </w:p>
              </w:tc>
              <w:tc>
                <w:tcPr>
                  <w:tcW w:w="952"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总大肠</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菌群</w:t>
                  </w:r>
                </w:p>
              </w:tc>
              <w:tc>
                <w:tcPr>
                  <w:tcW w:w="893"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阴离子表面活性剂</w:t>
                  </w:r>
                </w:p>
              </w:tc>
              <w:tc>
                <w:tcPr>
                  <w:tcW w:w="886"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砷</w:t>
                  </w:r>
                </w:p>
              </w:tc>
              <w:tc>
                <w:tcPr>
                  <w:tcW w:w="842"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w:t>
                  </w:r>
                </w:p>
              </w:tc>
              <w:tc>
                <w:tcPr>
                  <w:tcW w:w="787"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汞</w:t>
                  </w:r>
                </w:p>
              </w:tc>
              <w:tc>
                <w:tcPr>
                  <w:tcW w:w="946"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镉</w:t>
                  </w:r>
                </w:p>
              </w:tc>
              <w:tc>
                <w:tcPr>
                  <w:tcW w:w="915"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六价铬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74"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孙家滩村</w:t>
                  </w:r>
                </w:p>
              </w:tc>
              <w:tc>
                <w:tcPr>
                  <w:tcW w:w="908"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w:t>
                  </w:r>
                </w:p>
              </w:tc>
              <w:tc>
                <w:tcPr>
                  <w:tcW w:w="825"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52"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893"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886"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842"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87"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46"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915"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74"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w:t>
                  </w:r>
                </w:p>
              </w:tc>
              <w:tc>
                <w:tcPr>
                  <w:tcW w:w="908"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825"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0.002</w:t>
                  </w:r>
                </w:p>
              </w:tc>
              <w:tc>
                <w:tcPr>
                  <w:tcW w:w="952"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893"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c>
                <w:tcPr>
                  <w:tcW w:w="886"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842"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787" w:type="dxa"/>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w:t>
                  </w:r>
                </w:p>
              </w:tc>
              <w:tc>
                <w:tcPr>
                  <w:tcW w:w="946"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0.0005</w:t>
                  </w:r>
                </w:p>
              </w:tc>
              <w:tc>
                <w:tcPr>
                  <w:tcW w:w="915"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w:t>
                  </w:r>
                </w:p>
              </w:tc>
            </w:tr>
          </w:tbl>
          <w:p>
            <w:pPr>
              <w:pStyle w:val="2"/>
              <w:spacing w:line="360" w:lineRule="auto"/>
              <w:ind w:firstLine="480" w:firstLineChars="200"/>
              <w:rPr>
                <w:rFonts w:ascii="Times New Roman" w:cs="Times New Roman"/>
                <w:color w:val="auto"/>
              </w:rPr>
            </w:pPr>
            <w:r>
              <w:rPr>
                <w:rFonts w:hint="default" w:ascii="Times New Roman" w:hAnsi="Times New Roman" w:cs="Times New Roman"/>
                <w:color w:val="auto"/>
                <w:kern w:val="36"/>
              </w:rPr>
              <w:t>监测结果显示：项目所在区域地下水水质满足应执行的《地下水质量标准》（GB/T 14848-2017）Ⅲ类标准要求</w:t>
            </w:r>
            <w:r>
              <w:rPr>
                <w:rFonts w:ascii="Times New Roman" w:cs="Times New Roman"/>
                <w:color w:val="auto"/>
              </w:rPr>
              <w:t>。</w:t>
            </w:r>
          </w:p>
          <w:p>
            <w:pPr>
              <w:spacing w:line="360" w:lineRule="auto"/>
              <w:ind w:firstLine="482" w:firstLineChars="200"/>
              <w:rPr>
                <w:b/>
                <w:bCs/>
                <w:color w:val="auto"/>
                <w:sz w:val="24"/>
                <w:szCs w:val="24"/>
              </w:rPr>
            </w:pPr>
            <w:r>
              <w:rPr>
                <w:rFonts w:hint="eastAsia"/>
                <w:b/>
                <w:bCs/>
                <w:color w:val="auto"/>
                <w:sz w:val="24"/>
                <w:szCs w:val="24"/>
                <w:lang w:eastAsia="zh-CN"/>
              </w:rPr>
              <w:t>四</w:t>
            </w:r>
            <w:r>
              <w:rPr>
                <w:b/>
                <w:bCs/>
                <w:color w:val="auto"/>
                <w:sz w:val="24"/>
                <w:szCs w:val="24"/>
              </w:rPr>
              <w:t>、声环境</w:t>
            </w:r>
          </w:p>
          <w:p>
            <w:pPr>
              <w:spacing w:line="360" w:lineRule="auto"/>
              <w:ind w:firstLine="480" w:firstLineChars="200"/>
              <w:rPr>
                <w:color w:val="auto"/>
                <w:sz w:val="24"/>
                <w:szCs w:val="24"/>
              </w:rPr>
            </w:pPr>
            <w:r>
              <w:rPr>
                <w:color w:val="auto"/>
                <w:sz w:val="24"/>
                <w:szCs w:val="24"/>
              </w:rPr>
              <w:t>根据威海市声功能区划，项目所在区域声环境质量应执行《声环境质量标准》（GB3096-2008）</w:t>
            </w:r>
            <w:r>
              <w:rPr>
                <w:rFonts w:hint="eastAsia"/>
                <w:color w:val="auto"/>
                <w:sz w:val="24"/>
                <w:szCs w:val="24"/>
                <w:lang w:val="en-US" w:eastAsia="zh-CN"/>
              </w:rPr>
              <w:t>3</w:t>
            </w:r>
            <w:r>
              <w:rPr>
                <w:color w:val="auto"/>
                <w:sz w:val="24"/>
                <w:szCs w:val="24"/>
              </w:rPr>
              <w:t>类标准。根据2018年威海市环境质量公报，全市各区市城市区域声环境质量昼间平均等效声级范围为52.0～54.2dB(A)，均为较好等级；夜间平均等效声级为39.6～44.6 dB(A)，威海市区、文登区、荣成市均为较好等级，乳山市为好的等级。城市昼间道路交通声环境长度加权平均等效声级范围为65.7～68.7分贝，夜间道路交通声环境长度加权平均等效声级范围为51.6～59.8分贝，威海市区城市道路交通噪声强度为二级，处于较好水平，文登区、荣成市、乳山市城市道路交通噪声强度为一级，处于好的水平。城市0至4类功能区声环境质量昼、夜平均等效声级范围分别为46.0～38.9分贝、53.4～39.8分贝、54.3～41.2分贝、62.2～47.4分贝、66.2～52.4分贝，均达到相应功能区标准。</w:t>
            </w:r>
          </w:p>
          <w:p>
            <w:pPr>
              <w:adjustRightInd w:val="0"/>
              <w:snapToGrid w:val="0"/>
              <w:spacing w:line="360" w:lineRule="auto"/>
              <w:ind w:firstLine="482" w:firstLineChars="200"/>
              <w:rPr>
                <w:b/>
                <w:bCs/>
                <w:color w:val="auto"/>
                <w:sz w:val="24"/>
                <w:szCs w:val="24"/>
              </w:rPr>
            </w:pPr>
            <w:r>
              <w:rPr>
                <w:rFonts w:hint="eastAsia"/>
                <w:b/>
                <w:bCs/>
                <w:color w:val="auto"/>
                <w:sz w:val="24"/>
                <w:szCs w:val="24"/>
                <w:lang w:eastAsia="zh-CN"/>
              </w:rPr>
              <w:t>五</w:t>
            </w:r>
            <w:r>
              <w:rPr>
                <w:b/>
                <w:bCs/>
                <w:color w:val="auto"/>
                <w:sz w:val="24"/>
                <w:szCs w:val="24"/>
              </w:rPr>
              <w:t>、生态环境</w:t>
            </w:r>
          </w:p>
          <w:p>
            <w:pPr>
              <w:spacing w:line="360" w:lineRule="auto"/>
              <w:ind w:left="105" w:leftChars="50" w:right="105" w:rightChars="50" w:firstLine="480" w:firstLineChars="200"/>
              <w:rPr>
                <w:rFonts w:hint="default" w:ascii="Times New Roman" w:hAnsi="Times New Roman" w:cs="Times New Roman"/>
                <w:bCs/>
                <w:color w:val="auto"/>
                <w:sz w:val="24"/>
                <w:szCs w:val="24"/>
              </w:rPr>
            </w:pPr>
            <w:r>
              <w:rPr>
                <w:color w:val="auto"/>
                <w:sz w:val="24"/>
                <w:szCs w:val="24"/>
              </w:rPr>
              <w:t>项目厂区周围是以人类活动为中心，以工业生产为基础的人工生态系统，没有大面积的自然植被及大型野生动物，生物多以</w:t>
            </w:r>
            <w:r>
              <w:rPr>
                <w:color w:val="auto"/>
                <w:sz w:val="24"/>
                <w:szCs w:val="24"/>
              </w:rPr>
              <w:fldChar w:fldCharType="begin"/>
            </w:r>
            <w:r>
              <w:rPr>
                <w:color w:val="auto"/>
                <w:sz w:val="24"/>
                <w:szCs w:val="24"/>
              </w:rPr>
              <w:instrText xml:space="preserve"> MERGEFIELD 植被生物 </w:instrText>
            </w:r>
            <w:r>
              <w:rPr>
                <w:color w:val="auto"/>
                <w:sz w:val="24"/>
                <w:szCs w:val="24"/>
              </w:rPr>
              <w:fldChar w:fldCharType="separate"/>
            </w:r>
            <w:r>
              <w:rPr>
                <w:color w:val="auto"/>
                <w:sz w:val="24"/>
                <w:szCs w:val="24"/>
              </w:rPr>
              <w:t>麻雀、鼠类、青蛙、蟾蜍等为主。</w:t>
            </w:r>
            <w:r>
              <w:rPr>
                <w:color w:val="auto"/>
                <w:sz w:val="24"/>
                <w:szCs w:val="24"/>
              </w:rPr>
              <w:fldChar w:fldCharType="end"/>
            </w:r>
            <w:r>
              <w:rPr>
                <w:color w:val="auto"/>
                <w:sz w:val="24"/>
                <w:szCs w:val="24"/>
              </w:rPr>
              <w:t>项目评价区内没有需要重点保护的濒临灭绝的动、植物</w:t>
            </w:r>
            <w:r>
              <w:rPr>
                <w:rFonts w:hint="default" w:ascii="Times New Roman" w:hAnsi="Times New Roman" w:cs="Times New Roman"/>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576" w:hRule="atLeast"/>
          <w:jc w:val="center"/>
        </w:trPr>
        <w:tc>
          <w:tcPr>
            <w:tcW w:w="9356" w:type="dxa"/>
          </w:tcPr>
          <w:p>
            <w:pPr>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主要环境保护目标（列出名单及保护级别）：</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经调查本地区不属于特殊保护区、社会关注区、生态脆弱区和特殊地貌景观区。评价区内无重点保护植物、动物及人文景观等，主要保护目标具体如下（项目四周敏感目标分布图见图3-1）。</w:t>
            </w:r>
          </w:p>
          <w:p>
            <w:pPr>
              <w:snapToGrid w:val="0"/>
              <w:spacing w:line="360" w:lineRule="auto"/>
              <w:ind w:firstLine="482" w:firstLineChars="20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表3-</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 xml:space="preserve">  主要环境保护目标</w:t>
            </w:r>
          </w:p>
          <w:tbl>
            <w:tblPr>
              <w:tblStyle w:val="39"/>
              <w:tblW w:w="87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909"/>
              <w:gridCol w:w="876"/>
              <w:gridCol w:w="1912"/>
              <w:gridCol w:w="30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96" w:type="dxa"/>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专题</w:t>
                  </w:r>
                </w:p>
              </w:tc>
              <w:tc>
                <w:tcPr>
                  <w:tcW w:w="1909" w:type="dxa"/>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保护目标</w:t>
                  </w:r>
                </w:p>
              </w:tc>
              <w:tc>
                <w:tcPr>
                  <w:tcW w:w="876" w:type="dxa"/>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方位</w:t>
                  </w:r>
                </w:p>
              </w:tc>
              <w:tc>
                <w:tcPr>
                  <w:tcW w:w="1912" w:type="dxa"/>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距离</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lang w:eastAsia="zh-CN"/>
                    </w:rPr>
                    <w:t>）</w:t>
                  </w:r>
                </w:p>
              </w:tc>
              <w:tc>
                <w:tcPr>
                  <w:tcW w:w="3007" w:type="dxa"/>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96" w:type="dxa"/>
                  <w:vMerge w:val="restart"/>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空气</w:t>
                  </w:r>
                </w:p>
              </w:tc>
              <w:tc>
                <w:tcPr>
                  <w:tcW w:w="1909"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大西庄村</w:t>
                  </w:r>
                </w:p>
              </w:tc>
              <w:tc>
                <w:tcPr>
                  <w:tcW w:w="876"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东北</w:t>
                  </w:r>
                </w:p>
              </w:tc>
              <w:tc>
                <w:tcPr>
                  <w:tcW w:w="1912"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1000</w:t>
                  </w:r>
                </w:p>
              </w:tc>
              <w:tc>
                <w:tcPr>
                  <w:tcW w:w="3007" w:type="dxa"/>
                  <w:vMerge w:val="restart"/>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《环境空气质量标准》（GB3095-2012）二级</w:t>
                  </w:r>
                  <w:r>
                    <w:rPr>
                      <w:rFonts w:hint="default" w:ascii="Times New Roman" w:hAnsi="Times New Roman" w:cs="Times New Roman"/>
                      <w:color w:val="auto"/>
                      <w:sz w:val="21"/>
                      <w:szCs w:val="21"/>
                      <w:lang w:eastAsia="zh-CN"/>
                    </w:rPr>
                    <w:t>及修改单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996" w:type="dxa"/>
                  <w:vMerge w:val="continue"/>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c>
                <w:tcPr>
                  <w:tcW w:w="1909" w:type="dxa"/>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孙家滩村</w:t>
                  </w:r>
                </w:p>
              </w:tc>
              <w:tc>
                <w:tcPr>
                  <w:tcW w:w="876"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东南</w:t>
                  </w:r>
                </w:p>
              </w:tc>
              <w:tc>
                <w:tcPr>
                  <w:tcW w:w="1912" w:type="dxa"/>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1010</w:t>
                  </w:r>
                </w:p>
              </w:tc>
              <w:tc>
                <w:tcPr>
                  <w:tcW w:w="3007" w:type="dxa"/>
                  <w:vMerge w:val="continue"/>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996" w:type="dxa"/>
                  <w:vMerge w:val="continue"/>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c>
                <w:tcPr>
                  <w:tcW w:w="1909" w:type="dxa"/>
                  <w:vAlign w:val="center"/>
                </w:tcPr>
                <w:p>
                  <w:pPr>
                    <w:widowControl/>
                    <w:adjustRightInd w:val="0"/>
                    <w:snapToGrid w:val="0"/>
                    <w:spacing w:line="240" w:lineRule="auto"/>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鹿道口村</w:t>
                  </w:r>
                </w:p>
              </w:tc>
              <w:tc>
                <w:tcPr>
                  <w:tcW w:w="876" w:type="dxa"/>
                  <w:vAlign w:val="center"/>
                </w:tcPr>
                <w:p>
                  <w:pPr>
                    <w:adjustRightInd w:val="0"/>
                    <w:snapToGrid w:val="0"/>
                    <w:spacing w:line="240" w:lineRule="auto"/>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西南</w:t>
                  </w:r>
                </w:p>
              </w:tc>
              <w:tc>
                <w:tcPr>
                  <w:tcW w:w="1912" w:type="dxa"/>
                  <w:vAlign w:val="center"/>
                </w:tcPr>
                <w:p>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690</w:t>
                  </w:r>
                </w:p>
              </w:tc>
              <w:tc>
                <w:tcPr>
                  <w:tcW w:w="3007" w:type="dxa"/>
                  <w:vMerge w:val="continue"/>
                  <w:vAlign w:val="center"/>
                </w:tcPr>
                <w:p>
                  <w:pPr>
                    <w:widowControl/>
                    <w:adjustRightInd w:val="0"/>
                    <w:snapToGrid w:val="0"/>
                    <w:spacing w:line="240" w:lineRule="auto"/>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996" w:type="dxa"/>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1909" w:type="dxa"/>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eastAsia="zh-CN"/>
                    </w:rPr>
                    <w:t>羊亭河</w:t>
                  </w:r>
                </w:p>
              </w:tc>
              <w:tc>
                <w:tcPr>
                  <w:tcW w:w="876"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北</w:t>
                  </w:r>
                </w:p>
              </w:tc>
              <w:tc>
                <w:tcPr>
                  <w:tcW w:w="1912" w:type="dxa"/>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360</w:t>
                  </w:r>
                </w:p>
              </w:tc>
              <w:tc>
                <w:tcPr>
                  <w:tcW w:w="3007"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《地表水环境质量标准》（GB3838-2002）中的</w:t>
                  </w:r>
                  <w:r>
                    <w:rPr>
                      <w:rFonts w:hint="default" w:ascii="Times New Roman" w:hAnsi="Times New Roman" w:eastAsia="微软雅黑" w:cs="Times New Roman"/>
                      <w:color w:val="auto"/>
                      <w:sz w:val="21"/>
                      <w:szCs w:val="21"/>
                    </w:rPr>
                    <w:t>Ⅳ</w:t>
                  </w:r>
                  <w:r>
                    <w:rPr>
                      <w:rFonts w:hint="default" w:ascii="Times New Roman" w:hAnsi="Times New Roman" w:cs="Times New Roman"/>
                      <w:color w:val="auto"/>
                      <w:sz w:val="21"/>
                      <w:szCs w:val="21"/>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96" w:type="dxa"/>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1909" w:type="dxa"/>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项目周围地下水</w:t>
                  </w:r>
                </w:p>
              </w:tc>
              <w:tc>
                <w:tcPr>
                  <w:tcW w:w="876" w:type="dxa"/>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912" w:type="dxa"/>
                  <w:vAlign w:val="center"/>
                </w:tcPr>
                <w:p>
                  <w:pPr>
                    <w:widowControl/>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以厂址为中心，半径2km范围内</w:t>
                  </w:r>
                </w:p>
              </w:tc>
              <w:tc>
                <w:tcPr>
                  <w:tcW w:w="3007"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《地下水环境质量标准》（GB/T14848-</w:t>
                  </w:r>
                  <w:r>
                    <w:rPr>
                      <w:rFonts w:hint="default" w:ascii="Times New Roman" w:hAnsi="Times New Roman" w:cs="Times New Roman"/>
                      <w:color w:val="auto"/>
                      <w:sz w:val="21"/>
                      <w:szCs w:val="21"/>
                      <w:lang w:val="en-US" w:eastAsia="zh-CN"/>
                    </w:rPr>
                    <w:t>2017</w:t>
                  </w:r>
                  <w:r>
                    <w:rPr>
                      <w:rFonts w:hint="default" w:ascii="Times New Roman" w:hAnsi="Times New Roman" w:cs="Times New Roman"/>
                      <w:color w:val="auto"/>
                      <w:sz w:val="21"/>
                      <w:szCs w:val="21"/>
                    </w:rPr>
                    <w:t>）Ⅲ类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996" w:type="dxa"/>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909" w:type="dxa"/>
                  <w:vAlign w:val="center"/>
                </w:tcPr>
                <w:p>
                  <w:pPr>
                    <w:widowControl/>
                    <w:adjustRightInd w:val="0"/>
                    <w:snapToGrid w:val="0"/>
                    <w:jc w:val="center"/>
                    <w:rPr>
                      <w:rFonts w:hint="default" w:ascii="Times New Roman" w:hAnsi="Times New Roman" w:cs="Times New Roman"/>
                      <w:color w:val="auto"/>
                      <w:sz w:val="21"/>
                      <w:szCs w:val="21"/>
                    </w:rPr>
                  </w:pPr>
                  <w:r>
                    <w:rPr>
                      <w:color w:val="auto"/>
                      <w:szCs w:val="21"/>
                    </w:rPr>
                    <w:t>厂区边界</w:t>
                  </w:r>
                </w:p>
              </w:tc>
              <w:tc>
                <w:tcPr>
                  <w:tcW w:w="876" w:type="dxa"/>
                  <w:vAlign w:val="center"/>
                </w:tcPr>
                <w:p>
                  <w:pPr>
                    <w:adjustRightInd w:val="0"/>
                    <w:snapToGrid w:val="0"/>
                    <w:jc w:val="center"/>
                    <w:rPr>
                      <w:rFonts w:hint="default" w:ascii="Times New Roman" w:hAnsi="Times New Roman" w:cs="Times New Roman"/>
                      <w:color w:val="auto"/>
                      <w:sz w:val="21"/>
                      <w:szCs w:val="21"/>
                    </w:rPr>
                  </w:pPr>
                  <w:r>
                    <w:rPr>
                      <w:color w:val="auto"/>
                      <w:szCs w:val="21"/>
                    </w:rPr>
                    <w:t>/</w:t>
                  </w:r>
                </w:p>
              </w:tc>
              <w:tc>
                <w:tcPr>
                  <w:tcW w:w="1912" w:type="dxa"/>
                  <w:vAlign w:val="center"/>
                </w:tcPr>
                <w:p>
                  <w:pPr>
                    <w:adjustRightInd w:val="0"/>
                    <w:snapToGrid w:val="0"/>
                    <w:jc w:val="center"/>
                    <w:rPr>
                      <w:rFonts w:hint="default" w:ascii="Times New Roman" w:hAnsi="Times New Roman" w:cs="Times New Roman"/>
                      <w:color w:val="auto"/>
                      <w:sz w:val="21"/>
                      <w:szCs w:val="21"/>
                    </w:rPr>
                  </w:pPr>
                  <w:r>
                    <w:rPr>
                      <w:color w:val="auto"/>
                      <w:szCs w:val="21"/>
                    </w:rPr>
                    <w:t>厂区边界1m范围及其周围200m内的敏感目标</w:t>
                  </w:r>
                </w:p>
              </w:tc>
              <w:tc>
                <w:tcPr>
                  <w:tcW w:w="3007" w:type="dxa"/>
                  <w:vAlign w:val="center"/>
                </w:tcPr>
                <w:p>
                  <w:pPr>
                    <w:widowControl/>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《声环境质量标准》（GB 3096-2008）</w:t>
                  </w:r>
                  <w:r>
                    <w:rPr>
                      <w:rFonts w:hint="eastAsia" w:cs="Times New Roman"/>
                      <w:color w:val="auto"/>
                      <w:sz w:val="21"/>
                      <w:szCs w:val="21"/>
                      <w:lang w:val="en-US" w:eastAsia="zh-CN"/>
                    </w:rPr>
                    <w:t>3</w:t>
                  </w:r>
                  <w:r>
                    <w:rPr>
                      <w:rFonts w:hint="default" w:ascii="Times New Roman" w:hAnsi="Times New Roman" w:cs="Times New Roman"/>
                      <w:color w:val="auto"/>
                      <w:sz w:val="21"/>
                      <w:szCs w:val="21"/>
                    </w:rPr>
                    <w:t>类</w:t>
                  </w:r>
                </w:p>
              </w:tc>
            </w:tr>
          </w:tbl>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tc>
      </w:tr>
    </w:tbl>
    <w:p>
      <w:pPr>
        <w:spacing w:before="480" w:after="120"/>
        <w:rPr>
          <w:rFonts w:hint="default" w:ascii="Times New Roman" w:hAnsi="Times New Roman" w:eastAsia="黑体" w:cs="Times New Roman"/>
          <w:color w:val="auto"/>
          <w:sz w:val="30"/>
          <w:szCs w:val="30"/>
        </w:rPr>
        <w:sectPr>
          <w:footerReference r:id="rId6" w:type="default"/>
          <w:pgSz w:w="11907" w:h="16840"/>
          <w:pgMar w:top="1402" w:right="1797" w:bottom="1558"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jc w:val="center"/>
        <w:outlineLvl w:val="0"/>
        <w:rPr>
          <w:rFonts w:hint="default" w:ascii="Times New Roman" w:hAnsi="Times New Roman" w:cs="Times New Roman"/>
          <w:color w:val="auto"/>
        </w:rPr>
      </w:pPr>
    </w:p>
    <w:p>
      <w:pPr>
        <w:spacing w:line="360" w:lineRule="auto"/>
        <w:jc w:val="center"/>
        <w:outlineLvl w:val="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55168" behindDoc="0" locked="0" layoutInCell="1" allowOverlap="1">
                <wp:simplePos x="0" y="0"/>
                <wp:positionH relativeFrom="column">
                  <wp:posOffset>1868170</wp:posOffset>
                </wp:positionH>
                <wp:positionV relativeFrom="paragraph">
                  <wp:posOffset>2454910</wp:posOffset>
                </wp:positionV>
                <wp:extent cx="742950" cy="320675"/>
                <wp:effectExtent l="11430" t="10795" r="407670" b="240030"/>
                <wp:wrapNone/>
                <wp:docPr id="7" name="自选图形 622"/>
                <wp:cNvGraphicFramePr/>
                <a:graphic xmlns:a="http://schemas.openxmlformats.org/drawingml/2006/main">
                  <a:graphicData uri="http://schemas.microsoft.com/office/word/2010/wordprocessingShape">
                    <wps:wsp>
                      <wps:cNvSpPr/>
                      <wps:spPr>
                        <a:xfrm>
                          <a:off x="0" y="0"/>
                          <a:ext cx="742950" cy="320675"/>
                        </a:xfrm>
                        <a:prstGeom prst="wedgeRectCallout">
                          <a:avLst>
                            <a:gd name="adj1" fmla="val 91708"/>
                            <a:gd name="adj2" fmla="val 108218"/>
                          </a:avLst>
                        </a:prstGeom>
                        <a:noFill/>
                        <a:ln w="22225" cap="flat" cmpd="sng">
                          <a:solidFill>
                            <a:srgbClr val="FFFF00"/>
                          </a:solidFill>
                          <a:prstDash val="solid"/>
                          <a:miter/>
                          <a:headEnd type="none" w="med" len="med"/>
                          <a:tailEnd type="none" w="med" len="med"/>
                        </a:ln>
                      </wps:spPr>
                      <wps:txbx>
                        <w:txbxContent>
                          <w:p>
                            <w:pPr>
                              <w:rPr>
                                <w:rFonts w:hint="eastAsia"/>
                                <w:b/>
                                <w:bCs/>
                                <w:color w:val="FFFF00"/>
                              </w:rPr>
                            </w:pPr>
                            <w:r>
                              <w:rPr>
                                <w:rFonts w:hint="eastAsia"/>
                                <w:b/>
                                <w:bCs/>
                                <w:color w:val="FFFF00"/>
                              </w:rPr>
                              <w:t>项目位置</w:t>
                            </w:r>
                          </w:p>
                        </w:txbxContent>
                      </wps:txbx>
                      <wps:bodyPr upright="1"/>
                    </wps:wsp>
                  </a:graphicData>
                </a:graphic>
              </wp:anchor>
            </w:drawing>
          </mc:Choice>
          <mc:Fallback>
            <w:pict>
              <v:shape id="自选图形 622" o:spid="_x0000_s1026" o:spt="61" type="#_x0000_t61" style="position:absolute;left:0pt;margin-left:147.1pt;margin-top:193.3pt;height:25.25pt;width:58.5pt;z-index:251655168;mso-width-relative:page;mso-height-relative:page;" filled="f" stroked="t" coordsize="21600,21600" o:gfxdata="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HlXv2QAA&#10;AAsBAAAPAAAAAAAAAAEAIAAAACIAAABkcnMvZG93bnJldi54bWxQSwECFAAUAAAACACHTuJAdSFb&#10;1h0CAAAYBAAADgAAAAAAAAABACAAAAAoAQAAZHJzL2Uyb0RvYy54bWxQSwUGAAAAAAYABgBZAQAA&#10;twUAAAAA&#10;" adj="30609,34175">
                <v:fill on="f" focussize="0,0"/>
                <v:stroke weight="1.75pt" color="#FFFF00" joinstyle="miter"/>
                <v:imagedata o:title=""/>
                <o:lock v:ext="edit" aspectratio="f"/>
                <v:textbox>
                  <w:txbxContent>
                    <w:p>
                      <w:pPr>
                        <w:rPr>
                          <w:rFonts w:hint="eastAsia"/>
                          <w:b/>
                          <w:bCs/>
                          <w:color w:val="FFFF00"/>
                        </w:rPr>
                      </w:pPr>
                      <w:r>
                        <w:rPr>
                          <w:rFonts w:hint="eastAsia"/>
                          <w:b/>
                          <w:bCs/>
                          <w:color w:val="FFFF00"/>
                        </w:rPr>
                        <w:t>项目位置</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56192" behindDoc="0" locked="0" layoutInCell="1" allowOverlap="1">
                <wp:simplePos x="0" y="0"/>
                <wp:positionH relativeFrom="column">
                  <wp:posOffset>2967990</wp:posOffset>
                </wp:positionH>
                <wp:positionV relativeFrom="paragraph">
                  <wp:posOffset>2964815</wp:posOffset>
                </wp:positionV>
                <wp:extent cx="250190" cy="144145"/>
                <wp:effectExtent l="17145" t="26035" r="18415" b="39370"/>
                <wp:wrapNone/>
                <wp:docPr id="8" name="矩形 623"/>
                <wp:cNvGraphicFramePr/>
                <a:graphic xmlns:a="http://schemas.openxmlformats.org/drawingml/2006/main">
                  <a:graphicData uri="http://schemas.microsoft.com/office/word/2010/wordprocessingShape">
                    <wps:wsp>
                      <wps:cNvSpPr/>
                      <wps:spPr>
                        <a:xfrm rot="540000">
                          <a:off x="0" y="0"/>
                          <a:ext cx="250190" cy="144145"/>
                        </a:xfrm>
                        <a:prstGeom prst="rect">
                          <a:avLst/>
                        </a:prstGeom>
                        <a:solidFill>
                          <a:srgbClr val="FFFF00"/>
                        </a:solidFill>
                        <a:ln w="12700"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rect id="矩形 623" o:spid="_x0000_s1026" o:spt="1" style="position:absolute;left:0pt;margin-left:233.7pt;margin-top:233.45pt;height:11.35pt;width:19.7pt;rotation:589824f;z-index:251656192;mso-width-relative:page;mso-height-relative:page;" fillcolor="#FFFF00" filled="t" stroked="t" coordsize="21600,21600" o:gfxdata="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iXH2AAAAAsBAAAPAAAAAAAAAAEAIAAAACIAAABkcnMvZG93bnJldi54bWxQSwECFAAU&#10;AAAACACHTuJAMzp59/EBAADqAwAADgAAAAAAAAABACAAAAAnAQAAZHJzL2Uyb0RvYy54bWxQSwUG&#10;AAAAAAYABgBZAQAAigUAAAAA&#10;">
                <v:fill on="t" focussize="0,0"/>
                <v:stroke weight="1pt" color="#000000" joinstyle="miter"/>
                <v:imagedata o:title=""/>
                <o:lock v:ext="edit" aspectratio="f"/>
                <v:textbox>
                  <w:txbxContent>
                    <w:p/>
                  </w:txbxContent>
                </v:textbox>
              </v:rect>
            </w:pict>
          </mc:Fallback>
        </mc:AlternateContent>
      </w:r>
      <w:r>
        <w:rPr>
          <w:rFonts w:hint="default" w:ascii="Times New Roman" w:hAnsi="Times New Roman" w:cs="Times New Roman"/>
          <w:color w:val="auto"/>
        </w:rPr>
        <mc:AlternateContent>
          <mc:Choice Requires="wps">
            <w:drawing>
              <wp:anchor distT="0" distB="0" distL="114300" distR="114300" simplePos="0" relativeHeight="251660288" behindDoc="0" locked="0" layoutInCell="1" allowOverlap="1">
                <wp:simplePos x="0" y="0"/>
                <wp:positionH relativeFrom="column">
                  <wp:posOffset>397510</wp:posOffset>
                </wp:positionH>
                <wp:positionV relativeFrom="paragraph">
                  <wp:posOffset>4240530</wp:posOffset>
                </wp:positionV>
                <wp:extent cx="1129665" cy="281940"/>
                <wp:effectExtent l="0" t="0" r="13335" b="3810"/>
                <wp:wrapNone/>
                <wp:docPr id="40" name="文本框 704"/>
                <wp:cNvGraphicFramePr/>
                <a:graphic xmlns:a="http://schemas.openxmlformats.org/drawingml/2006/main">
                  <a:graphicData uri="http://schemas.microsoft.com/office/word/2010/wordprocessingShape">
                    <wps:wsp>
                      <wps:cNvSpPr txBox="1"/>
                      <wps:spPr>
                        <a:xfrm>
                          <a:off x="0" y="0"/>
                          <a:ext cx="1129665" cy="281940"/>
                        </a:xfrm>
                        <a:prstGeom prst="rect">
                          <a:avLst/>
                        </a:prstGeom>
                        <a:solidFill>
                          <a:srgbClr val="FF0000"/>
                        </a:solidFill>
                        <a:ln>
                          <a:noFill/>
                        </a:ln>
                      </wps:spPr>
                      <wps:txbx>
                        <w:txbxContent>
                          <w:p>
                            <w:pPr>
                              <w:rPr>
                                <w:b/>
                                <w:bCs/>
                                <w:color w:val="FFFF00"/>
                              </w:rPr>
                            </w:pPr>
                            <w:r>
                              <w:rPr>
                                <w:rFonts w:hint="eastAsia"/>
                                <w:b/>
                                <w:bCs/>
                                <w:color w:val="FFFF00"/>
                                <w:lang w:eastAsia="zh-CN"/>
                              </w:rPr>
                              <w:t>鹿道口村</w:t>
                            </w:r>
                            <w:r>
                              <w:rPr>
                                <w:rFonts w:hint="eastAsia"/>
                                <w:b/>
                                <w:bCs/>
                                <w:color w:val="FFFF00"/>
                                <w:lang w:val="en-US" w:eastAsia="zh-CN"/>
                              </w:rPr>
                              <w:t>690</w:t>
                            </w:r>
                            <w:r>
                              <w:rPr>
                                <w:rFonts w:hint="eastAsia"/>
                                <w:b/>
                                <w:bCs/>
                                <w:color w:val="FFFF00"/>
                              </w:rPr>
                              <w:t>m</w:t>
                            </w:r>
                          </w:p>
                        </w:txbxContent>
                      </wps:txbx>
                      <wps:bodyPr upright="1"/>
                    </wps:wsp>
                  </a:graphicData>
                </a:graphic>
              </wp:anchor>
            </w:drawing>
          </mc:Choice>
          <mc:Fallback>
            <w:pict>
              <v:shape id="文本框 704" o:spid="_x0000_s1026" o:spt="202" type="#_x0000_t202" style="position:absolute;left:0pt;margin-left:31.3pt;margin-top:333.9pt;height:22.2pt;width:88.95pt;z-index:251660288;mso-width-relative:page;mso-height-relative:page;" fillcolor="#FF0000" filled="t" stroked="f" coordsize="21600,21600" o:gfxdata="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17wjw2AAAAAoB&#10;AAAPAAAAAAAAAAEAIAAAACIAAABkcnMvZG93bnJldi54bWxQSwECFAAUAAAACACHTuJAYtl3yqkB&#10;AAAsAwAADgAAAAAAAAABACAAAAAnAQAAZHJzL2Uyb0RvYy54bWxQSwUGAAAAAAYABgBZAQAAQgUA&#10;AAAA&#10;">
                <v:fill on="t" focussize="0,0"/>
                <v:stroke on="f"/>
                <v:imagedata o:title=""/>
                <o:lock v:ext="edit" aspectratio="f"/>
                <v:textbox>
                  <w:txbxContent>
                    <w:p>
                      <w:pPr>
                        <w:rPr>
                          <w:b/>
                          <w:bCs/>
                          <w:color w:val="FFFF00"/>
                        </w:rPr>
                      </w:pPr>
                      <w:r>
                        <w:rPr>
                          <w:rFonts w:hint="eastAsia"/>
                          <w:b/>
                          <w:bCs/>
                          <w:color w:val="FFFF00"/>
                          <w:lang w:eastAsia="zh-CN"/>
                        </w:rPr>
                        <w:t>鹿道口村</w:t>
                      </w:r>
                      <w:r>
                        <w:rPr>
                          <w:rFonts w:hint="eastAsia"/>
                          <w:b/>
                          <w:bCs/>
                          <w:color w:val="FFFF00"/>
                          <w:lang w:val="en-US" w:eastAsia="zh-CN"/>
                        </w:rPr>
                        <w:t>690</w:t>
                      </w:r>
                      <w:r>
                        <w:rPr>
                          <w:rFonts w:hint="eastAsia"/>
                          <w:b/>
                          <w:bCs/>
                          <w:color w:val="FFFF00"/>
                        </w:rPr>
                        <w:t>m</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3192192" behindDoc="0" locked="0" layoutInCell="1" allowOverlap="1">
                <wp:simplePos x="0" y="0"/>
                <wp:positionH relativeFrom="column">
                  <wp:posOffset>6545580</wp:posOffset>
                </wp:positionH>
                <wp:positionV relativeFrom="paragraph">
                  <wp:posOffset>4352290</wp:posOffset>
                </wp:positionV>
                <wp:extent cx="1186180" cy="276860"/>
                <wp:effectExtent l="0" t="0" r="13970" b="8890"/>
                <wp:wrapNone/>
                <wp:docPr id="42" name="文本框 962"/>
                <wp:cNvGraphicFramePr/>
                <a:graphic xmlns:a="http://schemas.openxmlformats.org/drawingml/2006/main">
                  <a:graphicData uri="http://schemas.microsoft.com/office/word/2010/wordprocessingShape">
                    <wps:wsp>
                      <wps:cNvSpPr txBox="1"/>
                      <wps:spPr>
                        <a:xfrm>
                          <a:off x="0" y="0"/>
                          <a:ext cx="1186180" cy="276860"/>
                        </a:xfrm>
                        <a:prstGeom prst="rect">
                          <a:avLst/>
                        </a:prstGeom>
                        <a:solidFill>
                          <a:srgbClr val="FF0000"/>
                        </a:solidFill>
                        <a:ln>
                          <a:noFill/>
                        </a:ln>
                      </wps:spPr>
                      <wps:txbx>
                        <w:txbxContent>
                          <w:p>
                            <w:pPr>
                              <w:rPr>
                                <w:rFonts w:hint="default"/>
                                <w:b/>
                                <w:bCs/>
                                <w:color w:val="FFFF00"/>
                                <w:lang w:val="en-US"/>
                              </w:rPr>
                            </w:pPr>
                            <w:r>
                              <w:rPr>
                                <w:rFonts w:hint="eastAsia"/>
                                <w:b/>
                                <w:bCs/>
                                <w:color w:val="FFFF00"/>
                                <w:lang w:eastAsia="zh-CN"/>
                              </w:rPr>
                              <w:t>孙家滩村</w:t>
                            </w:r>
                            <w:r>
                              <w:rPr>
                                <w:rFonts w:hint="eastAsia"/>
                                <w:b/>
                                <w:bCs/>
                                <w:color w:val="FFFF00"/>
                                <w:lang w:val="en-US" w:eastAsia="zh-CN"/>
                              </w:rPr>
                              <w:t>1010m</w:t>
                            </w:r>
                          </w:p>
                        </w:txbxContent>
                      </wps:txbx>
                      <wps:bodyPr upright="1"/>
                    </wps:wsp>
                  </a:graphicData>
                </a:graphic>
              </wp:anchor>
            </w:drawing>
          </mc:Choice>
          <mc:Fallback>
            <w:pict>
              <v:shape id="文本框 962" o:spid="_x0000_s1026" o:spt="202" type="#_x0000_t202" style="position:absolute;left:0pt;margin-left:515.4pt;margin-top:342.7pt;height:21.8pt;width:93.4pt;z-index:253192192;mso-width-relative:page;mso-height-relative:page;" fillcolor="#FF0000" filled="t" stroked="f" coordsize="21600,21600" o:gfxdata="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agt7dsA&#10;AAANAQAADwAAAAAAAAABACAAAAAiAAAAZHJzL2Rvd25yZXYueG1sUEsBAhQAFAAAAAgAh07iQP3n&#10;Fh2qAQAALAMAAA4AAAAAAAAAAQAgAAAAKgEAAGRycy9lMm9Eb2MueG1sUEsFBgAAAAAGAAYAWQEA&#10;AEYFAAAAAA==&#10;">
                <v:fill on="t" focussize="0,0"/>
                <v:stroke on="f"/>
                <v:imagedata o:title=""/>
                <o:lock v:ext="edit" aspectratio="f"/>
                <v:textbox>
                  <w:txbxContent>
                    <w:p>
                      <w:pPr>
                        <w:rPr>
                          <w:rFonts w:hint="default"/>
                          <w:b/>
                          <w:bCs/>
                          <w:color w:val="FFFF00"/>
                          <w:lang w:val="en-US"/>
                        </w:rPr>
                      </w:pPr>
                      <w:r>
                        <w:rPr>
                          <w:rFonts w:hint="eastAsia"/>
                          <w:b/>
                          <w:bCs/>
                          <w:color w:val="FFFF00"/>
                          <w:lang w:eastAsia="zh-CN"/>
                        </w:rPr>
                        <w:t>孙家滩村</w:t>
                      </w:r>
                      <w:r>
                        <w:rPr>
                          <w:rFonts w:hint="eastAsia"/>
                          <w:b/>
                          <w:bCs/>
                          <w:color w:val="FFFF00"/>
                          <w:lang w:val="en-US" w:eastAsia="zh-CN"/>
                        </w:rPr>
                        <w:t>1010m</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59264" behindDoc="0" locked="0" layoutInCell="1" allowOverlap="1">
                <wp:simplePos x="0" y="0"/>
                <wp:positionH relativeFrom="column">
                  <wp:posOffset>5947410</wp:posOffset>
                </wp:positionH>
                <wp:positionV relativeFrom="paragraph">
                  <wp:posOffset>380365</wp:posOffset>
                </wp:positionV>
                <wp:extent cx="1114425" cy="276860"/>
                <wp:effectExtent l="0" t="0" r="9525" b="8890"/>
                <wp:wrapNone/>
                <wp:docPr id="39" name="文本框 669"/>
                <wp:cNvGraphicFramePr/>
                <a:graphic xmlns:a="http://schemas.openxmlformats.org/drawingml/2006/main">
                  <a:graphicData uri="http://schemas.microsoft.com/office/word/2010/wordprocessingShape">
                    <wps:wsp>
                      <wps:cNvSpPr txBox="1"/>
                      <wps:spPr>
                        <a:xfrm>
                          <a:off x="0" y="0"/>
                          <a:ext cx="1114425" cy="276860"/>
                        </a:xfrm>
                        <a:prstGeom prst="rect">
                          <a:avLst/>
                        </a:prstGeom>
                        <a:solidFill>
                          <a:srgbClr val="FF0000"/>
                        </a:solidFill>
                        <a:ln>
                          <a:noFill/>
                        </a:ln>
                      </wps:spPr>
                      <wps:txbx>
                        <w:txbxContent>
                          <w:p>
                            <w:pPr>
                              <w:rPr>
                                <w:rFonts w:hint="default"/>
                                <w:b/>
                                <w:bCs/>
                                <w:color w:val="FFFF00"/>
                                <w:lang w:val="en-US"/>
                              </w:rPr>
                            </w:pPr>
                            <w:r>
                              <w:rPr>
                                <w:rFonts w:hint="eastAsia"/>
                                <w:b/>
                                <w:bCs/>
                                <w:color w:val="FFFF00"/>
                                <w:lang w:eastAsia="zh-CN"/>
                              </w:rPr>
                              <w:t>大西庄村</w:t>
                            </w:r>
                            <w:r>
                              <w:rPr>
                                <w:rFonts w:hint="eastAsia"/>
                                <w:b/>
                                <w:bCs/>
                                <w:color w:val="FFFF00"/>
                                <w:lang w:val="en-US" w:eastAsia="zh-CN"/>
                              </w:rPr>
                              <w:t>1000m</w:t>
                            </w:r>
                          </w:p>
                        </w:txbxContent>
                      </wps:txbx>
                      <wps:bodyPr upright="1"/>
                    </wps:wsp>
                  </a:graphicData>
                </a:graphic>
              </wp:anchor>
            </w:drawing>
          </mc:Choice>
          <mc:Fallback>
            <w:pict>
              <v:shape id="文本框 669" o:spid="_x0000_s1026" o:spt="202" type="#_x0000_t202" style="position:absolute;left:0pt;margin-left:468.3pt;margin-top:29.95pt;height:21.8pt;width:87.75pt;z-index:251659264;mso-width-relative:page;mso-height-relative:page;" fillcolor="#FF0000" filled="t" stroked="f" coordsize="21600,21600" o:gfxdata="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H5Xd9kA&#10;AAALAQAADwAAAAAAAAABACAAAAAiAAAAZHJzL2Rvd25yZXYueG1sUEsBAhQAFAAAAAgAh07iQIzs&#10;/zKsAQAALAMAAA4AAAAAAAAAAQAgAAAAKAEAAGRycy9lMm9Eb2MueG1sUEsFBgAAAAAGAAYAWQEA&#10;AEYFAAAAAA==&#10;">
                <v:fill on="t" focussize="0,0"/>
                <v:stroke on="f"/>
                <v:imagedata o:title=""/>
                <o:lock v:ext="edit" aspectratio="f"/>
                <v:textbox>
                  <w:txbxContent>
                    <w:p>
                      <w:pPr>
                        <w:rPr>
                          <w:rFonts w:hint="default"/>
                          <w:b/>
                          <w:bCs/>
                          <w:color w:val="FFFF00"/>
                          <w:lang w:val="en-US"/>
                        </w:rPr>
                      </w:pPr>
                      <w:r>
                        <w:rPr>
                          <w:rFonts w:hint="eastAsia"/>
                          <w:b/>
                          <w:bCs/>
                          <w:color w:val="FFFF00"/>
                          <w:lang w:eastAsia="zh-CN"/>
                        </w:rPr>
                        <w:t>大西庄村</w:t>
                      </w:r>
                      <w:r>
                        <w:rPr>
                          <w:rFonts w:hint="eastAsia"/>
                          <w:b/>
                          <w:bCs/>
                          <w:color w:val="FFFF00"/>
                          <w:lang w:val="en-US" w:eastAsia="zh-CN"/>
                        </w:rPr>
                        <w:t>1000m</w:t>
                      </w:r>
                    </w:p>
                  </w:txbxContent>
                </v:textbox>
              </v:shape>
            </w:pict>
          </mc:Fallback>
        </mc:AlternateContent>
      </w:r>
      <w:r>
        <w:rPr>
          <w:rFonts w:hint="default" w:ascii="Times New Roman" w:hAnsi="Times New Roman" w:cs="Times New Roman"/>
          <w:bCs/>
          <w:color w:val="auto"/>
          <w:sz w:val="24"/>
        </w:rPr>
        <w:drawing>
          <wp:anchor distT="0" distB="0" distL="114300" distR="114300" simplePos="0" relativeHeight="251657216" behindDoc="0" locked="0" layoutInCell="1" allowOverlap="1">
            <wp:simplePos x="0" y="0"/>
            <wp:positionH relativeFrom="column">
              <wp:posOffset>8308340</wp:posOffset>
            </wp:positionH>
            <wp:positionV relativeFrom="paragraph">
              <wp:posOffset>60960</wp:posOffset>
            </wp:positionV>
            <wp:extent cx="715645" cy="707390"/>
            <wp:effectExtent l="19050" t="0" r="8255" b="0"/>
            <wp:wrapNone/>
            <wp:docPr id="625" name="图片 6667" descr="QQ截图2015072410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6667" descr="QQ截图20150724103703"/>
                    <pic:cNvPicPr>
                      <a:picLocks noChangeAspect="1" noChangeArrowheads="1"/>
                    </pic:cNvPicPr>
                  </pic:nvPicPr>
                  <pic:blipFill>
                    <a:blip r:embed="rId14" cstate="print"/>
                    <a:srcRect/>
                    <a:stretch>
                      <a:fillRect/>
                    </a:stretch>
                  </pic:blipFill>
                  <pic:spPr>
                    <a:xfrm>
                      <a:off x="0" y="0"/>
                      <a:ext cx="715645" cy="707390"/>
                    </a:xfrm>
                    <a:prstGeom prst="rect">
                      <a:avLst/>
                    </a:prstGeom>
                    <a:noFill/>
                    <a:ln w="9525" cmpd="sng">
                      <a:noFill/>
                      <a:miter lim="800000"/>
                      <a:headEnd/>
                      <a:tailEnd/>
                    </a:ln>
                  </pic:spPr>
                </pic:pic>
              </a:graphicData>
            </a:graphic>
          </wp:anchor>
        </w:drawing>
      </w:r>
      <w:r>
        <w:rPr>
          <w:color w:val="auto"/>
        </w:rPr>
        <w:drawing>
          <wp:inline distT="0" distB="0" distL="114300" distR="114300">
            <wp:extent cx="9068435" cy="5236845"/>
            <wp:effectExtent l="0" t="0" r="14605"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tretch>
                      <a:fillRect/>
                    </a:stretch>
                  </pic:blipFill>
                  <pic:spPr>
                    <a:xfrm>
                      <a:off x="0" y="0"/>
                      <a:ext cx="9068435" cy="5236845"/>
                    </a:xfrm>
                    <a:prstGeom prst="rect">
                      <a:avLst/>
                    </a:prstGeom>
                    <a:noFill/>
                    <a:ln>
                      <a:noFill/>
                    </a:ln>
                  </pic:spPr>
                </pic:pic>
              </a:graphicData>
            </a:graphic>
          </wp:inline>
        </w:drawing>
      </w:r>
    </w:p>
    <w:p>
      <w:pPr>
        <w:spacing w:line="360" w:lineRule="auto"/>
        <w:jc w:val="center"/>
        <w:outlineLvl w:val="0"/>
        <w:rPr>
          <w:rFonts w:hint="default" w:ascii="Times New Roman" w:hAnsi="Times New Roman" w:cs="Times New Roman"/>
          <w:b/>
          <w:bCs/>
          <w:color w:val="auto"/>
          <w:sz w:val="24"/>
          <w:szCs w:val="24"/>
        </w:rPr>
        <w:sectPr>
          <w:footerReference r:id="rId7" w:type="default"/>
          <w:pgSz w:w="16840" w:h="11907" w:orient="landscape"/>
          <w:pgMar w:top="567" w:right="1276" w:bottom="850" w:left="127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b/>
          <w:bCs/>
          <w:color w:val="auto"/>
          <w:sz w:val="24"/>
          <w:szCs w:val="24"/>
        </w:rPr>
        <w:t>图3-1  厂区周边敏感目标位图</w:t>
      </w:r>
    </w:p>
    <w:p>
      <w:pPr>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四、评价适用标准</w:t>
      </w:r>
    </w:p>
    <w:tbl>
      <w:tblPr>
        <w:tblStyle w:val="39"/>
        <w:tblW w:w="935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2"/>
        <w:gridCol w:w="88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15" w:hRule="atLeast"/>
          <w:jc w:val="center"/>
        </w:trPr>
        <w:tc>
          <w:tcPr>
            <w:tcW w:w="522"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境</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质</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量</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标</w:t>
            </w:r>
          </w:p>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4"/>
                <w:szCs w:val="24"/>
              </w:rPr>
              <w:t>准</w:t>
            </w:r>
          </w:p>
        </w:tc>
        <w:tc>
          <w:tcPr>
            <w:tcW w:w="8834" w:type="dxa"/>
            <w:vAlign w:val="center"/>
          </w:tcPr>
          <w:p>
            <w:pPr>
              <w:spacing w:line="360" w:lineRule="auto"/>
              <w:ind w:firstLine="240" w:firstLineChars="100"/>
              <w:rPr>
                <w:color w:val="auto"/>
                <w:sz w:val="24"/>
                <w:szCs w:val="24"/>
              </w:rPr>
            </w:pPr>
            <w:r>
              <w:rPr>
                <w:color w:val="auto"/>
                <w:sz w:val="24"/>
                <w:szCs w:val="24"/>
              </w:rPr>
              <w:t>1、环境空气执行《环境空气质量标准》(GB3095-2012)二级</w:t>
            </w:r>
            <w:r>
              <w:rPr>
                <w:rFonts w:hint="eastAsia"/>
                <w:color w:val="auto"/>
                <w:sz w:val="24"/>
                <w:szCs w:val="24"/>
              </w:rPr>
              <w:t>及修改单</w:t>
            </w:r>
            <w:r>
              <w:rPr>
                <w:color w:val="auto"/>
                <w:sz w:val="24"/>
                <w:szCs w:val="24"/>
              </w:rPr>
              <w:t>标准；</w:t>
            </w:r>
          </w:p>
          <w:p>
            <w:pPr>
              <w:spacing w:line="360" w:lineRule="auto"/>
              <w:ind w:firstLine="240" w:firstLineChars="100"/>
              <w:rPr>
                <w:color w:val="auto"/>
                <w:sz w:val="24"/>
                <w:szCs w:val="24"/>
              </w:rPr>
            </w:pPr>
            <w:r>
              <w:rPr>
                <w:color w:val="auto"/>
                <w:sz w:val="24"/>
                <w:szCs w:val="24"/>
              </w:rPr>
              <w:t>2、地下水执行《地下水质量标准》（GB/T14848-</w:t>
            </w:r>
            <w:r>
              <w:rPr>
                <w:rFonts w:hint="eastAsia"/>
                <w:color w:val="auto"/>
                <w:sz w:val="24"/>
                <w:szCs w:val="24"/>
              </w:rPr>
              <w:t>2017</w:t>
            </w:r>
            <w:r>
              <w:rPr>
                <w:color w:val="auto"/>
                <w:sz w:val="24"/>
                <w:szCs w:val="24"/>
              </w:rPr>
              <w:t>）Ⅲ类标准；</w:t>
            </w:r>
          </w:p>
          <w:p>
            <w:pPr>
              <w:spacing w:line="360" w:lineRule="auto"/>
              <w:ind w:firstLine="240" w:firstLineChars="100"/>
              <w:rPr>
                <w:color w:val="auto"/>
                <w:sz w:val="24"/>
                <w:szCs w:val="24"/>
              </w:rPr>
            </w:pPr>
            <w:r>
              <w:rPr>
                <w:color w:val="auto"/>
                <w:sz w:val="24"/>
                <w:szCs w:val="24"/>
              </w:rPr>
              <w:t>3、地表水执行《地表水环境质量标准》（GB3838-2002）中的</w:t>
            </w:r>
            <w:r>
              <w:rPr>
                <w:rFonts w:hint="eastAsia" w:ascii="宋体" w:hAnsi="宋体" w:cs="宋体"/>
                <w:color w:val="auto"/>
                <w:sz w:val="24"/>
                <w:szCs w:val="24"/>
                <w:lang w:eastAsia="zh-CN"/>
              </w:rPr>
              <w:t>Ⅳ</w:t>
            </w:r>
            <w:r>
              <w:rPr>
                <w:color w:val="auto"/>
                <w:sz w:val="24"/>
                <w:szCs w:val="24"/>
              </w:rPr>
              <w:t>类标准；</w:t>
            </w:r>
          </w:p>
          <w:p>
            <w:pPr>
              <w:spacing w:line="360" w:lineRule="auto"/>
              <w:ind w:firstLine="240" w:firstLineChars="100"/>
              <w:rPr>
                <w:rFonts w:hint="default" w:ascii="Times New Roman" w:hAnsi="Times New Roman" w:eastAsia="宋体" w:cs="Times New Roman"/>
                <w:color w:val="auto"/>
                <w:lang w:eastAsia="zh-CN"/>
              </w:rPr>
            </w:pPr>
            <w:r>
              <w:rPr>
                <w:color w:val="auto"/>
                <w:sz w:val="24"/>
                <w:szCs w:val="24"/>
              </w:rPr>
              <w:t>4、声环境执行《声环境质量标准》（GB3096-2008）</w:t>
            </w:r>
            <w:r>
              <w:rPr>
                <w:rFonts w:hint="eastAsia"/>
                <w:color w:val="auto"/>
                <w:sz w:val="24"/>
                <w:szCs w:val="24"/>
                <w:lang w:val="en-US" w:eastAsia="zh-CN"/>
              </w:rPr>
              <w:t>3</w:t>
            </w:r>
            <w:r>
              <w:rPr>
                <w:color w:val="auto"/>
                <w:sz w:val="24"/>
                <w:szCs w:val="24"/>
              </w:rPr>
              <w:t>类标准</w:t>
            </w:r>
            <w:r>
              <w:rPr>
                <w:rFonts w:hint="default" w:ascii="Times New Roman" w:hAnsi="Times New Roman" w:cs="Times New Roman"/>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87" w:hRule="atLeast"/>
          <w:jc w:val="center"/>
        </w:trPr>
        <w:tc>
          <w:tcPr>
            <w:tcW w:w="522" w:type="dxa"/>
            <w:vAlign w:val="center"/>
          </w:tcPr>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染</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物</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放</w:t>
            </w:r>
          </w:p>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标</w:t>
            </w:r>
          </w:p>
          <w:p>
            <w:pPr>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4"/>
                <w:szCs w:val="24"/>
              </w:rPr>
              <w:t>准</w:t>
            </w:r>
          </w:p>
        </w:tc>
        <w:tc>
          <w:tcPr>
            <w:tcW w:w="8834" w:type="dxa"/>
          </w:tcPr>
          <w:p>
            <w:pPr>
              <w:spacing w:line="360" w:lineRule="auto"/>
              <w:rPr>
                <w:rFonts w:hint="default" w:ascii="Times New Roman" w:hAnsi="Times New Roman" w:cs="Times New Roman"/>
                <w:color w:val="auto"/>
                <w:sz w:val="24"/>
                <w:szCs w:val="24"/>
              </w:rPr>
            </w:pPr>
          </w:p>
          <w:p>
            <w:pPr>
              <w:numPr>
                <w:ilvl w:val="0"/>
                <w:numId w:val="5"/>
              </w:numPr>
              <w:spacing w:line="360" w:lineRule="auto"/>
              <w:ind w:firstLine="240" w:firstLineChars="100"/>
              <w:rPr>
                <w:rFonts w:hint="eastAsia"/>
                <w:color w:val="auto"/>
                <w:sz w:val="24"/>
                <w:szCs w:val="24"/>
              </w:rPr>
            </w:pPr>
            <w:r>
              <w:rPr>
                <w:color w:val="auto"/>
                <w:sz w:val="24"/>
                <w:szCs w:val="24"/>
              </w:rPr>
              <w:t>有机废气执行</w:t>
            </w:r>
            <w:r>
              <w:rPr>
                <w:rFonts w:hint="default" w:ascii="Times New Roman" w:hAnsi="Times New Roman" w:cs="Times New Roman"/>
                <w:color w:val="auto"/>
                <w:sz w:val="24"/>
                <w:szCs w:val="24"/>
              </w:rPr>
              <w:t>《挥发性有机物排放标准 第6部分：有机化工行业》（DB37/2801.6-2018）表1中Ⅱ时段（VOCs浓度限值≦60mg/m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、速率限值≦3.0kg/h）</w:t>
            </w:r>
            <w:r>
              <w:rPr>
                <w:rFonts w:hint="eastAsia" w:cs="Times New Roman"/>
                <w:color w:val="auto"/>
                <w:sz w:val="24"/>
                <w:szCs w:val="24"/>
                <w:lang w:eastAsia="zh-CN"/>
              </w:rPr>
              <w:t>、</w:t>
            </w:r>
            <w:r>
              <w:rPr>
                <w:rFonts w:hint="default" w:ascii="Times New Roman" w:hAnsi="Times New Roman" w:cs="Times New Roman"/>
                <w:color w:val="auto"/>
                <w:sz w:val="24"/>
                <w:szCs w:val="24"/>
              </w:rPr>
              <w:t>表3厂界监控点浓度限值（VOCs浓度限值≦2.0mg/m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eastAsia"/>
                <w:color w:val="auto"/>
                <w:sz w:val="24"/>
                <w:szCs w:val="24"/>
                <w:lang w:eastAsia="zh-CN"/>
              </w:rPr>
              <w:t>、</w:t>
            </w:r>
            <w:r>
              <w:rPr>
                <w:rFonts w:hint="eastAsia" w:cs="Times New Roman"/>
                <w:color w:val="auto"/>
                <w:sz w:val="24"/>
                <w:szCs w:val="24"/>
                <w:lang w:eastAsia="zh-CN"/>
              </w:rPr>
              <w:t>《挥发性有机物无组织排放控制标准》（</w:t>
            </w:r>
            <w:r>
              <w:rPr>
                <w:rFonts w:hint="eastAsia" w:cs="Times New Roman"/>
                <w:color w:val="auto"/>
                <w:sz w:val="24"/>
                <w:szCs w:val="24"/>
                <w:lang w:val="en-US" w:eastAsia="zh-CN"/>
              </w:rPr>
              <w:t>GB37822-2019</w:t>
            </w:r>
            <w:r>
              <w:rPr>
                <w:rFonts w:hint="eastAsia" w:cs="Times New Roman"/>
                <w:color w:val="auto"/>
                <w:sz w:val="24"/>
                <w:szCs w:val="24"/>
                <w:lang w:eastAsia="zh-CN"/>
              </w:rPr>
              <w:t>）及附录</w:t>
            </w:r>
            <w:r>
              <w:rPr>
                <w:rFonts w:hint="eastAsia" w:cs="Times New Roman"/>
                <w:color w:val="auto"/>
                <w:sz w:val="24"/>
                <w:szCs w:val="24"/>
                <w:lang w:val="en-US" w:eastAsia="zh-CN"/>
              </w:rPr>
              <w:t>A厂区内VOCs无组织排放监控要求</w:t>
            </w:r>
            <w:r>
              <w:rPr>
                <w:rFonts w:hint="eastAsia" w:cs="Times New Roman"/>
                <w:color w:val="auto"/>
                <w:sz w:val="24"/>
                <w:szCs w:val="24"/>
                <w:lang w:eastAsia="zh-CN"/>
              </w:rPr>
              <w:t>；</w:t>
            </w:r>
          </w:p>
          <w:p>
            <w:pPr>
              <w:spacing w:line="360" w:lineRule="auto"/>
              <w:ind w:firstLine="240" w:firstLineChars="100"/>
              <w:jc w:val="left"/>
              <w:rPr>
                <w:rFonts w:hint="eastAsia"/>
                <w:color w:val="auto"/>
                <w:sz w:val="24"/>
                <w:szCs w:val="24"/>
              </w:rPr>
            </w:pPr>
            <w:r>
              <w:rPr>
                <w:rFonts w:hint="eastAsia"/>
                <w:color w:val="auto"/>
                <w:sz w:val="24"/>
                <w:szCs w:val="24"/>
                <w:lang w:val="en-US" w:eastAsia="zh-CN"/>
              </w:rPr>
              <w:t>2</w:t>
            </w:r>
            <w:r>
              <w:rPr>
                <w:rFonts w:hint="eastAsia"/>
                <w:color w:val="auto"/>
                <w:sz w:val="24"/>
                <w:szCs w:val="24"/>
              </w:rPr>
              <w:t>、</w:t>
            </w:r>
            <w:r>
              <w:rPr>
                <w:color w:val="auto"/>
                <w:sz w:val="24"/>
                <w:szCs w:val="24"/>
              </w:rPr>
              <w:t>废水执行《污水排入城镇下水道水质标准》（GB/T31962-2015）表1中B等级</w:t>
            </w:r>
            <w:r>
              <w:rPr>
                <w:rFonts w:hint="eastAsia"/>
                <w:color w:val="auto"/>
                <w:sz w:val="24"/>
                <w:szCs w:val="24"/>
              </w:rPr>
              <w:t>标准</w:t>
            </w:r>
            <w:r>
              <w:rPr>
                <w:color w:val="auto"/>
                <w:sz w:val="24"/>
                <w:szCs w:val="24"/>
              </w:rPr>
              <w:t>（主要污染物CODcr≦500mg/L、氨氮≦45mg/L）</w:t>
            </w:r>
            <w:r>
              <w:rPr>
                <w:rFonts w:hint="eastAsia"/>
                <w:color w:val="auto"/>
                <w:sz w:val="24"/>
                <w:szCs w:val="24"/>
              </w:rPr>
              <w:t>；</w:t>
            </w:r>
          </w:p>
          <w:p>
            <w:pPr>
              <w:spacing w:line="360" w:lineRule="auto"/>
              <w:ind w:firstLine="240" w:firstLineChars="100"/>
              <w:jc w:val="left"/>
              <w:rPr>
                <w:color w:val="auto"/>
                <w:sz w:val="24"/>
                <w:szCs w:val="24"/>
              </w:rPr>
            </w:pPr>
            <w:r>
              <w:rPr>
                <w:rFonts w:hint="eastAsia"/>
                <w:color w:val="auto"/>
                <w:sz w:val="24"/>
                <w:szCs w:val="24"/>
                <w:lang w:val="en-US" w:eastAsia="zh-CN"/>
              </w:rPr>
              <w:t>3</w:t>
            </w:r>
            <w:r>
              <w:rPr>
                <w:color w:val="auto"/>
                <w:sz w:val="24"/>
                <w:szCs w:val="24"/>
              </w:rPr>
              <w:t>、厂界噪声执行《工业企业厂界环境噪声排放标准》（GB12348-2008）</w:t>
            </w:r>
            <w:r>
              <w:rPr>
                <w:rFonts w:hint="eastAsia"/>
                <w:color w:val="auto"/>
                <w:sz w:val="24"/>
                <w:szCs w:val="24"/>
              </w:rPr>
              <w:t>3</w:t>
            </w:r>
            <w:r>
              <w:rPr>
                <w:color w:val="auto"/>
                <w:sz w:val="24"/>
                <w:szCs w:val="24"/>
              </w:rPr>
              <w:t>类标准</w:t>
            </w:r>
            <w:r>
              <w:rPr>
                <w:rFonts w:hint="eastAsia"/>
                <w:color w:val="auto"/>
                <w:sz w:val="24"/>
                <w:szCs w:val="24"/>
              </w:rPr>
              <w:t>（昼间65dB（A）、夜间55dB（A））</w:t>
            </w:r>
            <w:r>
              <w:rPr>
                <w:color w:val="auto"/>
                <w:sz w:val="24"/>
                <w:szCs w:val="24"/>
              </w:rPr>
              <w:t>；</w:t>
            </w:r>
          </w:p>
          <w:p>
            <w:pPr>
              <w:spacing w:line="360" w:lineRule="auto"/>
              <w:ind w:firstLine="240" w:firstLineChars="100"/>
              <w:jc w:val="left"/>
              <w:rPr>
                <w:rFonts w:hint="eastAsia"/>
                <w:color w:val="auto"/>
                <w:sz w:val="24"/>
                <w:szCs w:val="24"/>
              </w:rPr>
            </w:pPr>
            <w:r>
              <w:rPr>
                <w:rFonts w:hint="eastAsia"/>
                <w:color w:val="auto"/>
                <w:sz w:val="24"/>
                <w:szCs w:val="24"/>
                <w:lang w:val="en-US" w:eastAsia="zh-CN"/>
              </w:rPr>
              <w:t>4</w:t>
            </w:r>
            <w:r>
              <w:rPr>
                <w:color w:val="auto"/>
                <w:sz w:val="24"/>
                <w:szCs w:val="24"/>
              </w:rPr>
              <w:t>、一般固体废物执行《一般工业固体废物贮存、处置场污染控制标准》（GB 18599-2001）及其修改单</w:t>
            </w:r>
            <w:r>
              <w:rPr>
                <w:rFonts w:hint="eastAsia"/>
                <w:color w:val="auto"/>
                <w:sz w:val="24"/>
                <w:szCs w:val="24"/>
              </w:rPr>
              <w:t>；</w:t>
            </w:r>
          </w:p>
          <w:p>
            <w:pPr>
              <w:spacing w:line="360" w:lineRule="auto"/>
              <w:ind w:firstLine="240" w:firstLineChars="100"/>
              <w:jc w:val="left"/>
              <w:rPr>
                <w:rFonts w:hint="default" w:ascii="Times New Roman" w:hAnsi="Times New Roman" w:cs="Times New Roman"/>
                <w:color w:val="auto"/>
              </w:rPr>
            </w:pPr>
            <w:r>
              <w:rPr>
                <w:rFonts w:hint="eastAsia"/>
                <w:color w:val="auto"/>
                <w:sz w:val="24"/>
                <w:szCs w:val="24"/>
                <w:lang w:val="en-US" w:eastAsia="zh-CN"/>
              </w:rPr>
              <w:t>5</w:t>
            </w:r>
            <w:r>
              <w:rPr>
                <w:rFonts w:hint="eastAsia"/>
                <w:color w:val="auto"/>
                <w:sz w:val="24"/>
                <w:szCs w:val="24"/>
              </w:rPr>
              <w:t>、危险废物执行</w:t>
            </w:r>
            <w:r>
              <w:rPr>
                <w:color w:val="auto"/>
                <w:sz w:val="24"/>
                <w:szCs w:val="24"/>
              </w:rPr>
              <w:t>《危险废物贮存污染控制标准》（GB18597-2001）及其修改单</w:t>
            </w:r>
            <w:r>
              <w:rPr>
                <w:rFonts w:hint="default" w:ascii="Times New Roman" w:hAnsi="Times New Roman" w:cs="Times New Roman"/>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6" w:hRule="atLeast"/>
          <w:jc w:val="center"/>
        </w:trPr>
        <w:tc>
          <w:tcPr>
            <w:tcW w:w="522"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量</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控</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制</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指</w:t>
            </w:r>
          </w:p>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4"/>
                <w:szCs w:val="24"/>
              </w:rPr>
              <w:t>标</w:t>
            </w:r>
          </w:p>
        </w:tc>
        <w:tc>
          <w:tcPr>
            <w:tcW w:w="8834" w:type="dxa"/>
            <w:vAlign w:val="center"/>
          </w:tcPr>
          <w:p>
            <w:pPr>
              <w:ind w:firstLine="240" w:firstLineChars="1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1、废水：</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 4-1  本项目总量控制指标</w:t>
            </w:r>
          </w:p>
          <w:tbl>
            <w:tblPr>
              <w:tblStyle w:val="39"/>
              <w:tblW w:w="751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92"/>
              <w:gridCol w:w="1015"/>
              <w:gridCol w:w="2052"/>
              <w:gridCol w:w="31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9" w:hRule="atLeast"/>
                <w:jc w:val="center"/>
              </w:trPr>
              <w:tc>
                <w:tcPr>
                  <w:tcW w:w="1292"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hint="default" w:ascii="Times New Roman" w:hAnsi="Times New Roman" w:cs="Times New Roman"/>
                      <w:color w:val="auto"/>
                      <w:szCs w:val="21"/>
                    </w:rPr>
                  </w:pPr>
                </w:p>
                <w:p>
                  <w:pPr>
                    <w:ind w:firstLine="105" w:firstLineChars="5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6224" w:type="dxa"/>
                  <w:gridSpan w:val="3"/>
                  <w:tcBorders>
                    <w:top w:val="single" w:color="auto" w:sz="12" w:space="0"/>
                    <w:left w:val="single" w:color="auto" w:sz="6" w:space="0"/>
                    <w:bottom w:val="single" w:color="auto" w:sz="6"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7" w:hRule="atLeast"/>
                <w:jc w:val="center"/>
              </w:trPr>
              <w:tc>
                <w:tcPr>
                  <w:tcW w:w="1292"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hint="default" w:ascii="Times New Roman" w:hAnsi="Times New Roman" w:cs="Times New Roman"/>
                      <w:color w:val="auto"/>
                      <w:szCs w:val="21"/>
                    </w:rPr>
                  </w:pPr>
                </w:p>
              </w:tc>
              <w:tc>
                <w:tcPr>
                  <w:tcW w:w="1015" w:type="dxa"/>
                  <w:tcBorders>
                    <w:top w:val="single" w:color="auto" w:sz="6" w:space="0"/>
                    <w:left w:val="single" w:color="auto" w:sz="6" w:space="0"/>
                    <w:bottom w:val="single" w:color="auto" w:sz="6" w:space="0"/>
                    <w:right w:val="single" w:color="auto" w:sz="6" w:space="0"/>
                  </w:tcBorders>
                  <w:vAlign w:val="center"/>
                </w:tcPr>
                <w:p>
                  <w:pPr>
                    <w:ind w:left="48" w:leftChars="23"/>
                    <w:jc w:val="center"/>
                    <w:rPr>
                      <w:rFonts w:hint="default" w:ascii="Times New Roman" w:hAnsi="Times New Roman" w:cs="Times New Roman"/>
                      <w:color w:val="auto"/>
                      <w:szCs w:val="21"/>
                    </w:rPr>
                  </w:pPr>
                  <w:r>
                    <w:rPr>
                      <w:rFonts w:hint="default" w:ascii="Times New Roman" w:hAnsi="Times New Roman" w:cs="Times New Roman"/>
                      <w:color w:val="auto"/>
                      <w:szCs w:val="21"/>
                    </w:rPr>
                    <w:t>产生量</w:t>
                  </w:r>
                </w:p>
                <w:p>
                  <w:pPr>
                    <w:ind w:left="10" w:leftChars="5"/>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2052"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厂区排放口的排放量</w:t>
                  </w:r>
                  <w:r>
                    <w:rPr>
                      <w:rFonts w:hint="default" w:ascii="Times New Roman" w:hAnsi="Times New Roman" w:cs="Times New Roman"/>
                      <w:color w:val="auto"/>
                      <w:szCs w:val="21"/>
                    </w:rPr>
                    <w:t>（t/a）</w:t>
                  </w:r>
                </w:p>
              </w:tc>
              <w:tc>
                <w:tcPr>
                  <w:tcW w:w="3157" w:type="dxa"/>
                  <w:tcBorders>
                    <w:top w:val="single" w:color="auto" w:sz="6" w:space="0"/>
                    <w:left w:val="single" w:color="auto" w:sz="6" w:space="0"/>
                    <w:bottom w:val="single" w:color="auto" w:sz="6"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经污水处理厂处理排入外环境的量（t/a）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3" w:hRule="atLeast"/>
                <w:jc w:val="center"/>
              </w:trPr>
              <w:tc>
                <w:tcPr>
                  <w:tcW w:w="1292" w:type="dxa"/>
                  <w:tcBorders>
                    <w:top w:val="single" w:color="auto" w:sz="6" w:space="0"/>
                    <w:left w:val="single" w:color="auto" w:sz="12" w:space="0"/>
                    <w:bottom w:val="single" w:color="auto" w:sz="6" w:space="0"/>
                    <w:right w:val="single" w:color="auto" w:sz="6"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1015"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240</w:t>
                  </w:r>
                </w:p>
              </w:tc>
              <w:tc>
                <w:tcPr>
                  <w:tcW w:w="2052"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240</w:t>
                  </w:r>
                </w:p>
              </w:tc>
              <w:tc>
                <w:tcPr>
                  <w:tcW w:w="3157" w:type="dxa"/>
                  <w:tcBorders>
                    <w:top w:val="single" w:color="auto" w:sz="6" w:space="0"/>
                    <w:left w:val="single" w:color="auto" w:sz="6" w:space="0"/>
                    <w:bottom w:val="single" w:color="auto" w:sz="6" w:space="0"/>
                    <w:right w:val="single" w:color="auto" w:sz="12" w:space="0"/>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3" w:hRule="atLeast"/>
                <w:jc w:val="center"/>
              </w:trPr>
              <w:tc>
                <w:tcPr>
                  <w:tcW w:w="1292" w:type="dxa"/>
                  <w:tcBorders>
                    <w:top w:val="single" w:color="auto" w:sz="6" w:space="0"/>
                    <w:left w:val="single" w:color="auto" w:sz="12" w:space="0"/>
                    <w:bottom w:val="single" w:color="auto" w:sz="6" w:space="0"/>
                    <w:right w:val="single" w:color="auto" w:sz="6"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CODcr</w:t>
                  </w:r>
                </w:p>
              </w:tc>
              <w:tc>
                <w:tcPr>
                  <w:tcW w:w="1015"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0.108</w:t>
                  </w:r>
                </w:p>
              </w:tc>
              <w:tc>
                <w:tcPr>
                  <w:tcW w:w="2052"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0.084</w:t>
                  </w:r>
                </w:p>
              </w:tc>
              <w:tc>
                <w:tcPr>
                  <w:tcW w:w="3157" w:type="dxa"/>
                  <w:tcBorders>
                    <w:top w:val="single" w:color="auto" w:sz="6" w:space="0"/>
                    <w:left w:val="single" w:color="auto" w:sz="6" w:space="0"/>
                    <w:bottom w:val="single" w:color="auto" w:sz="6" w:space="0"/>
                    <w:right w:val="single" w:color="auto" w:sz="12" w:space="0"/>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3" w:hRule="atLeast"/>
                <w:jc w:val="center"/>
              </w:trPr>
              <w:tc>
                <w:tcPr>
                  <w:tcW w:w="1292" w:type="dxa"/>
                  <w:tcBorders>
                    <w:top w:val="single" w:color="auto" w:sz="6" w:space="0"/>
                    <w:left w:val="single" w:color="auto" w:sz="12" w:space="0"/>
                    <w:bottom w:val="single" w:color="auto" w:sz="12" w:space="0"/>
                    <w:right w:val="single" w:color="auto" w:sz="6"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1015" w:type="dxa"/>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w:t>
                  </w:r>
                </w:p>
              </w:tc>
              <w:tc>
                <w:tcPr>
                  <w:tcW w:w="2052" w:type="dxa"/>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0.006</w:t>
                  </w:r>
                </w:p>
              </w:tc>
              <w:tc>
                <w:tcPr>
                  <w:tcW w:w="3157" w:type="dxa"/>
                  <w:tcBorders>
                    <w:top w:val="single" w:color="auto" w:sz="6" w:space="0"/>
                    <w:left w:val="single" w:color="auto" w:sz="6" w:space="0"/>
                    <w:bottom w:val="single" w:color="auto" w:sz="12" w:space="0"/>
                    <w:right w:val="single" w:color="auto" w:sz="12" w:space="0"/>
                  </w:tcBorders>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本项目生活污水经化粪池预处理后排入</w:t>
            </w:r>
            <w:r>
              <w:rPr>
                <w:rFonts w:hint="eastAsia" w:cs="Times New Roman"/>
                <w:color w:val="auto"/>
                <w:sz w:val="24"/>
                <w:szCs w:val="24"/>
                <w:lang w:val="zh-CN"/>
              </w:rPr>
              <w:t>威海初村污水处理厂</w:t>
            </w:r>
            <w:r>
              <w:rPr>
                <w:rFonts w:hint="default" w:ascii="Times New Roman" w:hAnsi="Times New Roman" w:cs="Times New Roman"/>
                <w:color w:val="auto"/>
                <w:sz w:val="24"/>
                <w:szCs w:val="24"/>
                <w:lang w:val="zh-CN"/>
              </w:rPr>
              <w:t>集中处理达标后深海排放</w:t>
            </w:r>
            <w:r>
              <w:rPr>
                <w:rFonts w:hint="default" w:ascii="Times New Roman" w:hAnsi="Times New Roman" w:cs="Times New Roman"/>
                <w:color w:val="auto"/>
                <w:sz w:val="24"/>
                <w:szCs w:val="24"/>
              </w:rPr>
              <w:t>，废水中主要污染物</w:t>
            </w:r>
            <w:r>
              <w:rPr>
                <w:rFonts w:hint="default" w:ascii="Times New Roman" w:hAnsi="Times New Roman" w:cs="Times New Roman"/>
                <w:color w:val="auto"/>
                <w:sz w:val="24"/>
                <w:szCs w:val="24"/>
                <w:lang w:eastAsia="zh-CN"/>
              </w:rPr>
              <w:t>CODcr</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-N的总量指标建议纳入该</w:t>
            </w:r>
            <w:r>
              <w:rPr>
                <w:rFonts w:hint="default" w:ascii="Times New Roman" w:hAnsi="Times New Roman" w:cs="Times New Roman"/>
                <w:color w:val="auto"/>
                <w:sz w:val="24"/>
                <w:szCs w:val="24"/>
                <w:lang w:val="zh-CN"/>
              </w:rPr>
              <w:t>污水处理厂</w:t>
            </w:r>
            <w:r>
              <w:rPr>
                <w:rFonts w:hint="default" w:ascii="Times New Roman" w:hAnsi="Times New Roman" w:cs="Times New Roman"/>
                <w:color w:val="auto"/>
                <w:sz w:val="24"/>
                <w:szCs w:val="24"/>
              </w:rPr>
              <w:t>总量指标管理。</w:t>
            </w:r>
          </w:p>
          <w:p>
            <w:pPr>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2、废气：</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（1）本项目不设锅炉等燃煤燃油设备，无SO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、氮氧化物等废气产生，不需要申请SO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、氮氧化物总量</w:t>
            </w:r>
            <w:r>
              <w:rPr>
                <w:rFonts w:hint="default" w:ascii="Times New Roman" w:hAnsi="Times New Roman" w:cs="Times New Roman"/>
                <w:color w:val="auto"/>
                <w:sz w:val="24"/>
                <w:szCs w:val="24"/>
                <w:lang w:eastAsia="zh-CN"/>
              </w:rPr>
              <w:t>控制指标</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szCs w:val="24"/>
              </w:rPr>
              <w:t>（2）</w:t>
            </w:r>
            <w:r>
              <w:rPr>
                <w:rFonts w:hint="default" w:ascii="Times New Roman" w:hAnsi="Times New Roman" w:cs="Times New Roman"/>
                <w:color w:val="auto"/>
                <w:sz w:val="24"/>
              </w:rPr>
              <w:t>根据“十三五”规划，国家继续对化学需氧量、氨氮、二氧化硫和氮氧化物实施总量控制，同时在重点区域和重点行业推进挥发性有机物排放总量控制</w:t>
            </w:r>
            <w:r>
              <w:rPr>
                <w:rFonts w:hint="default" w:ascii="Times New Roman" w:hAnsi="Times New Roman" w:cs="Times New Roman"/>
                <w:color w:val="auto"/>
                <w:sz w:val="24"/>
                <w:lang w:eastAsia="zh-CN"/>
              </w:rPr>
              <w:t>。</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经计算，本项目</w:t>
            </w:r>
            <w:r>
              <w:rPr>
                <w:rFonts w:hint="default" w:ascii="Times New Roman" w:hAnsi="Times New Roman" w:cs="Times New Roman"/>
                <w:color w:val="auto"/>
                <w:sz w:val="24"/>
                <w:lang w:val="en-US" w:eastAsia="zh-CN"/>
              </w:rPr>
              <w:t>VOCs排放量为</w:t>
            </w:r>
            <w:r>
              <w:rPr>
                <w:rFonts w:hint="eastAsia" w:cs="Times New Roman"/>
                <w:color w:val="auto"/>
                <w:sz w:val="24"/>
                <w:lang w:val="en-US" w:eastAsia="zh-CN"/>
              </w:rPr>
              <w:t>0.013</w:t>
            </w:r>
            <w:r>
              <w:rPr>
                <w:rFonts w:hint="default" w:ascii="Times New Roman" w:hAnsi="Times New Roman" w:cs="Times New Roman"/>
                <w:color w:val="auto"/>
                <w:sz w:val="24"/>
                <w:lang w:val="en-US" w:eastAsia="zh-CN"/>
              </w:rPr>
              <w:t>t/a</w:t>
            </w:r>
            <w:r>
              <w:rPr>
                <w:rFonts w:hint="default" w:ascii="Times New Roman" w:hAnsi="Times New Roman" w:cs="Times New Roman"/>
                <w:color w:val="auto"/>
                <w:sz w:val="24"/>
                <w:szCs w:val="24"/>
              </w:rPr>
              <w:t>。</w:t>
            </w:r>
            <w:r>
              <w:rPr>
                <w:rFonts w:hint="default" w:ascii="Times New Roman" w:hAnsi="Times New Roman" w:cs="Times New Roman"/>
                <w:color w:val="auto"/>
                <w:sz w:val="24"/>
              </w:rPr>
              <w:t>按照</w:t>
            </w:r>
            <w:r>
              <w:rPr>
                <w:rFonts w:hint="default" w:ascii="Times New Roman" w:hAnsi="Times New Roman" w:cs="Times New Roman"/>
                <w:color w:val="auto"/>
                <w:sz w:val="24"/>
                <w:lang w:eastAsia="zh-CN"/>
              </w:rPr>
              <w:t>威海市生态环境局关于转发《山东省生态环境厅关于印发山东省建设项目主要大气污染物排放总量替代指标核算及管理办法的通知》的通知（威环函【</w:t>
            </w:r>
            <w:r>
              <w:rPr>
                <w:rFonts w:hint="default" w:ascii="Times New Roman" w:hAnsi="Times New Roman" w:cs="Times New Roman"/>
                <w:color w:val="auto"/>
                <w:sz w:val="24"/>
                <w:lang w:val="en-US" w:eastAsia="zh-CN"/>
              </w:rPr>
              <w:t>2020</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8号</w:t>
            </w:r>
            <w:r>
              <w:rPr>
                <w:rFonts w:hint="default" w:ascii="Times New Roman" w:hAnsi="Times New Roman" w:cs="Times New Roman"/>
                <w:color w:val="auto"/>
                <w:sz w:val="24"/>
                <w:lang w:eastAsia="zh-CN"/>
              </w:rPr>
              <w:t>）中</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上一年度环境空气质量年平均浓度达标的区市，相关污染物进行等量替代</w:t>
            </w:r>
            <w:r>
              <w:rPr>
                <w:rFonts w:hint="eastAsia" w:ascii="Times New Roman" w:hAnsi="Times New Roman" w:cs="Times New Roman"/>
                <w:color w:val="auto"/>
                <w:sz w:val="24"/>
                <w:lang w:eastAsia="zh-CN"/>
              </w:rPr>
              <w:t>”</w:t>
            </w:r>
            <w:r>
              <w:rPr>
                <w:rFonts w:hint="eastAsia" w:cs="Times New Roman"/>
                <w:color w:val="auto"/>
                <w:sz w:val="24"/>
                <w:lang w:eastAsia="zh-CN"/>
              </w:rPr>
              <w:t>的</w:t>
            </w:r>
            <w:r>
              <w:rPr>
                <w:rFonts w:hint="default" w:ascii="Times New Roman" w:hAnsi="Times New Roman" w:cs="Times New Roman" w:eastAsiaTheme="minorEastAsia"/>
                <w:b w:val="0"/>
                <w:bCs w:val="0"/>
                <w:color w:val="auto"/>
                <w:kern w:val="0"/>
                <w:sz w:val="24"/>
                <w:szCs w:val="24"/>
              </w:rPr>
              <w:t>要求，</w:t>
            </w:r>
            <w:r>
              <w:rPr>
                <w:rFonts w:hint="default" w:ascii="Times New Roman" w:hAnsi="Times New Roman" w:cs="Times New Roman"/>
                <w:color w:val="auto"/>
                <w:sz w:val="24"/>
                <w:lang w:eastAsia="zh-CN"/>
              </w:rPr>
              <w:t>本项目</w:t>
            </w:r>
            <w:r>
              <w:rPr>
                <w:rFonts w:hint="default" w:ascii="Times New Roman" w:hAnsi="Times New Roman" w:cs="Times New Roman"/>
                <w:color w:val="auto"/>
                <w:sz w:val="24"/>
              </w:rPr>
              <w:t>需</w:t>
            </w:r>
            <w:r>
              <w:rPr>
                <w:rFonts w:hint="eastAsia" w:cs="Times New Roman"/>
                <w:color w:val="auto"/>
                <w:sz w:val="24"/>
                <w:lang w:eastAsia="zh-CN"/>
              </w:rPr>
              <w:t>等</w:t>
            </w:r>
            <w:r>
              <w:rPr>
                <w:rFonts w:hint="default" w:ascii="Times New Roman" w:hAnsi="Times New Roman" w:cs="Times New Roman"/>
                <w:color w:val="auto"/>
                <w:sz w:val="24"/>
                <w:lang w:eastAsia="zh-CN"/>
              </w:rPr>
              <w:t>量</w:t>
            </w:r>
            <w:r>
              <w:rPr>
                <w:rFonts w:hint="default" w:ascii="Times New Roman" w:hAnsi="Times New Roman" w:cs="Times New Roman"/>
                <w:color w:val="auto"/>
                <w:sz w:val="24"/>
              </w:rPr>
              <w:t>替代挥发性有机物</w:t>
            </w:r>
            <w:r>
              <w:rPr>
                <w:rFonts w:hint="default" w:ascii="Times New Roman" w:hAnsi="Times New Roman" w:cs="Times New Roman"/>
                <w:color w:val="auto"/>
                <w:sz w:val="24"/>
                <w:lang w:eastAsia="zh-CN"/>
              </w:rPr>
              <w:t>的量为</w:t>
            </w:r>
            <w:r>
              <w:rPr>
                <w:rFonts w:hint="eastAsia" w:cs="Times New Roman"/>
                <w:color w:val="auto"/>
                <w:sz w:val="24"/>
                <w:lang w:val="en-US" w:eastAsia="zh-CN"/>
              </w:rPr>
              <w:t>0.013</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highlight w:val="none"/>
              </w:rPr>
              <w:t>可从</w:t>
            </w:r>
            <w:r>
              <w:rPr>
                <w:rFonts w:hint="eastAsia" w:cs="Times New Roman"/>
                <w:bCs/>
                <w:color w:val="auto"/>
                <w:sz w:val="24"/>
                <w:szCs w:val="24"/>
                <w:highlight w:val="none"/>
                <w:lang w:eastAsia="zh-CN"/>
              </w:rPr>
              <w:t>威海市畅源化纤有限责任公司羊亭分公司</w:t>
            </w:r>
            <w:r>
              <w:rPr>
                <w:rFonts w:hint="default" w:ascii="Times New Roman" w:hAnsi="Times New Roman" w:cs="Times New Roman"/>
                <w:color w:val="auto"/>
                <w:sz w:val="24"/>
                <w:szCs w:val="24"/>
                <w:highlight w:val="none"/>
              </w:rPr>
              <w:t>的VOCs削减量（共</w:t>
            </w:r>
            <w:r>
              <w:rPr>
                <w:rFonts w:hint="eastAsia" w:cs="Times New Roman"/>
                <w:color w:val="auto"/>
                <w:sz w:val="24"/>
                <w:szCs w:val="24"/>
                <w:highlight w:val="none"/>
                <w:lang w:val="en-US" w:eastAsia="zh-CN"/>
              </w:rPr>
              <w:t>0.175</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lang w:eastAsia="zh-CN"/>
              </w:rPr>
              <w:t>目前剩余</w:t>
            </w:r>
            <w:r>
              <w:rPr>
                <w:rFonts w:hint="eastAsia" w:cs="Times New Roman"/>
                <w:color w:val="auto"/>
                <w:sz w:val="24"/>
                <w:szCs w:val="24"/>
                <w:highlight w:val="none"/>
                <w:lang w:val="en-US" w:eastAsia="zh-CN"/>
              </w:rPr>
              <w:t>0.175</w:t>
            </w:r>
            <w:r>
              <w:rPr>
                <w:rFonts w:hint="default" w:ascii="Times New Roman" w:hAnsi="Times New Roman" w:cs="Times New Roman"/>
                <w:color w:val="auto"/>
                <w:sz w:val="24"/>
                <w:szCs w:val="24"/>
                <w:highlight w:val="none"/>
                <w:lang w:val="en-US" w:eastAsia="zh-CN"/>
              </w:rPr>
              <w:t>t，</w:t>
            </w:r>
            <w:r>
              <w:rPr>
                <w:rFonts w:hint="default" w:ascii="Times New Roman" w:hAnsi="Times New Roman" w:cs="Times New Roman"/>
                <w:color w:val="auto"/>
                <w:sz w:val="24"/>
                <w:szCs w:val="24"/>
                <w:highlight w:val="none"/>
              </w:rPr>
              <w:t>大于</w:t>
            </w:r>
            <w:r>
              <w:rPr>
                <w:rFonts w:hint="eastAsia" w:cs="Times New Roman"/>
                <w:color w:val="auto"/>
                <w:sz w:val="24"/>
                <w:szCs w:val="24"/>
                <w:highlight w:val="none"/>
                <w:lang w:val="en-US" w:eastAsia="zh-CN"/>
              </w:rPr>
              <w:t>0.013</w:t>
            </w:r>
            <w:r>
              <w:rPr>
                <w:rFonts w:hint="default" w:ascii="Times New Roman" w:hAnsi="Times New Roman" w:cs="Times New Roman"/>
                <w:color w:val="auto"/>
                <w:sz w:val="24"/>
                <w:szCs w:val="24"/>
                <w:highlight w:val="none"/>
              </w:rPr>
              <w:t>t/a）中进行替代</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eastAsiaTheme="minorEastAsia"/>
                <w:b w:val="0"/>
                <w:bCs w:val="0"/>
                <w:color w:val="auto"/>
                <w:sz w:val="24"/>
                <w:szCs w:val="24"/>
                <w:highlight w:val="none"/>
              </w:rPr>
              <w:t>项目VOCs替代源具体说明见附件</w:t>
            </w:r>
            <w:r>
              <w:rPr>
                <w:rFonts w:hint="default" w:ascii="Times New Roman" w:hAnsi="Times New Roman" w:cs="Times New Roman"/>
                <w:color w:val="auto"/>
                <w:sz w:val="24"/>
                <w:lang w:eastAsia="zh-CN"/>
              </w:rPr>
              <w:t>。</w:t>
            </w:r>
          </w:p>
          <w:p>
            <w:pPr>
              <w:spacing w:line="360" w:lineRule="auto"/>
              <w:ind w:firstLine="480" w:firstLineChars="200"/>
              <w:jc w:val="left"/>
              <w:rPr>
                <w:rFonts w:hint="default" w:ascii="Times New Roman" w:hAnsi="Times New Roman" w:eastAsia="宋体" w:cs="Times New Roman"/>
                <w:bCs/>
                <w:color w:val="auto"/>
                <w:sz w:val="24"/>
                <w:szCs w:val="24"/>
                <w:lang w:eastAsia="zh-CN"/>
              </w:rPr>
            </w:pPr>
          </w:p>
          <w:p>
            <w:pPr>
              <w:spacing w:line="360" w:lineRule="auto"/>
              <w:ind w:firstLine="480" w:firstLineChars="200"/>
              <w:jc w:val="left"/>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rPr>
                <w:rFonts w:hint="default" w:ascii="Times New Roman" w:hAnsi="Times New Roman" w:cs="Times New Roman"/>
                <w:bCs/>
                <w:color w:val="auto"/>
                <w:sz w:val="24"/>
                <w:szCs w:val="24"/>
                <w:lang w:eastAsia="zh-CN"/>
              </w:rPr>
            </w:pPr>
          </w:p>
          <w:p>
            <w:pPr>
              <w:pStyle w:val="10"/>
              <w:rPr>
                <w:rFonts w:hint="default" w:ascii="Times New Roman" w:hAnsi="Times New Roman" w:cs="Times New Roman"/>
                <w:bCs/>
                <w:color w:val="auto"/>
                <w:sz w:val="24"/>
                <w:szCs w:val="24"/>
                <w:lang w:eastAsia="zh-CN"/>
              </w:rPr>
            </w:pPr>
          </w:p>
          <w:p>
            <w:pPr>
              <w:rPr>
                <w:rFonts w:hint="default"/>
                <w:color w:val="auto"/>
                <w:lang w:eastAsia="zh-CN"/>
              </w:rPr>
            </w:pPr>
          </w:p>
          <w:p>
            <w:pPr>
              <w:pStyle w:val="10"/>
              <w:rPr>
                <w:rFonts w:hint="default" w:ascii="Times New Roman" w:hAnsi="Times New Roman" w:cs="Times New Roman"/>
                <w:bCs/>
                <w:color w:val="auto"/>
                <w:sz w:val="24"/>
                <w:szCs w:val="24"/>
                <w:lang w:eastAsia="zh-CN"/>
              </w:rPr>
            </w:pPr>
          </w:p>
          <w:p>
            <w:pPr>
              <w:rPr>
                <w:rFonts w:hint="default"/>
                <w:color w:val="auto"/>
                <w:lang w:eastAsia="zh-CN"/>
              </w:rPr>
            </w:pPr>
          </w:p>
          <w:p>
            <w:pPr>
              <w:spacing w:line="360" w:lineRule="auto"/>
              <w:rPr>
                <w:rFonts w:hint="default" w:ascii="Times New Roman" w:hAnsi="Times New Roman" w:cs="Times New Roman"/>
                <w:color w:val="auto"/>
                <w:sz w:val="24"/>
              </w:rPr>
            </w:pPr>
          </w:p>
        </w:tc>
      </w:tr>
    </w:tbl>
    <w:p>
      <w:pPr>
        <w:spacing w:after="120"/>
        <w:rPr>
          <w:rFonts w:hint="default" w:ascii="Times New Roman" w:hAnsi="Times New Roman" w:eastAsia="黑体" w:cs="Times New Roman"/>
          <w:color w:val="auto"/>
          <w:sz w:val="30"/>
          <w:szCs w:val="30"/>
        </w:rPr>
      </w:pPr>
    </w:p>
    <w:p>
      <w:pPr>
        <w:spacing w:after="12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五、建设项目工程分析</w:t>
      </w:r>
    </w:p>
    <w:tbl>
      <w:tblPr>
        <w:tblStyle w:val="39"/>
        <w:tblW w:w="93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57" w:type="dxa"/>
          </w:tcPr>
          <w:p>
            <w:pPr>
              <w:spacing w:line="360" w:lineRule="auto"/>
              <w:jc w:val="left"/>
              <w:rPr>
                <w:rFonts w:hint="default" w:ascii="Times New Roman" w:hAnsi="Times New Roman" w:eastAsia="黑体" w:cs="Times New Roman"/>
                <w:color w:val="auto"/>
                <w:sz w:val="28"/>
                <w:szCs w:val="28"/>
              </w:rPr>
            </w:pPr>
            <w:bookmarkStart w:id="1" w:name="_Toc145557451"/>
            <w:bookmarkStart w:id="2" w:name="_Toc145641277"/>
            <w:r>
              <w:rPr>
                <w:rFonts w:hint="default" w:ascii="Times New Roman" w:hAnsi="Times New Roman" w:eastAsia="黑体" w:cs="Times New Roman"/>
                <w:color w:val="auto"/>
                <w:sz w:val="28"/>
                <w:szCs w:val="28"/>
              </w:rPr>
              <w:t>工艺流程：</w:t>
            </w:r>
            <w:bookmarkEnd w:id="1"/>
            <w:bookmarkEnd w:id="2"/>
          </w:p>
          <w:p>
            <w:pPr>
              <w:spacing w:line="360" w:lineRule="auto"/>
              <w:ind w:firstLine="482" w:firstLineChars="20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一、施工期工艺流程</w:t>
            </w:r>
          </w:p>
          <w:p>
            <w:pPr>
              <w:numPr>
                <w:ilvl w:val="0"/>
                <w:numId w:val="0"/>
              </w:numPr>
              <w:spacing w:line="360" w:lineRule="auto"/>
              <w:ind w:firstLine="480" w:firstLineChars="200"/>
              <w:jc w:val="left"/>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本</w:t>
            </w:r>
            <w:r>
              <w:rPr>
                <w:rFonts w:hint="default" w:ascii="Times New Roman" w:hAnsi="Times New Roman" w:cs="Times New Roman"/>
                <w:color w:val="auto"/>
                <w:sz w:val="24"/>
              </w:rPr>
              <w:t>项目</w:t>
            </w:r>
            <w:r>
              <w:rPr>
                <w:rFonts w:hint="eastAsia" w:cs="Times New Roman"/>
                <w:color w:val="auto"/>
                <w:sz w:val="24"/>
                <w:lang w:eastAsia="zh-CN"/>
              </w:rPr>
              <w:t>使用</w:t>
            </w:r>
            <w:r>
              <w:rPr>
                <w:rFonts w:hint="default" w:ascii="Times New Roman" w:hAnsi="Times New Roman" w:cs="Times New Roman"/>
                <w:color w:val="auto"/>
                <w:sz w:val="24"/>
                <w:lang w:eastAsia="zh-CN"/>
              </w:rPr>
              <w:t>已建</w:t>
            </w:r>
            <w:r>
              <w:rPr>
                <w:rFonts w:hint="default" w:ascii="Times New Roman" w:hAnsi="Times New Roman" w:cs="Times New Roman"/>
                <w:color w:val="auto"/>
                <w:sz w:val="24"/>
              </w:rPr>
              <w:t>生产车间</w:t>
            </w:r>
            <w:r>
              <w:rPr>
                <w:rFonts w:hint="default" w:ascii="Times New Roman" w:hAnsi="Times New Roman" w:cs="Times New Roman"/>
                <w:color w:val="auto"/>
                <w:sz w:val="24"/>
                <w:lang w:eastAsia="zh-CN"/>
              </w:rPr>
              <w:t>进行生产</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无土建工程</w:t>
            </w:r>
            <w:r>
              <w:rPr>
                <w:rFonts w:hint="default" w:ascii="Times New Roman" w:hAnsi="Times New Roman" w:cs="Times New Roman"/>
                <w:color w:val="auto"/>
                <w:sz w:val="24"/>
              </w:rPr>
              <w:t>，因此，本环评对施工期不再进行分析和评价</w:t>
            </w:r>
            <w:r>
              <w:rPr>
                <w:rFonts w:hint="default" w:ascii="Times New Roman" w:hAnsi="Times New Roman" w:cs="Times New Roman"/>
                <w:color w:val="auto"/>
                <w:sz w:val="24"/>
                <w:lang w:eastAsia="zh-CN"/>
              </w:rPr>
              <w:t>。</w:t>
            </w:r>
          </w:p>
          <w:p>
            <w:pPr>
              <w:numPr>
                <w:ilvl w:val="0"/>
                <w:numId w:val="0"/>
              </w:numPr>
              <w:spacing w:line="360" w:lineRule="auto"/>
              <w:ind w:firstLine="482" w:firstLineChars="20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二、</w:t>
            </w:r>
            <w:r>
              <w:rPr>
                <w:rFonts w:hint="default" w:ascii="Times New Roman" w:hAnsi="Times New Roman" w:cs="Times New Roman"/>
                <w:b/>
                <w:bCs/>
                <w:color w:val="auto"/>
                <w:sz w:val="24"/>
                <w:szCs w:val="24"/>
              </w:rPr>
              <w:t>营运期工艺流程</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mc:AlternateContent>
                <mc:Choice Requires="wpc">
                  <w:drawing>
                    <wp:inline distT="0" distB="0" distL="114300" distR="114300">
                      <wp:extent cx="5830570" cy="1589405"/>
                      <wp:effectExtent l="0" t="0" r="0" b="12065"/>
                      <wp:docPr id="37" name="画布 74"/>
                      <wp:cNvGraphicFramePr/>
                      <a:graphic xmlns:a="http://schemas.openxmlformats.org/drawingml/2006/main">
                        <a:graphicData uri="http://schemas.microsoft.com/office/word/2010/wordprocessingCanvas">
                          <wpc:wpc>
                            <wpc:bg>
                              <a:noFill/>
                            </wpc:bg>
                            <wpc:whole>
                              <a:ln>
                                <a:noFill/>
                              </a:ln>
                            </wpc:whole>
                            <wps:wsp>
                              <wps:cNvPr id="11" name="矩形 76"/>
                              <wps:cNvSpPr/>
                              <wps:spPr>
                                <a:xfrm>
                                  <a:off x="36195" y="548641"/>
                                  <a:ext cx="515620" cy="351155"/>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spacing w:line="240" w:lineRule="auto"/>
                                      <w:jc w:val="center"/>
                                      <w:rPr>
                                        <w:rFonts w:hint="eastAsia" w:eastAsia="宋体"/>
                                        <w:sz w:val="21"/>
                                        <w:szCs w:val="21"/>
                                        <w:lang w:eastAsia="zh-CN"/>
                                      </w:rPr>
                                    </w:pPr>
                                    <w:r>
                                      <w:rPr>
                                        <w:rFonts w:hint="eastAsia" w:eastAsia="宋体"/>
                                        <w:sz w:val="21"/>
                                        <w:szCs w:val="21"/>
                                        <w:lang w:eastAsia="zh-CN"/>
                                      </w:rPr>
                                      <w:t>原料</w:t>
                                    </w:r>
                                  </w:p>
                                </w:txbxContent>
                              </wps:txbx>
                              <wps:bodyPr upright="1"/>
                            </wps:wsp>
                            <wps:wsp>
                              <wps:cNvPr id="12" name="矩形 77"/>
                              <wps:cNvSpPr/>
                              <wps:spPr>
                                <a:xfrm>
                                  <a:off x="5094605" y="556895"/>
                                  <a:ext cx="558165"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spacing w:line="240" w:lineRule="auto"/>
                                      <w:jc w:val="center"/>
                                      <w:rPr>
                                        <w:rFonts w:hint="eastAsia" w:eastAsia="宋体"/>
                                        <w:lang w:eastAsia="zh-CN"/>
                                      </w:rPr>
                                    </w:pPr>
                                    <w:r>
                                      <w:rPr>
                                        <w:rFonts w:hint="eastAsia"/>
                                        <w:lang w:eastAsia="zh-CN"/>
                                      </w:rPr>
                                      <w:t>检验</w:t>
                                    </w:r>
                                  </w:p>
                                </w:txbxContent>
                              </wps:txbx>
                              <wps:bodyPr upright="1"/>
                            </wps:wsp>
                            <wps:wsp>
                              <wps:cNvPr id="13" name="矩形 78"/>
                              <wps:cNvSpPr/>
                              <wps:spPr>
                                <a:xfrm>
                                  <a:off x="2553335" y="579120"/>
                                  <a:ext cx="760095"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spacing w:line="240" w:lineRule="auto"/>
                                      <w:rPr>
                                        <w:rFonts w:hint="eastAsia" w:eastAsia="宋体"/>
                                        <w:lang w:eastAsia="zh-CN"/>
                                      </w:rPr>
                                    </w:pPr>
                                    <w:r>
                                      <w:rPr>
                                        <w:rFonts w:hint="eastAsia"/>
                                        <w:lang w:eastAsia="zh-CN"/>
                                      </w:rPr>
                                      <w:t>合模保压</w:t>
                                    </w:r>
                                  </w:p>
                                </w:txbxContent>
                              </wps:txbx>
                              <wps:bodyPr upright="1"/>
                            </wps:wsp>
                            <wps:wsp>
                              <wps:cNvPr id="14" name="矩形 79"/>
                              <wps:cNvSpPr/>
                              <wps:spPr>
                                <a:xfrm>
                                  <a:off x="1566545" y="575945"/>
                                  <a:ext cx="739140"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spacing w:line="240" w:lineRule="auto"/>
                                      <w:rPr>
                                        <w:rFonts w:hint="eastAsia" w:eastAsia="宋体"/>
                                        <w:lang w:eastAsia="zh-CN"/>
                                      </w:rPr>
                                    </w:pPr>
                                    <w:r>
                                      <w:rPr>
                                        <w:rFonts w:hint="eastAsia" w:eastAsia="宋体"/>
                                        <w:lang w:eastAsia="zh-CN"/>
                                      </w:rPr>
                                      <w:t>加热熔融</w:t>
                                    </w:r>
                                  </w:p>
                                </w:txbxContent>
                              </wps:txbx>
                              <wps:bodyPr upright="1"/>
                            </wps:wsp>
                            <wps:wsp>
                              <wps:cNvPr id="15" name="直线 80"/>
                              <wps:cNvSpPr/>
                              <wps:spPr>
                                <a:xfrm>
                                  <a:off x="558165" y="737870"/>
                                  <a:ext cx="233680" cy="6985"/>
                                </a:xfrm>
                                <a:prstGeom prst="line">
                                  <a:avLst/>
                                </a:prstGeom>
                                <a:ln w="9525" cap="flat" cmpd="sng">
                                  <a:solidFill>
                                    <a:srgbClr val="000000"/>
                                  </a:solidFill>
                                  <a:prstDash val="solid"/>
                                  <a:headEnd type="none" w="med" len="med"/>
                                  <a:tailEnd type="triangle" w="med" len="med"/>
                                </a:ln>
                              </wps:spPr>
                              <wps:bodyPr upright="1"/>
                            </wps:wsp>
                            <wps:wsp>
                              <wps:cNvPr id="16" name="直线 81"/>
                              <wps:cNvSpPr/>
                              <wps:spPr>
                                <a:xfrm>
                                  <a:off x="1322705" y="718820"/>
                                  <a:ext cx="228600" cy="0"/>
                                </a:xfrm>
                                <a:prstGeom prst="line">
                                  <a:avLst/>
                                </a:prstGeom>
                                <a:ln w="9525" cap="flat" cmpd="sng">
                                  <a:solidFill>
                                    <a:srgbClr val="000000"/>
                                  </a:solidFill>
                                  <a:prstDash val="solid"/>
                                  <a:headEnd type="none" w="med" len="med"/>
                                  <a:tailEnd type="triangle" w="med" len="med"/>
                                </a:ln>
                              </wps:spPr>
                              <wps:bodyPr upright="1"/>
                            </wps:wsp>
                            <wps:wsp>
                              <wps:cNvPr id="17" name="矩形 82"/>
                              <wps:cNvSpPr/>
                              <wps:spPr>
                                <a:xfrm>
                                  <a:off x="812165" y="558800"/>
                                  <a:ext cx="487680"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spacing w:line="240" w:lineRule="auto"/>
                                      <w:rPr>
                                        <w:rFonts w:hint="eastAsia" w:eastAsia="宋体"/>
                                        <w:lang w:eastAsia="zh-CN"/>
                                      </w:rPr>
                                    </w:pPr>
                                    <w:r>
                                      <w:rPr>
                                        <w:rFonts w:hint="eastAsia" w:eastAsia="宋体"/>
                                        <w:lang w:eastAsia="zh-CN"/>
                                      </w:rPr>
                                      <w:t>烘干</w:t>
                                    </w:r>
                                  </w:p>
                                </w:txbxContent>
                              </wps:txbx>
                              <wps:bodyPr upright="1"/>
                            </wps:wsp>
                            <wps:wsp>
                              <wps:cNvPr id="18" name="直线 83"/>
                              <wps:cNvSpPr/>
                              <wps:spPr>
                                <a:xfrm flipV="1">
                                  <a:off x="5418455" y="875030"/>
                                  <a:ext cx="635" cy="345440"/>
                                </a:xfrm>
                                <a:prstGeom prst="line">
                                  <a:avLst/>
                                </a:prstGeom>
                                <a:ln w="9525" cap="flat" cmpd="sng">
                                  <a:solidFill>
                                    <a:srgbClr val="000000"/>
                                  </a:solidFill>
                                  <a:prstDash val="solid"/>
                                  <a:headEnd type="triangle" w="med" len="med"/>
                                  <a:tailEnd type="none" w="med" len="med"/>
                                </a:ln>
                              </wps:spPr>
                              <wps:bodyPr upright="1"/>
                            </wps:wsp>
                            <wps:wsp>
                              <wps:cNvPr id="19" name="直线 84"/>
                              <wps:cNvSpPr/>
                              <wps:spPr>
                                <a:xfrm>
                                  <a:off x="2303780" y="724535"/>
                                  <a:ext cx="228600" cy="0"/>
                                </a:xfrm>
                                <a:prstGeom prst="line">
                                  <a:avLst/>
                                </a:prstGeom>
                                <a:ln w="9525" cap="flat" cmpd="sng">
                                  <a:solidFill>
                                    <a:srgbClr val="000000"/>
                                  </a:solidFill>
                                  <a:prstDash val="solid"/>
                                  <a:headEnd type="none" w="med" len="med"/>
                                  <a:tailEnd type="triangle" w="med" len="med"/>
                                </a:ln>
                              </wps:spPr>
                              <wps:bodyPr upright="1"/>
                            </wps:wsp>
                            <wps:wsp>
                              <wps:cNvPr id="20" name="矩形 85"/>
                              <wps:cNvSpPr/>
                              <wps:spPr>
                                <a:xfrm>
                                  <a:off x="4328795" y="551180"/>
                                  <a:ext cx="510540"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spacing w:line="240" w:lineRule="auto"/>
                                      <w:rPr>
                                        <w:rFonts w:hint="eastAsia" w:eastAsia="宋体"/>
                                        <w:lang w:eastAsia="zh-CN"/>
                                      </w:rPr>
                                    </w:pPr>
                                    <w:r>
                                      <w:rPr>
                                        <w:rFonts w:hint="eastAsia" w:eastAsia="宋体"/>
                                        <w:lang w:eastAsia="zh-CN"/>
                                      </w:rPr>
                                      <w:t>脱模</w:t>
                                    </w:r>
                                  </w:p>
                                </w:txbxContent>
                              </wps:txbx>
                              <wps:bodyPr upright="1"/>
                            </wps:wsp>
                            <wps:wsp>
                              <wps:cNvPr id="21" name="矩形 86"/>
                              <wps:cNvSpPr/>
                              <wps:spPr>
                                <a:xfrm>
                                  <a:off x="5077460" y="13970"/>
                                  <a:ext cx="654050" cy="298450"/>
                                </a:xfrm>
                                <a:prstGeom prst="rect">
                                  <a:avLst/>
                                </a:prstGeom>
                                <a:noFill/>
                                <a:ln>
                                  <a:noFill/>
                                </a:ln>
                              </wps:spPr>
                              <wps:txbx>
                                <w:txbxContent>
                                  <w:p>
                                    <w:pPr>
                                      <w:spacing w:line="240" w:lineRule="auto"/>
                                      <w:rPr>
                                        <w:rFonts w:hint="eastAsia" w:eastAsia="宋体"/>
                                        <w:sz w:val="18"/>
                                        <w:szCs w:val="18"/>
                                        <w:lang w:eastAsia="zh-CN"/>
                                      </w:rPr>
                                    </w:pPr>
                                    <w:r>
                                      <w:rPr>
                                        <w:rFonts w:hint="eastAsia"/>
                                        <w:sz w:val="18"/>
                                        <w:szCs w:val="18"/>
                                        <w:lang w:eastAsia="zh-CN"/>
                                      </w:rPr>
                                      <w:t>不合格</w:t>
                                    </w:r>
                                  </w:p>
                                </w:txbxContent>
                              </wps:txbx>
                              <wps:bodyPr upright="1"/>
                            </wps:wsp>
                            <wps:wsp>
                              <wps:cNvPr id="22" name="矩形 87"/>
                              <wps:cNvSpPr/>
                              <wps:spPr>
                                <a:xfrm>
                                  <a:off x="3599180" y="568325"/>
                                  <a:ext cx="482600"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spacing w:line="240" w:lineRule="auto"/>
                                      <w:rPr>
                                        <w:rFonts w:hint="eastAsia" w:eastAsia="宋体"/>
                                        <w:lang w:eastAsia="zh-CN"/>
                                      </w:rPr>
                                    </w:pPr>
                                    <w:r>
                                      <w:rPr>
                                        <w:rFonts w:hint="eastAsia"/>
                                        <w:lang w:eastAsia="zh-CN"/>
                                      </w:rPr>
                                      <w:t>冷却</w:t>
                                    </w:r>
                                  </w:p>
                                </w:txbxContent>
                              </wps:txbx>
                              <wps:bodyPr upright="1"/>
                            </wps:wsp>
                            <wps:wsp>
                              <wps:cNvPr id="23" name="直线 88"/>
                              <wps:cNvSpPr/>
                              <wps:spPr>
                                <a:xfrm>
                                  <a:off x="4846955" y="713105"/>
                                  <a:ext cx="228600" cy="0"/>
                                </a:xfrm>
                                <a:prstGeom prst="line">
                                  <a:avLst/>
                                </a:prstGeom>
                                <a:ln w="9525" cap="flat" cmpd="sng">
                                  <a:solidFill>
                                    <a:srgbClr val="000000"/>
                                  </a:solidFill>
                                  <a:prstDash val="solid"/>
                                  <a:headEnd type="none" w="med" len="med"/>
                                  <a:tailEnd type="triangle" w="med" len="med"/>
                                </a:ln>
                              </wps:spPr>
                              <wps:bodyPr upright="1"/>
                            </wps:wsp>
                            <wps:wsp>
                              <wps:cNvPr id="24" name="直线 89"/>
                              <wps:cNvSpPr/>
                              <wps:spPr>
                                <a:xfrm>
                                  <a:off x="3343910" y="728345"/>
                                  <a:ext cx="228600" cy="0"/>
                                </a:xfrm>
                                <a:prstGeom prst="line">
                                  <a:avLst/>
                                </a:prstGeom>
                                <a:ln w="9525" cap="flat" cmpd="sng">
                                  <a:solidFill>
                                    <a:srgbClr val="000000"/>
                                  </a:solidFill>
                                  <a:prstDash val="solid"/>
                                  <a:headEnd type="none" w="med" len="med"/>
                                  <a:tailEnd type="triangle" w="med" len="med"/>
                                </a:ln>
                              </wps:spPr>
                              <wps:bodyPr upright="1"/>
                            </wps:wsp>
                            <wps:wsp>
                              <wps:cNvPr id="25" name="直线 90"/>
                              <wps:cNvSpPr/>
                              <wps:spPr>
                                <a:xfrm>
                                  <a:off x="4104005" y="703580"/>
                                  <a:ext cx="228600" cy="0"/>
                                </a:xfrm>
                                <a:prstGeom prst="line">
                                  <a:avLst/>
                                </a:prstGeom>
                                <a:ln w="9525" cap="flat" cmpd="sng">
                                  <a:solidFill>
                                    <a:srgbClr val="000000"/>
                                  </a:solidFill>
                                  <a:prstDash val="solid"/>
                                  <a:headEnd type="none" w="med" len="med"/>
                                  <a:tailEnd type="triangle" w="med" len="med"/>
                                </a:ln>
                              </wps:spPr>
                              <wps:bodyPr upright="1"/>
                            </wps:wsp>
                            <wps:wsp>
                              <wps:cNvPr id="26" name="矩形 91"/>
                              <wps:cNvSpPr/>
                              <wps:spPr>
                                <a:xfrm>
                                  <a:off x="1481455" y="0"/>
                                  <a:ext cx="1466215" cy="292100"/>
                                </a:xfrm>
                                <a:prstGeom prst="rect">
                                  <a:avLst/>
                                </a:prstGeom>
                                <a:noFill/>
                                <a:ln>
                                  <a:noFill/>
                                </a:ln>
                              </wps:spPr>
                              <wps:txbx>
                                <w:txbxContent>
                                  <w:p>
                                    <w:pPr>
                                      <w:spacing w:line="240" w:lineRule="auto"/>
                                      <w:rPr>
                                        <w:rFonts w:hint="eastAsia" w:eastAsia="宋体"/>
                                        <w:sz w:val="18"/>
                                        <w:szCs w:val="18"/>
                                        <w:lang w:eastAsia="zh-CN"/>
                                      </w:rPr>
                                    </w:pPr>
                                    <w:r>
                                      <w:rPr>
                                        <w:rFonts w:hint="eastAsia"/>
                                        <w:sz w:val="18"/>
                                        <w:szCs w:val="18"/>
                                        <w:lang w:eastAsia="zh-CN"/>
                                      </w:rPr>
                                      <w:t>噪声、有机废气、下脚料</w:t>
                                    </w:r>
                                  </w:p>
                                </w:txbxContent>
                              </wps:txbx>
                              <wps:bodyPr upright="1"/>
                            </wps:wsp>
                            <wps:wsp>
                              <wps:cNvPr id="27" name="矩形 92"/>
                              <wps:cNvSpPr/>
                              <wps:spPr>
                                <a:xfrm>
                                  <a:off x="3597275" y="1137920"/>
                                  <a:ext cx="552450" cy="292100"/>
                                </a:xfrm>
                                <a:prstGeom prst="rect">
                                  <a:avLst/>
                                </a:prstGeom>
                                <a:noFill/>
                                <a:ln>
                                  <a:noFill/>
                                </a:ln>
                              </wps:spPr>
                              <wps:txbx>
                                <w:txbxContent>
                                  <w:p>
                                    <w:pPr>
                                      <w:spacing w:line="240" w:lineRule="auto"/>
                                      <w:rPr>
                                        <w:rFonts w:hint="eastAsia" w:eastAsia="宋体"/>
                                        <w:sz w:val="18"/>
                                        <w:szCs w:val="18"/>
                                        <w:lang w:eastAsia="zh-CN"/>
                                      </w:rPr>
                                    </w:pPr>
                                    <w:r>
                                      <w:rPr>
                                        <w:rFonts w:hint="eastAsia"/>
                                        <w:sz w:val="18"/>
                                        <w:szCs w:val="18"/>
                                        <w:lang w:eastAsia="zh-CN"/>
                                      </w:rPr>
                                      <w:t>循环水</w:t>
                                    </w:r>
                                  </w:p>
                                </w:txbxContent>
                              </wps:txbx>
                              <wps:bodyPr upright="1"/>
                            </wps:wsp>
                            <wps:wsp>
                              <wps:cNvPr id="28" name="直线 93"/>
                              <wps:cNvSpPr/>
                              <wps:spPr>
                                <a:xfrm flipV="1">
                                  <a:off x="5346065" y="297815"/>
                                  <a:ext cx="0" cy="241300"/>
                                </a:xfrm>
                                <a:prstGeom prst="line">
                                  <a:avLst/>
                                </a:prstGeom>
                                <a:ln w="9525" cap="flat" cmpd="sng">
                                  <a:solidFill>
                                    <a:srgbClr val="000000"/>
                                  </a:solidFill>
                                  <a:prstDash val="dashDot"/>
                                  <a:headEnd type="none" w="med" len="med"/>
                                  <a:tailEnd type="triangle" w="med" len="med"/>
                                </a:ln>
                              </wps:spPr>
                              <wps:bodyPr upright="1"/>
                            </wps:wsp>
                            <wps:wsp>
                              <wps:cNvPr id="29" name="直线 94"/>
                              <wps:cNvSpPr/>
                              <wps:spPr>
                                <a:xfrm flipV="1">
                                  <a:off x="3782060" y="892175"/>
                                  <a:ext cx="0" cy="241300"/>
                                </a:xfrm>
                                <a:prstGeom prst="line">
                                  <a:avLst/>
                                </a:prstGeom>
                                <a:ln w="9525" cap="flat" cmpd="sng">
                                  <a:solidFill>
                                    <a:srgbClr val="000000"/>
                                  </a:solidFill>
                                  <a:prstDash val="dashDot"/>
                                  <a:headEnd type="none" w="med" len="med"/>
                                  <a:tailEnd type="triangle" w="med" len="med"/>
                                </a:ln>
                              </wps:spPr>
                              <wps:bodyPr upright="1"/>
                            </wps:wsp>
                            <wps:wsp>
                              <wps:cNvPr id="30" name="直线 95"/>
                              <wps:cNvSpPr/>
                              <wps:spPr>
                                <a:xfrm flipV="1">
                                  <a:off x="3892550" y="905510"/>
                                  <a:ext cx="0" cy="241300"/>
                                </a:xfrm>
                                <a:prstGeom prst="line">
                                  <a:avLst/>
                                </a:prstGeom>
                                <a:ln w="9525" cap="flat" cmpd="sng">
                                  <a:solidFill>
                                    <a:srgbClr val="000000"/>
                                  </a:solidFill>
                                  <a:prstDash val="dashDot"/>
                                  <a:headEnd type="triangle" w="med" len="med"/>
                                  <a:tailEnd type="none" w="med" len="med"/>
                                </a:ln>
                              </wps:spPr>
                              <wps:bodyPr upright="1"/>
                            </wps:wsp>
                            <wps:wsp>
                              <wps:cNvPr id="31" name="矩形 96"/>
                              <wps:cNvSpPr/>
                              <wps:spPr>
                                <a:xfrm>
                                  <a:off x="694055" y="499745"/>
                                  <a:ext cx="2711450" cy="461010"/>
                                </a:xfrm>
                                <a:prstGeom prst="rect">
                                  <a:avLst/>
                                </a:prstGeom>
                                <a:noFill/>
                                <a:ln w="9525" cap="flat" cmpd="sng">
                                  <a:solidFill>
                                    <a:srgbClr val="000000"/>
                                  </a:solidFill>
                                  <a:prstDash val="solid"/>
                                  <a:miter/>
                                  <a:headEnd type="none" w="med" len="med"/>
                                  <a:tailEnd type="triangle" w="med" len="med"/>
                                </a:ln>
                              </wps:spPr>
                              <wps:txbx>
                                <w:txbxContent>
                                  <w:p>
                                    <w:pPr>
                                      <w:spacing w:line="240" w:lineRule="auto"/>
                                      <w:rPr>
                                        <w:rFonts w:hint="eastAsia" w:eastAsia="宋体"/>
                                        <w:lang w:eastAsia="zh-CN"/>
                                      </w:rPr>
                                    </w:pPr>
                                  </w:p>
                                </w:txbxContent>
                              </wps:txbx>
                              <wps:bodyPr upright="1"/>
                            </wps:wsp>
                            <wps:wsp>
                              <wps:cNvPr id="32" name="直线 97"/>
                              <wps:cNvSpPr/>
                              <wps:spPr>
                                <a:xfrm flipV="1">
                                  <a:off x="2054225" y="240665"/>
                                  <a:ext cx="0" cy="241300"/>
                                </a:xfrm>
                                <a:prstGeom prst="line">
                                  <a:avLst/>
                                </a:prstGeom>
                                <a:ln w="9525" cap="flat" cmpd="sng">
                                  <a:solidFill>
                                    <a:srgbClr val="000000"/>
                                  </a:solidFill>
                                  <a:prstDash val="dashDot"/>
                                  <a:headEnd type="none" w="med" len="med"/>
                                  <a:tailEnd type="triangle" w="med" len="med"/>
                                </a:ln>
                              </wps:spPr>
                              <wps:bodyPr upright="1"/>
                            </wps:wsp>
                            <wps:wsp>
                              <wps:cNvPr id="33" name="矩形 98"/>
                              <wps:cNvSpPr/>
                              <wps:spPr>
                                <a:xfrm>
                                  <a:off x="5130800" y="1217931"/>
                                  <a:ext cx="546100"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spacing w:line="240" w:lineRule="auto"/>
                                      <w:jc w:val="center"/>
                                      <w:rPr>
                                        <w:rFonts w:hint="eastAsia" w:eastAsia="宋体"/>
                                        <w:lang w:eastAsia="zh-CN"/>
                                      </w:rPr>
                                    </w:pPr>
                                    <w:r>
                                      <w:rPr>
                                        <w:rFonts w:hint="eastAsia"/>
                                        <w:lang w:eastAsia="zh-CN"/>
                                      </w:rPr>
                                      <w:t>成品</w:t>
                                    </w:r>
                                  </w:p>
                                </w:txbxContent>
                              </wps:txbx>
                              <wps:bodyPr upright="1"/>
                            </wps:wsp>
                            <wps:wsp>
                              <wps:cNvPr id="34" name="矩形 99"/>
                              <wps:cNvSpPr/>
                              <wps:spPr>
                                <a:xfrm>
                                  <a:off x="4243070" y="10160"/>
                                  <a:ext cx="647700" cy="292100"/>
                                </a:xfrm>
                                <a:prstGeom prst="rect">
                                  <a:avLst/>
                                </a:prstGeom>
                                <a:noFill/>
                                <a:ln>
                                  <a:noFill/>
                                </a:ln>
                              </wps:spPr>
                              <wps:txbx>
                                <w:txbxContent>
                                  <w:p>
                                    <w:pPr>
                                      <w:spacing w:line="240" w:lineRule="auto"/>
                                      <w:rPr>
                                        <w:rFonts w:hint="eastAsia" w:eastAsia="宋体"/>
                                        <w:sz w:val="18"/>
                                        <w:szCs w:val="18"/>
                                        <w:lang w:eastAsia="zh-CN"/>
                                      </w:rPr>
                                    </w:pPr>
                                    <w:r>
                                      <w:rPr>
                                        <w:rFonts w:hint="eastAsia"/>
                                        <w:sz w:val="18"/>
                                        <w:szCs w:val="18"/>
                                        <w:lang w:eastAsia="zh-CN"/>
                                      </w:rPr>
                                      <w:t>下脚料</w:t>
                                    </w:r>
                                  </w:p>
                                </w:txbxContent>
                              </wps:txbx>
                              <wps:bodyPr upright="1"/>
                            </wps:wsp>
                            <wps:wsp>
                              <wps:cNvPr id="36" name="直线 100"/>
                              <wps:cNvSpPr/>
                              <wps:spPr>
                                <a:xfrm flipV="1">
                                  <a:off x="4542155" y="303530"/>
                                  <a:ext cx="0" cy="241300"/>
                                </a:xfrm>
                                <a:prstGeom prst="line">
                                  <a:avLst/>
                                </a:prstGeom>
                                <a:ln w="9525" cap="flat" cmpd="sng">
                                  <a:solidFill>
                                    <a:srgbClr val="000000"/>
                                  </a:solidFill>
                                  <a:prstDash val="dashDot"/>
                                  <a:headEnd type="none" w="med" len="med"/>
                                  <a:tailEnd type="triangle" w="med" len="med"/>
                                </a:ln>
                              </wps:spPr>
                              <wps:bodyPr upright="1"/>
                            </wps:wsp>
                          </wpc:wpc>
                        </a:graphicData>
                      </a:graphic>
                    </wp:inline>
                  </w:drawing>
                </mc:Choice>
                <mc:Fallback>
                  <w:pict>
                    <v:group id="画布 74" o:spid="_x0000_s1026" o:spt="203" style="height:125.15pt;width:459.1pt;" coordsize="5830570,1589405" editas="canvas" o:gfxdata="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Fhg&#10;+fHXAAAABQEAAA8AAAAAAAAAAQAgAAAAIgAAAGRycy9kb3ducmV2LnhtbFBLAQIUABQAAAAIAIdO&#10;4kC6/1FaJgYAAGk2AAAOAAAAAAAAAAEAIAAAACYBAABkcnMvZTJvRG9jLnhtbFBLBQYAAAAABgAG&#10;AFkBAAC+CQAAAAA=&#10;">
                      <o:lock v:ext="edit" aspectratio="f"/>
                      <v:rect id="画布 74" o:spid="_x0000_s1026" o:spt="1" style="position:absolute;left:0;top:0;height:1589405;width:5830570;" filled="f" stroked="f" coordsize="21600,21600" o:gfxdata="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">
                        <v:fill on="f" focussize="0,0"/>
                        <v:stroke on="f"/>
                        <v:imagedata o:title=""/>
                        <o:lock v:ext="edit" aspectratio="f"/>
                      </v:rect>
                      <v:rect id="矩形 76" o:spid="_x0000_s1026" o:spt="1" style="position:absolute;left:36195;top:548640;height:351155;width:515620;" fillcolor="#FFFFFF" filled="t" stroked="t" coordsize="21600,21600" o:gfxdata="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QBI9UAAAAFAQAADwAAAAAAAAABACAAAAAiAAAAZHJzL2Rvd25yZXYueG1sUEsB&#10;AhQAFAAAAAgAh07iQMH9Myf4AQAA6QMAAA4AAAAAAAAAAQAgAAAAJAEAAGRycy9lMm9Eb2MueG1s&#10;UEsFBgAAAAAGAAYAWQEAAI4FAAAAAA==&#10;">
                        <v:fill on="t" focussize="0,0"/>
                        <v:stroke color="#000000" joinstyle="miter" endarrow="block"/>
                        <v:imagedata o:title=""/>
                        <o:lock v:ext="edit" aspectratio="f"/>
                        <v:textbox>
                          <w:txbxContent>
                            <w:p>
                              <w:pPr>
                                <w:spacing w:line="240" w:lineRule="auto"/>
                                <w:jc w:val="center"/>
                                <w:rPr>
                                  <w:rFonts w:hint="eastAsia" w:eastAsia="宋体"/>
                                  <w:sz w:val="21"/>
                                  <w:szCs w:val="21"/>
                                  <w:lang w:eastAsia="zh-CN"/>
                                </w:rPr>
                              </w:pPr>
                              <w:r>
                                <w:rPr>
                                  <w:rFonts w:hint="eastAsia" w:eastAsia="宋体"/>
                                  <w:sz w:val="21"/>
                                  <w:szCs w:val="21"/>
                                  <w:lang w:eastAsia="zh-CN"/>
                                </w:rPr>
                                <w:t>原料</w:t>
                              </w:r>
                            </w:p>
                          </w:txbxContent>
                        </v:textbox>
                      </v:rect>
                      <v:rect id="矩形 77" o:spid="_x0000_s1026" o:spt="1" style="position:absolute;left:5094604;top:556894;height:317500;width:558165;" fillcolor="#FFFFFF" filled="t" stroked="t" coordsize="21600,21600" o:gfxdata="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6ZAEj1QAAAAUBAAAPAAAAAAAAAAEAIAAAACIAAABkcnMvZG93bnJldi54bWxQ&#10;SwECFAAUAAAACACHTuJApnjN8/oBAADrAwAADgAAAAAAAAABACAAAAAkAQAAZHJzL2Uyb0RvYy54&#10;bWxQSwUGAAAAAAYABgBZAQAAkAUAAAAA&#10;">
                        <v:fill on="t" focussize="0,0"/>
                        <v:stroke color="#000000" joinstyle="miter" endarrow="block"/>
                        <v:imagedata o:title=""/>
                        <o:lock v:ext="edit" aspectratio="f"/>
                        <v:textbox>
                          <w:txbxContent>
                            <w:p>
                              <w:pPr>
                                <w:spacing w:line="240" w:lineRule="auto"/>
                                <w:jc w:val="center"/>
                                <w:rPr>
                                  <w:rFonts w:hint="eastAsia" w:eastAsia="宋体"/>
                                  <w:lang w:eastAsia="zh-CN"/>
                                </w:rPr>
                              </w:pPr>
                              <w:r>
                                <w:rPr>
                                  <w:rFonts w:hint="eastAsia"/>
                                  <w:lang w:eastAsia="zh-CN"/>
                                </w:rPr>
                                <w:t>检验</w:t>
                              </w:r>
                            </w:p>
                          </w:txbxContent>
                        </v:textbox>
                      </v:rect>
                      <v:rect id="矩形 78" o:spid="_x0000_s1026" o:spt="1" style="position:absolute;left:2553335;top:579119;height:317500;width:760095;" fillcolor="#FFFFFF" filled="t" stroked="t" coordsize="21600,21600" o:gfxdata="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QBI9UAAAAFAQAADwAAAAAAAAABACAAAAAiAAAAZHJzL2Rvd25yZXYueG1s&#10;UEsBAhQAFAAAAAgAh07iQBsPjI37AQAA6wMAAA4AAAAAAAAAAQAgAAAAJAEAAGRycy9lMm9Eb2Mu&#10;eG1sUEsFBgAAAAAGAAYAWQEAAJEFAAAAAA==&#10;">
                        <v:fill on="t" focussize="0,0"/>
                        <v:stroke color="#000000" joinstyle="miter" endarrow="block"/>
                        <v:imagedata o:title=""/>
                        <o:lock v:ext="edit" aspectratio="f"/>
                        <v:textbox>
                          <w:txbxContent>
                            <w:p>
                              <w:pPr>
                                <w:spacing w:line="240" w:lineRule="auto"/>
                                <w:rPr>
                                  <w:rFonts w:hint="eastAsia" w:eastAsia="宋体"/>
                                  <w:lang w:eastAsia="zh-CN"/>
                                </w:rPr>
                              </w:pPr>
                              <w:r>
                                <w:rPr>
                                  <w:rFonts w:hint="eastAsia"/>
                                  <w:lang w:eastAsia="zh-CN"/>
                                </w:rPr>
                                <w:t>合模保压</w:t>
                              </w:r>
                            </w:p>
                          </w:txbxContent>
                        </v:textbox>
                      </v:rect>
                      <v:rect id="矩形 79" o:spid="_x0000_s1026" o:spt="1" style="position:absolute;left:1566545;top:575944;height:317500;width:739140;" fillcolor="#FFFFFF" filled="t" stroked="t" coordsize="21600,21600" o:gfxdata="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QBI9UAAAAFAQAADwAAAAAAAAABACAAAAAiAAAAZHJzL2Rvd25yZXYueG1s&#10;UEsBAhQAFAAAAAgAh07iQLKz9sj7AQAA6wMAAA4AAAAAAAAAAQAgAAAAJAEAAGRycy9lMm9Eb2Mu&#10;eG1sUEsFBgAAAAAGAAYAWQEAAJEFAAAAAA==&#10;">
                        <v:fill on="t" focussize="0,0"/>
                        <v:stroke color="#000000" joinstyle="miter" endarrow="block"/>
                        <v:imagedata o:title=""/>
                        <o:lock v:ext="edit" aspectratio="f"/>
                        <v:textbox>
                          <w:txbxContent>
                            <w:p>
                              <w:pPr>
                                <w:spacing w:line="240" w:lineRule="auto"/>
                                <w:rPr>
                                  <w:rFonts w:hint="eastAsia" w:eastAsia="宋体"/>
                                  <w:lang w:eastAsia="zh-CN"/>
                                </w:rPr>
                              </w:pPr>
                              <w:r>
                                <w:rPr>
                                  <w:rFonts w:hint="eastAsia" w:eastAsia="宋体"/>
                                  <w:lang w:eastAsia="zh-CN"/>
                                </w:rPr>
                                <w:t>加热熔融</w:t>
                              </w:r>
                            </w:p>
                          </w:txbxContent>
                        </v:textbox>
                      </v:rect>
                      <v:line id="直线 80" o:spid="_x0000_s1026" o:spt="20" style="position:absolute;left:558165;top:737869;height:6985;width:233680;" filled="f" stroked="t" coordsize="21600,21600" o:gfxdata="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EGTu2AAAAAUBAAAP&#10;AAAAAAAAAAEAIAAAACIAAABkcnMvZG93bnJldi54bWxQSwECFAAUAAAACACHTuJA4fEP2N8BAACf&#10;AwAADgAAAAAAAAABACAAAAAnAQAAZHJzL2Uyb0RvYy54bWxQSwUGAAAAAAYABgBZAQAAeAUAAAAA&#10;">
                        <v:fill on="f" focussize="0,0"/>
                        <v:stroke color="#000000" joinstyle="round" endarrow="block"/>
                        <v:imagedata o:title=""/>
                        <o:lock v:ext="edit" aspectratio="f"/>
                      </v:line>
                      <v:line id="直线 81" o:spid="_x0000_s1026" o:spt="20" style="position:absolute;left:1322705;top:718819;height:0;width:228600;" filled="f" stroked="t" coordsize="21600,21600" o:gfxdata="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RBk7tgAAAAFAQAA&#10;DwAAAAAAAAABACAAAAAiAAAAZHJzL2Rvd25yZXYueG1sUEsBAhQAFAAAAAgAh07iQAeD/R7gAQAA&#10;nQMAAA4AAAAAAAAAAQAgAAAAJwEAAGRycy9lMm9Eb2MueG1sUEsFBgAAAAAGAAYAWQEAAHkFAAAA&#10;AA==&#10;">
                        <v:fill on="f" focussize="0,0"/>
                        <v:stroke color="#000000" joinstyle="round" endarrow="block"/>
                        <v:imagedata o:title=""/>
                        <o:lock v:ext="edit" aspectratio="f"/>
                      </v:line>
                      <v:rect id="矩形 82" o:spid="_x0000_s1026" o:spt="1" style="position:absolute;left:812165;top:558799;height:317500;width:487680;" fillcolor="#FFFFFF" filled="t" stroked="t" coordsize="21600,21600" o:gfxdata="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6ZAEj1QAAAAUBAAAPAAAAAAAAAAEAIAAAACIAAABkcnMvZG93bnJldi54bWxQ&#10;SwECFAAUAAAACACHTuJAG6GfSfoBAADqAwAADgAAAAAAAAABACAAAAAkAQAAZHJzL2Uyb0RvYy54&#10;bWxQSwUGAAAAAAYABgBZAQAAkAUAAAAA&#10;">
                        <v:fill on="t" focussize="0,0"/>
                        <v:stroke color="#000000" joinstyle="miter" endarrow="block"/>
                        <v:imagedata o:title=""/>
                        <o:lock v:ext="edit" aspectratio="f"/>
                        <v:textbox>
                          <w:txbxContent>
                            <w:p>
                              <w:pPr>
                                <w:spacing w:line="240" w:lineRule="auto"/>
                                <w:rPr>
                                  <w:rFonts w:hint="eastAsia" w:eastAsia="宋体"/>
                                  <w:lang w:eastAsia="zh-CN"/>
                                </w:rPr>
                              </w:pPr>
                              <w:r>
                                <w:rPr>
                                  <w:rFonts w:hint="eastAsia" w:eastAsia="宋体"/>
                                  <w:lang w:eastAsia="zh-CN"/>
                                </w:rPr>
                                <w:t>烘干</w:t>
                              </w:r>
                            </w:p>
                          </w:txbxContent>
                        </v:textbox>
                      </v:rect>
                      <v:line id="直线 83" o:spid="_x0000_s1026" o:spt="20" style="position:absolute;left:5418454;top:875030;flip:y;height:345440;width:635;" filled="f" stroked="t" coordsize="21600,21600" o:gfxdata="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d2lyrV&#10;AAAABQEAAA8AAAAAAAAAAQAgAAAAIgAAAGRycy9kb3ducmV2LnhtbFBLAQIUABQAAAAIAIdO4kA/&#10;30YJ6gEAAKkDAAAOAAAAAAAAAAEAIAAAACQBAABkcnMvZTJvRG9jLnhtbFBLBQYAAAAABgAGAFkB&#10;AACABQAAAAA=&#10;">
                        <v:fill on="f" focussize="0,0"/>
                        <v:stroke color="#000000" joinstyle="round" startarrow="block"/>
                        <v:imagedata o:title=""/>
                        <o:lock v:ext="edit" aspectratio="f"/>
                      </v:line>
                      <v:line id="直线 84" o:spid="_x0000_s1026" o:spt="20" style="position:absolute;left:2303780;top:724534;height:0;width:228600;" filled="f" stroked="t" coordsize="21600,21600" o:gfxdata="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VEGTu2AAAAAUB&#10;AAAPAAAAAAAAAAEAIAAAACIAAABkcnMvZG93bnJldi54bWxQSwECFAAUAAAACACHTuJAJskCSOIB&#10;AACdAwAADgAAAAAAAAABACAAAAAnAQAAZHJzL2Uyb0RvYy54bWxQSwUGAAAAAAYABgBZAQAAewUA&#10;AAAA&#10;">
                        <v:fill on="f" focussize="0,0"/>
                        <v:stroke color="#000000" joinstyle="round" endarrow="block"/>
                        <v:imagedata o:title=""/>
                        <o:lock v:ext="edit" aspectratio="f"/>
                      </v:line>
                      <v:rect id="矩形 85" o:spid="_x0000_s1026" o:spt="1" style="position:absolute;left:4328794;top:551179;height:317500;width:510540;" fillcolor="#FFFFFF" filled="t" stroked="t" coordsize="21600,21600" o:gfxdata="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pkASPVAAAABQEAAA8AAAAAAAAAAQAgAAAAIgAAAGRycy9kb3ducmV2Lnht&#10;bFBLAQIUABQAAAAIAIdO4kDP9cLM/AEAAOsDAAAOAAAAAAAAAAEAIAAAACQBAABkcnMvZTJvRG9j&#10;LnhtbFBLBQYAAAAABgAGAFkBAACSBQAAAAA=&#10;">
                        <v:fill on="t" focussize="0,0"/>
                        <v:stroke color="#000000" joinstyle="miter" endarrow="block"/>
                        <v:imagedata o:title=""/>
                        <o:lock v:ext="edit" aspectratio="f"/>
                        <v:textbox>
                          <w:txbxContent>
                            <w:p>
                              <w:pPr>
                                <w:spacing w:line="240" w:lineRule="auto"/>
                                <w:rPr>
                                  <w:rFonts w:hint="eastAsia" w:eastAsia="宋体"/>
                                  <w:lang w:eastAsia="zh-CN"/>
                                </w:rPr>
                              </w:pPr>
                              <w:r>
                                <w:rPr>
                                  <w:rFonts w:hint="eastAsia" w:eastAsia="宋体"/>
                                  <w:lang w:eastAsia="zh-CN"/>
                                </w:rPr>
                                <w:t>脱模</w:t>
                              </w:r>
                            </w:p>
                          </w:txbxContent>
                        </v:textbox>
                      </v:rect>
                      <v:rect id="矩形 86" o:spid="_x0000_s1026" o:spt="1" style="position:absolute;left:5077459;top:13970;height:298450;width:654050;" filled="f" stroked="f" coordsize="21600,21600" o:gfxdata="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YYPnx1wAAAAUBAAAPAAAAAAAAAAEAIAAAACIAAABkcnMv&#10;ZG93bnJldi54bWxQSwECFAAUAAAACACHTuJAbzap4pIBAAD+AgAADgAAAAAAAAABACAAAAAmAQAA&#10;ZHJzL2Uyb0RvYy54bWxQSwUGAAAAAAYABgBZAQAAKgUAAAAA&#10;">
                        <v:fill on="f" focussize="0,0"/>
                        <v:stroke on="f"/>
                        <v:imagedata o:title=""/>
                        <o:lock v:ext="edit" aspectratio="f"/>
                        <v:textbox>
                          <w:txbxContent>
                            <w:p>
                              <w:pPr>
                                <w:spacing w:line="240" w:lineRule="auto"/>
                                <w:rPr>
                                  <w:rFonts w:hint="eastAsia" w:eastAsia="宋体"/>
                                  <w:sz w:val="18"/>
                                  <w:szCs w:val="18"/>
                                  <w:lang w:eastAsia="zh-CN"/>
                                </w:rPr>
                              </w:pPr>
                              <w:r>
                                <w:rPr>
                                  <w:rFonts w:hint="eastAsia"/>
                                  <w:sz w:val="18"/>
                                  <w:szCs w:val="18"/>
                                  <w:lang w:eastAsia="zh-CN"/>
                                </w:rPr>
                                <w:t>不合格</w:t>
                              </w:r>
                            </w:p>
                          </w:txbxContent>
                        </v:textbox>
                      </v:rect>
                      <v:rect id="矩形 87" o:spid="_x0000_s1026" o:spt="1" style="position:absolute;left:3599179;top:568324;height:317500;width:482600;" fillcolor="#FFFFFF" filled="t" stroked="t" coordsize="21600,21600" o:gfxdata="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6ZAEj1QAAAAUBAAAPAAAAAAAAAAEAIAAAACIAAABkcnMvZG93bnJldi54bWxQ&#10;SwECFAAUAAAACACHTuJA4g50lfoBAADrAwAADgAAAAAAAAABACAAAAAkAQAAZHJzL2Uyb0RvYy54&#10;bWxQSwUGAAAAAAYABgBZAQAAkAUAAAAA&#10;">
                        <v:fill on="t" focussize="0,0"/>
                        <v:stroke color="#000000" joinstyle="miter" endarrow="block"/>
                        <v:imagedata o:title=""/>
                        <o:lock v:ext="edit" aspectratio="f"/>
                        <v:textbox>
                          <w:txbxContent>
                            <w:p>
                              <w:pPr>
                                <w:spacing w:line="240" w:lineRule="auto"/>
                                <w:rPr>
                                  <w:rFonts w:hint="eastAsia" w:eastAsia="宋体"/>
                                  <w:lang w:eastAsia="zh-CN"/>
                                </w:rPr>
                              </w:pPr>
                              <w:r>
                                <w:rPr>
                                  <w:rFonts w:hint="eastAsia"/>
                                  <w:lang w:eastAsia="zh-CN"/>
                                </w:rPr>
                                <w:t>冷却</w:t>
                              </w:r>
                            </w:p>
                          </w:txbxContent>
                        </v:textbox>
                      </v:rect>
                      <v:line id="直线 88" o:spid="_x0000_s1026" o:spt="20" style="position:absolute;left:4846954;top:713104;height:0;width:228600;" filled="f" stroked="t" coordsize="21600,21600" o:gfxdata="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UQZO7YAAAA&#10;BQEAAA8AAAAAAAAAAQAgAAAAIgAAAGRycy9kb3ducmV2LnhtbFBLAQIUABQAAAAIAIdO4kD4z8FV&#10;5AEAAJ0DAAAOAAAAAAAAAAEAIAAAACcBAABkcnMvZTJvRG9jLnhtbFBLBQYAAAAABgAGAFkBAAB9&#10;BQAAAAA=&#10;">
                        <v:fill on="f" focussize="0,0"/>
                        <v:stroke color="#000000" joinstyle="round" endarrow="block"/>
                        <v:imagedata o:title=""/>
                        <o:lock v:ext="edit" aspectratio="f"/>
                      </v:line>
                      <v:line id="直线 89" o:spid="_x0000_s1026" o:spt="20" style="position:absolute;left:3343909;top:728344;height:0;width:228600;" filled="f" stroked="t" coordsize="21600,21600" o:gfxdata="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1RBk7tgAAAAF&#10;AQAADwAAAAAAAAABACAAAAAiAAAAZHJzL2Rvd25yZXYueG1sUEsBAhQAFAAAAAgAh07iQFRLlVPj&#10;AQAAnQMAAA4AAAAAAAAAAQAgAAAAJwEAAGRycy9lMm9Eb2MueG1sUEsFBgAAAAAGAAYAWQEAAHwF&#10;AAAAAA==&#10;">
                        <v:fill on="f" focussize="0,0"/>
                        <v:stroke color="#000000" joinstyle="round" endarrow="block"/>
                        <v:imagedata o:title=""/>
                        <o:lock v:ext="edit" aspectratio="f"/>
                      </v:line>
                      <v:line id="直线 90" o:spid="_x0000_s1026" o:spt="20" style="position:absolute;left:4104004;top:703579;height:0;width:228600;" filled="f" stroked="t" coordsize="21600,21600" o:gfxdata="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EGTu2AAAAAUBAAAP&#10;AAAAAAAAAAEAIAAAACIAAABkcnMvZG93bnJldi54bWxQSwECFAAUAAAACACHTuJA5M3M+d8BAACd&#10;AwAADgAAAAAAAAABACAAAAAnAQAAZHJzL2Uyb0RvYy54bWxQSwUGAAAAAAYABgBZAQAAeAUAAAAA&#10;">
                        <v:fill on="f" focussize="0,0"/>
                        <v:stroke color="#000000" joinstyle="round" endarrow="block"/>
                        <v:imagedata o:title=""/>
                        <o:lock v:ext="edit" aspectratio="f"/>
                      </v:line>
                      <v:rect id="矩形 91" o:spid="_x0000_s1026" o:spt="1" style="position:absolute;left:1481455;top:0;height:292100;width:1466215;" filled="f" stroked="f" coordsize="21600,21600" o:gfxdata="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Fhg+fHXAAAABQEAAA8AAAAAAAAAAQAgAAAAIgAAAGRycy9kb3ducmV2Lnht&#10;bFBLAQIUABQAAAAIAIdO4kCZBrONiAEAAPsCAAAOAAAAAAAAAAEAIAAAACYBAABkcnMvZTJvRG9j&#10;LnhtbFBLBQYAAAAABgAGAFkBAAAgBQAAAAA=&#10;">
                        <v:fill on="f" focussize="0,0"/>
                        <v:stroke on="f"/>
                        <v:imagedata o:title=""/>
                        <o:lock v:ext="edit" aspectratio="f"/>
                        <v:textbox>
                          <w:txbxContent>
                            <w:p>
                              <w:pPr>
                                <w:spacing w:line="240" w:lineRule="auto"/>
                                <w:rPr>
                                  <w:rFonts w:hint="eastAsia" w:eastAsia="宋体"/>
                                  <w:sz w:val="18"/>
                                  <w:szCs w:val="18"/>
                                  <w:lang w:eastAsia="zh-CN"/>
                                </w:rPr>
                              </w:pPr>
                              <w:r>
                                <w:rPr>
                                  <w:rFonts w:hint="eastAsia"/>
                                  <w:sz w:val="18"/>
                                  <w:szCs w:val="18"/>
                                  <w:lang w:eastAsia="zh-CN"/>
                                </w:rPr>
                                <w:t>噪声、有机废气、下脚料</w:t>
                              </w:r>
                            </w:p>
                          </w:txbxContent>
                        </v:textbox>
                      </v:rect>
                      <v:rect id="矩形 92" o:spid="_x0000_s1026" o:spt="1" style="position:absolute;left:3597274;top:1137920;height:292100;width:552450;" filled="f" stroked="f" coordsize="21600,21600" o:gfxdata="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YYPnx1wAAAAUBAAAPAAAAAAAAAAEAIAAAACIAAABk&#10;cnMvZG93bnJldi54bWxQSwECFAAUAAAACACHTuJANi99UpUBAAAAAwAADgAAAAAAAAABACAAAAAm&#10;AQAAZHJzL2Uyb0RvYy54bWxQSwUGAAAAAAYABgBZAQAALQUAAAAA&#10;">
                        <v:fill on="f" focussize="0,0"/>
                        <v:stroke on="f"/>
                        <v:imagedata o:title=""/>
                        <o:lock v:ext="edit" aspectratio="f"/>
                        <v:textbox>
                          <w:txbxContent>
                            <w:p>
                              <w:pPr>
                                <w:spacing w:line="240" w:lineRule="auto"/>
                                <w:rPr>
                                  <w:rFonts w:hint="eastAsia" w:eastAsia="宋体"/>
                                  <w:sz w:val="18"/>
                                  <w:szCs w:val="18"/>
                                  <w:lang w:eastAsia="zh-CN"/>
                                </w:rPr>
                              </w:pPr>
                              <w:r>
                                <w:rPr>
                                  <w:rFonts w:hint="eastAsia"/>
                                  <w:sz w:val="18"/>
                                  <w:szCs w:val="18"/>
                                  <w:lang w:eastAsia="zh-CN"/>
                                </w:rPr>
                                <w:t>循环水</w:t>
                              </w:r>
                            </w:p>
                          </w:txbxContent>
                        </v:textbox>
                      </v:rect>
                      <v:line id="直线 93" o:spid="_x0000_s1026" o:spt="20" style="position:absolute;left:5346064;top:297815;flip:y;height:241300;width:0;" filled="f" stroked="t" coordsize="21600,21600" o:gfxdata="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UdoyB&#10;1AAAAAUBAAAPAAAAAAAAAAEAIAAAACIAAABkcnMvZG93bnJldi54bWxQSwECFAAUAAAACACHTuJA&#10;sub6y+wBAACpAwAADgAAAAAAAAABACAAAAAjAQAAZHJzL2Uyb0RvYy54bWxQSwUGAAAAAAYABgBZ&#10;AQAAgQUAAAAA&#10;">
                        <v:fill on="f" focussize="0,0"/>
                        <v:stroke color="#000000" joinstyle="round" dashstyle="dashDot" endarrow="block"/>
                        <v:imagedata o:title=""/>
                        <o:lock v:ext="edit" aspectratio="f"/>
                      </v:line>
                      <v:line id="直线 94" o:spid="_x0000_s1026" o:spt="20" style="position:absolute;left:3782059;top:892175;flip:y;height:241300;width:0;" filled="f" stroked="t" coordsize="21600,21600" o:gfxdata="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HaM&#10;gdQAAAAFAQAADwAAAAAAAAABACAAAAAiAAAAZHJzL2Rvd25yZXYueG1sUEsBAhQAFAAAAAgAh07i&#10;QPFab6XtAQAAqQMAAA4AAAAAAAAAAQAgAAAAIwEAAGRycy9lMm9Eb2MueG1sUEsFBgAAAAAGAAYA&#10;WQEAAIIFAAAAAA==&#10;">
                        <v:fill on="f" focussize="0,0"/>
                        <v:stroke color="#000000" joinstyle="round" dashstyle="dashDot" endarrow="block"/>
                        <v:imagedata o:title=""/>
                        <o:lock v:ext="edit" aspectratio="f"/>
                      </v:line>
                      <v:line id="直线 95" o:spid="_x0000_s1026" o:spt="20" style="position:absolute;left:3892549;top:905510;flip:y;height:241300;width:0;" filled="f" stroked="t" coordsize="21600,21600" o:gfxdata="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roHQXUAAAA&#10;BQEAAA8AAAAAAAAAAQAgAAAAIgAAAGRycy9kb3ducmV2LnhtbFBLAQIUABQAAAAIAIdO4kA3RNaC&#10;6AEAAKkDAAAOAAAAAAAAAAEAIAAAACMBAABkcnMvZTJvRG9jLnhtbFBLBQYAAAAABgAGAFkBAAB9&#10;BQAAAAA=&#10;">
                        <v:fill on="f" focussize="0,0"/>
                        <v:stroke color="#000000" joinstyle="round" dashstyle="dashDot" startarrow="block"/>
                        <v:imagedata o:title=""/>
                        <o:lock v:ext="edit" aspectratio="f"/>
                      </v:line>
                      <v:rect id="矩形 96" o:spid="_x0000_s1026" o:spt="1" style="position:absolute;left:694055;top:499744;height:461009;width:2711450;" filled="f" stroked="t" coordsize="21600,21600" o:gfxdata="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AF591QAAAAUBAAAPAAAAAAAAAAEAIAAAACIAAABkcnMvZG93bnJldi54bWxQSwECFAAU&#10;AAAACACHTuJA26AE0vQBAADCAwAADgAAAAAAAAABACAAAAAkAQAAZHJzL2Uyb0RvYy54bWxQSwUG&#10;AAAAAAYABgBZAQAAigUAAAAA&#10;">
                        <v:fill on="f" focussize="0,0"/>
                        <v:stroke color="#000000" joinstyle="miter" endarrow="block"/>
                        <v:imagedata o:title=""/>
                        <o:lock v:ext="edit" aspectratio="f"/>
                        <v:textbox>
                          <w:txbxContent>
                            <w:p>
                              <w:pPr>
                                <w:spacing w:line="240" w:lineRule="auto"/>
                                <w:rPr>
                                  <w:rFonts w:hint="eastAsia" w:eastAsia="宋体"/>
                                  <w:lang w:eastAsia="zh-CN"/>
                                </w:rPr>
                              </w:pPr>
                            </w:p>
                          </w:txbxContent>
                        </v:textbox>
                      </v:rect>
                      <v:line id="直线 97" o:spid="_x0000_s1026" o:spt="20" style="position:absolute;left:2054225;top:240665;flip:y;height:241300;width:0;" filled="f" stroked="t" coordsize="21600,21600" o:gfxdata="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HaMgdQA&#10;AAAFAQAADwAAAAAAAAABACAAAAAiAAAAZHJzL2Rvd25yZXYueG1sUEsBAhQAFAAAAAgAh07iQG5U&#10;pw/qAQAAqQMAAA4AAAAAAAAAAQAgAAAAIwEAAGRycy9lMm9Eb2MueG1sUEsFBgAAAAAGAAYAWQEA&#10;AH8FAAAAAA==&#10;">
                        <v:fill on="f" focussize="0,0"/>
                        <v:stroke color="#000000" joinstyle="round" dashstyle="dashDot" endarrow="block"/>
                        <v:imagedata o:title=""/>
                        <o:lock v:ext="edit" aspectratio="f"/>
                      </v:line>
                      <v:rect id="矩形 98" o:spid="_x0000_s1026" o:spt="1" style="position:absolute;left:5130799;top:1217930;height:317500;width:546100;" fillcolor="#FFFFFF" filled="t" stroked="t" coordsize="21600,21600" o:gfxdata="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pkASPVAAAABQEAAA8AAAAAAAAAAQAgAAAAIgAAAGRycy9kb3ducmV2LnhtbFBL&#10;AQIUABQAAAAIAIdO4kA/BQc4+QEAAOwDAAAOAAAAAAAAAAEAIAAAACQBAABkcnMvZTJvRG9jLnht&#10;bFBLBQYAAAAABgAGAFkBAACPBQAAAAA=&#10;">
                        <v:fill on="t" focussize="0,0"/>
                        <v:stroke color="#000000" joinstyle="miter" endarrow="block"/>
                        <v:imagedata o:title=""/>
                        <o:lock v:ext="edit" aspectratio="f"/>
                        <v:textbox>
                          <w:txbxContent>
                            <w:p>
                              <w:pPr>
                                <w:spacing w:line="240" w:lineRule="auto"/>
                                <w:jc w:val="center"/>
                                <w:rPr>
                                  <w:rFonts w:hint="eastAsia" w:eastAsia="宋体"/>
                                  <w:lang w:eastAsia="zh-CN"/>
                                </w:rPr>
                              </w:pPr>
                              <w:r>
                                <w:rPr>
                                  <w:rFonts w:hint="eastAsia"/>
                                  <w:lang w:eastAsia="zh-CN"/>
                                </w:rPr>
                                <w:t>成品</w:t>
                              </w:r>
                            </w:p>
                          </w:txbxContent>
                        </v:textbox>
                      </v:rect>
                      <v:rect id="矩形 99" o:spid="_x0000_s1026" o:spt="1" style="position:absolute;left:4243069;top:10160;height:292100;width:647700;" filled="f" stroked="f" coordsize="21600,21600" o:gfxdata="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GD58dcAAAAFAQAADwAAAAAAAAABACAAAAAiAAAAZHJz&#10;L2Rvd25yZXYueG1sUEsBAhQAFAAAAAgAh07iQIA/vpqTAQAA/gIAAA4AAAAAAAAAAQAgAAAAJgEA&#10;AGRycy9lMm9Eb2MueG1sUEsFBgAAAAAGAAYAWQEAACsFAAAAAA==&#10;">
                        <v:fill on="f" focussize="0,0"/>
                        <v:stroke on="f"/>
                        <v:imagedata o:title=""/>
                        <o:lock v:ext="edit" aspectratio="f"/>
                        <v:textbox>
                          <w:txbxContent>
                            <w:p>
                              <w:pPr>
                                <w:spacing w:line="240" w:lineRule="auto"/>
                                <w:rPr>
                                  <w:rFonts w:hint="eastAsia" w:eastAsia="宋体"/>
                                  <w:sz w:val="18"/>
                                  <w:szCs w:val="18"/>
                                  <w:lang w:eastAsia="zh-CN"/>
                                </w:rPr>
                              </w:pPr>
                              <w:r>
                                <w:rPr>
                                  <w:rFonts w:hint="eastAsia"/>
                                  <w:sz w:val="18"/>
                                  <w:szCs w:val="18"/>
                                  <w:lang w:eastAsia="zh-CN"/>
                                </w:rPr>
                                <w:t>下脚料</w:t>
                              </w:r>
                            </w:p>
                          </w:txbxContent>
                        </v:textbox>
                      </v:rect>
                      <v:line id="直线 100" o:spid="_x0000_s1026" o:spt="20" style="position:absolute;left:4542154;top:303530;flip:y;height:241300;width:0;" filled="f" stroked="t" coordsize="21600,21600" o:gfxdata="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HaMgdQA&#10;AAAFAQAADwAAAAAAAAABACAAAAAiAAAAZHJzL2Rvd25yZXYueG1sUEsBAhQAFAAAAAgAh07iQGjD&#10;GejqAQAAqgMAAA4AAAAAAAAAAQAgAAAAIwEAAGRycy9lMm9Eb2MueG1sUEsFBgAAAAAGAAYAWQEA&#10;AH8FAAAAAA==&#10;">
                        <v:fill on="f" focussize="0,0"/>
                        <v:stroke color="#000000" joinstyle="round" dashstyle="dashDot" endarrow="block"/>
                        <v:imagedata o:title=""/>
                        <o:lock v:ext="edit" aspectratio="f"/>
                      </v:line>
                      <w10:wrap type="none"/>
                      <w10:anchorlock/>
                    </v:group>
                  </w:pict>
                </mc:Fallback>
              </mc:AlternateContent>
            </w:r>
            <w:r>
              <w:rPr>
                <w:rFonts w:hint="default" w:ascii="Times New Roman" w:hAnsi="Times New Roman" w:cs="Times New Roman"/>
                <w:b/>
                <w:color w:val="auto"/>
                <w:spacing w:val="8"/>
                <w:sz w:val="24"/>
                <w:szCs w:val="24"/>
              </w:rPr>
              <w:t>图5-</w:t>
            </w:r>
            <w:r>
              <w:rPr>
                <w:rFonts w:hint="default" w:ascii="Times New Roman" w:hAnsi="Times New Roman" w:cs="Times New Roman"/>
                <w:b/>
                <w:color w:val="auto"/>
                <w:spacing w:val="8"/>
                <w:sz w:val="24"/>
                <w:szCs w:val="24"/>
                <w:lang w:val="en-US" w:eastAsia="zh-CN"/>
              </w:rPr>
              <w:t>1</w:t>
            </w:r>
            <w:r>
              <w:rPr>
                <w:rFonts w:hint="default" w:ascii="Times New Roman" w:hAnsi="Times New Roman" w:cs="Times New Roman"/>
                <w:b/>
                <w:color w:val="auto"/>
                <w:spacing w:val="8"/>
                <w:sz w:val="24"/>
                <w:szCs w:val="24"/>
              </w:rPr>
              <w:t xml:space="preserve">  </w:t>
            </w:r>
            <w:r>
              <w:rPr>
                <w:rFonts w:hint="default" w:ascii="Times New Roman" w:hAnsi="Times New Roman" w:cs="Times New Roman"/>
                <w:b/>
                <w:bCs/>
                <w:color w:val="auto"/>
                <w:sz w:val="24"/>
                <w:szCs w:val="24"/>
                <w:lang w:eastAsia="zh-CN"/>
              </w:rPr>
              <w:t>项目生产</w:t>
            </w:r>
            <w:r>
              <w:rPr>
                <w:rFonts w:hint="default" w:ascii="Times New Roman" w:hAnsi="Times New Roman" w:cs="Times New Roman"/>
                <w:b/>
                <w:color w:val="auto"/>
                <w:spacing w:val="8"/>
                <w:sz w:val="24"/>
                <w:szCs w:val="24"/>
              </w:rPr>
              <w:t>工艺流程及产污环节图</w:t>
            </w:r>
          </w:p>
          <w:p>
            <w:pPr>
              <w:spacing w:line="360" w:lineRule="auto"/>
              <w:ind w:firstLine="480" w:firstLineChars="200"/>
              <w:jc w:val="left"/>
              <w:rPr>
                <w:rFonts w:hint="default" w:ascii="Times New Roman" w:hAnsi="Times New Roman" w:cs="Times New Roman" w:eastAsiaTheme="minorEastAsia"/>
                <w:color w:val="auto"/>
                <w:sz w:val="24"/>
                <w:szCs w:val="24"/>
                <w:lang w:eastAsia="zh-CN"/>
              </w:rPr>
            </w:pPr>
            <w:r>
              <w:rPr>
                <w:color w:val="auto"/>
                <w:sz w:val="24"/>
                <w:szCs w:val="24"/>
              </w:rPr>
              <w:t>工艺流程简述：</w:t>
            </w:r>
          </w:p>
          <w:p>
            <w:pPr>
              <w:numPr>
                <w:ilvl w:val="0"/>
                <w:numId w:val="0"/>
              </w:numPr>
              <w:spacing w:line="360" w:lineRule="auto"/>
              <w:ind w:firstLine="480" w:firstLineChars="200"/>
              <w:jc w:val="left"/>
              <w:rPr>
                <w:rFonts w:hint="default" w:ascii="Times New Roman" w:hAnsi="Times New Roman" w:cs="Times New Roman"/>
                <w:color w:val="auto"/>
                <w:sz w:val="24"/>
                <w:szCs w:val="24"/>
                <w:lang w:val="en-US" w:eastAsia="zh-CN" w:bidi="ar"/>
              </w:rPr>
            </w:pPr>
            <w:r>
              <w:rPr>
                <w:rFonts w:hint="default" w:ascii="Times New Roman" w:hAnsi="Times New Roman" w:cs="Times New Roman"/>
                <w:color w:val="auto"/>
                <w:sz w:val="24"/>
                <w:szCs w:val="24"/>
                <w:lang w:val="en-US" w:eastAsia="zh-CN" w:bidi="ar"/>
              </w:rPr>
              <w:t>本项目工艺流程比较简单，</w:t>
            </w:r>
            <w:r>
              <w:rPr>
                <w:rFonts w:hint="default" w:ascii="Times New Roman" w:hAnsi="Times New Roman" w:eastAsia="宋体" w:cs="Times New Roman"/>
                <w:color w:val="auto"/>
                <w:sz w:val="24"/>
                <w:szCs w:val="24"/>
                <w:lang w:eastAsia="zh-CN"/>
              </w:rPr>
              <w:t>项目</w:t>
            </w:r>
            <w:r>
              <w:rPr>
                <w:rFonts w:hint="eastAsia" w:cs="Times New Roman"/>
                <w:color w:val="auto"/>
                <w:sz w:val="24"/>
                <w:szCs w:val="24"/>
                <w:lang w:val="en-US" w:eastAsia="zh-CN"/>
              </w:rPr>
              <w:t>PS</w:t>
            </w:r>
            <w:r>
              <w:rPr>
                <w:rFonts w:hint="eastAsia" w:ascii="Times New Roman" w:hAnsi="Times New Roman" w:cs="Times New Roman"/>
                <w:color w:val="auto"/>
                <w:sz w:val="24"/>
                <w:szCs w:val="24"/>
                <w:lang w:val="en-US" w:eastAsia="zh-CN"/>
              </w:rPr>
              <w:t>、ABS等</w:t>
            </w:r>
            <w:r>
              <w:rPr>
                <w:rFonts w:hint="eastAsia" w:eastAsia="宋体" w:cs="Times New Roman"/>
                <w:color w:val="auto"/>
                <w:sz w:val="24"/>
                <w:szCs w:val="24"/>
                <w:lang w:val="en-US" w:eastAsia="zh-CN"/>
              </w:rPr>
              <w:t>原料</w:t>
            </w:r>
            <w:r>
              <w:rPr>
                <w:rFonts w:hint="eastAsia" w:cs="Times New Roman"/>
                <w:color w:val="auto"/>
                <w:sz w:val="24"/>
                <w:szCs w:val="24"/>
                <w:lang w:val="en-US" w:eastAsia="zh-CN"/>
              </w:rPr>
              <w:t>分别</w:t>
            </w:r>
            <w:r>
              <w:rPr>
                <w:rFonts w:hint="eastAsia" w:eastAsia="宋体" w:cs="Times New Roman"/>
                <w:color w:val="auto"/>
                <w:sz w:val="24"/>
                <w:szCs w:val="24"/>
                <w:lang w:val="en-US" w:eastAsia="zh-CN"/>
              </w:rPr>
              <w:t>送入注塑一体机内，首先进行烘干，</w:t>
            </w:r>
            <w:r>
              <w:rPr>
                <w:rFonts w:hint="eastAsia"/>
                <w:color w:val="auto"/>
                <w:sz w:val="24"/>
                <w:lang w:eastAsia="zh-CN"/>
              </w:rPr>
              <w:t>烘干后的原料</w:t>
            </w:r>
            <w:r>
              <w:rPr>
                <w:rFonts w:hint="default" w:ascii="Times New Roman" w:hAnsi="Times New Roman" w:eastAsia="宋体" w:cs="Times New Roman"/>
                <w:color w:val="auto"/>
                <w:sz w:val="24"/>
                <w:szCs w:val="24"/>
                <w:lang w:eastAsia="zh-CN"/>
              </w:rPr>
              <w:t>通过电加热至熔融状态</w:t>
            </w:r>
            <w:r>
              <w:rPr>
                <w:rFonts w:hint="eastAsia" w:eastAsia="宋体" w:cs="Times New Roman"/>
                <w:color w:val="auto"/>
                <w:sz w:val="24"/>
                <w:szCs w:val="24"/>
                <w:lang w:eastAsia="zh-CN"/>
              </w:rPr>
              <w:t>后注入模具，填充合模并进行保压成型</w:t>
            </w:r>
            <w:r>
              <w:rPr>
                <w:rFonts w:hint="default" w:ascii="Times New Roman" w:hAnsi="Times New Roman" w:eastAsia="宋体" w:cs="Times New Roman"/>
                <w:color w:val="auto"/>
                <w:sz w:val="24"/>
                <w:szCs w:val="24"/>
                <w:lang w:eastAsia="zh-CN"/>
              </w:rPr>
              <w:t>，经循环冷却水冷却后，</w:t>
            </w:r>
            <w:r>
              <w:rPr>
                <w:rFonts w:hint="eastAsia" w:eastAsia="宋体" w:cs="Times New Roman"/>
                <w:color w:val="auto"/>
                <w:sz w:val="24"/>
                <w:szCs w:val="24"/>
                <w:lang w:eastAsia="zh-CN"/>
              </w:rPr>
              <w:t>进行脱模，检验合格即为成品，包装入库待售。</w:t>
            </w:r>
            <w:r>
              <w:rPr>
                <w:rFonts w:hint="eastAsia" w:cs="Times New Roman"/>
                <w:color w:val="auto"/>
                <w:sz w:val="24"/>
                <w:szCs w:val="24"/>
                <w:lang w:eastAsia="zh-CN"/>
              </w:rPr>
              <w:t>注塑机注塑过程均采用电加热，</w:t>
            </w:r>
            <w:r>
              <w:rPr>
                <w:rFonts w:hint="eastAsia" w:cs="Times New Roman"/>
                <w:color w:val="auto"/>
                <w:sz w:val="24"/>
                <w:szCs w:val="24"/>
                <w:lang w:val="en-US" w:eastAsia="zh-CN"/>
              </w:rPr>
              <w:t>PS加热温度约为240~260</w:t>
            </w:r>
            <w:r>
              <w:rPr>
                <w:rFonts w:hint="eastAsia" w:ascii="宋体" w:hAnsi="宋体" w:eastAsia="宋体" w:cs="宋体"/>
                <w:color w:val="auto"/>
                <w:sz w:val="24"/>
                <w:szCs w:val="24"/>
                <w:lang w:val="en-US" w:eastAsia="zh-CN"/>
              </w:rPr>
              <w:t>℃</w:t>
            </w:r>
            <w:r>
              <w:rPr>
                <w:rFonts w:hint="eastAsia" w:cs="Times New Roman"/>
                <w:color w:val="auto"/>
                <w:sz w:val="24"/>
                <w:szCs w:val="24"/>
                <w:lang w:val="en-US" w:eastAsia="zh-CN"/>
              </w:rPr>
              <w:t>，ABS加热温度约为180~200</w:t>
            </w:r>
            <w:r>
              <w:rPr>
                <w:rFonts w:hint="eastAsia" w:ascii="宋体" w:hAnsi="宋体" w:eastAsia="宋体" w:cs="宋体"/>
                <w:color w:val="auto"/>
                <w:sz w:val="24"/>
                <w:szCs w:val="24"/>
                <w:lang w:val="en-US" w:eastAsia="zh-CN"/>
              </w:rPr>
              <w:t>℃</w:t>
            </w:r>
            <w:r>
              <w:rPr>
                <w:rFonts w:hint="eastAsia" w:cs="Times New Roman"/>
                <w:color w:val="auto"/>
                <w:sz w:val="24"/>
                <w:szCs w:val="24"/>
                <w:lang w:val="en-US" w:eastAsia="zh-CN"/>
              </w:rPr>
              <w:t>，均小于物料分解温度（NL66分解温度约为280</w:t>
            </w:r>
            <w:r>
              <w:rPr>
                <w:rFonts w:hint="eastAsia" w:ascii="宋体" w:hAnsi="宋体" w:eastAsia="宋体" w:cs="宋体"/>
                <w:color w:val="auto"/>
                <w:sz w:val="24"/>
                <w:szCs w:val="24"/>
                <w:lang w:val="en-US" w:eastAsia="zh-CN"/>
              </w:rPr>
              <w:t>℃</w:t>
            </w:r>
            <w:r>
              <w:rPr>
                <w:rFonts w:hint="eastAsia" w:cs="Times New Roman"/>
                <w:color w:val="auto"/>
                <w:sz w:val="24"/>
                <w:szCs w:val="24"/>
                <w:lang w:val="en-US" w:eastAsia="zh-CN"/>
              </w:rPr>
              <w:t>，ABS分解温度约为250</w:t>
            </w:r>
            <w:r>
              <w:rPr>
                <w:rFonts w:hint="eastAsia" w:ascii="宋体" w:hAnsi="宋体" w:eastAsia="宋体" w:cs="宋体"/>
                <w:color w:val="auto"/>
                <w:sz w:val="24"/>
                <w:szCs w:val="24"/>
                <w:lang w:val="en-US" w:eastAsia="zh-CN"/>
              </w:rPr>
              <w:t>℃</w:t>
            </w:r>
            <w:r>
              <w:rPr>
                <w:rFonts w:hint="eastAsia" w:cs="Times New Roman"/>
                <w:color w:val="auto"/>
                <w:sz w:val="24"/>
                <w:szCs w:val="24"/>
                <w:lang w:val="en-US" w:eastAsia="zh-CN"/>
              </w:rPr>
              <w:t>）。</w:t>
            </w:r>
          </w:p>
          <w:p>
            <w:pPr>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zh-TW" w:eastAsia="zh-CN" w:bidi="ar"/>
              </w:rPr>
              <w:t>产污环节：</w:t>
            </w:r>
            <w:r>
              <w:rPr>
                <w:rFonts w:hint="default" w:ascii="Times New Roman" w:hAnsi="Times New Roman" w:cs="Times New Roman"/>
                <w:color w:val="auto"/>
                <w:sz w:val="24"/>
                <w:szCs w:val="24"/>
                <w:lang w:val="en-US" w:eastAsia="zh-CN" w:bidi="ar"/>
              </w:rPr>
              <w:t>机械设备运行产生机械噪声；原料</w:t>
            </w:r>
            <w:r>
              <w:rPr>
                <w:rFonts w:hint="eastAsia" w:cs="Times New Roman"/>
                <w:color w:val="auto"/>
                <w:sz w:val="24"/>
                <w:szCs w:val="24"/>
                <w:lang w:val="en-US" w:eastAsia="zh-CN" w:bidi="ar"/>
              </w:rPr>
              <w:t>烘干、</w:t>
            </w:r>
            <w:r>
              <w:rPr>
                <w:rFonts w:hint="default" w:ascii="Times New Roman" w:hAnsi="Times New Roman" w:cs="Times New Roman"/>
                <w:color w:val="auto"/>
                <w:sz w:val="24"/>
                <w:szCs w:val="24"/>
                <w:lang w:val="en-US" w:eastAsia="zh-CN" w:bidi="ar"/>
              </w:rPr>
              <w:t>加热熔融及</w:t>
            </w:r>
            <w:r>
              <w:rPr>
                <w:rFonts w:hint="eastAsia" w:cs="Times New Roman"/>
                <w:color w:val="auto"/>
                <w:sz w:val="24"/>
                <w:szCs w:val="24"/>
                <w:lang w:val="en-US" w:eastAsia="zh-CN" w:bidi="ar"/>
              </w:rPr>
              <w:t>合模保压等注塑</w:t>
            </w:r>
            <w:r>
              <w:rPr>
                <w:rFonts w:hint="default" w:ascii="Times New Roman" w:hAnsi="Times New Roman" w:cs="Times New Roman"/>
                <w:color w:val="auto"/>
                <w:sz w:val="24"/>
                <w:szCs w:val="24"/>
                <w:lang w:val="en-US" w:eastAsia="zh-CN" w:bidi="ar"/>
              </w:rPr>
              <w:t>过程产生</w:t>
            </w:r>
            <w:r>
              <w:rPr>
                <w:rFonts w:hint="eastAsia" w:cs="Times New Roman"/>
                <w:color w:val="auto"/>
                <w:sz w:val="24"/>
                <w:szCs w:val="24"/>
                <w:lang w:val="en-US" w:eastAsia="zh-CN" w:bidi="ar"/>
              </w:rPr>
              <w:t>少量</w:t>
            </w:r>
            <w:r>
              <w:rPr>
                <w:rFonts w:hint="default" w:ascii="Times New Roman" w:hAnsi="Times New Roman" w:cs="Times New Roman"/>
                <w:color w:val="auto"/>
                <w:sz w:val="24"/>
                <w:szCs w:val="24"/>
                <w:lang w:val="en-US" w:eastAsia="zh-CN" w:bidi="ar"/>
              </w:rPr>
              <w:t>有机废气；冷却过程冷却水循环使用；</w:t>
            </w:r>
            <w:r>
              <w:rPr>
                <w:rFonts w:hint="eastAsia" w:cs="Times New Roman"/>
                <w:color w:val="auto"/>
                <w:sz w:val="24"/>
                <w:szCs w:val="24"/>
                <w:lang w:val="en-US" w:eastAsia="zh-CN" w:bidi="ar"/>
              </w:rPr>
              <w:t>注塑、脱模</w:t>
            </w:r>
            <w:r>
              <w:rPr>
                <w:rFonts w:hint="default" w:ascii="Times New Roman" w:hAnsi="Times New Roman" w:cs="Times New Roman"/>
                <w:color w:val="auto"/>
                <w:sz w:val="24"/>
                <w:szCs w:val="24"/>
                <w:lang w:val="en-US" w:eastAsia="zh-CN" w:bidi="ar"/>
              </w:rPr>
              <w:t>过程产生一定量下脚料；</w:t>
            </w:r>
            <w:r>
              <w:rPr>
                <w:rFonts w:hint="eastAsia" w:cs="Times New Roman"/>
                <w:color w:val="auto"/>
                <w:sz w:val="24"/>
                <w:szCs w:val="24"/>
                <w:lang w:val="en-US" w:eastAsia="zh-CN" w:bidi="ar"/>
              </w:rPr>
              <w:t>检验过程产生少量不合格品；</w:t>
            </w:r>
            <w:r>
              <w:rPr>
                <w:rFonts w:hint="default" w:ascii="Times New Roman" w:hAnsi="Times New Roman" w:cs="Times New Roman"/>
                <w:color w:val="auto"/>
                <w:sz w:val="24"/>
                <w:szCs w:val="24"/>
                <w:lang w:val="en-US" w:eastAsia="zh-CN" w:bidi="ar"/>
              </w:rPr>
              <w:t>包装过程产生少量废包装</w:t>
            </w:r>
            <w:r>
              <w:rPr>
                <w:rFonts w:hint="eastAsia" w:ascii="Times New Roman" w:hAnsi="Times New Roman" w:cs="Times New Roman" w:eastAsiaTheme="minorEastAsia"/>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57" w:type="dxa"/>
          </w:tcPr>
          <w:p>
            <w:pPr>
              <w:spacing w:line="360" w:lineRule="auto"/>
              <w:rPr>
                <w:rFonts w:hint="default" w:ascii="Times New Roman" w:hAnsi="Times New Roman" w:cs="Times New Roman"/>
                <w:b/>
                <w:bCs/>
                <w:color w:val="auto"/>
                <w:kern w:val="0"/>
                <w:sz w:val="28"/>
                <w:szCs w:val="28"/>
              </w:rPr>
            </w:pPr>
            <w:r>
              <w:rPr>
                <w:rFonts w:hint="default" w:ascii="Times New Roman" w:hAnsi="Times New Roman" w:cs="Times New Roman"/>
                <w:b/>
                <w:bCs/>
                <w:color w:val="auto"/>
                <w:kern w:val="0"/>
                <w:sz w:val="28"/>
                <w:szCs w:val="28"/>
              </w:rPr>
              <w:t>主要污染工序：</w:t>
            </w:r>
          </w:p>
          <w:p>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一、施工期</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lang w:eastAsia="zh-CN"/>
              </w:rPr>
              <w:t>本</w:t>
            </w:r>
            <w:r>
              <w:rPr>
                <w:rFonts w:hint="default" w:ascii="Times New Roman" w:hAnsi="Times New Roman" w:cs="Times New Roman"/>
                <w:color w:val="auto"/>
                <w:sz w:val="24"/>
              </w:rPr>
              <w:t>项目</w:t>
            </w:r>
            <w:r>
              <w:rPr>
                <w:rFonts w:hint="eastAsia" w:cs="Times New Roman"/>
                <w:color w:val="auto"/>
                <w:sz w:val="24"/>
                <w:lang w:eastAsia="zh-CN"/>
              </w:rPr>
              <w:t>使用</w:t>
            </w:r>
            <w:r>
              <w:rPr>
                <w:rFonts w:hint="default" w:ascii="Times New Roman" w:hAnsi="Times New Roman" w:cs="Times New Roman"/>
                <w:color w:val="auto"/>
                <w:sz w:val="24"/>
                <w:lang w:eastAsia="zh-CN"/>
              </w:rPr>
              <w:t>已建</w:t>
            </w:r>
            <w:r>
              <w:rPr>
                <w:rFonts w:hint="default" w:ascii="Times New Roman" w:hAnsi="Times New Roman" w:cs="Times New Roman"/>
                <w:color w:val="auto"/>
                <w:sz w:val="24"/>
              </w:rPr>
              <w:t>生产车间</w:t>
            </w:r>
            <w:r>
              <w:rPr>
                <w:rFonts w:hint="default" w:ascii="Times New Roman" w:hAnsi="Times New Roman" w:cs="Times New Roman"/>
                <w:color w:val="auto"/>
                <w:sz w:val="24"/>
                <w:lang w:eastAsia="zh-CN"/>
              </w:rPr>
              <w:t>进行生产</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无土建工程</w:t>
            </w:r>
            <w:r>
              <w:rPr>
                <w:rFonts w:hint="default" w:ascii="Times New Roman" w:hAnsi="Times New Roman" w:cs="Times New Roman"/>
                <w:color w:val="auto"/>
                <w:sz w:val="24"/>
              </w:rPr>
              <w:t>，因此，本环评对施工期不再进行分析和评价。</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二、运营期</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1、废气</w:t>
            </w:r>
          </w:p>
          <w:p>
            <w:pPr>
              <w:pStyle w:val="64"/>
              <w:autoSpaceDE w:val="0"/>
              <w:autoSpaceDN w:val="0"/>
              <w:adjustRightInd/>
              <w:spacing w:line="360" w:lineRule="auto"/>
              <w:jc w:val="left"/>
              <w:textAlignment w:val="auto"/>
              <w:rPr>
                <w:rFonts w:hint="default" w:ascii="Times New Roman" w:hAnsi="Times New Roman" w:eastAsia="宋体" w:cs="Times New Roman"/>
                <w:color w:val="auto"/>
                <w:szCs w:val="24"/>
                <w:lang w:val="en-US"/>
              </w:rPr>
            </w:pPr>
            <w:r>
              <w:rPr>
                <w:rFonts w:hint="eastAsia" w:eastAsia="宋体"/>
                <w:color w:val="auto"/>
                <w:szCs w:val="24"/>
                <w:lang w:eastAsia="zh-CN"/>
              </w:rPr>
              <w:t>本</w:t>
            </w:r>
            <w:r>
              <w:rPr>
                <w:rFonts w:eastAsia="宋体"/>
                <w:color w:val="auto"/>
                <w:szCs w:val="24"/>
              </w:rPr>
              <w:t>项目</w:t>
            </w:r>
            <w:r>
              <w:rPr>
                <w:rFonts w:hint="eastAsia" w:ascii="宋体" w:hAnsi="宋体" w:eastAsia="宋体" w:cs="宋体"/>
                <w:color w:val="auto"/>
                <w:szCs w:val="24"/>
                <w:shd w:val="clear" w:color="auto" w:fill="FFFFFF"/>
              </w:rPr>
              <w:t>废气</w:t>
            </w:r>
            <w:r>
              <w:rPr>
                <w:rFonts w:hint="default" w:ascii="Times New Roman" w:hAnsi="Times New Roman" w:cs="Times New Roman" w:eastAsiaTheme="minorEastAsia"/>
                <w:color w:val="auto"/>
                <w:szCs w:val="24"/>
                <w:shd w:val="clear" w:color="auto" w:fill="FFFFFF"/>
              </w:rPr>
              <w:t>主要</w:t>
            </w:r>
            <w:r>
              <w:rPr>
                <w:rFonts w:hint="eastAsia" w:ascii="Times New Roman" w:hAnsi="Times New Roman" w:cs="Times New Roman" w:eastAsiaTheme="minorEastAsia"/>
                <w:color w:val="auto"/>
                <w:szCs w:val="24"/>
                <w:shd w:val="clear" w:color="auto" w:fill="FFFFFF"/>
                <w:lang w:eastAsia="zh-CN"/>
              </w:rPr>
              <w:t>是</w:t>
            </w:r>
            <w:r>
              <w:rPr>
                <w:rFonts w:hint="default" w:ascii="Times New Roman" w:hAnsi="Times New Roman" w:cs="Times New Roman" w:eastAsiaTheme="minorEastAsia"/>
                <w:color w:val="auto"/>
                <w:sz w:val="24"/>
                <w:szCs w:val="24"/>
                <w:lang w:val="en-US" w:eastAsia="zh-CN" w:bidi="ar"/>
              </w:rPr>
              <w:t>原料烘干、加热熔融及合模保压等注塑过程产生</w:t>
            </w:r>
            <w:r>
              <w:rPr>
                <w:rFonts w:hint="eastAsia" w:cs="Times New Roman" w:eastAsiaTheme="minorEastAsia"/>
                <w:color w:val="auto"/>
                <w:sz w:val="24"/>
                <w:szCs w:val="24"/>
                <w:lang w:val="en-US" w:eastAsia="zh-CN" w:bidi="ar"/>
              </w:rPr>
              <w:t>的</w:t>
            </w:r>
            <w:r>
              <w:rPr>
                <w:rFonts w:hint="default" w:ascii="Times New Roman" w:hAnsi="Times New Roman" w:cs="Times New Roman" w:eastAsiaTheme="minorEastAsia"/>
                <w:color w:val="auto"/>
                <w:sz w:val="24"/>
                <w:szCs w:val="24"/>
                <w:lang w:val="en-US" w:eastAsia="zh-CN" w:bidi="ar"/>
              </w:rPr>
              <w:t>有机废气</w:t>
            </w:r>
            <w:r>
              <w:rPr>
                <w:rFonts w:hint="eastAsia" w:ascii="Times New Roman" w:hAnsi="Times New Roman" w:cs="Times New Roman" w:eastAsiaTheme="minorEastAsia"/>
                <w:color w:val="auto"/>
                <w:szCs w:val="24"/>
                <w:lang w:val="zh-CN"/>
              </w:rPr>
              <w:t>，主要污染物为</w:t>
            </w:r>
            <w:r>
              <w:rPr>
                <w:rFonts w:hint="eastAsia" w:ascii="Times New Roman" w:hAnsi="Times New Roman" w:cs="Times New Roman" w:eastAsiaTheme="minorEastAsia"/>
                <w:color w:val="auto"/>
                <w:szCs w:val="24"/>
                <w:lang w:val="en-US" w:eastAsia="zh-CN"/>
              </w:rPr>
              <w:t>VOCs</w:t>
            </w:r>
            <w:r>
              <w:rPr>
                <w:rFonts w:hint="eastAsia" w:cs="Times New Roman" w:eastAsiaTheme="minorEastAsia"/>
                <w:color w:val="auto"/>
                <w:szCs w:val="24"/>
                <w:shd w:val="clear" w:color="auto" w:fill="FFFFFF"/>
                <w:lang w:val="en-US" w:eastAsia="zh-CN"/>
              </w:rPr>
              <w:t>，有机废气经分子筛废气处理装置</w:t>
            </w:r>
            <w:r>
              <w:rPr>
                <w:rFonts w:hint="default" w:ascii="Times New Roman" w:hAnsi="Times New Roman" w:cs="Times New Roman" w:eastAsiaTheme="minorEastAsia"/>
                <w:color w:val="auto"/>
                <w:szCs w:val="24"/>
                <w:shd w:val="clear" w:color="auto" w:fill="FFFFFF"/>
                <w:lang w:val="en-US" w:eastAsia="zh-CN"/>
              </w:rPr>
              <w:t>处理后由15m排气筒排放</w:t>
            </w:r>
            <w:r>
              <w:rPr>
                <w:rFonts w:hint="eastAsia" w:cs="Times New Roman" w:eastAsiaTheme="minorEastAsia"/>
                <w:color w:val="auto"/>
                <w:szCs w:val="24"/>
                <w:shd w:val="clear" w:color="auto" w:fill="FFFFFF"/>
                <w:lang w:val="en-US" w:eastAsia="zh-CN"/>
              </w:rPr>
              <w:t>。</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2、废水</w:t>
            </w:r>
          </w:p>
          <w:p>
            <w:pPr>
              <w:spacing w:line="360" w:lineRule="auto"/>
              <w:ind w:firstLine="480" w:firstLineChars="200"/>
              <w:jc w:val="left"/>
              <w:rPr>
                <w:rFonts w:hint="default" w:ascii="Times New Roman" w:hAnsi="Times New Roman" w:eastAsia="宋体" w:cs="Times New Roman"/>
                <w:color w:val="auto"/>
                <w:sz w:val="24"/>
                <w:szCs w:val="24"/>
                <w:lang w:eastAsia="zh-CN"/>
              </w:rPr>
            </w:pPr>
            <w:r>
              <w:rPr>
                <w:color w:val="auto"/>
                <w:sz w:val="24"/>
                <w:szCs w:val="24"/>
              </w:rPr>
              <w:t>本项目运营期间</w:t>
            </w:r>
            <w:r>
              <w:rPr>
                <w:rFonts w:hint="default" w:ascii="Times New Roman" w:hAnsi="Times New Roman" w:cs="Times New Roman"/>
                <w:color w:val="auto"/>
                <w:sz w:val="24"/>
              </w:rPr>
              <w:t>生产过程</w:t>
            </w:r>
            <w:r>
              <w:rPr>
                <w:rFonts w:hint="eastAsia" w:cs="Times New Roman"/>
                <w:color w:val="auto"/>
                <w:sz w:val="24"/>
                <w:lang w:eastAsia="zh-CN"/>
              </w:rPr>
              <w:t>冷却水</w:t>
            </w:r>
            <w:r>
              <w:rPr>
                <w:rFonts w:hint="default" w:ascii="Times New Roman" w:hAnsi="Times New Roman" w:cs="Times New Roman"/>
                <w:color w:val="auto"/>
                <w:sz w:val="24"/>
                <w:szCs w:val="24"/>
              </w:rPr>
              <w:t>循环使用</w:t>
            </w:r>
            <w:r>
              <w:rPr>
                <w:rFonts w:hint="eastAsia" w:cs="Times New Roman"/>
                <w:color w:val="auto"/>
                <w:sz w:val="24"/>
                <w:szCs w:val="24"/>
                <w:lang w:eastAsia="zh-CN"/>
              </w:rPr>
              <w:t>，</w:t>
            </w:r>
            <w:r>
              <w:rPr>
                <w:rFonts w:hint="default" w:ascii="Times New Roman" w:hAnsi="Times New Roman" w:cs="Times New Roman"/>
                <w:color w:val="auto"/>
                <w:sz w:val="24"/>
                <w:szCs w:val="24"/>
              </w:rPr>
              <w:t>定期补充</w:t>
            </w:r>
            <w:r>
              <w:rPr>
                <w:rFonts w:hint="eastAsia" w:cs="Times New Roman"/>
                <w:color w:val="auto"/>
                <w:sz w:val="24"/>
                <w:szCs w:val="24"/>
                <w:lang w:eastAsia="zh-CN"/>
              </w:rPr>
              <w:t>，</w:t>
            </w:r>
            <w:r>
              <w:rPr>
                <w:rFonts w:hint="default" w:ascii="Times New Roman" w:hAnsi="Times New Roman" w:cs="Times New Roman"/>
                <w:color w:val="auto"/>
                <w:sz w:val="24"/>
                <w:szCs w:val="24"/>
              </w:rPr>
              <w:t>不外排</w:t>
            </w:r>
            <w:r>
              <w:rPr>
                <w:rFonts w:hint="eastAsia"/>
                <w:bCs/>
                <w:color w:val="auto"/>
                <w:sz w:val="24"/>
                <w:szCs w:val="24"/>
              </w:rPr>
              <w:t>，</w:t>
            </w:r>
            <w:r>
              <w:rPr>
                <w:bCs/>
                <w:color w:val="auto"/>
                <w:sz w:val="24"/>
                <w:szCs w:val="24"/>
              </w:rPr>
              <w:t>因此，本项目废水主要为生活污水</w:t>
            </w:r>
            <w:r>
              <w:rPr>
                <w:rFonts w:hint="eastAsia"/>
                <w:bCs/>
                <w:color w:val="auto"/>
                <w:sz w:val="24"/>
                <w:szCs w:val="24"/>
              </w:rPr>
              <w:t>，产生量约为</w:t>
            </w:r>
            <w:r>
              <w:rPr>
                <w:rFonts w:hint="eastAsia"/>
                <w:bCs/>
                <w:color w:val="auto"/>
                <w:sz w:val="24"/>
                <w:szCs w:val="24"/>
                <w:lang w:val="en-US" w:eastAsia="zh-CN"/>
              </w:rPr>
              <w:t>240</w:t>
            </w:r>
            <w:r>
              <w:rPr>
                <w:rFonts w:hint="eastAsia"/>
                <w:bCs/>
                <w:color w:val="auto"/>
                <w:sz w:val="24"/>
                <w:szCs w:val="24"/>
              </w:rPr>
              <w:t>t/a，主要污染物为CODcr、氨氮等。</w:t>
            </w: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生活污水经化粪池预处理</w:t>
            </w:r>
            <w:r>
              <w:rPr>
                <w:rFonts w:hint="default" w:ascii="Times New Roman" w:hAnsi="Times New Roman" w:cs="Times New Roman"/>
                <w:color w:val="auto"/>
                <w:sz w:val="24"/>
                <w:szCs w:val="24"/>
              </w:rPr>
              <w:t>达到《污水排入城镇下水道水质标准》（GB/T 31962-2015）表1 B等级标准后，</w:t>
            </w:r>
            <w:r>
              <w:rPr>
                <w:rFonts w:hint="default" w:ascii="Times New Roman" w:hAnsi="Times New Roman" w:cs="Times New Roman"/>
                <w:color w:val="auto"/>
                <w:sz w:val="24"/>
                <w:szCs w:val="24"/>
                <w:lang w:eastAsia="zh-CN"/>
              </w:rPr>
              <w:t>由</w:t>
            </w:r>
            <w:r>
              <w:rPr>
                <w:rFonts w:hint="default" w:ascii="Times New Roman" w:hAnsi="Times New Roman" w:cs="Times New Roman"/>
                <w:color w:val="auto"/>
                <w:sz w:val="24"/>
                <w:szCs w:val="24"/>
              </w:rPr>
              <w:t>污水管网输送至</w:t>
            </w:r>
            <w:r>
              <w:rPr>
                <w:rFonts w:hint="eastAsia" w:cs="Times New Roman"/>
                <w:color w:val="auto"/>
                <w:sz w:val="24"/>
                <w:szCs w:val="24"/>
                <w:lang w:eastAsia="zh-CN"/>
              </w:rPr>
              <w:t>威海初村污水处理厂</w:t>
            </w:r>
            <w:r>
              <w:rPr>
                <w:rFonts w:hint="default" w:ascii="Times New Roman" w:hAnsi="Times New Roman" w:cs="Times New Roman"/>
                <w:color w:val="auto"/>
                <w:sz w:val="24"/>
                <w:szCs w:val="24"/>
              </w:rPr>
              <w:t>进一步处理</w:t>
            </w:r>
            <w:r>
              <w:rPr>
                <w:rFonts w:hint="default" w:ascii="Times New Roman" w:hAnsi="Times New Roman" w:cs="Times New Roman"/>
                <w:color w:val="auto"/>
                <w:sz w:val="24"/>
                <w:szCs w:val="24"/>
                <w:lang w:eastAsia="zh-CN"/>
              </w:rPr>
              <w:t>。</w:t>
            </w:r>
          </w:p>
          <w:p>
            <w:pPr>
              <w:pStyle w:val="17"/>
              <w:autoSpaceDE w:val="0"/>
              <w:autoSpaceDN w:val="0"/>
              <w:adjustRightInd w:val="0"/>
              <w:ind w:left="0" w:firstLine="0"/>
              <w:rPr>
                <w:rFonts w:hint="default" w:ascii="Times New Roman" w:hAnsi="Times New Roman" w:cs="Times New Roman"/>
                <w:b/>
                <w:bCs/>
                <w:color w:val="auto"/>
              </w:rPr>
            </w:pPr>
            <w:r>
              <w:rPr>
                <w:rFonts w:hint="default" w:ascii="Times New Roman" w:hAnsi="Times New Roman" w:cs="Times New Roman"/>
                <w:color w:val="auto"/>
              </w:rPr>
              <w:t xml:space="preserve">   </w:t>
            </w:r>
            <w:r>
              <w:rPr>
                <w:rFonts w:hint="default" w:ascii="Times New Roman" w:hAnsi="Times New Roman" w:cs="Times New Roman"/>
                <w:b/>
                <w:bCs/>
                <w:color w:val="auto"/>
              </w:rPr>
              <w:t>3、噪声</w:t>
            </w:r>
          </w:p>
          <w:p>
            <w:pPr>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szCs w:val="24"/>
              </w:rPr>
              <w:t>噪声主要来自</w:t>
            </w:r>
            <w:r>
              <w:rPr>
                <w:rFonts w:hint="eastAsia" w:cs="Times New Roman"/>
                <w:color w:val="auto"/>
                <w:sz w:val="24"/>
                <w:szCs w:val="24"/>
                <w:lang w:eastAsia="zh-CN"/>
              </w:rPr>
              <w:t>注塑机、风机</w:t>
            </w:r>
            <w:r>
              <w:rPr>
                <w:rFonts w:hint="default" w:ascii="Times New Roman" w:hAnsi="Times New Roman" w:cs="Times New Roman"/>
                <w:color w:val="auto"/>
                <w:sz w:val="24"/>
                <w:szCs w:val="24"/>
                <w:lang w:eastAsia="zh-CN"/>
              </w:rPr>
              <w:t>等机械设备</w:t>
            </w:r>
            <w:r>
              <w:rPr>
                <w:rFonts w:hint="default" w:ascii="Times New Roman" w:hAnsi="Times New Roman" w:cs="Times New Roman"/>
                <w:color w:val="auto"/>
                <w:sz w:val="24"/>
                <w:szCs w:val="24"/>
              </w:rPr>
              <w:t>的运行，</w:t>
            </w:r>
            <w:r>
              <w:rPr>
                <w:rFonts w:hint="default" w:ascii="Times New Roman" w:hAnsi="Times New Roman" w:cs="Times New Roman"/>
                <w:color w:val="auto"/>
                <w:sz w:val="24"/>
              </w:rPr>
              <w:t>根据国内同类行业的车间内噪声值的经验数据，噪声值约在</w:t>
            </w:r>
            <w:r>
              <w:rPr>
                <w:rFonts w:hint="default" w:ascii="Times New Roman" w:hAnsi="Times New Roman" w:cs="Times New Roman"/>
                <w:color w:val="auto"/>
                <w:sz w:val="24"/>
                <w:lang w:val="en-US" w:eastAsia="zh-CN"/>
              </w:rPr>
              <w:t>65</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85</w:t>
            </w:r>
            <w:r>
              <w:rPr>
                <w:rFonts w:hint="default" w:ascii="Times New Roman" w:hAnsi="Times New Roman" w:cs="Times New Roman"/>
                <w:color w:val="auto"/>
                <w:sz w:val="24"/>
              </w:rPr>
              <w:t>dB(A)</w:t>
            </w:r>
            <w:r>
              <w:rPr>
                <w:rFonts w:hint="default" w:ascii="Times New Roman" w:hAnsi="Times New Roman" w:cs="Times New Roman"/>
                <w:color w:val="auto"/>
                <w:sz w:val="24"/>
                <w:lang w:eastAsia="zh-CN"/>
              </w:rPr>
              <w:t>左右</w:t>
            </w:r>
            <w:r>
              <w:rPr>
                <w:rFonts w:hint="default" w:ascii="Times New Roman" w:hAnsi="Times New Roman" w:cs="Times New Roman"/>
                <w:color w:val="auto"/>
                <w:sz w:val="24"/>
              </w:rPr>
              <w:t>。</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4、固体废物</w:t>
            </w:r>
          </w:p>
          <w:p>
            <w:pPr>
              <w:adjustRightInd w:val="0"/>
              <w:snapToGrid w:val="0"/>
              <w:spacing w:line="360" w:lineRule="auto"/>
              <w:ind w:firstLine="480"/>
              <w:rPr>
                <w:rFonts w:hint="default" w:ascii="Times New Roman" w:hAnsi="Times New Roman" w:cs="Times New Roman"/>
                <w:color w:val="auto"/>
                <w:sz w:val="24"/>
              </w:rPr>
            </w:pPr>
            <w:r>
              <w:rPr>
                <w:rFonts w:hint="eastAsia"/>
                <w:color w:val="auto"/>
                <w:sz w:val="24"/>
              </w:rPr>
              <w:t>本</w:t>
            </w:r>
            <w:r>
              <w:rPr>
                <w:rFonts w:hint="eastAsia"/>
                <w:color w:val="auto"/>
                <w:sz w:val="24"/>
                <w:szCs w:val="24"/>
              </w:rPr>
              <w:t>项目</w:t>
            </w:r>
            <w:r>
              <w:rPr>
                <w:color w:val="auto"/>
                <w:sz w:val="24"/>
                <w:szCs w:val="24"/>
              </w:rPr>
              <w:t>营运期固体废物分为一般工业固废</w:t>
            </w:r>
            <w:r>
              <w:rPr>
                <w:rFonts w:hint="eastAsia"/>
                <w:color w:val="auto"/>
                <w:sz w:val="24"/>
                <w:szCs w:val="24"/>
              </w:rPr>
              <w:t>、危险废物和</w:t>
            </w:r>
            <w:r>
              <w:rPr>
                <w:color w:val="auto"/>
                <w:sz w:val="24"/>
                <w:szCs w:val="24"/>
              </w:rPr>
              <w:t>职工生活垃圾。</w:t>
            </w:r>
            <w:r>
              <w:rPr>
                <w:rFonts w:hint="eastAsia"/>
                <w:color w:val="auto"/>
                <w:sz w:val="24"/>
                <w:szCs w:val="24"/>
              </w:rPr>
              <w:t>其中一般工业固废主要为废包装、下脚料</w:t>
            </w:r>
            <w:r>
              <w:rPr>
                <w:rFonts w:hint="eastAsia"/>
                <w:color w:val="auto"/>
                <w:sz w:val="24"/>
                <w:szCs w:val="24"/>
                <w:lang w:eastAsia="zh-CN"/>
              </w:rPr>
              <w:t>、不合格品</w:t>
            </w:r>
            <w:r>
              <w:rPr>
                <w:rFonts w:hint="eastAsia"/>
                <w:color w:val="auto"/>
                <w:sz w:val="24"/>
                <w:szCs w:val="24"/>
              </w:rPr>
              <w:t>；危险废物</w:t>
            </w:r>
            <w:r>
              <w:rPr>
                <w:rFonts w:hint="eastAsia"/>
                <w:color w:val="auto"/>
                <w:sz w:val="24"/>
                <w:szCs w:val="24"/>
                <w:lang w:eastAsia="zh-CN"/>
              </w:rPr>
              <w:t>主要为废分子筛</w:t>
            </w:r>
            <w:r>
              <w:rPr>
                <w:rFonts w:hint="default" w:ascii="Times New Roman" w:hAnsi="Times New Roman" w:cs="Times New Roman"/>
                <w:color w:val="auto"/>
                <w:sz w:val="24"/>
                <w:szCs w:val="24"/>
              </w:rPr>
              <w:t>。</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5、环境风险</w:t>
            </w:r>
          </w:p>
          <w:p>
            <w:pPr>
              <w:spacing w:line="360" w:lineRule="auto"/>
              <w:ind w:firstLine="480" w:firstLineChars="200"/>
              <w:rPr>
                <w:rFonts w:hint="default" w:ascii="Times New Roman" w:hAnsi="Times New Roman" w:cs="Times New Roman"/>
                <w:bCs/>
                <w:color w:val="auto"/>
                <w:sz w:val="24"/>
                <w:szCs w:val="24"/>
              </w:rPr>
            </w:pPr>
            <w:r>
              <w:rPr>
                <w:rFonts w:hint="eastAsia" w:ascii="Times New Roman"/>
                <w:bCs/>
                <w:color w:val="auto"/>
                <w:sz w:val="24"/>
                <w:szCs w:val="24"/>
              </w:rPr>
              <w:t>根据《建设项目环境风险评价技术导则》</w:t>
            </w:r>
            <w:r>
              <w:rPr>
                <w:rFonts w:ascii="Times New Roman"/>
                <w:bCs/>
                <w:color w:val="auto"/>
                <w:sz w:val="24"/>
                <w:szCs w:val="24"/>
              </w:rPr>
              <w:t>(HJ169-2018)和《危险化学品重大危险源辨识》(GB18218-2018)可知，</w:t>
            </w:r>
            <w:r>
              <w:rPr>
                <w:rFonts w:hint="default" w:ascii="Times New Roman" w:hAnsi="Times New Roman" w:cs="Times New Roman"/>
                <w:color w:val="auto"/>
                <w:sz w:val="24"/>
              </w:rPr>
              <w:t>本项目不生产和使用具有毒性和易燃易爆等性质的物品</w:t>
            </w:r>
            <w:r>
              <w:rPr>
                <w:rFonts w:hint="eastAsia" w:cs="Times New Roman"/>
                <w:color w:val="auto"/>
                <w:sz w:val="24"/>
                <w:lang w:eastAsia="zh-CN"/>
              </w:rPr>
              <w:t>，</w:t>
            </w:r>
            <w:r>
              <w:rPr>
                <w:rFonts w:hint="default" w:ascii="Times New Roman" w:hAnsi="Times New Roman" w:cs="Times New Roman"/>
                <w:color w:val="auto"/>
                <w:sz w:val="24"/>
              </w:rPr>
              <w:t>没有构成重大危险源</w:t>
            </w:r>
            <w:r>
              <w:rPr>
                <w:rFonts w:hint="eastAsia" w:cs="Times New Roman"/>
                <w:color w:val="auto"/>
                <w:sz w:val="24"/>
                <w:lang w:eastAsia="zh-CN"/>
              </w:rPr>
              <w:t>，</w:t>
            </w:r>
            <w:r>
              <w:rPr>
                <w:rFonts w:ascii="Times New Roman"/>
                <w:bCs/>
                <w:color w:val="auto"/>
                <w:sz w:val="24"/>
                <w:szCs w:val="24"/>
              </w:rPr>
              <w:t>风险潜势为I级</w:t>
            </w:r>
            <w:r>
              <w:rPr>
                <w:rFonts w:hint="default" w:ascii="Times New Roman" w:hAnsi="Times New Roman" w:cs="Times New Roman"/>
                <w:color w:val="auto"/>
                <w:sz w:val="24"/>
                <w:szCs w:val="24"/>
                <w:lang w:eastAsia="zh-CN"/>
              </w:rPr>
              <w:t>。</w:t>
            </w: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tc>
      </w:tr>
    </w:tbl>
    <w:p>
      <w:pPr>
        <w:spacing w:after="120"/>
        <w:rPr>
          <w:rFonts w:hint="default" w:ascii="Times New Roman" w:hAnsi="Times New Roman" w:eastAsia="黑体" w:cs="Times New Roman"/>
          <w:color w:val="auto"/>
          <w:sz w:val="30"/>
          <w:szCs w:val="30"/>
        </w:rPr>
      </w:pPr>
    </w:p>
    <w:p>
      <w:pPr>
        <w:spacing w:after="12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六、项目主要污染物产生及预计排放情况</w:t>
      </w:r>
    </w:p>
    <w:tbl>
      <w:tblPr>
        <w:tblStyle w:val="39"/>
        <w:tblW w:w="935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24"/>
        <w:gridCol w:w="980"/>
        <w:gridCol w:w="1781"/>
        <w:gridCol w:w="1260"/>
        <w:gridCol w:w="1425"/>
        <w:gridCol w:w="1343"/>
        <w:gridCol w:w="13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67" w:hRule="atLeast"/>
          <w:jc w:val="center"/>
        </w:trPr>
        <w:tc>
          <w:tcPr>
            <w:tcW w:w="1224" w:type="dxa"/>
            <w:vMerge w:val="restart"/>
            <w:tcBorders>
              <w:tl2br w:val="single" w:color="auto" w:sz="4" w:space="0"/>
            </w:tcBorders>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 xml:space="preserve">   内</w:t>
            </w:r>
          </w:p>
          <w:p>
            <w:pPr>
              <w:ind w:firstLine="840" w:firstLineChars="400"/>
              <w:rPr>
                <w:rFonts w:hint="default" w:ascii="Times New Roman" w:hAnsi="Times New Roman" w:cs="Times New Roman"/>
                <w:color w:val="auto"/>
                <w:szCs w:val="21"/>
              </w:rPr>
            </w:pPr>
            <w:r>
              <w:rPr>
                <w:rFonts w:hint="default" w:ascii="Times New Roman" w:hAnsi="Times New Roman" w:cs="Times New Roman"/>
                <w:color w:val="auto"/>
                <w:szCs w:val="21"/>
              </w:rPr>
              <w:t>容</w:t>
            </w:r>
          </w:p>
          <w:p>
            <w:pPr>
              <w:ind w:firstLine="105" w:firstLineChars="50"/>
              <w:rPr>
                <w:rFonts w:hint="default" w:ascii="Times New Roman" w:hAnsi="Times New Roman" w:cs="Times New Roman"/>
                <w:color w:val="auto"/>
                <w:szCs w:val="21"/>
              </w:rPr>
            </w:pPr>
            <w:r>
              <w:rPr>
                <w:rFonts w:hint="default" w:ascii="Times New Roman" w:hAnsi="Times New Roman" w:cs="Times New Roman"/>
                <w:color w:val="auto"/>
                <w:szCs w:val="21"/>
              </w:rPr>
              <w:t>类</w:t>
            </w:r>
          </w:p>
          <w:p>
            <w:pPr>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型</w:t>
            </w:r>
          </w:p>
        </w:tc>
        <w:tc>
          <w:tcPr>
            <w:tcW w:w="98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排放源</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(编号)</w:t>
            </w:r>
          </w:p>
        </w:tc>
        <w:tc>
          <w:tcPr>
            <w:tcW w:w="1781"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污染物名称</w:t>
            </w:r>
          </w:p>
        </w:tc>
        <w:tc>
          <w:tcPr>
            <w:tcW w:w="2685"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污染物处理前</w:t>
            </w:r>
          </w:p>
        </w:tc>
        <w:tc>
          <w:tcPr>
            <w:tcW w:w="2686"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污染物处理后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67" w:hRule="atLeast"/>
          <w:jc w:val="center"/>
        </w:trPr>
        <w:tc>
          <w:tcPr>
            <w:tcW w:w="1224" w:type="dxa"/>
            <w:vMerge w:val="continue"/>
            <w:vAlign w:val="center"/>
          </w:tcPr>
          <w:p>
            <w:pPr>
              <w:rPr>
                <w:rFonts w:hint="default" w:ascii="Times New Roman" w:hAnsi="Times New Roman" w:cs="Times New Roman"/>
                <w:color w:val="auto"/>
                <w:szCs w:val="21"/>
              </w:rPr>
            </w:pPr>
          </w:p>
        </w:tc>
        <w:tc>
          <w:tcPr>
            <w:tcW w:w="980" w:type="dxa"/>
            <w:vMerge w:val="continue"/>
            <w:vAlign w:val="center"/>
          </w:tcPr>
          <w:p>
            <w:pPr>
              <w:jc w:val="center"/>
              <w:rPr>
                <w:rFonts w:hint="default" w:ascii="Times New Roman" w:hAnsi="Times New Roman" w:cs="Times New Roman"/>
                <w:color w:val="auto"/>
                <w:szCs w:val="21"/>
              </w:rPr>
            </w:pPr>
          </w:p>
        </w:tc>
        <w:tc>
          <w:tcPr>
            <w:tcW w:w="1781" w:type="dxa"/>
            <w:vMerge w:val="continue"/>
            <w:vAlign w:val="center"/>
          </w:tcPr>
          <w:p>
            <w:pPr>
              <w:jc w:val="center"/>
              <w:rPr>
                <w:rFonts w:hint="default" w:ascii="Times New Roman" w:hAnsi="Times New Roman" w:cs="Times New Roman"/>
                <w:color w:val="auto"/>
                <w:szCs w:val="21"/>
              </w:rPr>
            </w:pPr>
          </w:p>
        </w:tc>
        <w:tc>
          <w:tcPr>
            <w:tcW w:w="12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产生浓度</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142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产生量</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13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排放浓度</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13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排放量</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941" w:hRule="atLeast"/>
          <w:jc w:val="center"/>
        </w:trPr>
        <w:tc>
          <w:tcPr>
            <w:tcW w:w="1224"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气</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染</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物</w:t>
            </w:r>
          </w:p>
        </w:tc>
        <w:tc>
          <w:tcPr>
            <w:tcW w:w="980" w:type="dxa"/>
            <w:vMerge w:val="restart"/>
            <w:vAlign w:val="center"/>
          </w:tcPr>
          <w:p>
            <w:pPr>
              <w:pStyle w:val="2"/>
              <w:jc w:val="center"/>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生产过程</w:t>
            </w:r>
          </w:p>
        </w:tc>
        <w:tc>
          <w:tcPr>
            <w:tcW w:w="1781" w:type="dxa"/>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VOCs（有组织）</w:t>
            </w:r>
          </w:p>
        </w:tc>
        <w:tc>
          <w:tcPr>
            <w:tcW w:w="1260" w:type="dxa"/>
            <w:vAlign w:val="center"/>
          </w:tcPr>
          <w:p>
            <w:pPr>
              <w:jc w:val="center"/>
              <w:rPr>
                <w:rFonts w:hint="default" w:ascii="Times New Roman" w:hAnsi="Times New Roman" w:cs="Times New Roman"/>
                <w:color w:val="auto"/>
                <w:szCs w:val="21"/>
              </w:rPr>
            </w:pPr>
            <w:r>
              <w:rPr>
                <w:rFonts w:hint="eastAsia" w:cs="Times New Roman"/>
                <w:color w:val="auto"/>
                <w:szCs w:val="21"/>
                <w:lang w:val="en-US" w:eastAsia="zh-CN"/>
              </w:rPr>
              <w:t>5.25</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425" w:type="dxa"/>
            <w:vAlign w:val="center"/>
          </w:tcPr>
          <w:p>
            <w:pPr>
              <w:jc w:val="center"/>
              <w:rPr>
                <w:rFonts w:hint="default" w:ascii="Times New Roman" w:hAnsi="Times New Roman" w:cs="Times New Roman"/>
                <w:color w:val="auto"/>
                <w:szCs w:val="21"/>
              </w:rPr>
            </w:pPr>
            <w:r>
              <w:rPr>
                <w:rFonts w:hint="eastAsia" w:cs="Times New Roman"/>
                <w:color w:val="auto"/>
                <w:szCs w:val="21"/>
                <w:lang w:val="en-US" w:eastAsia="zh-CN"/>
              </w:rPr>
              <w:t>0.063</w:t>
            </w:r>
            <w:r>
              <w:rPr>
                <w:rFonts w:hint="default" w:ascii="Times New Roman" w:hAnsi="Times New Roman" w:cs="Times New Roman"/>
                <w:color w:val="auto"/>
                <w:szCs w:val="21"/>
              </w:rPr>
              <w:t>t/a</w:t>
            </w:r>
          </w:p>
        </w:tc>
        <w:tc>
          <w:tcPr>
            <w:tcW w:w="1343" w:type="dxa"/>
            <w:vAlign w:val="center"/>
          </w:tcPr>
          <w:p>
            <w:pPr>
              <w:jc w:val="center"/>
              <w:rPr>
                <w:rFonts w:hint="default" w:ascii="Times New Roman" w:hAnsi="Times New Roman" w:cs="Times New Roman"/>
                <w:color w:val="auto"/>
                <w:szCs w:val="21"/>
              </w:rPr>
            </w:pPr>
            <w:r>
              <w:rPr>
                <w:rFonts w:hint="eastAsia" w:cs="Times New Roman"/>
                <w:color w:val="auto"/>
                <w:szCs w:val="21"/>
                <w:lang w:val="en-US" w:eastAsia="zh-CN"/>
              </w:rPr>
              <w:t>0.5</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343" w:type="dxa"/>
            <w:vAlign w:val="center"/>
          </w:tcPr>
          <w:p>
            <w:pPr>
              <w:pStyle w:val="2"/>
              <w:jc w:val="center"/>
              <w:rPr>
                <w:rFonts w:hint="default" w:ascii="Times New Roman" w:hAnsi="Times New Roman" w:cs="Times New Roman"/>
                <w:color w:val="auto"/>
                <w:sz w:val="21"/>
                <w:szCs w:val="21"/>
              </w:rPr>
            </w:pPr>
            <w:r>
              <w:rPr>
                <w:rFonts w:hint="eastAsia" w:ascii="Times New Roman" w:cs="Times New Roman"/>
                <w:color w:val="auto"/>
                <w:sz w:val="21"/>
                <w:szCs w:val="21"/>
                <w:lang w:val="en-US" w:eastAsia="zh-CN"/>
              </w:rPr>
              <w:t>0.006</w:t>
            </w:r>
            <w:r>
              <w:rPr>
                <w:rFonts w:hint="default" w:ascii="Times New Roman" w:hAnsi="Times New Roman" w:cs="Times New Roman"/>
                <w:color w:val="auto"/>
                <w:sz w:val="21"/>
                <w:szCs w:val="21"/>
              </w:rPr>
              <w:t xml:space="preserve">t/a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833" w:hRule="atLeast"/>
          <w:jc w:val="center"/>
        </w:trPr>
        <w:tc>
          <w:tcPr>
            <w:tcW w:w="1224" w:type="dxa"/>
            <w:vMerge w:val="continue"/>
            <w:vAlign w:val="center"/>
          </w:tcPr>
          <w:p>
            <w:pPr>
              <w:jc w:val="center"/>
              <w:rPr>
                <w:rFonts w:hint="default" w:ascii="Times New Roman" w:hAnsi="Times New Roman" w:cs="Times New Roman"/>
                <w:color w:val="auto"/>
                <w:szCs w:val="21"/>
              </w:rPr>
            </w:pPr>
          </w:p>
        </w:tc>
        <w:tc>
          <w:tcPr>
            <w:tcW w:w="980" w:type="dxa"/>
            <w:vMerge w:val="continue"/>
            <w:vAlign w:val="center"/>
          </w:tcPr>
          <w:p>
            <w:pPr>
              <w:pStyle w:val="2"/>
              <w:jc w:val="center"/>
              <w:rPr>
                <w:rFonts w:hint="default" w:ascii="Times New Roman" w:hAnsi="Times New Roman" w:cs="Times New Roman"/>
                <w:color w:val="auto"/>
                <w:sz w:val="21"/>
                <w:szCs w:val="21"/>
              </w:rPr>
            </w:pPr>
          </w:p>
        </w:tc>
        <w:tc>
          <w:tcPr>
            <w:tcW w:w="1781" w:type="dxa"/>
            <w:vAlign w:val="center"/>
          </w:tcPr>
          <w:p>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VOCs</w:t>
            </w:r>
            <w:r>
              <w:rPr>
                <w:rFonts w:hint="eastAsia" w:cs="Times New Roman"/>
                <w:color w:val="auto"/>
                <w:szCs w:val="21"/>
                <w:lang w:eastAsia="zh-CN"/>
              </w:rPr>
              <w:t>（无组织）</w:t>
            </w:r>
          </w:p>
        </w:tc>
        <w:tc>
          <w:tcPr>
            <w:tcW w:w="12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42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3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343" w:type="dxa"/>
            <w:vAlign w:val="center"/>
          </w:tcPr>
          <w:p>
            <w:pPr>
              <w:jc w:val="center"/>
              <w:rPr>
                <w:rFonts w:hint="default" w:ascii="Times New Roman" w:hAnsi="Times New Roman" w:cs="Times New Roman"/>
                <w:color w:val="auto"/>
                <w:sz w:val="21"/>
                <w:szCs w:val="21"/>
              </w:rPr>
            </w:pPr>
            <w:r>
              <w:rPr>
                <w:rFonts w:hint="eastAsia" w:cs="Times New Roman"/>
                <w:color w:val="auto"/>
                <w:lang w:val="en-US" w:eastAsia="zh-CN"/>
              </w:rPr>
              <w:t>0.007</w:t>
            </w:r>
            <w:r>
              <w:rPr>
                <w:rFonts w:hint="default" w:ascii="Times New Roman" w:hAnsi="Times New Roman" w:cs="Times New Roman"/>
                <w:color w:val="auto"/>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770" w:hRule="atLeast"/>
          <w:jc w:val="center"/>
        </w:trPr>
        <w:tc>
          <w:tcPr>
            <w:tcW w:w="1224"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水污</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染物</w:t>
            </w:r>
          </w:p>
        </w:tc>
        <w:tc>
          <w:tcPr>
            <w:tcW w:w="98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生活污水</w:t>
            </w:r>
          </w:p>
          <w:p>
            <w:pPr>
              <w:jc w:val="center"/>
              <w:rPr>
                <w:rFonts w:hint="default" w:ascii="Times New Roman" w:hAnsi="Times New Roman" w:cs="Times New Roman"/>
                <w:color w:val="auto"/>
                <w:szCs w:val="21"/>
              </w:rPr>
            </w:pPr>
            <w:r>
              <w:rPr>
                <w:rFonts w:hint="eastAsia" w:cs="Times New Roman"/>
                <w:color w:val="auto"/>
                <w:spacing w:val="-8"/>
                <w:szCs w:val="21"/>
                <w:lang w:val="en-US" w:eastAsia="zh-CN"/>
              </w:rPr>
              <w:t>240</w:t>
            </w:r>
            <w:r>
              <w:rPr>
                <w:rFonts w:hint="default" w:ascii="Times New Roman" w:hAnsi="Times New Roman" w:cs="Times New Roman"/>
                <w:color w:val="auto"/>
                <w:spacing w:val="-8"/>
                <w:szCs w:val="21"/>
              </w:rPr>
              <w:t>t/a</w:t>
            </w:r>
          </w:p>
        </w:tc>
        <w:tc>
          <w:tcPr>
            <w:tcW w:w="1781" w:type="dxa"/>
            <w:tcBorders>
              <w:bottom w:val="single" w:color="auto" w:sz="4"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CODcr</w:t>
            </w:r>
          </w:p>
        </w:tc>
        <w:tc>
          <w:tcPr>
            <w:tcW w:w="12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450mg/L</w:t>
            </w:r>
          </w:p>
        </w:tc>
        <w:tc>
          <w:tcPr>
            <w:tcW w:w="1425" w:type="dxa"/>
            <w:vAlign w:val="center"/>
          </w:tcPr>
          <w:p>
            <w:pPr>
              <w:jc w:val="center"/>
              <w:rPr>
                <w:rFonts w:hint="default" w:ascii="Times New Roman" w:hAnsi="Times New Roman" w:cs="Times New Roman"/>
                <w:color w:val="auto"/>
                <w:szCs w:val="21"/>
              </w:rPr>
            </w:pPr>
            <w:r>
              <w:rPr>
                <w:rFonts w:hint="eastAsia" w:cs="Times New Roman"/>
                <w:color w:val="auto"/>
                <w:szCs w:val="21"/>
                <w:lang w:val="en-US" w:eastAsia="zh-CN"/>
              </w:rPr>
              <w:t>0.108</w:t>
            </w:r>
            <w:r>
              <w:rPr>
                <w:rFonts w:hint="default" w:ascii="Times New Roman" w:hAnsi="Times New Roman" w:cs="Times New Roman"/>
                <w:color w:val="auto"/>
                <w:szCs w:val="21"/>
              </w:rPr>
              <w:t>t/a</w:t>
            </w:r>
          </w:p>
        </w:tc>
        <w:tc>
          <w:tcPr>
            <w:tcW w:w="13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350mg/L</w:t>
            </w:r>
          </w:p>
        </w:tc>
        <w:tc>
          <w:tcPr>
            <w:tcW w:w="1343" w:type="dxa"/>
            <w:vAlign w:val="center"/>
          </w:tcPr>
          <w:p>
            <w:pPr>
              <w:jc w:val="center"/>
              <w:rPr>
                <w:rFonts w:hint="default" w:ascii="Times New Roman" w:hAnsi="Times New Roman" w:cs="Times New Roman"/>
                <w:color w:val="auto"/>
                <w:szCs w:val="21"/>
              </w:rPr>
            </w:pPr>
            <w:r>
              <w:rPr>
                <w:rFonts w:hint="eastAsia" w:cs="Times New Roman"/>
                <w:color w:val="auto"/>
                <w:szCs w:val="21"/>
                <w:lang w:val="en-US" w:eastAsia="zh-CN"/>
              </w:rPr>
              <w:t>0.084</w:t>
            </w:r>
            <w:r>
              <w:rPr>
                <w:rFonts w:hint="default" w:ascii="Times New Roman" w:hAnsi="Times New Roman" w:cs="Times New Roman"/>
                <w:color w:val="auto"/>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791" w:hRule="atLeast"/>
          <w:jc w:val="center"/>
        </w:trPr>
        <w:tc>
          <w:tcPr>
            <w:tcW w:w="1224" w:type="dxa"/>
            <w:vMerge w:val="continue"/>
            <w:vAlign w:val="center"/>
          </w:tcPr>
          <w:p>
            <w:pPr>
              <w:jc w:val="center"/>
              <w:rPr>
                <w:rFonts w:hint="default" w:ascii="Times New Roman" w:hAnsi="Times New Roman" w:cs="Times New Roman"/>
                <w:color w:val="auto"/>
                <w:szCs w:val="21"/>
              </w:rPr>
            </w:pPr>
          </w:p>
        </w:tc>
        <w:tc>
          <w:tcPr>
            <w:tcW w:w="980" w:type="dxa"/>
            <w:vMerge w:val="continue"/>
            <w:vAlign w:val="center"/>
          </w:tcPr>
          <w:p>
            <w:pPr>
              <w:jc w:val="center"/>
              <w:rPr>
                <w:rFonts w:hint="default" w:ascii="Times New Roman" w:hAnsi="Times New Roman" w:cs="Times New Roman"/>
                <w:color w:val="auto"/>
                <w:szCs w:val="21"/>
              </w:rPr>
            </w:pPr>
          </w:p>
        </w:tc>
        <w:tc>
          <w:tcPr>
            <w:tcW w:w="1781" w:type="dxa"/>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12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40mg/L</w:t>
            </w:r>
          </w:p>
        </w:tc>
        <w:tc>
          <w:tcPr>
            <w:tcW w:w="1425" w:type="dxa"/>
            <w:vAlign w:val="center"/>
          </w:tcPr>
          <w:p>
            <w:pPr>
              <w:jc w:val="center"/>
              <w:rPr>
                <w:rFonts w:hint="default" w:ascii="Times New Roman" w:hAnsi="Times New Roman" w:cs="Times New Roman"/>
                <w:color w:val="auto"/>
                <w:szCs w:val="21"/>
              </w:rPr>
            </w:pPr>
            <w:r>
              <w:rPr>
                <w:rFonts w:hint="eastAsia" w:cs="Times New Roman"/>
                <w:color w:val="auto"/>
                <w:szCs w:val="21"/>
                <w:lang w:val="en-US" w:eastAsia="zh-CN"/>
              </w:rPr>
              <w:t>0.01</w:t>
            </w:r>
            <w:r>
              <w:rPr>
                <w:rFonts w:hint="default" w:ascii="Times New Roman" w:hAnsi="Times New Roman" w:cs="Times New Roman"/>
                <w:color w:val="auto"/>
                <w:szCs w:val="21"/>
              </w:rPr>
              <w:t>t/a</w:t>
            </w:r>
          </w:p>
        </w:tc>
        <w:tc>
          <w:tcPr>
            <w:tcW w:w="1343" w:type="dxa"/>
            <w:tcBorders>
              <w:bottom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25mg/L</w:t>
            </w:r>
          </w:p>
        </w:tc>
        <w:tc>
          <w:tcPr>
            <w:tcW w:w="1343" w:type="dxa"/>
            <w:tcBorders>
              <w:bottom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0.00</w:t>
            </w:r>
            <w:r>
              <w:rPr>
                <w:rFonts w:hint="eastAsia" w:cs="Times New Roman"/>
                <w:color w:val="auto"/>
                <w:szCs w:val="21"/>
                <w:lang w:val="en-US" w:eastAsia="zh-CN"/>
              </w:rPr>
              <w:t>6</w:t>
            </w:r>
            <w:r>
              <w:rPr>
                <w:rFonts w:hint="default" w:ascii="Times New Roman" w:hAnsi="Times New Roman" w:cs="Times New Roman"/>
                <w:color w:val="auto"/>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784" w:hRule="atLeast"/>
          <w:jc w:val="center"/>
        </w:trPr>
        <w:tc>
          <w:tcPr>
            <w:tcW w:w="1224"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体</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物</w:t>
            </w:r>
          </w:p>
        </w:tc>
        <w:tc>
          <w:tcPr>
            <w:tcW w:w="98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生产过程</w:t>
            </w:r>
          </w:p>
        </w:tc>
        <w:tc>
          <w:tcPr>
            <w:tcW w:w="1781"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废包装</w:t>
            </w:r>
          </w:p>
        </w:tc>
        <w:tc>
          <w:tcPr>
            <w:tcW w:w="12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425" w:type="dxa"/>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0.2</w:t>
            </w:r>
            <w:r>
              <w:rPr>
                <w:rFonts w:hint="default" w:ascii="Times New Roman" w:hAnsi="Times New Roman" w:cs="Times New Roman"/>
                <w:color w:val="auto"/>
                <w:szCs w:val="21"/>
              </w:rPr>
              <w:t>t/a</w:t>
            </w:r>
          </w:p>
        </w:tc>
        <w:tc>
          <w:tcPr>
            <w:tcW w:w="2686" w:type="dxa"/>
            <w:gridSpan w:val="2"/>
            <w:vMerge w:val="restart"/>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由物资回收部门回收处置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742" w:hRule="atLeast"/>
          <w:jc w:val="center"/>
        </w:trPr>
        <w:tc>
          <w:tcPr>
            <w:tcW w:w="1224" w:type="dxa"/>
            <w:vMerge w:val="continue"/>
            <w:vAlign w:val="center"/>
          </w:tcPr>
          <w:p>
            <w:pPr>
              <w:jc w:val="center"/>
              <w:rPr>
                <w:rFonts w:hint="default" w:ascii="Times New Roman" w:hAnsi="Times New Roman" w:cs="Times New Roman"/>
                <w:color w:val="auto"/>
                <w:szCs w:val="21"/>
              </w:rPr>
            </w:pPr>
          </w:p>
        </w:tc>
        <w:tc>
          <w:tcPr>
            <w:tcW w:w="980" w:type="dxa"/>
            <w:vMerge w:val="continue"/>
            <w:vAlign w:val="center"/>
          </w:tcPr>
          <w:p>
            <w:pPr>
              <w:jc w:val="center"/>
              <w:rPr>
                <w:rFonts w:hint="default" w:ascii="Times New Roman" w:hAnsi="Times New Roman" w:cs="Times New Roman"/>
                <w:color w:val="auto"/>
                <w:szCs w:val="21"/>
              </w:rPr>
            </w:pPr>
          </w:p>
        </w:tc>
        <w:tc>
          <w:tcPr>
            <w:tcW w:w="1781" w:type="dxa"/>
            <w:vAlign w:val="center"/>
          </w:tcPr>
          <w:p>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下脚料</w:t>
            </w:r>
            <w:r>
              <w:rPr>
                <w:rFonts w:hint="eastAsia" w:cs="Times New Roman"/>
                <w:color w:val="auto"/>
                <w:szCs w:val="21"/>
                <w:lang w:eastAsia="zh-CN"/>
              </w:rPr>
              <w:t>、不合格品</w:t>
            </w:r>
          </w:p>
        </w:tc>
        <w:tc>
          <w:tcPr>
            <w:tcW w:w="12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425" w:type="dxa"/>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0.5</w:t>
            </w:r>
            <w:r>
              <w:rPr>
                <w:rFonts w:hint="default" w:ascii="Times New Roman" w:hAnsi="Times New Roman" w:cs="Times New Roman"/>
                <w:color w:val="auto"/>
                <w:szCs w:val="21"/>
              </w:rPr>
              <w:t xml:space="preserve">t/a </w:t>
            </w:r>
          </w:p>
        </w:tc>
        <w:tc>
          <w:tcPr>
            <w:tcW w:w="2686" w:type="dxa"/>
            <w:gridSpan w:val="2"/>
            <w:vMerge w:val="continue"/>
            <w:vAlign w:val="center"/>
          </w:tcPr>
          <w:p>
            <w:pPr>
              <w:adjustRightInd w:val="0"/>
              <w:snapToGrid w:val="0"/>
              <w:jc w:val="center"/>
              <w:rPr>
                <w:rFonts w:hint="eastAsia" w:ascii="Times New Roman" w:hAnsi="Times New Roman" w:eastAsia="宋体" w:cs="Times New Roman"/>
                <w:color w:val="auto"/>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787" w:hRule="atLeast"/>
          <w:jc w:val="center"/>
        </w:trPr>
        <w:tc>
          <w:tcPr>
            <w:tcW w:w="1224" w:type="dxa"/>
            <w:vMerge w:val="continue"/>
            <w:vAlign w:val="center"/>
          </w:tcPr>
          <w:p>
            <w:pPr>
              <w:jc w:val="center"/>
              <w:rPr>
                <w:rFonts w:hint="default" w:ascii="Times New Roman" w:hAnsi="Times New Roman" w:cs="Times New Roman"/>
                <w:color w:val="auto"/>
                <w:szCs w:val="21"/>
              </w:rPr>
            </w:pPr>
          </w:p>
        </w:tc>
        <w:tc>
          <w:tcPr>
            <w:tcW w:w="980" w:type="dxa"/>
            <w:vMerge w:val="continue"/>
            <w:vAlign w:val="center"/>
          </w:tcPr>
          <w:p>
            <w:pPr>
              <w:jc w:val="center"/>
              <w:rPr>
                <w:rFonts w:hint="default" w:ascii="Times New Roman" w:hAnsi="Times New Roman" w:cs="Times New Roman"/>
                <w:color w:val="auto"/>
                <w:szCs w:val="21"/>
              </w:rPr>
            </w:pPr>
          </w:p>
        </w:tc>
        <w:tc>
          <w:tcPr>
            <w:tcW w:w="1781" w:type="dxa"/>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废分子筛</w:t>
            </w:r>
          </w:p>
        </w:tc>
        <w:tc>
          <w:tcPr>
            <w:tcW w:w="12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425" w:type="dxa"/>
            <w:vAlign w:val="center"/>
          </w:tcPr>
          <w:p>
            <w:pPr>
              <w:adjustRightInd w:val="0"/>
              <w:snapToGrid w:val="0"/>
              <w:jc w:val="center"/>
              <w:rPr>
                <w:rFonts w:hint="default" w:ascii="Times New Roman" w:hAnsi="Times New Roman" w:cs="Times New Roman"/>
                <w:color w:val="auto"/>
                <w:szCs w:val="21"/>
                <w:lang w:val="en-US"/>
              </w:rPr>
            </w:pPr>
            <w:r>
              <w:rPr>
                <w:rFonts w:hint="eastAsia" w:cs="Times New Roman"/>
                <w:color w:val="auto"/>
                <w:szCs w:val="21"/>
                <w:lang w:val="en-US" w:eastAsia="zh-CN"/>
              </w:rPr>
              <w:t>0.2t/3a</w:t>
            </w:r>
          </w:p>
        </w:tc>
        <w:tc>
          <w:tcPr>
            <w:tcW w:w="2686" w:type="dxa"/>
            <w:gridSpan w:val="2"/>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由有危废处置资质单位处置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818" w:hRule="atLeast"/>
          <w:jc w:val="center"/>
        </w:trPr>
        <w:tc>
          <w:tcPr>
            <w:tcW w:w="1224" w:type="dxa"/>
            <w:vMerge w:val="continue"/>
            <w:vAlign w:val="center"/>
          </w:tcPr>
          <w:p>
            <w:pPr>
              <w:jc w:val="center"/>
              <w:rPr>
                <w:rFonts w:hint="default" w:ascii="Times New Roman" w:hAnsi="Times New Roman" w:cs="Times New Roman"/>
                <w:color w:val="auto"/>
                <w:szCs w:val="21"/>
              </w:rPr>
            </w:pPr>
          </w:p>
        </w:tc>
        <w:tc>
          <w:tcPr>
            <w:tcW w:w="9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职工生活</w:t>
            </w:r>
          </w:p>
        </w:tc>
        <w:tc>
          <w:tcPr>
            <w:tcW w:w="1781"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12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425" w:type="dxa"/>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3</w:t>
            </w:r>
            <w:r>
              <w:rPr>
                <w:rFonts w:hint="default" w:ascii="Times New Roman" w:hAnsi="Times New Roman" w:cs="Times New Roman"/>
                <w:color w:val="auto"/>
                <w:szCs w:val="21"/>
              </w:rPr>
              <w:t>t/a</w:t>
            </w:r>
          </w:p>
        </w:tc>
        <w:tc>
          <w:tcPr>
            <w:tcW w:w="2686" w:type="dxa"/>
            <w:gridSpan w:val="2"/>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由环卫部门定期清运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809" w:hRule="atLeast"/>
          <w:jc w:val="center"/>
        </w:trPr>
        <w:tc>
          <w:tcPr>
            <w:tcW w:w="122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980" w:type="dxa"/>
            <w:vAlign w:val="center"/>
          </w:tcPr>
          <w:p>
            <w:pPr>
              <w:spacing w:beforeLines="50" w:afterLines="50"/>
              <w:jc w:val="center"/>
              <w:rPr>
                <w:rFonts w:hint="default" w:ascii="Times New Roman" w:hAnsi="Times New Roman" w:cs="Times New Roman"/>
                <w:color w:val="auto"/>
                <w:szCs w:val="21"/>
              </w:rPr>
            </w:pPr>
            <w:r>
              <w:rPr>
                <w:rFonts w:hint="default" w:ascii="Times New Roman" w:hAnsi="Times New Roman" w:cs="Times New Roman"/>
                <w:color w:val="auto"/>
                <w:szCs w:val="21"/>
              </w:rPr>
              <w:t>运营期</w:t>
            </w:r>
          </w:p>
        </w:tc>
        <w:tc>
          <w:tcPr>
            <w:tcW w:w="1781" w:type="dxa"/>
            <w:vAlign w:val="center"/>
          </w:tcPr>
          <w:p>
            <w:pPr>
              <w:spacing w:beforeLines="50" w:afterLines="50"/>
              <w:jc w:val="center"/>
              <w:rPr>
                <w:rFonts w:hint="default" w:ascii="Times New Roman" w:hAnsi="Times New Roman" w:cs="Times New Roman"/>
                <w:color w:val="auto"/>
                <w:szCs w:val="21"/>
              </w:rPr>
            </w:pPr>
            <w:r>
              <w:rPr>
                <w:rFonts w:hint="default" w:ascii="Times New Roman" w:hAnsi="Times New Roman" w:cs="Times New Roman"/>
                <w:color w:val="auto"/>
                <w:szCs w:val="21"/>
              </w:rPr>
              <w:t>设备噪声</w:t>
            </w:r>
          </w:p>
        </w:tc>
        <w:tc>
          <w:tcPr>
            <w:tcW w:w="1260" w:type="dxa"/>
            <w:vAlign w:val="center"/>
          </w:tcPr>
          <w:p>
            <w:pPr>
              <w:spacing w:beforeLines="50" w:afterLines="5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425" w:type="dxa"/>
            <w:vAlign w:val="center"/>
          </w:tcPr>
          <w:p>
            <w:pPr>
              <w:spacing w:beforeLines="50" w:afterLines="5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eastAsia" w:cs="Times New Roman"/>
                <w:color w:val="auto"/>
                <w:szCs w:val="21"/>
                <w:lang w:val="en-US" w:eastAsia="zh-CN"/>
              </w:rPr>
              <w:t>85</w:t>
            </w:r>
            <w:r>
              <w:rPr>
                <w:rFonts w:hint="default" w:ascii="Times New Roman" w:hAnsi="Times New Roman" w:cs="Times New Roman"/>
                <w:color w:val="auto"/>
                <w:szCs w:val="21"/>
              </w:rPr>
              <w:t>dB(A)</w:t>
            </w:r>
          </w:p>
        </w:tc>
        <w:tc>
          <w:tcPr>
            <w:tcW w:w="1343" w:type="dxa"/>
            <w:vAlign w:val="center"/>
          </w:tcPr>
          <w:p>
            <w:pPr>
              <w:spacing w:beforeLines="50" w:afterLines="5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343" w:type="dxa"/>
            <w:vAlign w:val="center"/>
          </w:tcPr>
          <w:p>
            <w:pPr>
              <w:spacing w:beforeLines="50" w:afterLines="5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eastAsia" w:cs="Times New Roman"/>
                <w:color w:val="auto"/>
                <w:szCs w:val="21"/>
                <w:lang w:val="en-US" w:eastAsia="zh-CN"/>
              </w:rPr>
              <w:t>5</w:t>
            </w:r>
            <w:r>
              <w:rPr>
                <w:rFonts w:hint="default" w:ascii="Times New Roman" w:hAnsi="Times New Roman" w:cs="Times New Roman"/>
                <w:color w:val="auto"/>
                <w:szCs w:val="21"/>
              </w:rPr>
              <w:t>~6</w:t>
            </w:r>
            <w:r>
              <w:rPr>
                <w:rFonts w:hint="eastAsia" w:cs="Times New Roman"/>
                <w:color w:val="auto"/>
                <w:szCs w:val="21"/>
                <w:lang w:val="en-US" w:eastAsia="zh-CN"/>
              </w:rPr>
              <w:t>5</w:t>
            </w:r>
            <w:r>
              <w:rPr>
                <w:rFonts w:hint="default" w:ascii="Times New Roman" w:hAnsi="Times New Roman" w:cs="Times New Roman"/>
                <w:color w:val="auto"/>
                <w:szCs w:val="21"/>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759" w:hRule="atLeast"/>
          <w:jc w:val="center"/>
        </w:trPr>
        <w:tc>
          <w:tcPr>
            <w:tcW w:w="122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其他</w:t>
            </w:r>
          </w:p>
        </w:tc>
        <w:tc>
          <w:tcPr>
            <w:tcW w:w="8132" w:type="dxa"/>
            <w:gridSpan w:val="6"/>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56" w:hRule="atLeast"/>
          <w:jc w:val="center"/>
        </w:trPr>
        <w:tc>
          <w:tcPr>
            <w:tcW w:w="9356" w:type="dxa"/>
            <w:gridSpan w:val="7"/>
            <w:vAlign w:val="center"/>
          </w:tcPr>
          <w:p>
            <w:pPr>
              <w:spacing w:line="360" w:lineRule="auto"/>
              <w:rPr>
                <w:rFonts w:hint="default" w:ascii="Times New Roman" w:hAnsi="Times New Roman" w:cs="Times New Roman"/>
                <w:color w:val="auto"/>
              </w:rPr>
            </w:pPr>
            <w:r>
              <w:rPr>
                <w:rFonts w:hint="default" w:ascii="Times New Roman" w:hAnsi="Times New Roman" w:cs="Times New Roman"/>
                <w:color w:val="auto"/>
              </w:rPr>
              <w:t>主要生态影响(不够时可附另页)：</w:t>
            </w:r>
          </w:p>
          <w:p>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rPr>
              <w:t>本项</w:t>
            </w:r>
            <w:r>
              <w:rPr>
                <w:rFonts w:hint="default" w:ascii="Times New Roman" w:hAnsi="Times New Roman" w:cs="Times New Roman"/>
                <w:color w:val="auto"/>
                <w:szCs w:val="21"/>
              </w:rPr>
              <w:t>目</w:t>
            </w:r>
            <w:r>
              <w:rPr>
                <w:rFonts w:hint="default" w:ascii="Times New Roman" w:hAnsi="Times New Roman" w:cs="Times New Roman"/>
                <w:color w:val="auto"/>
                <w:sz w:val="21"/>
                <w:szCs w:val="21"/>
              </w:rPr>
              <w:t>位于</w:t>
            </w:r>
            <w:r>
              <w:rPr>
                <w:rFonts w:hint="eastAsia" w:cs="Times New Roman"/>
                <w:color w:val="auto"/>
                <w:sz w:val="21"/>
                <w:szCs w:val="21"/>
                <w:lang w:eastAsia="zh-CN"/>
              </w:rPr>
              <w:t>威海市环翠区羊亭镇顺海路3-1号</w:t>
            </w:r>
            <w:r>
              <w:rPr>
                <w:rFonts w:hint="default" w:ascii="Times New Roman" w:hAnsi="Times New Roman" w:cs="Times New Roman"/>
                <w:color w:val="auto"/>
                <w:sz w:val="21"/>
                <w:szCs w:val="21"/>
              </w:rPr>
              <w:t>，周围无重要的生态资源。由于</w:t>
            </w:r>
            <w:r>
              <w:rPr>
                <w:rFonts w:hint="default" w:ascii="Times New Roman" w:hAnsi="Times New Roman" w:cs="Times New Roman"/>
                <w:color w:val="auto"/>
                <w:sz w:val="21"/>
                <w:szCs w:val="21"/>
                <w:lang w:eastAsia="zh-CN"/>
              </w:rPr>
              <w:t>本次</w:t>
            </w: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eastAsia="zh-CN"/>
              </w:rPr>
              <w:t>利用已建</w:t>
            </w:r>
            <w:r>
              <w:rPr>
                <w:rFonts w:hint="default" w:ascii="Times New Roman" w:hAnsi="Times New Roman" w:cs="Times New Roman"/>
                <w:color w:val="auto"/>
                <w:sz w:val="21"/>
                <w:szCs w:val="21"/>
                <w:lang w:val="en-US" w:eastAsia="zh-CN"/>
              </w:rPr>
              <w:t>厂</w:t>
            </w:r>
            <w:r>
              <w:rPr>
                <w:rFonts w:hint="default" w:ascii="Times New Roman" w:hAnsi="Times New Roman" w:cs="Times New Roman"/>
                <w:color w:val="auto"/>
                <w:sz w:val="21"/>
                <w:szCs w:val="21"/>
                <w:lang w:eastAsia="zh-CN"/>
              </w:rPr>
              <w:t>房</w:t>
            </w:r>
            <w:r>
              <w:rPr>
                <w:rFonts w:hint="default" w:ascii="Times New Roman" w:hAnsi="Times New Roman" w:cs="Times New Roman"/>
                <w:color w:val="auto"/>
                <w:sz w:val="21"/>
                <w:szCs w:val="21"/>
              </w:rPr>
              <w:t>进行生产经营，没有进行土地开挖，因此不考虑对生态环境的影响。</w:t>
            </w:r>
          </w:p>
        </w:tc>
      </w:tr>
    </w:tbl>
    <w:p>
      <w:pPr>
        <w:spacing w:after="120"/>
        <w:rPr>
          <w:rFonts w:hint="default" w:ascii="Times New Roman" w:hAnsi="Times New Roman" w:eastAsia="黑体" w:cs="Times New Roman"/>
          <w:color w:val="auto"/>
          <w:sz w:val="30"/>
          <w:szCs w:val="30"/>
        </w:rPr>
      </w:pPr>
    </w:p>
    <w:p>
      <w:pPr>
        <w:spacing w:after="12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七、环境影响分析</w:t>
      </w:r>
    </w:p>
    <w:tbl>
      <w:tblPr>
        <w:tblStyle w:val="39"/>
        <w:tblW w:w="929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9297" w:type="dxa"/>
          </w:tcPr>
          <w:p>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施工期环境影响分析：</w:t>
            </w:r>
          </w:p>
          <w:p>
            <w:pPr>
              <w:spacing w:line="360" w:lineRule="auto"/>
              <w:ind w:firstLine="439" w:firstLineChars="183"/>
              <w:rPr>
                <w:rFonts w:hint="default" w:ascii="Times New Roman" w:hAnsi="Times New Roman" w:cs="Times New Roman"/>
                <w:color w:val="auto"/>
              </w:rPr>
            </w:pPr>
            <w:r>
              <w:rPr>
                <w:rFonts w:hint="default" w:ascii="Times New Roman" w:hAnsi="Times New Roman" w:cs="Times New Roman"/>
                <w:color w:val="auto"/>
                <w:sz w:val="24"/>
                <w:lang w:eastAsia="zh-CN"/>
              </w:rPr>
              <w:t>本</w:t>
            </w:r>
            <w:r>
              <w:rPr>
                <w:rFonts w:hint="default" w:ascii="Times New Roman" w:hAnsi="Times New Roman" w:cs="Times New Roman"/>
                <w:color w:val="auto"/>
                <w:sz w:val="24"/>
              </w:rPr>
              <w:t>项目</w:t>
            </w:r>
            <w:r>
              <w:rPr>
                <w:rFonts w:hint="eastAsia" w:cs="Times New Roman"/>
                <w:color w:val="auto"/>
                <w:sz w:val="24"/>
                <w:lang w:eastAsia="zh-CN"/>
              </w:rPr>
              <w:t>使用</w:t>
            </w:r>
            <w:r>
              <w:rPr>
                <w:rFonts w:hint="default" w:ascii="Times New Roman" w:hAnsi="Times New Roman" w:cs="Times New Roman"/>
                <w:color w:val="auto"/>
                <w:sz w:val="24"/>
                <w:lang w:eastAsia="zh-CN"/>
              </w:rPr>
              <w:t>已建</w:t>
            </w:r>
            <w:r>
              <w:rPr>
                <w:rFonts w:hint="default" w:ascii="Times New Roman" w:hAnsi="Times New Roman" w:cs="Times New Roman"/>
                <w:color w:val="auto"/>
                <w:sz w:val="24"/>
              </w:rPr>
              <w:t>生产车间</w:t>
            </w:r>
            <w:r>
              <w:rPr>
                <w:rFonts w:hint="default" w:ascii="Times New Roman" w:hAnsi="Times New Roman" w:cs="Times New Roman"/>
                <w:color w:val="auto"/>
                <w:sz w:val="24"/>
                <w:lang w:eastAsia="zh-CN"/>
              </w:rPr>
              <w:t>进行生产</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无土建工程</w:t>
            </w:r>
            <w:r>
              <w:rPr>
                <w:rFonts w:hint="default" w:ascii="Times New Roman" w:hAnsi="Times New Roman" w:cs="Times New Roman"/>
                <w:color w:val="auto"/>
                <w:sz w:val="24"/>
              </w:rPr>
              <w:t>，因此，本环评对施工期不再进行分析和评价</w:t>
            </w:r>
            <w:r>
              <w:rPr>
                <w:rFonts w:hint="default" w:ascii="Times New Roman" w:hAnsi="Times New Roman" w:cs="Times New Roman"/>
                <w:color w:val="auto"/>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5" w:hRule="atLeast"/>
          <w:jc w:val="center"/>
        </w:trPr>
        <w:tc>
          <w:tcPr>
            <w:tcW w:w="9297" w:type="dxa"/>
          </w:tcPr>
          <w:p>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营运期环境影响分析：</w:t>
            </w:r>
          </w:p>
          <w:p>
            <w:pPr>
              <w:pStyle w:val="17"/>
              <w:numPr>
                <w:ilvl w:val="0"/>
                <w:numId w:val="6"/>
              </w:numPr>
              <w:ind w:left="479" w:leftChars="228" w:firstLine="0"/>
              <w:rPr>
                <w:rFonts w:hint="default" w:ascii="Times New Roman" w:hAnsi="Times New Roman" w:cs="Times New Roman"/>
                <w:b/>
                <w:color w:val="auto"/>
              </w:rPr>
            </w:pPr>
            <w:r>
              <w:rPr>
                <w:rFonts w:hint="default" w:ascii="Times New Roman" w:hAnsi="Times New Roman" w:cs="Times New Roman"/>
                <w:b/>
                <w:color w:val="auto"/>
              </w:rPr>
              <w:t>环境空气影响分析：</w:t>
            </w:r>
          </w:p>
          <w:p>
            <w:pPr>
              <w:pStyle w:val="64"/>
              <w:autoSpaceDE w:val="0"/>
              <w:autoSpaceDN w:val="0"/>
              <w:adjustRightInd/>
              <w:spacing w:line="360" w:lineRule="auto"/>
              <w:jc w:val="left"/>
              <w:textAlignment w:val="auto"/>
              <w:rPr>
                <w:rFonts w:hint="default" w:eastAsia="宋体"/>
                <w:color w:val="auto"/>
                <w:szCs w:val="24"/>
                <w:lang w:val="en-US" w:eastAsia="zh-CN"/>
              </w:rPr>
            </w:pPr>
            <w:r>
              <w:rPr>
                <w:rFonts w:hint="eastAsia" w:eastAsia="宋体"/>
                <w:color w:val="auto"/>
                <w:szCs w:val="24"/>
                <w:lang w:eastAsia="zh-CN"/>
              </w:rPr>
              <w:t>本</w:t>
            </w:r>
            <w:r>
              <w:rPr>
                <w:rFonts w:eastAsia="宋体"/>
                <w:color w:val="auto"/>
                <w:szCs w:val="24"/>
              </w:rPr>
              <w:t>项目</w:t>
            </w:r>
            <w:r>
              <w:rPr>
                <w:rFonts w:hint="eastAsia" w:ascii="宋体" w:hAnsi="宋体" w:eastAsia="宋体" w:cs="宋体"/>
                <w:color w:val="auto"/>
                <w:szCs w:val="24"/>
                <w:shd w:val="clear" w:color="auto" w:fill="FFFFFF"/>
              </w:rPr>
              <w:t>废气</w:t>
            </w:r>
            <w:r>
              <w:rPr>
                <w:rFonts w:hint="default" w:ascii="Times New Roman" w:hAnsi="Times New Roman" w:cs="Times New Roman" w:eastAsiaTheme="minorEastAsia"/>
                <w:color w:val="auto"/>
                <w:szCs w:val="24"/>
                <w:shd w:val="clear" w:color="auto" w:fill="FFFFFF"/>
              </w:rPr>
              <w:t>主要</w:t>
            </w:r>
            <w:r>
              <w:rPr>
                <w:rFonts w:hint="eastAsia" w:cs="Times New Roman" w:eastAsiaTheme="minorEastAsia"/>
                <w:color w:val="auto"/>
                <w:szCs w:val="24"/>
                <w:shd w:val="clear" w:color="auto" w:fill="FFFFFF"/>
                <w:lang w:eastAsia="zh-CN"/>
              </w:rPr>
              <w:t>是</w:t>
            </w:r>
            <w:r>
              <w:rPr>
                <w:rFonts w:hint="default" w:ascii="Times New Roman" w:hAnsi="Times New Roman" w:cs="Times New Roman" w:eastAsiaTheme="minorEastAsia"/>
                <w:color w:val="auto"/>
                <w:sz w:val="24"/>
                <w:szCs w:val="24"/>
                <w:lang w:val="en-US" w:eastAsia="zh-CN" w:bidi="ar"/>
              </w:rPr>
              <w:t>原料烘干、加热熔融及合模保压等注塑过程产生有机废气</w:t>
            </w:r>
            <w:r>
              <w:rPr>
                <w:rFonts w:hint="eastAsia" w:ascii="Times New Roman" w:hAnsi="Times New Roman" w:cs="Times New Roman" w:eastAsiaTheme="minorEastAsia"/>
                <w:color w:val="auto"/>
                <w:szCs w:val="24"/>
                <w:lang w:val="zh-CN"/>
              </w:rPr>
              <w:t>，主要污染物为</w:t>
            </w:r>
            <w:r>
              <w:rPr>
                <w:rFonts w:hint="eastAsia" w:ascii="Times New Roman" w:hAnsi="Times New Roman" w:cs="Times New Roman" w:eastAsiaTheme="minorEastAsia"/>
                <w:color w:val="auto"/>
                <w:szCs w:val="24"/>
                <w:lang w:val="en-US" w:eastAsia="zh-CN"/>
              </w:rPr>
              <w:t>VOCs</w:t>
            </w:r>
            <w:r>
              <w:rPr>
                <w:rFonts w:hint="eastAsia" w:eastAsia="宋体"/>
                <w:color w:val="auto"/>
                <w:szCs w:val="24"/>
                <w:lang w:val="zh-CN"/>
              </w:rPr>
              <w:t>，分为有组织排放和无组织排放，项目厂区内设</w:t>
            </w:r>
            <w:r>
              <w:rPr>
                <w:rFonts w:hint="eastAsia" w:eastAsia="宋体"/>
                <w:color w:val="auto"/>
                <w:szCs w:val="24"/>
                <w:lang w:val="en-US" w:eastAsia="zh-CN"/>
              </w:rPr>
              <w:t>1根15m排气筒。</w:t>
            </w:r>
          </w:p>
          <w:p>
            <w:pPr>
              <w:spacing w:line="360" w:lineRule="auto"/>
              <w:ind w:firstLine="480" w:firstLineChars="200"/>
              <w:jc w:val="left"/>
              <w:rPr>
                <w:bCs/>
                <w:color w:val="auto"/>
                <w:sz w:val="24"/>
                <w:szCs w:val="24"/>
              </w:rPr>
            </w:pPr>
            <w:r>
              <w:rPr>
                <w:rFonts w:hint="eastAsia"/>
                <w:bCs/>
                <w:color w:val="auto"/>
                <w:sz w:val="24"/>
                <w:szCs w:val="24"/>
              </w:rPr>
              <w:t>1、废气有组织排放情况分析</w:t>
            </w:r>
          </w:p>
          <w:p>
            <w:pPr>
              <w:spacing w:line="360" w:lineRule="auto"/>
              <w:ind w:firstLine="480" w:firstLineChars="200"/>
              <w:rPr>
                <w:rFonts w:hint="default" w:ascii="Times New Roman" w:hAnsi="Times New Roman" w:eastAsia="宋体" w:cs="Times New Roman"/>
                <w:b w:val="0"/>
                <w:bCs/>
                <w:color w:val="auto"/>
                <w:sz w:val="24"/>
                <w:szCs w:val="24"/>
                <w:lang w:val="en-US" w:eastAsia="zh-CN"/>
              </w:rPr>
            </w:pPr>
            <w:r>
              <w:rPr>
                <w:rFonts w:hint="eastAsia" w:eastAsia="宋体" w:cs="Times New Roman"/>
                <w:b w:val="0"/>
                <w:bCs/>
                <w:color w:val="auto"/>
                <w:sz w:val="24"/>
                <w:szCs w:val="24"/>
                <w:lang w:val="en-US" w:eastAsia="zh-CN"/>
              </w:rPr>
              <w:t>本</w:t>
            </w:r>
            <w:r>
              <w:rPr>
                <w:rFonts w:hint="default" w:ascii="Times New Roman" w:hAnsi="Times New Roman" w:eastAsia="宋体" w:cs="Times New Roman"/>
                <w:b w:val="0"/>
                <w:bCs/>
                <w:color w:val="auto"/>
                <w:sz w:val="24"/>
                <w:szCs w:val="24"/>
                <w:lang w:val="en-US" w:eastAsia="zh-CN"/>
              </w:rPr>
              <w:t>项目</w:t>
            </w:r>
            <w:r>
              <w:rPr>
                <w:rFonts w:hint="eastAsia" w:eastAsia="宋体" w:cs="Times New Roman"/>
                <w:b w:val="0"/>
                <w:bCs/>
                <w:color w:val="auto"/>
                <w:sz w:val="24"/>
                <w:szCs w:val="24"/>
                <w:lang w:val="en-US" w:eastAsia="zh-CN"/>
              </w:rPr>
              <w:t>注塑</w:t>
            </w:r>
            <w:r>
              <w:rPr>
                <w:rFonts w:hint="default" w:ascii="Times New Roman" w:hAnsi="Times New Roman" w:eastAsia="宋体" w:cs="Times New Roman"/>
                <w:color w:val="auto"/>
                <w:sz w:val="24"/>
                <w:szCs w:val="24"/>
                <w:lang w:val="en-US" w:eastAsia="zh-CN"/>
              </w:rPr>
              <w:t>工序</w:t>
            </w:r>
            <w:r>
              <w:rPr>
                <w:rFonts w:hint="default" w:ascii="Times New Roman" w:hAnsi="Times New Roman" w:cs="Times New Roman" w:eastAsiaTheme="minorEastAsia"/>
                <w:color w:val="auto"/>
                <w:sz w:val="24"/>
                <w:szCs w:val="24"/>
                <w:lang w:val="en-US" w:eastAsia="zh-CN" w:bidi="ar"/>
              </w:rPr>
              <w:t>原料烘干、加热熔融及合模保压</w:t>
            </w:r>
            <w:r>
              <w:rPr>
                <w:rFonts w:hint="default" w:ascii="Times New Roman" w:hAnsi="Times New Roman" w:eastAsia="宋体" w:cs="Times New Roman"/>
                <w:color w:val="auto"/>
                <w:sz w:val="24"/>
                <w:szCs w:val="24"/>
                <w:lang w:val="en-US" w:eastAsia="zh-CN"/>
              </w:rPr>
              <w:t>采用电加热</w:t>
            </w:r>
            <w:r>
              <w:rPr>
                <w:rFonts w:hint="eastAsia" w:eastAsia="宋体" w:cs="Times New Roman"/>
                <w:color w:val="auto"/>
                <w:sz w:val="24"/>
                <w:szCs w:val="24"/>
                <w:lang w:val="en-US" w:eastAsia="zh-CN"/>
              </w:rPr>
              <w:t>，</w:t>
            </w:r>
            <w:r>
              <w:rPr>
                <w:rFonts w:hint="default" w:ascii="Times New Roman" w:hAnsi="Times New Roman" w:cs="Times New Roman"/>
                <w:bCs/>
                <w:color w:val="auto"/>
                <w:sz w:val="24"/>
                <w:szCs w:val="24"/>
              </w:rPr>
              <w:t>加热温度控制在成型温度内（</w:t>
            </w:r>
            <w:r>
              <w:rPr>
                <w:rFonts w:hint="eastAsia" w:cs="Times New Roman"/>
                <w:color w:val="auto"/>
                <w:sz w:val="24"/>
                <w:szCs w:val="24"/>
                <w:lang w:val="en-US" w:eastAsia="zh-CN"/>
              </w:rPr>
              <w:t>PS加热温度约为240~260</w:t>
            </w:r>
            <w:r>
              <w:rPr>
                <w:rFonts w:hint="eastAsia" w:ascii="宋体" w:hAnsi="宋体" w:eastAsia="宋体" w:cs="宋体"/>
                <w:color w:val="auto"/>
                <w:sz w:val="24"/>
                <w:szCs w:val="24"/>
                <w:lang w:val="en-US" w:eastAsia="zh-CN"/>
              </w:rPr>
              <w:t>℃</w:t>
            </w:r>
            <w:r>
              <w:rPr>
                <w:rFonts w:hint="eastAsia" w:cs="Times New Roman"/>
                <w:color w:val="auto"/>
                <w:sz w:val="24"/>
                <w:szCs w:val="24"/>
                <w:lang w:val="en-US" w:eastAsia="zh-CN"/>
              </w:rPr>
              <w:t>，ABS加热温度约为180~200</w:t>
            </w:r>
            <w:r>
              <w:rPr>
                <w:rFonts w:hint="eastAsia" w:ascii="宋体" w:hAnsi="宋体" w:eastAsia="宋体" w:cs="宋体"/>
                <w:color w:val="auto"/>
                <w:sz w:val="24"/>
                <w:szCs w:val="24"/>
                <w:lang w:val="en-US" w:eastAsia="zh-CN"/>
              </w:rPr>
              <w:t>℃</w:t>
            </w:r>
            <w:r>
              <w:rPr>
                <w:rFonts w:hint="default" w:ascii="Times New Roman" w:hAnsi="Times New Roman" w:cs="Times New Roman"/>
                <w:bCs/>
                <w:color w:val="auto"/>
                <w:sz w:val="24"/>
                <w:szCs w:val="24"/>
              </w:rPr>
              <w:t>），</w:t>
            </w:r>
            <w:r>
              <w:rPr>
                <w:rFonts w:hint="eastAsia" w:cs="Times New Roman"/>
                <w:color w:val="auto"/>
                <w:sz w:val="24"/>
                <w:szCs w:val="24"/>
                <w:lang w:val="en-US" w:eastAsia="zh-CN"/>
              </w:rPr>
              <w:t>均小于物料分解温度，</w:t>
            </w:r>
            <w:r>
              <w:rPr>
                <w:rFonts w:hint="default" w:ascii="Times New Roman" w:hAnsi="Times New Roman" w:cs="Times New Roman"/>
                <w:bCs/>
                <w:color w:val="auto"/>
                <w:sz w:val="24"/>
                <w:szCs w:val="24"/>
              </w:rPr>
              <w:t>不会导致原材料分解（</w:t>
            </w:r>
            <w:r>
              <w:rPr>
                <w:rFonts w:hint="eastAsia" w:cs="Times New Roman"/>
                <w:color w:val="auto"/>
                <w:sz w:val="24"/>
                <w:szCs w:val="24"/>
                <w:lang w:val="en-US" w:eastAsia="zh-CN"/>
              </w:rPr>
              <w:t>PS分解温度约为280</w:t>
            </w:r>
            <w:r>
              <w:rPr>
                <w:rFonts w:hint="eastAsia" w:ascii="宋体" w:hAnsi="宋体" w:eastAsia="宋体" w:cs="宋体"/>
                <w:color w:val="auto"/>
                <w:sz w:val="24"/>
                <w:szCs w:val="24"/>
                <w:lang w:val="en-US" w:eastAsia="zh-CN"/>
              </w:rPr>
              <w:t>℃</w:t>
            </w:r>
            <w:r>
              <w:rPr>
                <w:rFonts w:hint="eastAsia" w:cs="Times New Roman"/>
                <w:color w:val="auto"/>
                <w:sz w:val="24"/>
                <w:szCs w:val="24"/>
                <w:lang w:val="en-US" w:eastAsia="zh-CN"/>
              </w:rPr>
              <w:t>，ABS分解温度约为250</w:t>
            </w:r>
            <w:r>
              <w:rPr>
                <w:rFonts w:hint="eastAsia" w:ascii="宋体" w:hAnsi="宋体" w:eastAsia="宋体" w:cs="宋体"/>
                <w:color w:val="auto"/>
                <w:sz w:val="24"/>
                <w:szCs w:val="24"/>
                <w:lang w:val="en-US" w:eastAsia="zh-CN"/>
              </w:rPr>
              <w:t>℃</w:t>
            </w:r>
            <w:r>
              <w:rPr>
                <w:rFonts w:hint="default" w:ascii="Times New Roman" w:hAnsi="Times New Roman" w:cs="Times New Roman"/>
                <w:bCs/>
                <w:color w:val="auto"/>
                <w:sz w:val="24"/>
                <w:szCs w:val="24"/>
              </w:rPr>
              <w:t>），</w:t>
            </w:r>
            <w:r>
              <w:rPr>
                <w:rFonts w:hint="default" w:ascii="Times New Roman" w:hAnsi="Times New Roman" w:cs="Times New Roman"/>
                <w:color w:val="auto"/>
                <w:sz w:val="24"/>
                <w:szCs w:val="24"/>
              </w:rPr>
              <w:t>但在受热情况下，原料中残存未聚合的反应单体挥发至空气中，形成有机废气，</w:t>
            </w:r>
            <w:r>
              <w:rPr>
                <w:rFonts w:hint="default" w:ascii="Times New Roman" w:hAnsi="Times New Roman" w:cs="Times New Roman"/>
                <w:bCs/>
                <w:color w:val="auto"/>
                <w:sz w:val="24"/>
                <w:szCs w:val="24"/>
              </w:rPr>
              <w:t>主要污染物为VOCs。根据美国环保局《空气污染物排放和控制手册》的资料显示，在无控制措施时，有机废气排放量约为原料的0.035%</w:t>
            </w:r>
            <w:r>
              <w:rPr>
                <w:rFonts w:hint="eastAsia" w:ascii="Times New Roman" w:hAnsi="Times New Roman" w:cs="Times New Roman"/>
                <w:bCs/>
                <w:color w:val="auto"/>
                <w:sz w:val="24"/>
                <w:szCs w:val="24"/>
                <w:lang w:eastAsia="zh-CN"/>
              </w:rPr>
              <w:t>，即</w:t>
            </w:r>
            <w:r>
              <w:rPr>
                <w:rFonts w:hint="eastAsia" w:ascii="Times New Roman" w:hAnsi="Times New Roman" w:cs="Times New Roman"/>
                <w:bCs/>
                <w:color w:val="auto"/>
                <w:sz w:val="24"/>
                <w:szCs w:val="24"/>
                <w:lang w:val="en-US" w:eastAsia="zh-CN"/>
              </w:rPr>
              <w:t>0.35kg/t-原料</w:t>
            </w:r>
            <w:r>
              <w:rPr>
                <w:rFonts w:hint="default" w:ascii="Times New Roman" w:hAnsi="Times New Roman" w:cs="Times New Roman"/>
                <w:bCs/>
                <w:color w:val="auto"/>
                <w:sz w:val="24"/>
                <w:szCs w:val="24"/>
                <w:lang w:eastAsia="zh-CN"/>
              </w:rPr>
              <w:t>。本项目</w:t>
            </w:r>
            <w:r>
              <w:rPr>
                <w:rFonts w:hint="eastAsia" w:cs="Times New Roman"/>
                <w:bCs/>
                <w:color w:val="auto"/>
                <w:sz w:val="24"/>
                <w:szCs w:val="24"/>
                <w:lang w:val="en-US" w:eastAsia="zh-CN"/>
              </w:rPr>
              <w:t>原料</w:t>
            </w:r>
            <w:r>
              <w:rPr>
                <w:rFonts w:hint="default" w:ascii="Times New Roman" w:hAnsi="Times New Roman" w:cs="Times New Roman"/>
                <w:bCs/>
                <w:color w:val="auto"/>
                <w:sz w:val="24"/>
                <w:szCs w:val="24"/>
                <w:lang w:val="en-US" w:eastAsia="zh-CN"/>
              </w:rPr>
              <w:t>用量</w:t>
            </w:r>
            <w:r>
              <w:rPr>
                <w:rFonts w:hint="eastAsia" w:cs="Times New Roman"/>
                <w:bCs/>
                <w:color w:val="auto"/>
                <w:sz w:val="24"/>
                <w:szCs w:val="24"/>
                <w:lang w:val="en-US" w:eastAsia="zh-CN"/>
              </w:rPr>
              <w:t>合计</w:t>
            </w:r>
            <w:r>
              <w:rPr>
                <w:rFonts w:hint="default" w:ascii="Times New Roman" w:hAnsi="Times New Roman" w:cs="Times New Roman"/>
                <w:bCs/>
                <w:color w:val="auto"/>
                <w:sz w:val="24"/>
                <w:szCs w:val="24"/>
                <w:lang w:val="en-US" w:eastAsia="zh-CN"/>
              </w:rPr>
              <w:t>为</w:t>
            </w:r>
            <w:r>
              <w:rPr>
                <w:rFonts w:hint="eastAsia" w:cs="Times New Roman"/>
                <w:bCs/>
                <w:color w:val="auto"/>
                <w:sz w:val="24"/>
                <w:szCs w:val="24"/>
                <w:lang w:val="en-US" w:eastAsia="zh-CN"/>
              </w:rPr>
              <w:t>200</w:t>
            </w:r>
            <w:r>
              <w:rPr>
                <w:rFonts w:hint="default" w:ascii="Times New Roman" w:hAnsi="Times New Roman" w:cs="Times New Roman"/>
                <w:bCs/>
                <w:color w:val="auto"/>
                <w:sz w:val="24"/>
                <w:szCs w:val="24"/>
                <w:lang w:val="en-US" w:eastAsia="zh-CN"/>
              </w:rPr>
              <w:t>t/a，则有机废气VOCs产生量为</w:t>
            </w:r>
            <w:r>
              <w:rPr>
                <w:rFonts w:hint="eastAsia" w:cs="Times New Roman"/>
                <w:bCs/>
                <w:color w:val="auto"/>
                <w:sz w:val="24"/>
                <w:szCs w:val="24"/>
                <w:lang w:val="en-US" w:eastAsia="zh-CN"/>
              </w:rPr>
              <w:t>0.07</w:t>
            </w:r>
            <w:r>
              <w:rPr>
                <w:rFonts w:hint="default" w:ascii="Times New Roman" w:hAnsi="Times New Roman" w:cs="Times New Roman"/>
                <w:bCs/>
                <w:color w:val="auto"/>
                <w:sz w:val="24"/>
                <w:szCs w:val="24"/>
                <w:lang w:val="en-US" w:eastAsia="zh-CN"/>
              </w:rPr>
              <w:t>t/a</w:t>
            </w:r>
            <w:r>
              <w:rPr>
                <w:rFonts w:hint="default" w:ascii="Times New Roman" w:hAnsi="Times New Roman" w:eastAsia="宋体" w:cs="Times New Roman"/>
                <w:b w:val="0"/>
                <w:bCs/>
                <w:color w:val="auto"/>
                <w:sz w:val="24"/>
                <w:szCs w:val="24"/>
                <w:lang w:val="en-US" w:eastAsia="zh-CN"/>
              </w:rPr>
              <w:t>。</w:t>
            </w:r>
          </w:p>
          <w:p>
            <w:pPr>
              <w:spacing w:line="360" w:lineRule="auto"/>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本</w:t>
            </w:r>
            <w:r>
              <w:rPr>
                <w:rFonts w:hint="default" w:ascii="Times New Roman" w:hAnsi="Times New Roman" w:eastAsia="宋体" w:cs="Times New Roman"/>
                <w:color w:val="auto"/>
                <w:sz w:val="24"/>
                <w:szCs w:val="24"/>
                <w:lang w:val="zh-CN"/>
              </w:rPr>
              <w:t>项目</w:t>
            </w:r>
            <w:r>
              <w:rPr>
                <w:rFonts w:hint="eastAsia" w:cs="Times New Roman" w:eastAsiaTheme="minorEastAsia"/>
                <w:color w:val="auto"/>
                <w:sz w:val="24"/>
                <w:szCs w:val="24"/>
                <w:shd w:val="clear" w:color="auto" w:fill="FFFFFF"/>
                <w:lang w:eastAsia="zh-CN"/>
              </w:rPr>
              <w:t>注塑</w:t>
            </w:r>
            <w:r>
              <w:rPr>
                <w:rFonts w:hint="eastAsia" w:ascii="宋体" w:hAnsi="宋体" w:eastAsia="宋体" w:cs="宋体"/>
                <w:color w:val="auto"/>
                <w:sz w:val="24"/>
                <w:szCs w:val="24"/>
                <w:shd w:val="clear" w:color="auto" w:fill="FFFFFF"/>
                <w:lang w:eastAsia="zh-CN"/>
              </w:rPr>
              <w:t>工序</w:t>
            </w:r>
            <w:r>
              <w:rPr>
                <w:rFonts w:hint="eastAsia" w:ascii="宋体" w:hAnsi="宋体" w:cs="宋体"/>
                <w:color w:val="auto"/>
                <w:sz w:val="24"/>
                <w:szCs w:val="24"/>
                <w:shd w:val="clear" w:color="auto" w:fill="FFFFFF"/>
                <w:lang w:eastAsia="zh-CN"/>
              </w:rPr>
              <w:t>设置在</w:t>
            </w:r>
            <w:r>
              <w:rPr>
                <w:rFonts w:hint="eastAsia"/>
                <w:color w:val="auto"/>
                <w:sz w:val="24"/>
                <w:szCs w:val="24"/>
              </w:rPr>
              <w:t>密闭空间，</w:t>
            </w:r>
            <w:r>
              <w:rPr>
                <w:rFonts w:hint="eastAsia" w:cs="Times New Roman" w:eastAsiaTheme="minorEastAsia"/>
                <w:color w:val="auto"/>
                <w:sz w:val="24"/>
                <w:szCs w:val="24"/>
                <w:lang w:eastAsia="zh-CN"/>
              </w:rPr>
              <w:t>采用上吸风方式</w:t>
            </w:r>
            <w:r>
              <w:rPr>
                <w:rFonts w:hint="eastAsia"/>
                <w:color w:val="auto"/>
                <w:sz w:val="24"/>
                <w:szCs w:val="24"/>
              </w:rPr>
              <w:t>通过风机抽吸使</w:t>
            </w:r>
            <w:r>
              <w:rPr>
                <w:rFonts w:hint="eastAsia"/>
                <w:color w:val="auto"/>
                <w:sz w:val="24"/>
                <w:szCs w:val="24"/>
                <w:lang w:eastAsia="zh-CN"/>
              </w:rPr>
              <w:t>车间</w:t>
            </w:r>
            <w:r>
              <w:rPr>
                <w:rFonts w:hint="eastAsia"/>
                <w:color w:val="auto"/>
                <w:sz w:val="24"/>
                <w:szCs w:val="24"/>
              </w:rPr>
              <w:t>出风量大于进风量，从而保持车间微负压状态</w:t>
            </w:r>
            <w:r>
              <w:rPr>
                <w:rFonts w:hint="eastAsia"/>
                <w:color w:val="auto"/>
                <w:sz w:val="24"/>
                <w:szCs w:val="24"/>
                <w:lang w:eastAsia="zh-CN"/>
              </w:rPr>
              <w:t>。</w:t>
            </w:r>
            <w:r>
              <w:rPr>
                <w:rFonts w:hint="eastAsia" w:cs="Times New Roman" w:eastAsiaTheme="minorEastAsia"/>
                <w:bCs/>
                <w:color w:val="auto"/>
                <w:sz w:val="24"/>
                <w:szCs w:val="24"/>
                <w:lang w:eastAsia="zh-CN"/>
              </w:rPr>
              <w:t>厂区内</w:t>
            </w:r>
            <w:r>
              <w:rPr>
                <w:rFonts w:hint="default" w:ascii="Times New Roman" w:hAnsi="Times New Roman" w:cs="Times New Roman" w:eastAsiaTheme="minorEastAsia"/>
                <w:bCs/>
                <w:color w:val="auto"/>
                <w:sz w:val="24"/>
                <w:szCs w:val="24"/>
              </w:rPr>
              <w:t>设置</w:t>
            </w:r>
            <w:r>
              <w:rPr>
                <w:rFonts w:hint="default" w:ascii="Times New Roman" w:hAnsi="Times New Roman" w:cs="Times New Roman" w:eastAsiaTheme="minorEastAsia"/>
                <w:bCs/>
                <w:color w:val="auto"/>
                <w:sz w:val="24"/>
                <w:szCs w:val="24"/>
                <w:lang w:val="en-US" w:eastAsia="zh-CN"/>
              </w:rPr>
              <w:t>1根</w:t>
            </w:r>
            <w:r>
              <w:rPr>
                <w:rFonts w:hint="default" w:ascii="Times New Roman" w:hAnsi="Times New Roman" w:cs="Times New Roman" w:eastAsiaTheme="minorEastAsia"/>
                <w:bCs/>
                <w:color w:val="auto"/>
                <w:sz w:val="24"/>
                <w:szCs w:val="24"/>
              </w:rPr>
              <w:t>15m</w:t>
            </w:r>
            <w:r>
              <w:rPr>
                <w:rFonts w:hint="default" w:ascii="Times New Roman" w:hAnsi="Times New Roman" w:cs="Times New Roman" w:eastAsiaTheme="minorEastAsia"/>
                <w:bCs/>
                <w:color w:val="auto"/>
                <w:sz w:val="24"/>
                <w:szCs w:val="24"/>
                <w:lang w:eastAsia="zh-CN"/>
              </w:rPr>
              <w:t>有机废气</w:t>
            </w:r>
            <w:r>
              <w:rPr>
                <w:rFonts w:hint="default" w:ascii="Times New Roman" w:hAnsi="Times New Roman" w:cs="Times New Roman" w:eastAsiaTheme="minorEastAsia"/>
                <w:bCs/>
                <w:color w:val="auto"/>
                <w:sz w:val="24"/>
                <w:szCs w:val="24"/>
              </w:rPr>
              <w:t>排气筒，</w:t>
            </w:r>
            <w:r>
              <w:rPr>
                <w:rFonts w:hint="default" w:ascii="Times New Roman" w:hAnsi="Times New Roman" w:cs="Times New Roman" w:eastAsiaTheme="minorEastAsia"/>
                <w:color w:val="auto"/>
                <w:sz w:val="24"/>
                <w:szCs w:val="24"/>
              </w:rPr>
              <w:t>项目</w:t>
            </w:r>
            <w:r>
              <w:rPr>
                <w:rFonts w:hint="eastAsia" w:cs="Times New Roman" w:eastAsiaTheme="minorEastAsia"/>
                <w:color w:val="auto"/>
                <w:sz w:val="24"/>
                <w:szCs w:val="24"/>
                <w:lang w:eastAsia="zh-CN"/>
              </w:rPr>
              <w:t>注塑工序废气</w:t>
            </w:r>
            <w:r>
              <w:rPr>
                <w:rFonts w:hint="default" w:ascii="Times New Roman" w:hAnsi="Times New Roman" w:cs="Times New Roman" w:eastAsiaTheme="minorEastAsia"/>
                <w:color w:val="auto"/>
                <w:sz w:val="24"/>
                <w:szCs w:val="24"/>
                <w:lang w:eastAsia="zh-CN"/>
              </w:rPr>
              <w:t>通过</w:t>
            </w:r>
            <w:r>
              <w:rPr>
                <w:rFonts w:hint="default" w:ascii="Times New Roman" w:hAnsi="Times New Roman" w:cs="Times New Roman" w:eastAsiaTheme="minorEastAsia"/>
                <w:bCs/>
                <w:color w:val="auto"/>
                <w:sz w:val="24"/>
                <w:szCs w:val="24"/>
                <w:lang w:val="en-US" w:eastAsia="zh-CN"/>
              </w:rPr>
              <w:t>密闭</w:t>
            </w:r>
            <w:r>
              <w:rPr>
                <w:rFonts w:hint="eastAsia" w:ascii="Times New Roman" w:hAnsi="Times New Roman" w:cs="Times New Roman" w:eastAsiaTheme="minorEastAsia"/>
                <w:bCs/>
                <w:color w:val="auto"/>
                <w:sz w:val="24"/>
                <w:szCs w:val="24"/>
                <w:lang w:val="en-US" w:eastAsia="zh-CN"/>
              </w:rPr>
              <w:t>、</w:t>
            </w:r>
            <w:r>
              <w:rPr>
                <w:rFonts w:hint="default" w:ascii="Times New Roman" w:hAnsi="Times New Roman" w:cs="Times New Roman" w:eastAsiaTheme="minorEastAsia"/>
                <w:bCs/>
                <w:color w:val="auto"/>
                <w:sz w:val="24"/>
                <w:szCs w:val="24"/>
                <w:lang w:val="en-US" w:eastAsia="zh-CN"/>
              </w:rPr>
              <w:t>负压收集系统收集（</w:t>
            </w:r>
            <w:r>
              <w:rPr>
                <w:rFonts w:hint="eastAsia" w:ascii="Times New Roman" w:hAnsi="Times New Roman"/>
                <w:color w:val="auto"/>
                <w:kern w:val="2"/>
                <w:sz w:val="24"/>
                <w:szCs w:val="24"/>
              </w:rPr>
              <w:t>正常作业时均为封闭作业，</w:t>
            </w:r>
            <w:r>
              <w:rPr>
                <w:rFonts w:hint="eastAsia"/>
                <w:color w:val="auto"/>
                <w:kern w:val="2"/>
                <w:sz w:val="24"/>
                <w:szCs w:val="24"/>
                <w:lang w:eastAsia="zh-CN"/>
              </w:rPr>
              <w:t>门窗关闭，</w:t>
            </w:r>
            <w:r>
              <w:rPr>
                <w:rFonts w:hint="eastAsia" w:ascii="Times New Roman" w:hAnsi="Times New Roman"/>
                <w:color w:val="auto"/>
                <w:kern w:val="2"/>
                <w:sz w:val="24"/>
                <w:szCs w:val="24"/>
              </w:rPr>
              <w:t>废气基本全收集，考虑到开关门运输物料时少量逸散，收集效率取9</w:t>
            </w:r>
            <w:r>
              <w:rPr>
                <w:rFonts w:hint="eastAsia" w:ascii="Times New Roman" w:hAnsi="Times New Roman"/>
                <w:color w:val="auto"/>
                <w:kern w:val="2"/>
                <w:sz w:val="24"/>
                <w:szCs w:val="24"/>
                <w:lang w:val="en-US" w:eastAsia="zh-CN"/>
              </w:rPr>
              <w:t>0</w:t>
            </w:r>
            <w:r>
              <w:rPr>
                <w:rFonts w:hint="eastAsia" w:ascii="Times New Roman" w:hAnsi="Times New Roman"/>
                <w:color w:val="auto"/>
                <w:kern w:val="2"/>
                <w:sz w:val="24"/>
                <w:szCs w:val="24"/>
              </w:rPr>
              <w:t>%</w:t>
            </w:r>
            <w:r>
              <w:rPr>
                <w:rFonts w:hint="default" w:ascii="Times New Roman" w:hAnsi="Times New Roman" w:cs="Times New Roman" w:eastAsiaTheme="minorEastAsia"/>
                <w:bCs/>
                <w:color w:val="auto"/>
                <w:sz w:val="24"/>
                <w:szCs w:val="24"/>
                <w:lang w:val="en-US" w:eastAsia="zh-CN"/>
              </w:rPr>
              <w:t>）</w:t>
            </w:r>
            <w:r>
              <w:rPr>
                <w:rFonts w:hint="eastAsia" w:cs="Times New Roman" w:eastAsiaTheme="minorEastAsia"/>
                <w:bCs/>
                <w:color w:val="auto"/>
                <w:sz w:val="24"/>
                <w:szCs w:val="24"/>
                <w:lang w:val="en-US" w:eastAsia="zh-CN"/>
              </w:rPr>
              <w:t>并</w:t>
            </w:r>
            <w:r>
              <w:rPr>
                <w:rFonts w:hint="default" w:ascii="Times New Roman" w:hAnsi="Times New Roman" w:eastAsia="宋体" w:cs="Times New Roman"/>
                <w:color w:val="auto"/>
                <w:sz w:val="24"/>
                <w:szCs w:val="24"/>
                <w:lang w:val="zh-CN"/>
              </w:rPr>
              <w:t>由引风机引至</w:t>
            </w:r>
            <w:r>
              <w:rPr>
                <w:rFonts w:hint="eastAsia" w:cs="Times New Roman"/>
                <w:bCs/>
                <w:color w:val="auto"/>
                <w:sz w:val="24"/>
                <w:szCs w:val="24"/>
                <w:lang w:eastAsia="zh-CN"/>
              </w:rPr>
              <w:t>分子筛废气处理装置</w:t>
            </w:r>
            <w:r>
              <w:rPr>
                <w:rFonts w:hint="default" w:ascii="Times New Roman" w:hAnsi="Times New Roman" w:cs="Times New Roman"/>
                <w:color w:val="auto"/>
                <w:sz w:val="24"/>
                <w:szCs w:val="24"/>
                <w:lang w:eastAsia="zh-CN"/>
              </w:rPr>
              <w:t>（</w:t>
            </w:r>
            <w:r>
              <w:rPr>
                <w:rFonts w:ascii="Times New Roman" w:hAnsi="Times New Roman"/>
                <w:color w:val="auto"/>
                <w:kern w:val="2"/>
                <w:sz w:val="24"/>
                <w:szCs w:val="24"/>
              </w:rPr>
              <w:t>本次评价按</w:t>
            </w:r>
            <w:r>
              <w:rPr>
                <w:rFonts w:hint="eastAsia"/>
                <w:color w:val="auto"/>
                <w:kern w:val="2"/>
                <w:sz w:val="24"/>
                <w:szCs w:val="24"/>
                <w:lang w:val="en-US" w:eastAsia="zh-CN"/>
              </w:rPr>
              <w:t>90</w:t>
            </w:r>
            <w:r>
              <w:rPr>
                <w:rFonts w:ascii="Times New Roman" w:hAnsi="Times New Roman"/>
                <w:color w:val="auto"/>
                <w:kern w:val="2"/>
                <w:sz w:val="24"/>
                <w:szCs w:val="24"/>
              </w:rPr>
              <w:t>%计</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val="zh-CN"/>
              </w:rPr>
              <w:t>，经处理后通过15 m排气筒排放</w:t>
            </w:r>
            <w:r>
              <w:rPr>
                <w:rFonts w:hint="eastAsia" w:cs="Times New Roman"/>
                <w:color w:val="auto"/>
                <w:sz w:val="24"/>
                <w:szCs w:val="24"/>
                <w:lang w:val="zh-CN"/>
              </w:rPr>
              <w:t>。</w:t>
            </w:r>
          </w:p>
          <w:p>
            <w:pPr>
              <w:spacing w:line="360" w:lineRule="auto"/>
              <w:ind w:firstLine="480" w:firstLineChars="200"/>
              <w:rPr>
                <w:rFonts w:hint="eastAsia"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sz w:val="24"/>
                <w:szCs w:val="24"/>
              </w:rPr>
              <w:t>项目废气处理设施运行时间按</w:t>
            </w:r>
            <w:r>
              <w:rPr>
                <w:rFonts w:hint="default" w:ascii="Times New Roman" w:hAnsi="Times New Roman" w:cs="Times New Roman" w:eastAsiaTheme="minorEastAsia"/>
                <w:color w:val="auto"/>
                <w:sz w:val="24"/>
                <w:szCs w:val="24"/>
                <w:lang w:val="en-US" w:eastAsia="zh-CN"/>
              </w:rPr>
              <w:t>8</w:t>
            </w:r>
            <w:r>
              <w:rPr>
                <w:rFonts w:hint="default" w:ascii="Times New Roman" w:hAnsi="Times New Roman" w:cs="Times New Roman" w:eastAsiaTheme="minorEastAsia"/>
                <w:color w:val="auto"/>
                <w:sz w:val="24"/>
                <w:szCs w:val="24"/>
              </w:rPr>
              <w:t xml:space="preserve"> h/d，即</w:t>
            </w:r>
            <w:r>
              <w:rPr>
                <w:rFonts w:hint="default" w:ascii="Times New Roman" w:hAnsi="Times New Roman" w:cs="Times New Roman" w:eastAsiaTheme="minorEastAsia"/>
                <w:color w:val="auto"/>
                <w:sz w:val="24"/>
                <w:szCs w:val="24"/>
                <w:lang w:val="en-US" w:eastAsia="zh-CN"/>
              </w:rPr>
              <w:t>2400</w:t>
            </w:r>
            <w:r>
              <w:rPr>
                <w:rFonts w:hint="default" w:ascii="Times New Roman" w:hAnsi="Times New Roman" w:cs="Times New Roman" w:eastAsiaTheme="minorEastAsia"/>
                <w:color w:val="auto"/>
                <w:sz w:val="24"/>
                <w:szCs w:val="24"/>
              </w:rPr>
              <w:t xml:space="preserve"> h/a计，设计排风量</w:t>
            </w:r>
            <w:r>
              <w:rPr>
                <w:rFonts w:hint="eastAsia"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000m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/h。</w:t>
            </w:r>
            <w:r>
              <w:rPr>
                <w:rFonts w:hint="default" w:ascii="Times New Roman" w:hAnsi="Times New Roman" w:cs="Times New Roman" w:eastAsiaTheme="minorEastAsia"/>
                <w:color w:val="auto"/>
                <w:sz w:val="24"/>
                <w:szCs w:val="24"/>
                <w:lang w:val="zh-CN"/>
              </w:rPr>
              <w:t>经计算，</w:t>
            </w:r>
            <w:r>
              <w:rPr>
                <w:rFonts w:hint="default" w:ascii="Times New Roman" w:hAnsi="Times New Roman" w:cs="Times New Roman" w:eastAsiaTheme="minorEastAsia"/>
                <w:color w:val="auto"/>
                <w:sz w:val="24"/>
                <w:szCs w:val="24"/>
              </w:rPr>
              <w:t>VOCs有组织产生量约为</w:t>
            </w:r>
            <w:r>
              <w:rPr>
                <w:rFonts w:hint="eastAsia" w:cs="Times New Roman" w:eastAsiaTheme="minorEastAsia"/>
                <w:color w:val="auto"/>
                <w:sz w:val="24"/>
                <w:szCs w:val="24"/>
                <w:lang w:val="en-US" w:eastAsia="zh-CN"/>
              </w:rPr>
              <w:t>0.063</w:t>
            </w:r>
            <w:r>
              <w:rPr>
                <w:rFonts w:hint="default" w:ascii="Times New Roman" w:hAnsi="Times New Roman" w:cs="Times New Roman" w:eastAsiaTheme="minorEastAsia"/>
                <w:color w:val="auto"/>
                <w:sz w:val="24"/>
                <w:szCs w:val="24"/>
              </w:rPr>
              <w:t>t/a，产生浓度为</w:t>
            </w:r>
            <w:r>
              <w:rPr>
                <w:rFonts w:hint="eastAsia" w:cs="Times New Roman" w:eastAsiaTheme="minorEastAsia"/>
                <w:color w:val="auto"/>
                <w:sz w:val="24"/>
                <w:szCs w:val="24"/>
                <w:lang w:val="en-US" w:eastAsia="zh-CN"/>
              </w:rPr>
              <w:t>5.25</w:t>
            </w:r>
            <w:r>
              <w:rPr>
                <w:rFonts w:hint="default" w:ascii="Times New Roman" w:hAnsi="Times New Roman" w:cs="Times New Roman" w:eastAsiaTheme="minorEastAsia"/>
                <w:color w:val="auto"/>
                <w:sz w:val="24"/>
                <w:szCs w:val="24"/>
              </w:rPr>
              <w:t>mg/m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；VOCs有组织排放量约为</w:t>
            </w:r>
            <w:r>
              <w:rPr>
                <w:rFonts w:hint="eastAsia" w:cs="Times New Roman" w:eastAsiaTheme="minorEastAsia"/>
                <w:color w:val="auto"/>
                <w:sz w:val="24"/>
                <w:szCs w:val="24"/>
                <w:lang w:val="en-US" w:eastAsia="zh-CN"/>
              </w:rPr>
              <w:t>0.006</w:t>
            </w:r>
            <w:r>
              <w:rPr>
                <w:rFonts w:hint="default" w:ascii="Times New Roman" w:hAnsi="Times New Roman" w:cs="Times New Roman" w:eastAsiaTheme="minorEastAsia"/>
                <w:color w:val="auto"/>
                <w:sz w:val="24"/>
                <w:szCs w:val="24"/>
              </w:rPr>
              <w:t>t/a，排放浓度为</w:t>
            </w:r>
            <w:r>
              <w:rPr>
                <w:rFonts w:hint="eastAsia" w:cs="Times New Roman" w:eastAsiaTheme="minorEastAsia"/>
                <w:color w:val="auto"/>
                <w:sz w:val="24"/>
                <w:szCs w:val="24"/>
                <w:lang w:val="en-US" w:eastAsia="zh-CN"/>
              </w:rPr>
              <w:t>0.5</w:t>
            </w:r>
            <w:r>
              <w:rPr>
                <w:rFonts w:hint="default" w:ascii="Times New Roman" w:hAnsi="Times New Roman" w:cs="Times New Roman" w:eastAsiaTheme="minorEastAsia"/>
                <w:color w:val="auto"/>
                <w:sz w:val="24"/>
                <w:szCs w:val="24"/>
              </w:rPr>
              <w:t>mg/m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，排放速率为</w:t>
            </w:r>
            <w:r>
              <w:rPr>
                <w:rFonts w:hint="eastAsia" w:cs="Times New Roman" w:eastAsiaTheme="minorEastAsia"/>
                <w:color w:val="auto"/>
                <w:sz w:val="24"/>
                <w:szCs w:val="24"/>
                <w:lang w:val="en-US" w:eastAsia="zh-CN"/>
              </w:rPr>
              <w:t>0.0025</w:t>
            </w:r>
            <w:r>
              <w:rPr>
                <w:rFonts w:hint="default" w:ascii="Times New Roman" w:hAnsi="Times New Roman" w:cs="Times New Roman" w:eastAsiaTheme="minorEastAsia"/>
                <w:color w:val="auto"/>
                <w:sz w:val="24"/>
                <w:szCs w:val="24"/>
              </w:rPr>
              <w:t>kg/h，满足</w:t>
            </w:r>
            <w:r>
              <w:rPr>
                <w:rFonts w:hint="default" w:ascii="Times New Roman" w:hAnsi="Times New Roman" w:cs="Times New Roman"/>
                <w:color w:val="auto"/>
                <w:sz w:val="24"/>
                <w:szCs w:val="24"/>
              </w:rPr>
              <w:t>《</w:t>
            </w:r>
            <w:r>
              <w:rPr>
                <w:rFonts w:hint="default" w:ascii="Times New Roman" w:hAnsi="Times New Roman" w:cs="Times New Roman" w:eastAsiaTheme="minorEastAsia"/>
                <w:color w:val="auto"/>
                <w:sz w:val="24"/>
                <w:szCs w:val="24"/>
              </w:rPr>
              <w:t>《挥发性有机物排放标准 第6部分：有机化工行业》（DB37/2801.6-2018）表1中Ⅱ时段（VOCs浓度限值≦60mg/m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、速率限值≦3.0kg/h）标准限值要求</w:t>
            </w:r>
            <w:r>
              <w:rPr>
                <w:rFonts w:hint="eastAsia" w:ascii="Times New Roman" w:hAnsi="Times New Roman" w:cs="Times New Roman" w:eastAsiaTheme="minorEastAsia"/>
                <w:color w:val="auto"/>
                <w:sz w:val="24"/>
                <w:szCs w:val="24"/>
                <w:lang w:eastAsia="zh-CN"/>
              </w:rPr>
              <w:t>。</w:t>
            </w:r>
          </w:p>
          <w:p>
            <w:pPr>
              <w:spacing w:line="360" w:lineRule="auto"/>
              <w:ind w:firstLine="480" w:firstLineChars="200"/>
              <w:jc w:val="left"/>
              <w:rPr>
                <w:rFonts w:hint="eastAsia"/>
                <w:color w:val="auto"/>
                <w:sz w:val="24"/>
                <w:szCs w:val="24"/>
              </w:rPr>
            </w:pPr>
            <w:r>
              <w:rPr>
                <w:rFonts w:hint="eastAsia"/>
                <w:color w:val="auto"/>
                <w:sz w:val="24"/>
                <w:szCs w:val="24"/>
              </w:rPr>
              <w:t>2、废气无组织排放情况分析</w:t>
            </w:r>
          </w:p>
          <w:p>
            <w:pPr>
              <w:adjustRightInd w:val="0"/>
              <w:snapToGrid w:val="0"/>
              <w:spacing w:line="360" w:lineRule="auto"/>
              <w:ind w:firstLine="480" w:firstLineChars="200"/>
              <w:rPr>
                <w:rFonts w:hint="eastAsia"/>
                <w:bCs/>
                <w:color w:val="auto"/>
                <w:sz w:val="24"/>
                <w:szCs w:val="24"/>
                <w:lang w:val="en-US" w:eastAsia="zh-CN"/>
              </w:rPr>
            </w:pPr>
            <w:r>
              <w:rPr>
                <w:rFonts w:hint="default" w:ascii="Times New Roman" w:hAnsi="Times New Roman" w:cs="Times New Roman"/>
                <w:bCs/>
                <w:color w:val="auto"/>
                <w:sz w:val="24"/>
                <w:szCs w:val="24"/>
              </w:rPr>
              <w:t>本</w:t>
            </w:r>
            <w:r>
              <w:rPr>
                <w:rFonts w:hint="default" w:ascii="Times New Roman" w:hAnsi="Times New Roman" w:cs="Times New Roman" w:eastAsiaTheme="minorEastAsia"/>
                <w:color w:val="auto"/>
                <w:sz w:val="24"/>
                <w:szCs w:val="24"/>
              </w:rPr>
              <w:t>项目</w:t>
            </w:r>
            <w:r>
              <w:rPr>
                <w:rFonts w:hint="eastAsia" w:cs="Times New Roman"/>
                <w:b w:val="0"/>
                <w:bCs/>
                <w:color w:val="auto"/>
                <w:sz w:val="24"/>
                <w:szCs w:val="24"/>
                <w:lang w:val="en-US" w:eastAsia="zh-CN"/>
              </w:rPr>
              <w:t>注塑</w:t>
            </w:r>
            <w:r>
              <w:rPr>
                <w:rFonts w:hint="default" w:ascii="Times New Roman" w:hAnsi="Times New Roman" w:eastAsia="宋体" w:cs="Times New Roman"/>
                <w:color w:val="auto"/>
                <w:sz w:val="24"/>
                <w:szCs w:val="24"/>
                <w:lang w:val="en-US" w:eastAsia="zh-CN"/>
              </w:rPr>
              <w:t>工序</w:t>
            </w:r>
            <w:r>
              <w:rPr>
                <w:rFonts w:hint="eastAsia" w:cs="Times New Roman"/>
                <w:color w:val="auto"/>
                <w:sz w:val="24"/>
                <w:szCs w:val="24"/>
                <w:lang w:val="en-US" w:eastAsia="zh-CN"/>
              </w:rPr>
              <w:t>产生的有机废气收集效率取90%，</w:t>
            </w:r>
            <w:r>
              <w:rPr>
                <w:rFonts w:hint="default" w:ascii="Times New Roman" w:hAnsi="Times New Roman" w:cs="Times New Roman"/>
                <w:color w:val="auto"/>
                <w:sz w:val="24"/>
                <w:szCs w:val="24"/>
              </w:rPr>
              <w:t>剩余</w:t>
            </w:r>
            <w:r>
              <w:rPr>
                <w:rFonts w:hint="eastAsia" w:cs="Times New Roman"/>
                <w:color w:val="auto"/>
                <w:sz w:val="24"/>
                <w:szCs w:val="24"/>
                <w:lang w:val="en-US" w:eastAsia="zh-CN"/>
              </w:rPr>
              <w:t>10</w:t>
            </w:r>
            <w:r>
              <w:rPr>
                <w:rFonts w:hint="default" w:ascii="Times New Roman" w:hAnsi="Times New Roman" w:cs="Times New Roman"/>
                <w:color w:val="auto"/>
                <w:sz w:val="24"/>
                <w:szCs w:val="24"/>
              </w:rPr>
              <w:t>%未收集有机废气无组织排放，则有机废气无组织排放量约为</w:t>
            </w:r>
            <w:r>
              <w:rPr>
                <w:rFonts w:hint="eastAsia" w:cs="Times New Roman"/>
                <w:color w:val="auto"/>
                <w:sz w:val="24"/>
                <w:szCs w:val="24"/>
                <w:lang w:val="en-US" w:eastAsia="zh-CN"/>
              </w:rPr>
              <w:t>0.007</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0.0029</w:t>
            </w:r>
            <w:r>
              <w:rPr>
                <w:rFonts w:hint="default" w:ascii="Times New Roman" w:hAnsi="Times New Roman" w:cs="Times New Roman"/>
                <w:color w:val="auto"/>
                <w:sz w:val="24"/>
                <w:szCs w:val="24"/>
                <w:lang w:val="en-US" w:eastAsia="zh-CN"/>
              </w:rPr>
              <w:t>kg/h</w:t>
            </w:r>
            <w:r>
              <w:rPr>
                <w:rFonts w:hint="eastAsia"/>
                <w:bCs/>
                <w:color w:val="auto"/>
                <w:sz w:val="24"/>
                <w:szCs w:val="24"/>
                <w:lang w:val="en-US" w:eastAsia="zh-CN"/>
              </w:rPr>
              <w:t>。</w:t>
            </w:r>
          </w:p>
          <w:p>
            <w:pPr>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eastAsia"/>
                <w:color w:val="auto"/>
                <w:sz w:val="24"/>
                <w:szCs w:val="24"/>
                <w:lang w:eastAsia="zh-CN"/>
              </w:rPr>
              <w:t>本次环评</w:t>
            </w:r>
            <w:r>
              <w:rPr>
                <w:color w:val="auto"/>
                <w:sz w:val="24"/>
                <w:szCs w:val="24"/>
              </w:rPr>
              <w:t>采用《环境影响评价技术导则 大气环境》（HJ2.2-2018）中推荐的AERSCREEN估算模式进行估算</w:t>
            </w:r>
            <w:r>
              <w:rPr>
                <w:rFonts w:hint="eastAsia"/>
                <w:color w:val="auto"/>
                <w:sz w:val="24"/>
                <w:szCs w:val="24"/>
              </w:rPr>
              <w:t>，经预测</w:t>
            </w:r>
            <w:r>
              <w:rPr>
                <w:color w:val="auto"/>
                <w:sz w:val="24"/>
                <w:szCs w:val="24"/>
              </w:rPr>
              <w:t>，</w:t>
            </w:r>
            <w:r>
              <w:rPr>
                <w:rFonts w:hint="default" w:ascii="Times New Roman" w:hAnsi="Times New Roman" w:cs="Times New Roman"/>
                <w:color w:val="auto"/>
                <w:sz w:val="24"/>
                <w:szCs w:val="24"/>
                <w:lang w:eastAsia="zh-CN"/>
              </w:rPr>
              <w:t>厂区</w:t>
            </w:r>
            <w:r>
              <w:rPr>
                <w:rFonts w:hint="default" w:ascii="Times New Roman" w:hAnsi="Times New Roman" w:cs="Times New Roman"/>
                <w:color w:val="auto"/>
                <w:sz w:val="24"/>
                <w:szCs w:val="24"/>
              </w:rPr>
              <w:t>无组织排放的VOCs下风向轴线浓度最大</w:t>
            </w:r>
            <w:r>
              <w:rPr>
                <w:rFonts w:hint="default" w:ascii="Times New Roman" w:hAnsi="Times New Roman" w:cs="Times New Roman"/>
                <w:color w:val="auto"/>
                <w:sz w:val="24"/>
                <w:szCs w:val="24"/>
                <w:lang w:eastAsia="zh-CN"/>
              </w:rPr>
              <w:t>值约</w:t>
            </w:r>
            <w:r>
              <w:rPr>
                <w:rFonts w:hint="default" w:ascii="Times New Roman" w:hAnsi="Times New Roman" w:cs="Times New Roman"/>
                <w:color w:val="auto"/>
                <w:sz w:val="24"/>
                <w:szCs w:val="24"/>
              </w:rPr>
              <w:t>为</w:t>
            </w:r>
            <w:r>
              <w:rPr>
                <w:rFonts w:hint="default" w:ascii="Times New Roman" w:hAnsi="Times New Roman" w:cs="Times New Roman"/>
                <w:color w:val="auto"/>
                <w:sz w:val="24"/>
                <w:szCs w:val="24"/>
                <w:lang w:val="en-US" w:eastAsia="zh-CN"/>
              </w:rPr>
              <w:t>0.0</w:t>
            </w:r>
            <w:r>
              <w:rPr>
                <w:rFonts w:hint="eastAsia" w:cs="Times New Roman"/>
                <w:color w:val="auto"/>
                <w:sz w:val="24"/>
                <w:szCs w:val="24"/>
                <w:lang w:val="en-US" w:eastAsia="zh-CN"/>
              </w:rPr>
              <w:t>05597</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，浓度占标率</w:t>
            </w:r>
            <w:r>
              <w:rPr>
                <w:rFonts w:hint="default" w:ascii="Times New Roman" w:hAnsi="Times New Roman" w:cs="Times New Roman"/>
                <w:color w:val="auto"/>
                <w:sz w:val="24"/>
                <w:szCs w:val="24"/>
                <w:lang w:eastAsia="zh-CN"/>
              </w:rPr>
              <w:t>约</w:t>
            </w:r>
            <w:r>
              <w:rPr>
                <w:rFonts w:hint="default" w:ascii="Times New Roman" w:hAnsi="Times New Roman" w:cs="Times New Roman"/>
                <w:color w:val="auto"/>
                <w:sz w:val="24"/>
                <w:szCs w:val="24"/>
              </w:rPr>
              <w:t>为</w:t>
            </w:r>
            <w:r>
              <w:rPr>
                <w:rFonts w:hint="eastAsia" w:ascii="Times New Roman" w:hAnsi="Times New Roman" w:cs="Times New Roman"/>
                <w:color w:val="auto"/>
                <w:sz w:val="24"/>
                <w:szCs w:val="24"/>
                <w:lang w:val="en-US" w:eastAsia="zh-CN"/>
              </w:rPr>
              <w:t>0.</w:t>
            </w:r>
            <w:r>
              <w:rPr>
                <w:rFonts w:hint="eastAsia" w:cs="Times New Roman"/>
                <w:color w:val="auto"/>
                <w:sz w:val="24"/>
                <w:szCs w:val="24"/>
                <w:lang w:val="en-US" w:eastAsia="zh-CN"/>
              </w:rPr>
              <w:t>47</w:t>
            </w:r>
            <w:r>
              <w:rPr>
                <w:rFonts w:hint="default" w:ascii="Times New Roman" w:hAnsi="Times New Roman" w:cs="Times New Roman"/>
                <w:color w:val="auto"/>
                <w:sz w:val="24"/>
                <w:szCs w:val="24"/>
              </w:rPr>
              <w:t>%，最大落地浓度出现</w:t>
            </w:r>
            <w:r>
              <w:rPr>
                <w:rFonts w:hint="default" w:ascii="Times New Roman" w:hAnsi="Times New Roman" w:cs="Times New Roman"/>
                <w:color w:val="auto"/>
                <w:sz w:val="24"/>
                <w:szCs w:val="24"/>
                <w:lang w:eastAsia="zh-CN"/>
              </w:rPr>
              <w:t>在</w:t>
            </w:r>
            <w:r>
              <w:rPr>
                <w:rFonts w:hint="default" w:ascii="Times New Roman" w:hAnsi="Times New Roman" w:cs="Times New Roman"/>
                <w:color w:val="auto"/>
                <w:sz w:val="24"/>
                <w:szCs w:val="24"/>
              </w:rPr>
              <w:t>面源下风向</w:t>
            </w:r>
            <w:r>
              <w:rPr>
                <w:rFonts w:hint="eastAsia" w:cs="Times New Roman"/>
                <w:color w:val="auto"/>
                <w:sz w:val="24"/>
                <w:szCs w:val="24"/>
                <w:lang w:val="en-US" w:eastAsia="zh-CN"/>
              </w:rPr>
              <w:t>50</w:t>
            </w:r>
            <w:r>
              <w:rPr>
                <w:rFonts w:hint="default" w:ascii="Times New Roman" w:hAnsi="Times New Roman" w:cs="Times New Roman"/>
                <w:color w:val="auto"/>
                <w:sz w:val="24"/>
                <w:szCs w:val="24"/>
              </w:rPr>
              <w:t>m处</w:t>
            </w:r>
            <w:r>
              <w:rPr>
                <w:rFonts w:hint="default" w:ascii="Times New Roman" w:hAnsi="Times New Roman" w:cs="Times New Roman"/>
                <w:color w:val="auto"/>
                <w:sz w:val="24"/>
                <w:szCs w:val="24"/>
                <w:lang w:eastAsia="zh-CN"/>
              </w:rPr>
              <w:t>，满足</w:t>
            </w:r>
            <w:r>
              <w:rPr>
                <w:rFonts w:hint="default" w:ascii="Times New Roman" w:hAnsi="Times New Roman" w:cs="Times New Roman"/>
                <w:color w:val="auto"/>
                <w:sz w:val="24"/>
                <w:szCs w:val="24"/>
                <w:lang w:val="en-US" w:eastAsia="zh-CN"/>
              </w:rPr>
              <w:t>《挥发性有机物排放标准 第6部分：有机化工行业》（DB37/2801.6-2018）</w:t>
            </w:r>
            <w:r>
              <w:rPr>
                <w:rFonts w:hint="default" w:ascii="Times New Roman" w:hAnsi="Times New Roman" w:cs="Times New Roman"/>
                <w:color w:val="auto"/>
                <w:sz w:val="24"/>
                <w:szCs w:val="24"/>
                <w:vertAlign w:val="baseline"/>
                <w:lang w:val="en-US" w:eastAsia="zh-CN"/>
              </w:rPr>
              <w:t>表3厂界监控点浓度限值（VOCs浓度限值</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cs="Times New Roman"/>
                <w:color w:val="auto"/>
                <w:sz w:val="24"/>
                <w:szCs w:val="24"/>
                <w:vertAlign w:val="baseline"/>
                <w:lang w:val="en-US" w:eastAsia="zh-CN"/>
              </w:rPr>
              <w:t>2.0mg/m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lang w:val="en-US" w:eastAsia="zh-CN"/>
              </w:rPr>
              <w:t>要求。项目营运期应严格按照</w:t>
            </w:r>
            <w:r>
              <w:rPr>
                <w:rFonts w:hint="default" w:ascii="Times New Roman" w:hAnsi="Times New Roman" w:cs="Times New Roman"/>
                <w:color w:val="auto"/>
                <w:sz w:val="24"/>
                <w:szCs w:val="24"/>
                <w:lang w:eastAsia="zh-CN"/>
              </w:rPr>
              <w:t>《挥发性有机物无组织排放控制标准》（</w:t>
            </w:r>
            <w:r>
              <w:rPr>
                <w:rFonts w:hint="default" w:ascii="Times New Roman" w:hAnsi="Times New Roman" w:cs="Times New Roman"/>
                <w:color w:val="auto"/>
                <w:sz w:val="24"/>
                <w:szCs w:val="24"/>
                <w:lang w:val="en-US" w:eastAsia="zh-CN"/>
              </w:rPr>
              <w:t>GB37822-2019</w:t>
            </w:r>
            <w:r>
              <w:rPr>
                <w:rFonts w:hint="default" w:ascii="Times New Roman" w:hAnsi="Times New Roman" w:cs="Times New Roman"/>
                <w:color w:val="auto"/>
                <w:sz w:val="24"/>
                <w:szCs w:val="24"/>
                <w:lang w:eastAsia="zh-CN"/>
              </w:rPr>
              <w:t>）及附录</w:t>
            </w:r>
            <w:r>
              <w:rPr>
                <w:rFonts w:hint="default" w:ascii="Times New Roman" w:hAnsi="Times New Roman" w:cs="Times New Roman"/>
                <w:color w:val="auto"/>
                <w:sz w:val="24"/>
                <w:szCs w:val="24"/>
                <w:lang w:val="en-US" w:eastAsia="zh-CN"/>
              </w:rPr>
              <w:t>A厂区内VOCs无组织排放监控要求，加强生产工艺过程、设备与管线组件泄漏、废气收集处理系统等环节VOCs无组织排放控制管理，确保污染物厂区内及周边环境达标排放。</w:t>
            </w: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无组织排放污染物</w:t>
            </w:r>
            <w:r>
              <w:rPr>
                <w:rFonts w:hint="default" w:ascii="Times New Roman" w:hAnsi="Times New Roman" w:cs="Times New Roman"/>
                <w:color w:val="auto"/>
                <w:sz w:val="24"/>
                <w:szCs w:val="24"/>
              </w:rPr>
              <w:t>的最大落地浓度贡献值较小，</w:t>
            </w:r>
            <w:r>
              <w:rPr>
                <w:rFonts w:hint="default" w:ascii="Times New Roman" w:hAnsi="Times New Roman" w:cs="Times New Roman"/>
                <w:color w:val="auto"/>
                <w:sz w:val="24"/>
                <w:szCs w:val="24"/>
                <w:lang w:eastAsia="zh-CN"/>
              </w:rPr>
              <w:t>对</w:t>
            </w:r>
            <w:r>
              <w:rPr>
                <w:rFonts w:hint="default" w:ascii="Times New Roman" w:hAnsi="Times New Roman" w:cs="Times New Roman"/>
                <w:color w:val="auto"/>
                <w:sz w:val="24"/>
                <w:szCs w:val="24"/>
              </w:rPr>
              <w:t>周围大气环境质量影响较小。</w:t>
            </w:r>
          </w:p>
          <w:p>
            <w:pPr>
              <w:numPr>
                <w:ilvl w:val="0"/>
                <w:numId w:val="0"/>
              </w:numPr>
              <w:snapToGrid w:val="0"/>
              <w:spacing w:line="360" w:lineRule="auto"/>
              <w:jc w:val="center"/>
              <w:rPr>
                <w:rFonts w:hint="default" w:ascii="Times New Roman" w:hAnsi="Times New Roman" w:cs="Times New Roman"/>
                <w:color w:val="auto"/>
              </w:rPr>
            </w:pPr>
            <w:r>
              <w:rPr>
                <w:color w:val="auto"/>
              </w:rPr>
              <w:drawing>
                <wp:inline distT="0" distB="0" distL="114300" distR="114300">
                  <wp:extent cx="4450080" cy="2918460"/>
                  <wp:effectExtent l="0" t="0" r="0"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4450080" cy="2918460"/>
                          </a:xfrm>
                          <a:prstGeom prst="rect">
                            <a:avLst/>
                          </a:prstGeom>
                          <a:noFill/>
                          <a:ln>
                            <a:noFill/>
                          </a:ln>
                        </pic:spPr>
                      </pic:pic>
                    </a:graphicData>
                  </a:graphic>
                </wp:inline>
              </w:drawing>
            </w:r>
          </w:p>
          <w:p>
            <w:pPr>
              <w:pStyle w:val="2"/>
              <w:spacing w:line="360" w:lineRule="auto"/>
              <w:jc w:val="center"/>
              <w:rPr>
                <w:rFonts w:hint="default" w:ascii="Times New Roman" w:hAnsi="Times New Roman" w:cs="Times New Roman"/>
                <w:color w:val="auto"/>
              </w:rPr>
            </w:pPr>
            <w:r>
              <w:rPr>
                <w:rFonts w:hint="default" w:ascii="Times New Roman" w:hAnsi="Times New Roman" w:cs="Times New Roman"/>
                <w:b/>
                <w:bCs/>
                <w:color w:val="auto"/>
                <w:lang w:eastAsia="zh-CN"/>
              </w:rPr>
              <w:t>图</w:t>
            </w:r>
            <w:r>
              <w:rPr>
                <w:rFonts w:hint="default" w:ascii="Times New Roman" w:hAnsi="Times New Roman" w:cs="Times New Roman"/>
                <w:b/>
                <w:bCs/>
                <w:color w:val="auto"/>
                <w:lang w:val="en-US" w:eastAsia="zh-CN"/>
              </w:rPr>
              <w:t>7-1  无组织VOCs预测结果图</w:t>
            </w:r>
          </w:p>
          <w:p>
            <w:pPr>
              <w:spacing w:line="360" w:lineRule="auto"/>
              <w:ind w:firstLine="480" w:firstLineChars="200"/>
              <w:jc w:val="both"/>
              <w:rPr>
                <w:rFonts w:hint="eastAsia"/>
                <w:color w:val="auto"/>
                <w:sz w:val="24"/>
                <w:szCs w:val="24"/>
                <w:lang w:val="en-US" w:eastAsia="zh-CN"/>
              </w:rPr>
            </w:pPr>
            <w:r>
              <w:rPr>
                <w:rFonts w:hint="default" w:ascii="Times New Roman" w:hAnsi="Times New Roman" w:cs="Times New Roman"/>
                <w:bCs/>
                <w:color w:val="auto"/>
                <w:sz w:val="24"/>
                <w:szCs w:val="24"/>
                <w:lang w:val="en-US" w:eastAsia="zh-CN"/>
              </w:rPr>
              <w:t>综上，</w:t>
            </w:r>
            <w:r>
              <w:rPr>
                <w:rFonts w:hint="eastAsia" w:cs="Times New Roman"/>
                <w:bCs/>
                <w:color w:val="auto"/>
                <w:sz w:val="24"/>
                <w:szCs w:val="24"/>
                <w:lang w:val="en-US" w:eastAsia="zh-CN"/>
              </w:rPr>
              <w:t>本</w:t>
            </w:r>
            <w:r>
              <w:rPr>
                <w:rFonts w:hint="default" w:ascii="Times New Roman" w:hAnsi="Times New Roman" w:cs="Times New Roman"/>
                <w:bCs/>
                <w:color w:val="auto"/>
                <w:sz w:val="24"/>
                <w:szCs w:val="24"/>
                <w:lang w:val="en-US" w:eastAsia="zh-CN"/>
              </w:rPr>
              <w:t>项目大气评价为三级，</w:t>
            </w:r>
            <w:r>
              <w:rPr>
                <w:rFonts w:hint="default" w:ascii="Times New Roman" w:hAnsi="Times New Roman" w:cs="Times New Roman"/>
                <w:color w:val="auto"/>
                <w:sz w:val="24"/>
                <w:szCs w:val="24"/>
                <w:highlight w:val="none"/>
              </w:rPr>
              <w:t>不进行进一步预测与评价</w:t>
            </w:r>
            <w:r>
              <w:rPr>
                <w:rFonts w:hint="eastAsia" w:cs="Times New Roman"/>
                <w:color w:val="auto"/>
                <w:sz w:val="24"/>
                <w:szCs w:val="24"/>
                <w:highlight w:val="none"/>
                <w:lang w:eastAsia="zh-CN"/>
              </w:rPr>
              <w:t>。</w:t>
            </w:r>
          </w:p>
          <w:p>
            <w:pPr>
              <w:spacing w:line="360" w:lineRule="auto"/>
              <w:ind w:firstLine="480" w:firstLineChars="200"/>
              <w:rPr>
                <w:rFonts w:hint="default" w:ascii="Times New Roman" w:hAnsi="Times New Roman" w:cs="Times New Roman"/>
                <w:bCs/>
                <w:color w:val="auto"/>
                <w:sz w:val="24"/>
                <w:szCs w:val="24"/>
                <w:lang w:val="en-US" w:eastAsia="zh-CN"/>
              </w:rPr>
            </w:pPr>
            <w:r>
              <w:rPr>
                <w:rFonts w:hint="eastAsia" w:cs="Times New Roman"/>
                <w:bCs/>
                <w:color w:val="auto"/>
                <w:sz w:val="24"/>
                <w:szCs w:val="24"/>
                <w:lang w:val="en-US" w:eastAsia="zh-CN"/>
              </w:rPr>
              <w:t>3</w:t>
            </w:r>
            <w:r>
              <w:rPr>
                <w:rFonts w:hint="default" w:ascii="Times New Roman" w:hAnsi="Times New Roman" w:cs="Times New Roman"/>
                <w:bCs/>
                <w:color w:val="auto"/>
                <w:sz w:val="24"/>
                <w:szCs w:val="24"/>
                <w:lang w:val="en-US" w:eastAsia="zh-CN"/>
              </w:rPr>
              <w:t>、自查表</w:t>
            </w:r>
          </w:p>
          <w:p>
            <w:pPr>
              <w:spacing w:line="360" w:lineRule="auto"/>
              <w:ind w:firstLine="480" w:firstLineChars="200"/>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大气环境影响评价完成后，对大气环境影响评价主要内容与结论进行自查，如下表所示。</w:t>
            </w:r>
          </w:p>
          <w:p>
            <w:pPr>
              <w:numPr>
                <w:ilvl w:val="0"/>
                <w:numId w:val="0"/>
              </w:numPr>
              <w:snapToGrid w:val="0"/>
              <w:spacing w:line="360" w:lineRule="auto"/>
              <w:ind w:firstLine="482" w:firstLineChars="200"/>
              <w:jc w:val="center"/>
              <w:rPr>
                <w:rFonts w:hint="default"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表7-</w:t>
            </w:r>
            <w:r>
              <w:rPr>
                <w:rFonts w:hint="eastAsia" w:cs="Times New Roman"/>
                <w:b/>
                <w:bCs/>
                <w:color w:val="auto"/>
                <w:kern w:val="2"/>
                <w:sz w:val="24"/>
                <w:szCs w:val="24"/>
                <w:lang w:val="en-US" w:eastAsia="zh-CN" w:bidi="ar-SA"/>
              </w:rPr>
              <w:t>1</w:t>
            </w:r>
            <w:r>
              <w:rPr>
                <w:rFonts w:hint="default" w:ascii="Times New Roman" w:hAnsi="Times New Roman" w:cs="Times New Roman"/>
                <w:b/>
                <w:bCs/>
                <w:color w:val="auto"/>
                <w:kern w:val="2"/>
                <w:sz w:val="24"/>
                <w:szCs w:val="24"/>
                <w:lang w:val="en-US" w:eastAsia="zh-CN" w:bidi="ar-SA"/>
              </w:rPr>
              <w:t xml:space="preserve">  建设项目大气环境影响评价自查表</w:t>
            </w:r>
          </w:p>
          <w:tbl>
            <w:tblPr>
              <w:tblStyle w:val="39"/>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393"/>
              <w:gridCol w:w="965"/>
              <w:gridCol w:w="278"/>
              <w:gridCol w:w="145"/>
              <w:gridCol w:w="456"/>
              <w:gridCol w:w="423"/>
              <w:gridCol w:w="517"/>
              <w:gridCol w:w="430"/>
              <w:gridCol w:w="1093"/>
              <w:gridCol w:w="200"/>
              <w:gridCol w:w="334"/>
              <w:gridCol w:w="640"/>
              <w:gridCol w:w="1"/>
              <w:gridCol w:w="905"/>
              <w:gridCol w:w="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104" w:type="dxa"/>
                  <w:gridSpan w:val="2"/>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工作内容</w:t>
                  </w:r>
                </w:p>
              </w:tc>
              <w:tc>
                <w:tcPr>
                  <w:tcW w:w="6967" w:type="dxa"/>
                  <w:gridSpan w:val="14"/>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restart"/>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评价等级与范围</w:t>
                  </w: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评价等级</w:t>
                  </w:r>
                </w:p>
              </w:tc>
              <w:tc>
                <w:tcPr>
                  <w:tcW w:w="2267" w:type="dxa"/>
                  <w:gridSpan w:val="5"/>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一级</w:t>
                  </w:r>
                  <w:r>
                    <w:rPr>
                      <w:rFonts w:hint="default" w:ascii="Times New Roman" w:hAnsi="Times New Roman" w:cs="Times New Roman"/>
                      <w:b w:val="0"/>
                      <w:bCs/>
                      <w:color w:val="auto"/>
                      <w:sz w:val="22"/>
                      <w:szCs w:val="22"/>
                      <w:highlight w:val="none"/>
                    </w:rPr>
                    <w:sym w:font="Wingdings" w:char="00A8"/>
                  </w:r>
                </w:p>
              </w:tc>
              <w:tc>
                <w:tcPr>
                  <w:tcW w:w="3215" w:type="dxa"/>
                  <w:gridSpan w:val="7"/>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二级</w:t>
                  </w:r>
                  <w:r>
                    <w:rPr>
                      <w:rFonts w:hint="default" w:ascii="Times New Roman" w:hAnsi="Times New Roman" w:cs="Times New Roman"/>
                      <w:b w:val="0"/>
                      <w:bCs/>
                      <w:color w:val="auto"/>
                      <w:sz w:val="22"/>
                      <w:szCs w:val="22"/>
                      <w:highlight w:val="none"/>
                    </w:rPr>
                    <w:sym w:font="Wingdings" w:char="00A8"/>
                  </w:r>
                </w:p>
              </w:tc>
              <w:tc>
                <w:tcPr>
                  <w:tcW w:w="1485" w:type="dxa"/>
                  <w:gridSpan w:val="2"/>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三级</w:t>
                  </w:r>
                  <w:r>
                    <w:rPr>
                      <w:rFonts w:hint="default" w:ascii="Times New Roman" w:hAnsi="Times New Roman" w:cs="Times New Roman"/>
                      <w:b w:val="0"/>
                      <w:bCs/>
                      <w:color w:val="auto"/>
                      <w:sz w:val="22"/>
                      <w:szCs w:val="22"/>
                      <w:highlight w:val="none"/>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评价范围</w:t>
                  </w:r>
                </w:p>
              </w:tc>
              <w:tc>
                <w:tcPr>
                  <w:tcW w:w="2267" w:type="dxa"/>
                  <w:gridSpan w:val="5"/>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边长=50km</w:t>
                  </w:r>
                  <w:r>
                    <w:rPr>
                      <w:rFonts w:hint="default" w:ascii="Times New Roman" w:hAnsi="Times New Roman" w:cs="Times New Roman"/>
                      <w:b w:val="0"/>
                      <w:bCs/>
                      <w:color w:val="auto"/>
                      <w:sz w:val="22"/>
                      <w:szCs w:val="22"/>
                      <w:highlight w:val="none"/>
                    </w:rPr>
                    <w:sym w:font="Wingdings" w:char="00A8"/>
                  </w:r>
                </w:p>
              </w:tc>
              <w:tc>
                <w:tcPr>
                  <w:tcW w:w="2040" w:type="dxa"/>
                  <w:gridSpan w:val="3"/>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边长5～50km</w:t>
                  </w:r>
                  <w:r>
                    <w:rPr>
                      <w:rFonts w:hint="default" w:ascii="Times New Roman" w:hAnsi="Times New Roman" w:cs="Times New Roman"/>
                      <w:b w:val="0"/>
                      <w:bCs/>
                      <w:color w:val="auto"/>
                      <w:sz w:val="22"/>
                      <w:szCs w:val="22"/>
                      <w:highlight w:val="none"/>
                    </w:rPr>
                    <w:sym w:font="Wingdings" w:char="00A8"/>
                  </w:r>
                </w:p>
              </w:tc>
              <w:tc>
                <w:tcPr>
                  <w:tcW w:w="1175" w:type="dxa"/>
                  <w:gridSpan w:val="4"/>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边长=5km</w:t>
                  </w:r>
                  <w:r>
                    <w:rPr>
                      <w:rFonts w:hint="default" w:ascii="Times New Roman" w:hAnsi="Times New Roman" w:cs="Times New Roman"/>
                      <w:b w:val="0"/>
                      <w:bCs/>
                      <w:color w:val="auto"/>
                      <w:sz w:val="22"/>
                      <w:szCs w:val="22"/>
                      <w:highlight w:val="none"/>
                    </w:rPr>
                    <w:sym w:font="Wingdings" w:char="00A8"/>
                  </w:r>
                </w:p>
              </w:tc>
              <w:tc>
                <w:tcPr>
                  <w:tcW w:w="1485" w:type="dxa"/>
                  <w:gridSpan w:val="2"/>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不需设置</w:t>
                  </w:r>
                  <w:r>
                    <w:rPr>
                      <w:rFonts w:hint="default" w:ascii="Times New Roman" w:hAnsi="Times New Roman" w:cs="Times New Roman"/>
                      <w:b w:val="0"/>
                      <w:bCs/>
                      <w:color w:val="auto"/>
                      <w:sz w:val="22"/>
                      <w:szCs w:val="22"/>
                      <w:highlight w:val="none"/>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restart"/>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评价因子</w:t>
                  </w: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SO</w:t>
                  </w:r>
                  <w:r>
                    <w:rPr>
                      <w:rFonts w:hint="default" w:ascii="Times New Roman" w:hAnsi="Times New Roman" w:cs="Times New Roman"/>
                      <w:b w:val="0"/>
                      <w:bCs/>
                      <w:color w:val="auto"/>
                      <w:sz w:val="22"/>
                      <w:szCs w:val="22"/>
                      <w:highlight w:val="none"/>
                      <w:vertAlign w:val="subscript"/>
                    </w:rPr>
                    <w:t>2</w:t>
                  </w:r>
                  <w:r>
                    <w:rPr>
                      <w:rFonts w:hint="default" w:ascii="Times New Roman" w:hAnsi="Times New Roman" w:cs="Times New Roman"/>
                      <w:b w:val="0"/>
                      <w:bCs/>
                      <w:color w:val="auto"/>
                      <w:sz w:val="22"/>
                      <w:szCs w:val="22"/>
                      <w:highlight w:val="none"/>
                    </w:rPr>
                    <w:t>+NO</w:t>
                  </w:r>
                  <w:r>
                    <w:rPr>
                      <w:rFonts w:hint="default" w:ascii="Times New Roman" w:hAnsi="Times New Roman" w:cs="Times New Roman"/>
                      <w:b w:val="0"/>
                      <w:bCs/>
                      <w:color w:val="auto"/>
                      <w:sz w:val="22"/>
                      <w:szCs w:val="22"/>
                      <w:highlight w:val="none"/>
                      <w:vertAlign w:val="subscript"/>
                    </w:rPr>
                    <w:t>X</w:t>
                  </w:r>
                  <w:r>
                    <w:rPr>
                      <w:rFonts w:hint="default" w:ascii="Times New Roman" w:hAnsi="Times New Roman" w:cs="Times New Roman"/>
                      <w:b w:val="0"/>
                      <w:bCs/>
                      <w:color w:val="auto"/>
                      <w:sz w:val="22"/>
                      <w:szCs w:val="22"/>
                      <w:highlight w:val="none"/>
                    </w:rPr>
                    <w:t>排放量</w:t>
                  </w:r>
                </w:p>
              </w:tc>
              <w:tc>
                <w:tcPr>
                  <w:tcW w:w="2267" w:type="dxa"/>
                  <w:gridSpan w:val="5"/>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≥2000t/a</w:t>
                  </w:r>
                  <w:r>
                    <w:rPr>
                      <w:rFonts w:hint="default" w:ascii="Times New Roman" w:hAnsi="Times New Roman" w:cs="Times New Roman"/>
                      <w:b w:val="0"/>
                      <w:bCs/>
                      <w:color w:val="auto"/>
                      <w:sz w:val="22"/>
                      <w:szCs w:val="22"/>
                      <w:highlight w:val="none"/>
                    </w:rPr>
                    <w:sym w:font="Wingdings" w:char="00A8"/>
                  </w:r>
                </w:p>
              </w:tc>
              <w:tc>
                <w:tcPr>
                  <w:tcW w:w="3215" w:type="dxa"/>
                  <w:gridSpan w:val="7"/>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500~2000t/a</w:t>
                  </w:r>
                  <w:r>
                    <w:rPr>
                      <w:rFonts w:hint="default" w:ascii="Times New Roman" w:hAnsi="Times New Roman" w:cs="Times New Roman"/>
                      <w:b w:val="0"/>
                      <w:bCs/>
                      <w:color w:val="auto"/>
                      <w:sz w:val="22"/>
                      <w:szCs w:val="22"/>
                      <w:highlight w:val="none"/>
                    </w:rPr>
                    <w:sym w:font="Wingdings" w:char="00A8"/>
                  </w:r>
                </w:p>
              </w:tc>
              <w:tc>
                <w:tcPr>
                  <w:tcW w:w="1485" w:type="dxa"/>
                  <w:gridSpan w:val="2"/>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＜500t/a</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评价因子</w:t>
                  </w:r>
                </w:p>
              </w:tc>
              <w:tc>
                <w:tcPr>
                  <w:tcW w:w="4307" w:type="dxa"/>
                  <w:gridSpan w:val="8"/>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基本污染物（）</w:t>
                  </w:r>
                </w:p>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其他污染物（</w:t>
                  </w:r>
                  <w:r>
                    <w:rPr>
                      <w:rFonts w:hint="default" w:ascii="Times New Roman" w:hAnsi="Times New Roman" w:cs="Times New Roman"/>
                      <w:b w:val="0"/>
                      <w:bCs/>
                      <w:color w:val="auto"/>
                      <w:sz w:val="22"/>
                      <w:szCs w:val="22"/>
                      <w:highlight w:val="none"/>
                      <w:lang w:val="en-US" w:eastAsia="zh-CN"/>
                    </w:rPr>
                    <w:t>VOCs</w:t>
                  </w:r>
                  <w:r>
                    <w:rPr>
                      <w:rFonts w:hint="default" w:ascii="Times New Roman" w:hAnsi="Times New Roman" w:cs="Times New Roman"/>
                      <w:b w:val="0"/>
                      <w:bCs/>
                      <w:color w:val="auto"/>
                      <w:sz w:val="22"/>
                      <w:szCs w:val="22"/>
                      <w:highlight w:val="none"/>
                    </w:rPr>
                    <w:t>）</w:t>
                  </w:r>
                </w:p>
              </w:tc>
              <w:tc>
                <w:tcPr>
                  <w:tcW w:w="2660" w:type="dxa"/>
                  <w:gridSpan w:val="6"/>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包括二次 PM</w:t>
                  </w:r>
                  <w:r>
                    <w:rPr>
                      <w:rFonts w:hint="default" w:ascii="Times New Roman" w:hAnsi="Times New Roman" w:cs="Times New Roman"/>
                      <w:b w:val="0"/>
                      <w:bCs/>
                      <w:color w:val="auto"/>
                      <w:sz w:val="22"/>
                      <w:szCs w:val="22"/>
                      <w:highlight w:val="none"/>
                      <w:vertAlign w:val="subscript"/>
                    </w:rPr>
                    <w:t>2.5</w:t>
                  </w:r>
                  <w:r>
                    <w:rPr>
                      <w:rFonts w:hint="default" w:ascii="Times New Roman" w:hAnsi="Times New Roman" w:cs="Times New Roman"/>
                      <w:b w:val="0"/>
                      <w:bCs/>
                      <w:color w:val="auto"/>
                      <w:sz w:val="22"/>
                      <w:szCs w:val="22"/>
                      <w:highlight w:val="none"/>
                    </w:rPr>
                    <w:sym w:font="Wingdings" w:char="00A8"/>
                  </w:r>
                </w:p>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不包括二次 PM</w:t>
                  </w:r>
                  <w:r>
                    <w:rPr>
                      <w:rFonts w:hint="default" w:ascii="Times New Roman" w:hAnsi="Times New Roman" w:cs="Times New Roman"/>
                      <w:b w:val="0"/>
                      <w:bCs/>
                      <w:color w:val="auto"/>
                      <w:sz w:val="22"/>
                      <w:szCs w:val="22"/>
                      <w:highlight w:val="none"/>
                      <w:vertAlign w:val="subscript"/>
                    </w:rPr>
                    <w:t>2.5</w:t>
                  </w:r>
                  <w:r>
                    <w:rPr>
                      <w:rFonts w:hint="default" w:ascii="Times New Roman" w:hAnsi="Times New Roman" w:cs="Times New Roman"/>
                      <w:b w:val="0"/>
                      <w:bCs/>
                      <w:color w:val="auto"/>
                      <w:sz w:val="22"/>
                      <w:szCs w:val="22"/>
                      <w:highlight w:val="none"/>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评价标准</w:t>
                  </w: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评价标准</w:t>
                  </w:r>
                </w:p>
              </w:tc>
              <w:tc>
                <w:tcPr>
                  <w:tcW w:w="2267" w:type="dxa"/>
                  <w:gridSpan w:val="5"/>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国家标准</w:t>
                  </w:r>
                  <w:r>
                    <w:rPr>
                      <w:rFonts w:hint="default" w:ascii="Times New Roman" w:hAnsi="Times New Roman" w:cs="Times New Roman"/>
                      <w:b w:val="0"/>
                      <w:bCs/>
                      <w:color w:val="auto"/>
                      <w:sz w:val="22"/>
                      <w:szCs w:val="22"/>
                      <w:highlight w:val="none"/>
                    </w:rPr>
                    <w:sym w:font="Wingdings" w:char="00FE"/>
                  </w:r>
                </w:p>
              </w:tc>
              <w:tc>
                <w:tcPr>
                  <w:tcW w:w="2040" w:type="dxa"/>
                  <w:gridSpan w:val="3"/>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地方标准</w:t>
                  </w:r>
                  <w:r>
                    <w:rPr>
                      <w:rFonts w:hint="default" w:ascii="Times New Roman" w:hAnsi="Times New Roman" w:cs="Times New Roman"/>
                      <w:b w:val="0"/>
                      <w:bCs/>
                      <w:color w:val="auto"/>
                      <w:sz w:val="22"/>
                      <w:szCs w:val="22"/>
                      <w:highlight w:val="none"/>
                    </w:rPr>
                    <w:sym w:font="Wingdings" w:char="00FE"/>
                  </w:r>
                </w:p>
              </w:tc>
              <w:tc>
                <w:tcPr>
                  <w:tcW w:w="1175" w:type="dxa"/>
                  <w:gridSpan w:val="4"/>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附录D</w:t>
                  </w:r>
                  <w:r>
                    <w:rPr>
                      <w:rFonts w:hint="default" w:ascii="Times New Roman" w:hAnsi="Times New Roman" w:cs="Times New Roman"/>
                      <w:b w:val="0"/>
                      <w:bCs/>
                      <w:color w:val="auto"/>
                      <w:sz w:val="22"/>
                      <w:szCs w:val="22"/>
                      <w:highlight w:val="none"/>
                    </w:rPr>
                    <w:sym w:font="Wingdings" w:char="00A8"/>
                  </w:r>
                </w:p>
              </w:tc>
              <w:tc>
                <w:tcPr>
                  <w:tcW w:w="1485" w:type="dxa"/>
                  <w:gridSpan w:val="2"/>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其他标准</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restart"/>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现状评价</w:t>
                  </w: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环境功能区</w:t>
                  </w:r>
                </w:p>
              </w:tc>
              <w:tc>
                <w:tcPr>
                  <w:tcW w:w="2267" w:type="dxa"/>
                  <w:gridSpan w:val="5"/>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一类区</w:t>
                  </w:r>
                  <w:r>
                    <w:rPr>
                      <w:rFonts w:hint="default" w:ascii="Times New Roman" w:hAnsi="Times New Roman" w:cs="Times New Roman"/>
                      <w:b w:val="0"/>
                      <w:bCs/>
                      <w:color w:val="auto"/>
                      <w:sz w:val="22"/>
                      <w:szCs w:val="22"/>
                      <w:highlight w:val="none"/>
                    </w:rPr>
                    <w:sym w:font="Wingdings" w:char="00A8"/>
                  </w:r>
                </w:p>
              </w:tc>
              <w:tc>
                <w:tcPr>
                  <w:tcW w:w="3215" w:type="dxa"/>
                  <w:gridSpan w:val="7"/>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二类区</w:t>
                  </w:r>
                  <w:r>
                    <w:rPr>
                      <w:rFonts w:hint="default" w:ascii="Times New Roman" w:hAnsi="Times New Roman" w:cs="Times New Roman"/>
                      <w:b w:val="0"/>
                      <w:bCs/>
                      <w:color w:val="auto"/>
                      <w:sz w:val="22"/>
                      <w:szCs w:val="22"/>
                      <w:highlight w:val="none"/>
                    </w:rPr>
                    <w:sym w:font="Wingdings" w:char="00FE"/>
                  </w:r>
                </w:p>
              </w:tc>
              <w:tc>
                <w:tcPr>
                  <w:tcW w:w="1485" w:type="dxa"/>
                  <w:gridSpan w:val="2"/>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一类区和二类区</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评价基准年</w:t>
                  </w:r>
                </w:p>
              </w:tc>
              <w:tc>
                <w:tcPr>
                  <w:tcW w:w="6967" w:type="dxa"/>
                  <w:gridSpan w:val="14"/>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20</w:t>
                  </w:r>
                  <w:r>
                    <w:rPr>
                      <w:rFonts w:hint="eastAsia" w:cs="Times New Roman"/>
                      <w:b w:val="0"/>
                      <w:bCs/>
                      <w:color w:val="auto"/>
                      <w:sz w:val="22"/>
                      <w:szCs w:val="22"/>
                      <w:highlight w:val="none"/>
                      <w:lang w:val="en-US" w:eastAsia="zh-CN"/>
                    </w:rPr>
                    <w:t>20</w:t>
                  </w:r>
                  <w:r>
                    <w:rPr>
                      <w:rFonts w:hint="default" w:ascii="Times New Roman" w:hAnsi="Times New Roman" w:cs="Times New Roman"/>
                      <w:b w:val="0"/>
                      <w:bCs/>
                      <w:color w:val="auto"/>
                      <w:sz w:val="22"/>
                      <w:szCs w:val="22"/>
                      <w:highlight w:val="none"/>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环境空气质量现状调查数据来源</w:t>
                  </w:r>
                </w:p>
              </w:tc>
              <w:tc>
                <w:tcPr>
                  <w:tcW w:w="2267" w:type="dxa"/>
                  <w:gridSpan w:val="5"/>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长期例行监测数据</w:t>
                  </w:r>
                  <w:r>
                    <w:rPr>
                      <w:rFonts w:hint="default" w:ascii="Times New Roman" w:hAnsi="Times New Roman" w:cs="Times New Roman"/>
                      <w:b w:val="0"/>
                      <w:bCs/>
                      <w:color w:val="auto"/>
                      <w:sz w:val="22"/>
                      <w:szCs w:val="22"/>
                      <w:highlight w:val="none"/>
                    </w:rPr>
                    <w:sym w:font="Wingdings" w:char="00A8"/>
                  </w:r>
                </w:p>
              </w:tc>
              <w:tc>
                <w:tcPr>
                  <w:tcW w:w="3214" w:type="dxa"/>
                  <w:gridSpan w:val="6"/>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主管部门发布的数据</w:t>
                  </w:r>
                  <w:r>
                    <w:rPr>
                      <w:rFonts w:hint="default" w:ascii="Times New Roman" w:hAnsi="Times New Roman" w:cs="Times New Roman"/>
                      <w:b w:val="0"/>
                      <w:bCs/>
                      <w:color w:val="auto"/>
                      <w:sz w:val="22"/>
                      <w:szCs w:val="22"/>
                      <w:highlight w:val="none"/>
                    </w:rPr>
                    <w:sym w:font="Wingdings" w:char="00FE"/>
                  </w:r>
                </w:p>
              </w:tc>
              <w:tc>
                <w:tcPr>
                  <w:tcW w:w="1486" w:type="dxa"/>
                  <w:gridSpan w:val="3"/>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现状补充监测</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现状评价</w:t>
                  </w:r>
                </w:p>
              </w:tc>
              <w:tc>
                <w:tcPr>
                  <w:tcW w:w="4307" w:type="dxa"/>
                  <w:gridSpan w:val="8"/>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达标区</w:t>
                  </w:r>
                  <w:r>
                    <w:rPr>
                      <w:rFonts w:hint="default" w:ascii="Times New Roman" w:hAnsi="Times New Roman" w:cs="Times New Roman"/>
                      <w:b w:val="0"/>
                      <w:bCs/>
                      <w:color w:val="auto"/>
                      <w:sz w:val="22"/>
                      <w:szCs w:val="22"/>
                      <w:highlight w:val="none"/>
                    </w:rPr>
                    <w:sym w:font="Wingdings" w:char="00FE"/>
                  </w:r>
                </w:p>
              </w:tc>
              <w:tc>
                <w:tcPr>
                  <w:tcW w:w="2660" w:type="dxa"/>
                  <w:gridSpan w:val="6"/>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不达标区</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污染源调查</w:t>
                  </w: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调查内容</w:t>
                  </w:r>
                </w:p>
              </w:tc>
              <w:tc>
                <w:tcPr>
                  <w:tcW w:w="2267" w:type="dxa"/>
                  <w:gridSpan w:val="5"/>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本项目正常排放源</w:t>
                  </w:r>
                  <w:r>
                    <w:rPr>
                      <w:rFonts w:hint="default" w:ascii="Times New Roman" w:hAnsi="Times New Roman" w:cs="Times New Roman"/>
                      <w:b w:val="0"/>
                      <w:bCs/>
                      <w:color w:val="auto"/>
                      <w:sz w:val="22"/>
                      <w:szCs w:val="22"/>
                      <w:highlight w:val="none"/>
                    </w:rPr>
                    <w:sym w:font="Wingdings" w:char="00A8"/>
                  </w:r>
                </w:p>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本项目非正常排放源</w:t>
                  </w:r>
                  <w:r>
                    <w:rPr>
                      <w:rFonts w:hint="default" w:ascii="Times New Roman" w:hAnsi="Times New Roman" w:cs="Times New Roman"/>
                      <w:b w:val="0"/>
                      <w:bCs/>
                      <w:color w:val="auto"/>
                      <w:sz w:val="22"/>
                      <w:szCs w:val="22"/>
                      <w:highlight w:val="none"/>
                    </w:rPr>
                    <w:sym w:font="Wingdings" w:char="00A8"/>
                  </w:r>
                </w:p>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现有污染源</w:t>
                  </w:r>
                  <w:r>
                    <w:rPr>
                      <w:rFonts w:hint="default" w:ascii="Times New Roman" w:hAnsi="Times New Roman" w:cs="Times New Roman"/>
                      <w:b w:val="0"/>
                      <w:bCs/>
                      <w:color w:val="auto"/>
                      <w:sz w:val="22"/>
                      <w:szCs w:val="22"/>
                      <w:highlight w:val="none"/>
                    </w:rPr>
                    <w:sym w:font="Wingdings" w:char="00A8"/>
                  </w:r>
                </w:p>
              </w:tc>
              <w:tc>
                <w:tcPr>
                  <w:tcW w:w="2040" w:type="dxa"/>
                  <w:gridSpan w:val="3"/>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拟替代的污染源</w:t>
                  </w:r>
                  <w:r>
                    <w:rPr>
                      <w:rFonts w:hint="default" w:ascii="Times New Roman" w:hAnsi="Times New Roman" w:cs="Times New Roman"/>
                      <w:b w:val="0"/>
                      <w:bCs/>
                      <w:color w:val="auto"/>
                      <w:sz w:val="22"/>
                      <w:szCs w:val="22"/>
                      <w:highlight w:val="none"/>
                    </w:rPr>
                    <w:sym w:font="Wingdings" w:char="00A8"/>
                  </w:r>
                </w:p>
              </w:tc>
              <w:tc>
                <w:tcPr>
                  <w:tcW w:w="1175" w:type="dxa"/>
                  <w:gridSpan w:val="4"/>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其他在建、</w:t>
                  </w:r>
                  <w:r>
                    <w:rPr>
                      <w:rFonts w:hint="default" w:ascii="Times New Roman" w:hAnsi="Times New Roman" w:cs="Times New Roman"/>
                      <w:b w:val="0"/>
                      <w:bCs/>
                      <w:color w:val="auto"/>
                      <w:sz w:val="22"/>
                      <w:szCs w:val="22"/>
                      <w:highlight w:val="none"/>
                      <w:lang w:eastAsia="zh-CN"/>
                    </w:rPr>
                    <w:t>本项目</w:t>
                  </w:r>
                  <w:r>
                    <w:rPr>
                      <w:rFonts w:hint="default" w:ascii="Times New Roman" w:hAnsi="Times New Roman" w:cs="Times New Roman"/>
                      <w:b w:val="0"/>
                      <w:bCs/>
                      <w:color w:val="auto"/>
                      <w:sz w:val="22"/>
                      <w:szCs w:val="22"/>
                      <w:highlight w:val="none"/>
                    </w:rPr>
                    <w:t>污染源</w:t>
                  </w:r>
                  <w:r>
                    <w:rPr>
                      <w:rFonts w:hint="default" w:ascii="Times New Roman" w:hAnsi="Times New Roman" w:cs="Times New Roman"/>
                      <w:b w:val="0"/>
                      <w:bCs/>
                      <w:color w:val="auto"/>
                      <w:sz w:val="22"/>
                      <w:szCs w:val="22"/>
                      <w:highlight w:val="none"/>
                    </w:rPr>
                    <w:sym w:font="Wingdings" w:char="00A8"/>
                  </w:r>
                </w:p>
              </w:tc>
              <w:tc>
                <w:tcPr>
                  <w:tcW w:w="1485" w:type="dxa"/>
                  <w:gridSpan w:val="2"/>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区域污染源</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restart"/>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大气环境影响预测与 评价</w:t>
                  </w:r>
                </w:p>
              </w:tc>
              <w:tc>
                <w:tcPr>
                  <w:tcW w:w="5700" w:type="dxa"/>
                  <w:gridSpan w:val="9"/>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是否进行进一步预测与评价</w:t>
                  </w:r>
                </w:p>
              </w:tc>
              <w:tc>
                <w:tcPr>
                  <w:tcW w:w="1175" w:type="dxa"/>
                  <w:gridSpan w:val="4"/>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是</w:t>
                  </w:r>
                  <w:r>
                    <w:rPr>
                      <w:rFonts w:hint="default" w:ascii="Times New Roman" w:hAnsi="Times New Roman" w:cs="Times New Roman"/>
                      <w:b w:val="0"/>
                      <w:bCs/>
                      <w:color w:val="auto"/>
                      <w:sz w:val="22"/>
                      <w:szCs w:val="22"/>
                      <w:highlight w:val="none"/>
                    </w:rPr>
                    <w:sym w:font="Wingdings" w:char="00A8"/>
                  </w:r>
                </w:p>
              </w:tc>
              <w:tc>
                <w:tcPr>
                  <w:tcW w:w="1485" w:type="dxa"/>
                  <w:gridSpan w:val="2"/>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否</w:t>
                  </w:r>
                  <w:r>
                    <w:rPr>
                      <w:rFonts w:hint="default" w:ascii="Times New Roman" w:hAnsi="Times New Roman" w:cs="Times New Roman"/>
                      <w:b w:val="0"/>
                      <w:bCs/>
                      <w:color w:val="auto"/>
                      <w:sz w:val="22"/>
                      <w:szCs w:val="22"/>
                      <w:highlight w:val="none"/>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预测模型</w:t>
                  </w:r>
                </w:p>
              </w:tc>
              <w:tc>
                <w:tcPr>
                  <w:tcW w:w="965"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AERMOD</w:t>
                  </w:r>
                  <w:r>
                    <w:rPr>
                      <w:rFonts w:hint="default" w:ascii="Times New Roman" w:hAnsi="Times New Roman" w:cs="Times New Roman"/>
                      <w:b w:val="0"/>
                      <w:bCs/>
                      <w:color w:val="auto"/>
                      <w:sz w:val="22"/>
                      <w:szCs w:val="22"/>
                      <w:highlight w:val="none"/>
                    </w:rPr>
                    <w:sym w:font="Wingdings" w:char="00A8"/>
                  </w:r>
                </w:p>
              </w:tc>
              <w:tc>
                <w:tcPr>
                  <w:tcW w:w="879" w:type="dxa"/>
                  <w:gridSpan w:val="3"/>
                  <w:vAlign w:val="center"/>
                </w:tcPr>
                <w:p>
                  <w:pPr>
                    <w:jc w:val="center"/>
                    <w:rPr>
                      <w:rFonts w:hint="default" w:ascii="Times New Roman" w:hAnsi="Times New Roman" w:eastAsia="宋体" w:cs="Times New Roman"/>
                      <w:b w:val="0"/>
                      <w:bCs/>
                      <w:color w:val="auto"/>
                      <w:sz w:val="22"/>
                      <w:szCs w:val="22"/>
                      <w:highlight w:val="none"/>
                      <w:lang w:eastAsia="zh-CN"/>
                    </w:rPr>
                  </w:pPr>
                  <w:r>
                    <w:rPr>
                      <w:rFonts w:hint="default" w:ascii="Times New Roman" w:hAnsi="Times New Roman" w:cs="Times New Roman"/>
                      <w:b w:val="0"/>
                      <w:bCs/>
                      <w:color w:val="auto"/>
                      <w:sz w:val="22"/>
                      <w:szCs w:val="22"/>
                      <w:highlight w:val="none"/>
                    </w:rPr>
                    <w:t>ADMS</w:t>
                  </w:r>
                  <w:r>
                    <w:rPr>
                      <w:rFonts w:hint="default" w:ascii="Times New Roman" w:hAnsi="Times New Roman" w:cs="Times New Roman"/>
                      <w:b w:val="0"/>
                      <w:bCs/>
                      <w:color w:val="auto"/>
                      <w:sz w:val="22"/>
                      <w:szCs w:val="22"/>
                      <w:highlight w:val="none"/>
                    </w:rPr>
                    <w:sym w:font="Wingdings" w:char="00A8"/>
                  </w:r>
                </w:p>
              </w:tc>
              <w:tc>
                <w:tcPr>
                  <w:tcW w:w="1370" w:type="dxa"/>
                  <w:gridSpan w:val="3"/>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AUSTAL2000</w:t>
                  </w:r>
                  <w:r>
                    <w:rPr>
                      <w:rFonts w:hint="default" w:ascii="Times New Roman" w:hAnsi="Times New Roman" w:cs="Times New Roman"/>
                      <w:b w:val="0"/>
                      <w:bCs/>
                      <w:color w:val="auto"/>
                      <w:sz w:val="22"/>
                      <w:szCs w:val="22"/>
                      <w:highlight w:val="none"/>
                    </w:rPr>
                    <w:sym w:font="Wingdings" w:char="00A8"/>
                  </w:r>
                </w:p>
              </w:tc>
              <w:tc>
                <w:tcPr>
                  <w:tcW w:w="1293" w:type="dxa"/>
                  <w:gridSpan w:val="2"/>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EDMS/AEDT</w:t>
                  </w:r>
                  <w:r>
                    <w:rPr>
                      <w:rFonts w:hint="default" w:ascii="Times New Roman" w:hAnsi="Times New Roman" w:cs="Times New Roman"/>
                      <w:b w:val="0"/>
                      <w:bCs/>
                      <w:color w:val="auto"/>
                      <w:sz w:val="22"/>
                      <w:szCs w:val="22"/>
                      <w:highlight w:val="none"/>
                    </w:rPr>
                    <w:sym w:font="Wingdings" w:char="00A8"/>
                  </w:r>
                </w:p>
              </w:tc>
              <w:tc>
                <w:tcPr>
                  <w:tcW w:w="975" w:type="dxa"/>
                  <w:gridSpan w:val="3"/>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CALPUFF</w:t>
                  </w:r>
                  <w:r>
                    <w:rPr>
                      <w:rFonts w:hint="default" w:ascii="Times New Roman" w:hAnsi="Times New Roman" w:cs="Times New Roman"/>
                      <w:b w:val="0"/>
                      <w:bCs/>
                      <w:color w:val="auto"/>
                      <w:sz w:val="22"/>
                      <w:szCs w:val="22"/>
                      <w:highlight w:val="none"/>
                    </w:rPr>
                    <w:sym w:font="Wingdings" w:char="00A8"/>
                  </w:r>
                </w:p>
              </w:tc>
              <w:tc>
                <w:tcPr>
                  <w:tcW w:w="905"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网格模型□</w:t>
                  </w:r>
                </w:p>
              </w:tc>
              <w:tc>
                <w:tcPr>
                  <w:tcW w:w="580"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其他</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预测范围</w:t>
                  </w:r>
                </w:p>
              </w:tc>
              <w:tc>
                <w:tcPr>
                  <w:tcW w:w="1844" w:type="dxa"/>
                  <w:gridSpan w:val="4"/>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边长≥50km</w:t>
                  </w:r>
                  <w:r>
                    <w:rPr>
                      <w:rFonts w:hint="default" w:ascii="Times New Roman" w:hAnsi="Times New Roman" w:cs="Times New Roman"/>
                      <w:b w:val="0"/>
                      <w:bCs/>
                      <w:color w:val="auto"/>
                      <w:sz w:val="22"/>
                      <w:szCs w:val="22"/>
                      <w:highlight w:val="none"/>
                    </w:rPr>
                    <w:sym w:font="Wingdings" w:char="00A8"/>
                  </w:r>
                </w:p>
              </w:tc>
              <w:tc>
                <w:tcPr>
                  <w:tcW w:w="3638" w:type="dxa"/>
                  <w:gridSpan w:val="8"/>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边长 5～50km</w:t>
                  </w:r>
                  <w:r>
                    <w:rPr>
                      <w:rFonts w:hint="default" w:ascii="Times New Roman" w:hAnsi="Times New Roman" w:cs="Times New Roman"/>
                      <w:b w:val="0"/>
                      <w:bCs/>
                      <w:color w:val="auto"/>
                      <w:sz w:val="22"/>
                      <w:szCs w:val="22"/>
                      <w:highlight w:val="none"/>
                    </w:rPr>
                    <w:sym w:font="Wingdings" w:char="00A8"/>
                  </w:r>
                </w:p>
              </w:tc>
              <w:tc>
                <w:tcPr>
                  <w:tcW w:w="1485" w:type="dxa"/>
                  <w:gridSpan w:val="2"/>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边长= 5km</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Merge w:val="restart"/>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预测因子</w:t>
                  </w:r>
                </w:p>
              </w:tc>
              <w:tc>
                <w:tcPr>
                  <w:tcW w:w="4307" w:type="dxa"/>
                  <w:gridSpan w:val="8"/>
                  <w:vMerge w:val="restart"/>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预测因子（）</w:t>
                  </w:r>
                </w:p>
              </w:tc>
              <w:tc>
                <w:tcPr>
                  <w:tcW w:w="2660" w:type="dxa"/>
                  <w:gridSpan w:val="6"/>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包括二次PM2.5</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Merge w:val="continue"/>
                  <w:vAlign w:val="center"/>
                </w:tcPr>
                <w:p>
                  <w:pPr>
                    <w:jc w:val="center"/>
                    <w:rPr>
                      <w:rFonts w:hint="default" w:ascii="Times New Roman" w:hAnsi="Times New Roman" w:cs="Times New Roman"/>
                      <w:b w:val="0"/>
                      <w:bCs/>
                      <w:color w:val="auto"/>
                      <w:sz w:val="22"/>
                      <w:szCs w:val="22"/>
                      <w:highlight w:val="none"/>
                    </w:rPr>
                  </w:pPr>
                </w:p>
              </w:tc>
              <w:tc>
                <w:tcPr>
                  <w:tcW w:w="4307" w:type="dxa"/>
                  <w:gridSpan w:val="8"/>
                  <w:vMerge w:val="continue"/>
                  <w:vAlign w:val="center"/>
                </w:tcPr>
                <w:p>
                  <w:pPr>
                    <w:jc w:val="center"/>
                    <w:rPr>
                      <w:rFonts w:hint="default" w:ascii="Times New Roman" w:hAnsi="Times New Roman" w:cs="Times New Roman"/>
                      <w:b w:val="0"/>
                      <w:bCs/>
                      <w:color w:val="auto"/>
                      <w:sz w:val="22"/>
                      <w:szCs w:val="22"/>
                      <w:highlight w:val="none"/>
                    </w:rPr>
                  </w:pPr>
                </w:p>
              </w:tc>
              <w:tc>
                <w:tcPr>
                  <w:tcW w:w="2660" w:type="dxa"/>
                  <w:gridSpan w:val="6"/>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不包括二次PM2.5</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正常排放短期浓度贡献值</w:t>
                  </w:r>
                </w:p>
              </w:tc>
              <w:tc>
                <w:tcPr>
                  <w:tcW w:w="4307" w:type="dxa"/>
                  <w:gridSpan w:val="8"/>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最大占标率≤100%</w:t>
                  </w:r>
                  <w:r>
                    <w:rPr>
                      <w:rFonts w:hint="default" w:ascii="Times New Roman" w:hAnsi="Times New Roman" w:cs="Times New Roman"/>
                      <w:b w:val="0"/>
                      <w:bCs/>
                      <w:color w:val="auto"/>
                      <w:sz w:val="22"/>
                      <w:szCs w:val="22"/>
                      <w:highlight w:val="none"/>
                    </w:rPr>
                    <w:sym w:font="Wingdings" w:char="00A8"/>
                  </w:r>
                </w:p>
              </w:tc>
              <w:tc>
                <w:tcPr>
                  <w:tcW w:w="2660" w:type="dxa"/>
                  <w:gridSpan w:val="6"/>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最大占标率＞100%</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Merge w:val="restart"/>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正常排放年均浓度贡献值</w:t>
                  </w:r>
                </w:p>
              </w:tc>
              <w:tc>
                <w:tcPr>
                  <w:tcW w:w="1243" w:type="dxa"/>
                  <w:gridSpan w:val="2"/>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一类区</w:t>
                  </w:r>
                </w:p>
              </w:tc>
              <w:tc>
                <w:tcPr>
                  <w:tcW w:w="3064" w:type="dxa"/>
                  <w:gridSpan w:val="6"/>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本项目最大占标率≤10%</w:t>
                  </w:r>
                  <w:r>
                    <w:rPr>
                      <w:rFonts w:hint="default" w:ascii="Times New Roman" w:hAnsi="Times New Roman" w:cs="Times New Roman"/>
                      <w:b w:val="0"/>
                      <w:bCs/>
                      <w:color w:val="auto"/>
                      <w:sz w:val="22"/>
                      <w:szCs w:val="22"/>
                      <w:highlight w:val="none"/>
                    </w:rPr>
                    <w:sym w:font="Wingdings" w:char="00A8"/>
                  </w:r>
                </w:p>
              </w:tc>
              <w:tc>
                <w:tcPr>
                  <w:tcW w:w="2660" w:type="dxa"/>
                  <w:gridSpan w:val="6"/>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本项目最大标率＞10%</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Merge w:val="continue"/>
                  <w:vAlign w:val="center"/>
                </w:tcPr>
                <w:p>
                  <w:pPr>
                    <w:jc w:val="center"/>
                    <w:rPr>
                      <w:rFonts w:hint="default" w:ascii="Times New Roman" w:hAnsi="Times New Roman" w:cs="Times New Roman"/>
                      <w:b w:val="0"/>
                      <w:bCs/>
                      <w:color w:val="auto"/>
                      <w:sz w:val="22"/>
                      <w:szCs w:val="22"/>
                      <w:highlight w:val="none"/>
                    </w:rPr>
                  </w:pPr>
                </w:p>
              </w:tc>
              <w:tc>
                <w:tcPr>
                  <w:tcW w:w="1243" w:type="dxa"/>
                  <w:gridSpan w:val="2"/>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二类区</w:t>
                  </w:r>
                </w:p>
              </w:tc>
              <w:tc>
                <w:tcPr>
                  <w:tcW w:w="3064" w:type="dxa"/>
                  <w:gridSpan w:val="6"/>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最大占标率≤30%</w:t>
                  </w:r>
                  <w:r>
                    <w:rPr>
                      <w:rFonts w:hint="default" w:ascii="Times New Roman" w:hAnsi="Times New Roman" w:cs="Times New Roman"/>
                      <w:b w:val="0"/>
                      <w:bCs/>
                      <w:color w:val="auto"/>
                      <w:sz w:val="22"/>
                      <w:szCs w:val="22"/>
                      <w:highlight w:val="none"/>
                    </w:rPr>
                    <w:sym w:font="Wingdings" w:char="00A8"/>
                  </w:r>
                </w:p>
              </w:tc>
              <w:tc>
                <w:tcPr>
                  <w:tcW w:w="2660" w:type="dxa"/>
                  <w:gridSpan w:val="6"/>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最大标率＞30%</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Merge w:val="restart"/>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非正常排放 1h浓度贡献值</w:t>
                  </w:r>
                </w:p>
              </w:tc>
              <w:tc>
                <w:tcPr>
                  <w:tcW w:w="1243" w:type="dxa"/>
                  <w:gridSpan w:val="2"/>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非正常持续时长</w:t>
                  </w:r>
                </w:p>
              </w:tc>
              <w:tc>
                <w:tcPr>
                  <w:tcW w:w="3064" w:type="dxa"/>
                  <w:gridSpan w:val="6"/>
                  <w:vMerge w:val="restart"/>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 xml:space="preserve">占标率≤100% </w:t>
                  </w:r>
                  <w:r>
                    <w:rPr>
                      <w:rFonts w:hint="default" w:ascii="Times New Roman" w:hAnsi="Times New Roman" w:cs="Times New Roman"/>
                      <w:b w:val="0"/>
                      <w:bCs/>
                      <w:color w:val="auto"/>
                      <w:sz w:val="22"/>
                      <w:szCs w:val="22"/>
                      <w:highlight w:val="none"/>
                    </w:rPr>
                    <w:sym w:font="Wingdings" w:char="00A8"/>
                  </w:r>
                </w:p>
              </w:tc>
              <w:tc>
                <w:tcPr>
                  <w:tcW w:w="2660" w:type="dxa"/>
                  <w:gridSpan w:val="6"/>
                  <w:vMerge w:val="restart"/>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占标率＞100%</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Merge w:val="continue"/>
                  <w:vAlign w:val="center"/>
                </w:tcPr>
                <w:p>
                  <w:pPr>
                    <w:jc w:val="center"/>
                    <w:rPr>
                      <w:rFonts w:hint="default" w:ascii="Times New Roman" w:hAnsi="Times New Roman" w:cs="Times New Roman"/>
                      <w:b w:val="0"/>
                      <w:bCs/>
                      <w:color w:val="auto"/>
                      <w:sz w:val="22"/>
                      <w:szCs w:val="22"/>
                      <w:highlight w:val="none"/>
                    </w:rPr>
                  </w:pPr>
                </w:p>
              </w:tc>
              <w:tc>
                <w:tcPr>
                  <w:tcW w:w="1243" w:type="dxa"/>
                  <w:gridSpan w:val="2"/>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  ）h</w:t>
                  </w:r>
                </w:p>
              </w:tc>
              <w:tc>
                <w:tcPr>
                  <w:tcW w:w="3064" w:type="dxa"/>
                  <w:gridSpan w:val="6"/>
                  <w:vMerge w:val="continue"/>
                  <w:vAlign w:val="center"/>
                </w:tcPr>
                <w:p>
                  <w:pPr>
                    <w:jc w:val="center"/>
                    <w:rPr>
                      <w:rFonts w:hint="default" w:ascii="Times New Roman" w:hAnsi="Times New Roman" w:cs="Times New Roman"/>
                      <w:b w:val="0"/>
                      <w:bCs/>
                      <w:color w:val="auto"/>
                      <w:sz w:val="22"/>
                      <w:szCs w:val="22"/>
                      <w:highlight w:val="none"/>
                    </w:rPr>
                  </w:pPr>
                </w:p>
              </w:tc>
              <w:tc>
                <w:tcPr>
                  <w:tcW w:w="2660" w:type="dxa"/>
                  <w:gridSpan w:val="6"/>
                  <w:vMerge w:val="continue"/>
                  <w:vAlign w:val="center"/>
                </w:tcPr>
                <w:p>
                  <w:pPr>
                    <w:jc w:val="center"/>
                    <w:rPr>
                      <w:rFonts w:hint="default" w:ascii="Times New Roman" w:hAnsi="Times New Roman" w:cs="Times New Roman"/>
                      <w:b w:val="0"/>
                      <w:bCs/>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保证率日平均浓度和年平均浓度叠加值</w:t>
                  </w:r>
                </w:p>
              </w:tc>
              <w:tc>
                <w:tcPr>
                  <w:tcW w:w="3214" w:type="dxa"/>
                  <w:gridSpan w:val="7"/>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达标</w:t>
                  </w:r>
                  <w:r>
                    <w:rPr>
                      <w:rFonts w:hint="default" w:ascii="Times New Roman" w:hAnsi="Times New Roman" w:cs="Times New Roman"/>
                      <w:b w:val="0"/>
                      <w:bCs/>
                      <w:color w:val="auto"/>
                      <w:sz w:val="22"/>
                      <w:szCs w:val="22"/>
                      <w:highlight w:val="none"/>
                    </w:rPr>
                    <w:sym w:font="Wingdings" w:char="00A8"/>
                  </w:r>
                </w:p>
              </w:tc>
              <w:tc>
                <w:tcPr>
                  <w:tcW w:w="3753" w:type="dxa"/>
                  <w:gridSpan w:val="7"/>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i/>
                      <w:color w:val="auto"/>
                      <w:sz w:val="22"/>
                      <w:szCs w:val="22"/>
                      <w:highlight w:val="none"/>
                    </w:rPr>
                    <w:t>C</w:t>
                  </w:r>
                  <w:r>
                    <w:rPr>
                      <w:rFonts w:hint="default" w:ascii="Times New Roman" w:hAnsi="Times New Roman" w:cs="Times New Roman"/>
                      <w:b w:val="0"/>
                      <w:bCs/>
                      <w:i/>
                      <w:color w:val="auto"/>
                      <w:sz w:val="22"/>
                      <w:szCs w:val="22"/>
                      <w:highlight w:val="none"/>
                      <w:vertAlign w:val="subscript"/>
                    </w:rPr>
                    <w:t>本项目</w:t>
                  </w:r>
                  <w:r>
                    <w:rPr>
                      <w:rFonts w:hint="default" w:ascii="Times New Roman" w:hAnsi="Times New Roman" w:cs="Times New Roman"/>
                      <w:b w:val="0"/>
                      <w:bCs/>
                      <w:color w:val="auto"/>
                      <w:sz w:val="22"/>
                      <w:szCs w:val="22"/>
                      <w:highlight w:val="none"/>
                    </w:rPr>
                    <w:t>不达标</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区域环境质量的整体变化情况</w:t>
                  </w:r>
                </w:p>
              </w:tc>
              <w:tc>
                <w:tcPr>
                  <w:tcW w:w="3214" w:type="dxa"/>
                  <w:gridSpan w:val="7"/>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k≤-20%</w:t>
                  </w:r>
                  <w:r>
                    <w:rPr>
                      <w:rFonts w:hint="default" w:ascii="Times New Roman" w:hAnsi="Times New Roman" w:cs="Times New Roman"/>
                      <w:b w:val="0"/>
                      <w:bCs/>
                      <w:color w:val="auto"/>
                      <w:sz w:val="22"/>
                      <w:szCs w:val="22"/>
                      <w:highlight w:val="none"/>
                    </w:rPr>
                    <w:sym w:font="Wingdings" w:char="00A8"/>
                  </w:r>
                </w:p>
              </w:tc>
              <w:tc>
                <w:tcPr>
                  <w:tcW w:w="3753" w:type="dxa"/>
                  <w:gridSpan w:val="7"/>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k＞-20%</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restart"/>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环境监测计划</w:t>
                  </w:r>
                </w:p>
              </w:tc>
              <w:tc>
                <w:tcPr>
                  <w:tcW w:w="1393" w:type="dxa"/>
                  <w:vMerge w:val="restart"/>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污染源监测</w:t>
                  </w:r>
                </w:p>
              </w:tc>
              <w:tc>
                <w:tcPr>
                  <w:tcW w:w="2267" w:type="dxa"/>
                  <w:gridSpan w:val="5"/>
                  <w:vMerge w:val="restart"/>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监测因子：（）</w:t>
                  </w:r>
                </w:p>
              </w:tc>
              <w:tc>
                <w:tcPr>
                  <w:tcW w:w="3214" w:type="dxa"/>
                  <w:gridSpan w:val="6"/>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有组织废气监测</w:t>
                  </w:r>
                  <w:r>
                    <w:rPr>
                      <w:rFonts w:hint="default" w:ascii="Times New Roman" w:hAnsi="Times New Roman" w:cs="Times New Roman"/>
                      <w:b w:val="0"/>
                      <w:bCs/>
                      <w:color w:val="auto"/>
                      <w:sz w:val="22"/>
                      <w:szCs w:val="22"/>
                      <w:highlight w:val="none"/>
                    </w:rPr>
                    <w:sym w:font="Wingdings" w:char="00FE"/>
                  </w:r>
                </w:p>
              </w:tc>
              <w:tc>
                <w:tcPr>
                  <w:tcW w:w="1486" w:type="dxa"/>
                  <w:gridSpan w:val="3"/>
                  <w:vMerge w:val="restart"/>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无监测</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Merge w:val="continue"/>
                  <w:vAlign w:val="center"/>
                </w:tcPr>
                <w:p>
                  <w:pPr>
                    <w:jc w:val="center"/>
                    <w:rPr>
                      <w:rFonts w:hint="default" w:ascii="Times New Roman" w:hAnsi="Times New Roman" w:cs="Times New Roman"/>
                      <w:b w:val="0"/>
                      <w:bCs/>
                      <w:color w:val="auto"/>
                      <w:sz w:val="22"/>
                      <w:szCs w:val="22"/>
                      <w:highlight w:val="none"/>
                    </w:rPr>
                  </w:pPr>
                </w:p>
              </w:tc>
              <w:tc>
                <w:tcPr>
                  <w:tcW w:w="2267" w:type="dxa"/>
                  <w:gridSpan w:val="5"/>
                  <w:vMerge w:val="continue"/>
                  <w:vAlign w:val="center"/>
                </w:tcPr>
                <w:p>
                  <w:pPr>
                    <w:jc w:val="center"/>
                    <w:rPr>
                      <w:rFonts w:hint="default" w:ascii="Times New Roman" w:hAnsi="Times New Roman" w:cs="Times New Roman"/>
                      <w:b w:val="0"/>
                      <w:bCs/>
                      <w:color w:val="auto"/>
                      <w:sz w:val="22"/>
                      <w:szCs w:val="22"/>
                      <w:highlight w:val="none"/>
                    </w:rPr>
                  </w:pPr>
                </w:p>
              </w:tc>
              <w:tc>
                <w:tcPr>
                  <w:tcW w:w="3214" w:type="dxa"/>
                  <w:gridSpan w:val="6"/>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无组织废气监测</w:t>
                  </w:r>
                  <w:r>
                    <w:rPr>
                      <w:rFonts w:hint="default" w:ascii="Times New Roman" w:hAnsi="Times New Roman" w:cs="Times New Roman"/>
                      <w:b w:val="0"/>
                      <w:bCs/>
                      <w:color w:val="auto"/>
                      <w:sz w:val="22"/>
                      <w:szCs w:val="22"/>
                      <w:highlight w:val="none"/>
                    </w:rPr>
                    <w:sym w:font="Wingdings" w:char="00FE"/>
                  </w:r>
                </w:p>
              </w:tc>
              <w:tc>
                <w:tcPr>
                  <w:tcW w:w="1486" w:type="dxa"/>
                  <w:gridSpan w:val="3"/>
                  <w:vMerge w:val="continue"/>
                  <w:vAlign w:val="center"/>
                </w:tcPr>
                <w:p>
                  <w:pPr>
                    <w:jc w:val="center"/>
                    <w:rPr>
                      <w:rFonts w:hint="default" w:ascii="Times New Roman" w:hAnsi="Times New Roman" w:cs="Times New Roman"/>
                      <w:b w:val="0"/>
                      <w:bCs/>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环境质量监测</w:t>
                  </w:r>
                </w:p>
              </w:tc>
              <w:tc>
                <w:tcPr>
                  <w:tcW w:w="2267" w:type="dxa"/>
                  <w:gridSpan w:val="5"/>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监测因子：（</w:t>
                  </w:r>
                  <w:r>
                    <w:rPr>
                      <w:rFonts w:hint="default" w:ascii="Times New Roman" w:hAnsi="Times New Roman" w:cs="Times New Roman"/>
                      <w:b w:val="0"/>
                      <w:bCs/>
                      <w:color w:val="auto"/>
                      <w:sz w:val="22"/>
                      <w:szCs w:val="22"/>
                      <w:highlight w:val="none"/>
                      <w:lang w:val="en-US" w:eastAsia="zh-CN"/>
                    </w:rPr>
                    <w:t>VOCs</w:t>
                  </w:r>
                  <w:r>
                    <w:rPr>
                      <w:rFonts w:hint="default" w:ascii="Times New Roman" w:hAnsi="Times New Roman" w:cs="Times New Roman"/>
                      <w:b w:val="0"/>
                      <w:bCs/>
                      <w:color w:val="auto"/>
                      <w:sz w:val="22"/>
                      <w:szCs w:val="22"/>
                      <w:highlight w:val="none"/>
                    </w:rPr>
                    <w:t>）</w:t>
                  </w:r>
                </w:p>
              </w:tc>
              <w:tc>
                <w:tcPr>
                  <w:tcW w:w="3214" w:type="dxa"/>
                  <w:gridSpan w:val="6"/>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监测点位数（ ）</w:t>
                  </w:r>
                </w:p>
              </w:tc>
              <w:tc>
                <w:tcPr>
                  <w:tcW w:w="1486" w:type="dxa"/>
                  <w:gridSpan w:val="3"/>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无监测</w:t>
                  </w:r>
                  <w:r>
                    <w:rPr>
                      <w:rFonts w:hint="default" w:ascii="Times New Roman" w:hAnsi="Times New Roman" w:cs="Times New Roman"/>
                      <w:b w:val="0"/>
                      <w:bCs/>
                      <w:color w:val="auto"/>
                      <w:sz w:val="22"/>
                      <w:szCs w:val="22"/>
                      <w:highlight w:val="none"/>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restart"/>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评价结论</w:t>
                  </w: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环境影响</w:t>
                  </w:r>
                </w:p>
              </w:tc>
              <w:tc>
                <w:tcPr>
                  <w:tcW w:w="6967" w:type="dxa"/>
                  <w:gridSpan w:val="14"/>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可以接受</w:t>
                  </w:r>
                  <w:r>
                    <w:rPr>
                      <w:rFonts w:hint="default" w:ascii="Times New Roman" w:hAnsi="Times New Roman" w:cs="Times New Roman"/>
                      <w:b w:val="0"/>
                      <w:bCs/>
                      <w:color w:val="auto"/>
                      <w:sz w:val="22"/>
                      <w:szCs w:val="22"/>
                      <w:highlight w:val="none"/>
                    </w:rPr>
                    <w:sym w:font="Wingdings" w:char="00FE"/>
                  </w:r>
                  <w:r>
                    <w:rPr>
                      <w:rFonts w:hint="default" w:ascii="Times New Roman" w:hAnsi="Times New Roman" w:cs="Times New Roman"/>
                      <w:b w:val="0"/>
                      <w:bCs/>
                      <w:color w:val="auto"/>
                      <w:sz w:val="22"/>
                      <w:szCs w:val="22"/>
                      <w:highlight w:val="none"/>
                    </w:rPr>
                    <w:t xml:space="preserve">  不可以接受</w:t>
                  </w:r>
                  <w:r>
                    <w:rPr>
                      <w:rFonts w:hint="default" w:ascii="Times New Roman" w:hAnsi="Times New Roman" w:cs="Times New Roman"/>
                      <w:b w:val="0"/>
                      <w:bCs/>
                      <w:color w:val="auto"/>
                      <w:sz w:val="22"/>
                      <w:szCs w:val="22"/>
                      <w:highlight w:val="none"/>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大气环境防护距离</w:t>
                  </w:r>
                </w:p>
              </w:tc>
              <w:tc>
                <w:tcPr>
                  <w:tcW w:w="6967" w:type="dxa"/>
                  <w:gridSpan w:val="14"/>
                  <w:vAlign w:val="center"/>
                </w:tcPr>
                <w:p>
                  <w:pPr>
                    <w:jc w:val="center"/>
                    <w:rPr>
                      <w:rFonts w:hint="default" w:ascii="Times New Roman" w:hAnsi="Times New Roman" w:eastAsia="宋体" w:cs="Times New Roman"/>
                      <w:b w:val="0"/>
                      <w:bCs/>
                      <w:color w:val="auto"/>
                      <w:sz w:val="22"/>
                      <w:szCs w:val="22"/>
                      <w:highlight w:val="none"/>
                      <w:lang w:eastAsia="zh-CN"/>
                    </w:rPr>
                  </w:pPr>
                  <w:r>
                    <w:rPr>
                      <w:rFonts w:hint="default" w:ascii="Times New Roman" w:hAnsi="Times New Roman" w:cs="Times New Roman"/>
                      <w:b w:val="0"/>
                      <w:bCs/>
                      <w:color w:val="auto"/>
                      <w:sz w:val="22"/>
                      <w:szCs w:val="22"/>
                      <w:highlight w:val="none"/>
                      <w:lang w:eastAsia="zh-CN"/>
                    </w:rPr>
                    <w:t>可不设置大气环境防护距离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1" w:type="dxa"/>
                  <w:vMerge w:val="continue"/>
                  <w:vAlign w:val="center"/>
                </w:tcPr>
                <w:p>
                  <w:pPr>
                    <w:jc w:val="center"/>
                    <w:rPr>
                      <w:rFonts w:hint="default" w:ascii="Times New Roman" w:hAnsi="Times New Roman" w:cs="Times New Roman"/>
                      <w:b w:val="0"/>
                      <w:bCs/>
                      <w:color w:val="auto"/>
                      <w:sz w:val="22"/>
                      <w:szCs w:val="22"/>
                      <w:highlight w:val="none"/>
                    </w:rPr>
                  </w:pPr>
                </w:p>
              </w:tc>
              <w:tc>
                <w:tcPr>
                  <w:tcW w:w="1393" w:type="dxa"/>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污染源年排放量</w:t>
                  </w:r>
                </w:p>
              </w:tc>
              <w:tc>
                <w:tcPr>
                  <w:tcW w:w="1388" w:type="dxa"/>
                  <w:gridSpan w:val="3"/>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SO</w:t>
                  </w:r>
                  <w:r>
                    <w:rPr>
                      <w:rFonts w:hint="default" w:ascii="Times New Roman" w:hAnsi="Times New Roman" w:cs="Times New Roman"/>
                      <w:b w:val="0"/>
                      <w:bCs/>
                      <w:color w:val="auto"/>
                      <w:sz w:val="22"/>
                      <w:szCs w:val="22"/>
                      <w:highlight w:val="none"/>
                      <w:vertAlign w:val="subscript"/>
                    </w:rPr>
                    <w:t>2</w:t>
                  </w:r>
                  <w:r>
                    <w:rPr>
                      <w:rFonts w:hint="default" w:ascii="Times New Roman" w:hAnsi="Times New Roman" w:cs="Times New Roman"/>
                      <w:b w:val="0"/>
                      <w:bCs/>
                      <w:color w:val="auto"/>
                      <w:sz w:val="22"/>
                      <w:szCs w:val="22"/>
                      <w:highlight w:val="none"/>
                    </w:rPr>
                    <w:t>：</w:t>
                  </w:r>
                </w:p>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（）t/a</w:t>
                  </w:r>
                </w:p>
              </w:tc>
              <w:tc>
                <w:tcPr>
                  <w:tcW w:w="1396" w:type="dxa"/>
                  <w:gridSpan w:val="3"/>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NO</w:t>
                  </w:r>
                  <w:r>
                    <w:rPr>
                      <w:rFonts w:hint="default" w:ascii="Times New Roman" w:hAnsi="Times New Roman" w:cs="Times New Roman"/>
                      <w:b w:val="0"/>
                      <w:bCs/>
                      <w:color w:val="auto"/>
                      <w:sz w:val="22"/>
                      <w:szCs w:val="22"/>
                      <w:highlight w:val="none"/>
                      <w:vertAlign w:val="subscript"/>
                    </w:rPr>
                    <w:t>X</w:t>
                  </w:r>
                  <w:r>
                    <w:rPr>
                      <w:rFonts w:hint="default" w:ascii="Times New Roman" w:hAnsi="Times New Roman" w:cs="Times New Roman"/>
                      <w:b w:val="0"/>
                      <w:bCs/>
                      <w:color w:val="auto"/>
                      <w:sz w:val="22"/>
                      <w:szCs w:val="22"/>
                      <w:highlight w:val="none"/>
                    </w:rPr>
                    <w:t>：</w:t>
                  </w:r>
                </w:p>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（）t/a</w:t>
                  </w:r>
                </w:p>
              </w:tc>
              <w:tc>
                <w:tcPr>
                  <w:tcW w:w="2057" w:type="dxa"/>
                  <w:gridSpan w:val="4"/>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lang w:val="en-US" w:eastAsia="zh-CN"/>
                    </w:rPr>
                    <w:t>颗粒物</w:t>
                  </w:r>
                  <w:r>
                    <w:rPr>
                      <w:rFonts w:hint="default" w:ascii="Times New Roman" w:hAnsi="Times New Roman" w:cs="Times New Roman"/>
                      <w:b w:val="0"/>
                      <w:bCs/>
                      <w:color w:val="auto"/>
                      <w:sz w:val="22"/>
                      <w:szCs w:val="22"/>
                      <w:highlight w:val="none"/>
                    </w:rPr>
                    <w:t>：</w:t>
                  </w:r>
                </w:p>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w:t>
                  </w:r>
                  <w:r>
                    <w:rPr>
                      <w:rFonts w:hint="default" w:ascii="Times New Roman" w:hAnsi="Times New Roman" w:cs="Times New Roman"/>
                      <w:b w:val="0"/>
                      <w:bCs/>
                      <w:color w:val="auto"/>
                      <w:sz w:val="22"/>
                      <w:szCs w:val="22"/>
                      <w:highlight w:val="none"/>
                      <w:lang w:val="en-US" w:eastAsia="zh-CN"/>
                    </w:rPr>
                    <w:t>t</w:t>
                  </w:r>
                  <w:r>
                    <w:rPr>
                      <w:rFonts w:hint="default" w:ascii="Times New Roman" w:hAnsi="Times New Roman" w:cs="Times New Roman"/>
                      <w:b w:val="0"/>
                      <w:bCs/>
                      <w:color w:val="auto"/>
                      <w:sz w:val="22"/>
                      <w:szCs w:val="22"/>
                      <w:highlight w:val="none"/>
                    </w:rPr>
                    <w:t>/a</w:t>
                  </w:r>
                </w:p>
              </w:tc>
              <w:tc>
                <w:tcPr>
                  <w:tcW w:w="2126" w:type="dxa"/>
                  <w:gridSpan w:val="4"/>
                  <w:vAlign w:val="center"/>
                </w:tcPr>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lang w:val="en-US" w:eastAsia="zh-CN"/>
                    </w:rPr>
                    <w:t>总</w:t>
                  </w:r>
                  <w:r>
                    <w:rPr>
                      <w:rFonts w:hint="default" w:ascii="Times New Roman" w:hAnsi="Times New Roman" w:cs="Times New Roman"/>
                      <w:b w:val="0"/>
                      <w:bCs/>
                      <w:color w:val="auto"/>
                      <w:sz w:val="22"/>
                      <w:szCs w:val="22"/>
                      <w:highlight w:val="none"/>
                    </w:rPr>
                    <w:t xml:space="preserve">VOCs: </w:t>
                  </w:r>
                </w:p>
                <w:p>
                  <w:pPr>
                    <w:jc w:val="center"/>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lang w:eastAsia="zh-CN"/>
                    </w:rPr>
                    <w:t>（</w:t>
                  </w:r>
                  <w:r>
                    <w:rPr>
                      <w:rFonts w:hint="default" w:ascii="Times New Roman" w:hAnsi="Times New Roman" w:cs="Times New Roman"/>
                      <w:b w:val="0"/>
                      <w:bCs/>
                      <w:color w:val="auto"/>
                      <w:sz w:val="22"/>
                      <w:szCs w:val="22"/>
                      <w:highlight w:val="none"/>
                      <w:lang w:val="en-US" w:eastAsia="zh-CN"/>
                    </w:rPr>
                    <w:t>0.0</w:t>
                  </w:r>
                  <w:r>
                    <w:rPr>
                      <w:rFonts w:hint="eastAsia" w:cs="Times New Roman"/>
                      <w:b w:val="0"/>
                      <w:bCs/>
                      <w:color w:val="auto"/>
                      <w:sz w:val="22"/>
                      <w:szCs w:val="22"/>
                      <w:highlight w:val="none"/>
                      <w:lang w:val="en-US" w:eastAsia="zh-CN"/>
                    </w:rPr>
                    <w:t>13</w:t>
                  </w:r>
                  <w:r>
                    <w:rPr>
                      <w:rFonts w:hint="default" w:ascii="Times New Roman" w:hAnsi="Times New Roman" w:cs="Times New Roman"/>
                      <w:b w:val="0"/>
                      <w:bCs/>
                      <w:color w:val="auto"/>
                      <w:sz w:val="22"/>
                      <w:szCs w:val="22"/>
                      <w:highlight w:val="none"/>
                      <w:lang w:eastAsia="zh-CN"/>
                    </w:rPr>
                    <w:t>）</w:t>
                  </w:r>
                  <w:r>
                    <w:rPr>
                      <w:rFonts w:hint="default" w:ascii="Times New Roman" w:hAnsi="Times New Roman" w:cs="Times New Roman"/>
                      <w:b w:val="0"/>
                      <w:bCs/>
                      <w:color w:val="auto"/>
                      <w:sz w:val="22"/>
                      <w:szCs w:val="22"/>
                      <w:highlight w:val="none"/>
                      <w:lang w:val="en-US" w:eastAsia="zh-CN"/>
                    </w:rPr>
                    <w:t>t</w:t>
                  </w:r>
                  <w:r>
                    <w:rPr>
                      <w:rFonts w:hint="default" w:ascii="Times New Roman" w:hAnsi="Times New Roman" w:cs="Times New Roman"/>
                      <w:b w:val="0"/>
                      <w:bCs/>
                      <w:color w:val="auto"/>
                      <w:sz w:val="22"/>
                      <w:szCs w:val="22"/>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71" w:type="dxa"/>
                  <w:gridSpan w:val="16"/>
                  <w:vAlign w:val="center"/>
                </w:tcPr>
                <w:p>
                  <w:pPr>
                    <w:jc w:val="both"/>
                    <w:rPr>
                      <w:rFonts w:hint="default" w:ascii="Times New Roman" w:hAnsi="Times New Roman" w:cs="Times New Roman"/>
                      <w:b w:val="0"/>
                      <w:bCs/>
                      <w:color w:val="auto"/>
                      <w:sz w:val="22"/>
                      <w:szCs w:val="22"/>
                      <w:highlight w:val="none"/>
                    </w:rPr>
                  </w:pPr>
                  <w:r>
                    <w:rPr>
                      <w:rFonts w:hint="default" w:ascii="Times New Roman" w:hAnsi="Times New Roman" w:cs="Times New Roman"/>
                      <w:b w:val="0"/>
                      <w:bCs/>
                      <w:color w:val="auto"/>
                      <w:sz w:val="22"/>
                      <w:szCs w:val="22"/>
                      <w:highlight w:val="none"/>
                    </w:rPr>
                    <w:t>注：“□”，填“√”；“（  ）”为内容填写项</w:t>
                  </w:r>
                </w:p>
              </w:tc>
            </w:tr>
          </w:tbl>
          <w:p>
            <w:pPr>
              <w:spacing w:line="360" w:lineRule="auto"/>
              <w:ind w:firstLine="480" w:firstLineChars="200"/>
              <w:rPr>
                <w:rFonts w:eastAsia="黑体"/>
                <w:bCs/>
                <w:color w:val="auto"/>
                <w:sz w:val="24"/>
                <w:szCs w:val="24"/>
              </w:rPr>
            </w:pPr>
            <w:r>
              <w:rPr>
                <w:rFonts w:hint="eastAsia"/>
                <w:color w:val="auto"/>
                <w:sz w:val="24"/>
                <w:szCs w:val="24"/>
                <w:lang w:val="en-US" w:eastAsia="zh-CN"/>
              </w:rPr>
              <w:t>4</w:t>
            </w:r>
            <w:r>
              <w:rPr>
                <w:rFonts w:hint="eastAsia"/>
                <w:color w:val="auto"/>
                <w:sz w:val="24"/>
                <w:szCs w:val="24"/>
              </w:rPr>
              <w:t>、</w:t>
            </w:r>
            <w:r>
              <w:rPr>
                <w:color w:val="auto"/>
                <w:sz w:val="24"/>
                <w:szCs w:val="24"/>
              </w:rPr>
              <w:t>大气环境防护距离</w:t>
            </w:r>
          </w:p>
          <w:p>
            <w:pPr>
              <w:pStyle w:val="17"/>
              <w:ind w:left="0" w:firstLine="480" w:firstLineChars="200"/>
              <w:rPr>
                <w:rFonts w:ascii="Times New Roman"/>
                <w:b/>
                <w:color w:val="auto"/>
              </w:rPr>
            </w:pPr>
            <w:r>
              <w:rPr>
                <w:rFonts w:ascii="Times New Roman"/>
                <w:color w:val="auto"/>
                <w:szCs w:val="24"/>
              </w:rPr>
              <w:t>根据《环境影响评价技术导则 大气环境》（HJ2.2-2018）有关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本项目厂界外最大落地浓度满足厂界浓度限值，且小于相应的环境质量标准，因此无需设置大气环境防护距离</w:t>
            </w:r>
            <w:r>
              <w:rPr>
                <w:rFonts w:hint="eastAsia" w:ascii="Times New Roman"/>
                <w:color w:val="auto"/>
                <w:szCs w:val="24"/>
              </w:rPr>
              <w:t>。</w:t>
            </w:r>
          </w:p>
          <w:p>
            <w:pPr>
              <w:pStyle w:val="17"/>
              <w:ind w:left="0" w:firstLine="480" w:firstLineChars="200"/>
              <w:rPr>
                <w:rFonts w:hint="default" w:ascii="Times New Roman" w:hAnsi="Times New Roman" w:eastAsia="宋体" w:cs="Times New Roman"/>
                <w:b w:val="0"/>
                <w:bCs/>
                <w:color w:val="auto"/>
                <w:lang w:val="en-US" w:eastAsia="zh-CN"/>
              </w:rPr>
            </w:pPr>
            <w:r>
              <w:rPr>
                <w:rFonts w:hint="eastAsia" w:ascii="Times New Roman" w:cs="Times New Roman"/>
                <w:b w:val="0"/>
                <w:bCs/>
                <w:color w:val="auto"/>
                <w:lang w:val="en-US" w:eastAsia="zh-CN"/>
              </w:rPr>
              <w:t>5</w:t>
            </w:r>
            <w:r>
              <w:rPr>
                <w:rFonts w:hint="default" w:ascii="Times New Roman" w:hAnsi="Times New Roman" w:cs="Times New Roman"/>
                <w:b w:val="0"/>
                <w:bCs/>
                <w:color w:val="auto"/>
                <w:lang w:val="en-US" w:eastAsia="zh-CN"/>
              </w:rPr>
              <w:t>、项目废气处理措施可行性</w:t>
            </w:r>
          </w:p>
          <w:p>
            <w:pPr>
              <w:pStyle w:val="17"/>
              <w:ind w:left="0"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rPr>
              <w:t>目前对有机废气的去除方法可分为UV光氧、活性炭吸附法、低温等离子法、催化燃烧法、水吸收法等几类</w:t>
            </w:r>
            <w:r>
              <w:rPr>
                <w:rFonts w:hint="default" w:ascii="Times New Roman" w:hAnsi="Times New Roman" w:eastAsia="宋体" w:cs="Times New Roman"/>
                <w:color w:val="auto"/>
                <w:sz w:val="24"/>
                <w:szCs w:val="24"/>
                <w:lang w:eastAsia="zh-CN"/>
              </w:rPr>
              <w:t>，</w:t>
            </w:r>
            <w:r>
              <w:rPr>
                <w:rFonts w:hint="eastAsia"/>
                <w:color w:val="auto"/>
                <w:lang w:eastAsia="zh-CN"/>
              </w:rPr>
              <w:t>本</w:t>
            </w:r>
            <w:r>
              <w:rPr>
                <w:rFonts w:hint="default"/>
                <w:color w:val="auto"/>
                <w:lang w:eastAsia="zh-CN"/>
              </w:rPr>
              <w:t>项目</w:t>
            </w:r>
            <w:r>
              <w:rPr>
                <w:rFonts w:hint="eastAsia"/>
                <w:color w:val="auto"/>
                <w:lang w:eastAsia="zh-CN"/>
              </w:rPr>
              <w:t>有机废气</w:t>
            </w:r>
            <w:r>
              <w:rPr>
                <w:rFonts w:hint="default"/>
                <w:color w:val="auto"/>
                <w:lang w:eastAsia="zh-CN"/>
              </w:rPr>
              <w:t>采用的是</w:t>
            </w:r>
            <w:r>
              <w:rPr>
                <w:rFonts w:hint="eastAsia"/>
                <w:color w:val="auto"/>
                <w:lang w:eastAsia="zh-CN"/>
              </w:rPr>
              <w:t>分子筛废气处理装置</w:t>
            </w:r>
            <w:r>
              <w:rPr>
                <w:rFonts w:hint="default"/>
                <w:color w:val="auto"/>
                <w:lang w:val="zh-CN"/>
              </w:rPr>
              <w:t>。</w:t>
            </w:r>
          </w:p>
          <w:p>
            <w:pPr>
              <w:pStyle w:val="17"/>
              <w:ind w:left="0" w:firstLine="480" w:firstLineChars="200"/>
              <w:rPr>
                <w:rFonts w:hint="eastAsia" w:ascii="Times New Roman" w:hAnsi="Times New Roman" w:cs="Times New Roman"/>
                <w:color w:val="auto"/>
                <w:kern w:val="2"/>
                <w:sz w:val="24"/>
                <w:szCs w:val="24"/>
                <w:lang w:eastAsia="zh-CN"/>
              </w:rPr>
            </w:pPr>
            <w:r>
              <w:rPr>
                <w:rFonts w:hint="eastAsia"/>
                <w:color w:val="auto"/>
                <w:kern w:val="0"/>
                <w:sz w:val="24"/>
                <w:lang w:eastAsia="zh-CN"/>
              </w:rPr>
              <w:t>本项目</w:t>
            </w:r>
            <w:r>
              <w:rPr>
                <w:rFonts w:hint="default" w:ascii="Times New Roman" w:hAnsi="Times New Roman" w:eastAsia="宋体" w:cs="Times New Roman"/>
                <w:color w:val="auto"/>
                <w:sz w:val="24"/>
                <w:szCs w:val="24"/>
                <w:lang w:val="zh-CN"/>
              </w:rPr>
              <w:t>项目</w:t>
            </w:r>
            <w:r>
              <w:rPr>
                <w:rFonts w:hint="eastAsia" w:cs="Times New Roman" w:eastAsiaTheme="minorEastAsia"/>
                <w:color w:val="auto"/>
                <w:sz w:val="24"/>
                <w:szCs w:val="24"/>
                <w:shd w:val="clear" w:color="auto" w:fill="FFFFFF"/>
                <w:lang w:eastAsia="zh-CN"/>
              </w:rPr>
              <w:t>注塑</w:t>
            </w:r>
            <w:r>
              <w:rPr>
                <w:rFonts w:hint="default" w:ascii="Times New Roman" w:hAnsi="Times New Roman" w:eastAsia="宋体" w:cs="Times New Roman"/>
                <w:color w:val="auto"/>
                <w:sz w:val="24"/>
                <w:szCs w:val="24"/>
                <w:shd w:val="clear" w:color="auto" w:fill="FFFFFF"/>
                <w:lang w:eastAsia="zh-CN"/>
              </w:rPr>
              <w:t>工序</w:t>
            </w:r>
            <w:r>
              <w:rPr>
                <w:rFonts w:hint="default" w:ascii="Times New Roman" w:hAnsi="Times New Roman" w:cs="Times New Roman"/>
                <w:color w:val="auto"/>
                <w:sz w:val="24"/>
                <w:szCs w:val="24"/>
                <w:shd w:val="clear" w:color="auto" w:fill="FFFFFF"/>
                <w:lang w:eastAsia="zh-CN"/>
              </w:rPr>
              <w:t>设置在</w:t>
            </w:r>
            <w:r>
              <w:rPr>
                <w:rFonts w:hint="default" w:ascii="Times New Roman" w:hAnsi="Times New Roman" w:cs="Times New Roman"/>
                <w:color w:val="auto"/>
                <w:sz w:val="24"/>
                <w:szCs w:val="24"/>
              </w:rPr>
              <w:t>密闭</w:t>
            </w:r>
            <w:r>
              <w:rPr>
                <w:rFonts w:hint="eastAsia" w:ascii="Times New Roman" w:cs="Times New Roman"/>
                <w:color w:val="auto"/>
                <w:sz w:val="24"/>
                <w:szCs w:val="24"/>
                <w:lang w:eastAsia="zh-CN"/>
              </w:rPr>
              <w:t>车间</w:t>
            </w:r>
            <w:r>
              <w:rPr>
                <w:rFonts w:hint="default" w:ascii="Times New Roman" w:hAnsi="Times New Roman" w:cs="Times New Roman"/>
                <w:color w:val="auto"/>
                <w:sz w:val="24"/>
                <w:szCs w:val="24"/>
              </w:rPr>
              <w:t>，</w:t>
            </w:r>
            <w:r>
              <w:rPr>
                <w:rFonts w:hint="default" w:ascii="Times New Roman" w:hAnsi="Times New Roman" w:cs="Times New Roman"/>
                <w:color w:val="auto"/>
                <w:kern w:val="2"/>
                <w:sz w:val="24"/>
                <w:szCs w:val="24"/>
              </w:rPr>
              <w:t>正常作业时均为封闭作业，</w:t>
            </w:r>
            <w:r>
              <w:rPr>
                <w:rFonts w:hint="eastAsia" w:ascii="Times New Roman" w:cs="Times New Roman"/>
                <w:color w:val="auto"/>
                <w:kern w:val="2"/>
                <w:sz w:val="24"/>
                <w:szCs w:val="24"/>
                <w:lang w:eastAsia="zh-CN"/>
              </w:rPr>
              <w:t>门窗关闭，</w:t>
            </w:r>
            <w:r>
              <w:rPr>
                <w:rFonts w:hint="eastAsia" w:cs="Times New Roman" w:eastAsiaTheme="minorEastAsia"/>
                <w:color w:val="auto"/>
                <w:sz w:val="24"/>
                <w:szCs w:val="24"/>
                <w:lang w:eastAsia="zh-CN"/>
              </w:rPr>
              <w:t>按照山东省生态环境厅关于印发《山东省涉挥发性有机物企业分行业治理指导意见》的通知（鲁环发</w:t>
            </w:r>
            <w:r>
              <w:rPr>
                <w:rFonts w:hint="eastAsia" w:cs="Times New Roman" w:eastAsiaTheme="minorEastAsia"/>
                <w:color w:val="auto"/>
                <w:sz w:val="24"/>
                <w:szCs w:val="24"/>
                <w:lang w:val="en-US" w:eastAsia="zh-CN"/>
              </w:rPr>
              <w:t>[2019]146号</w:t>
            </w:r>
            <w:r>
              <w:rPr>
                <w:rFonts w:hint="eastAsia" w:cs="Times New Roman" w:eastAsiaTheme="minorEastAsia"/>
                <w:color w:val="auto"/>
                <w:sz w:val="24"/>
                <w:szCs w:val="24"/>
                <w:lang w:eastAsia="zh-CN"/>
              </w:rPr>
              <w:t>）要求，</w:t>
            </w:r>
            <w:r>
              <w:rPr>
                <w:rFonts w:hint="eastAsia" w:cs="Times New Roman" w:eastAsiaTheme="minorEastAsia"/>
                <w:color w:val="FF0000"/>
                <w:sz w:val="24"/>
                <w:szCs w:val="24"/>
                <w:lang w:eastAsia="zh-CN"/>
              </w:rPr>
              <w:t>本项目废气</w:t>
            </w:r>
            <w:r>
              <w:rPr>
                <w:rFonts w:hint="default" w:ascii="Times New Roman" w:hAnsi="Times New Roman" w:cs="Times New Roman" w:eastAsiaTheme="minorEastAsia"/>
                <w:color w:val="FF0000"/>
                <w:sz w:val="24"/>
                <w:szCs w:val="24"/>
                <w:lang w:eastAsia="zh-CN"/>
              </w:rPr>
              <w:t>采用</w:t>
            </w:r>
            <w:r>
              <w:rPr>
                <w:rFonts w:hint="eastAsia" w:ascii="Times New Roman" w:hAnsi="Times New Roman" w:cs="Times New Roman" w:eastAsiaTheme="minorEastAsia"/>
                <w:color w:val="FF0000"/>
                <w:sz w:val="24"/>
                <w:szCs w:val="24"/>
                <w:lang w:eastAsia="zh-CN"/>
              </w:rPr>
              <w:t>上</w:t>
            </w:r>
            <w:r>
              <w:rPr>
                <w:rFonts w:hint="default" w:ascii="Times New Roman" w:hAnsi="Times New Roman" w:cs="Times New Roman" w:eastAsiaTheme="minorEastAsia"/>
                <w:color w:val="FF0000"/>
                <w:sz w:val="24"/>
                <w:szCs w:val="24"/>
                <w:lang w:eastAsia="zh-CN"/>
              </w:rPr>
              <w:t>吸风方式</w:t>
            </w:r>
            <w:r>
              <w:rPr>
                <w:rFonts w:hint="eastAsia" w:cs="Times New Roman" w:eastAsiaTheme="minorEastAsia"/>
                <w:color w:val="FF0000"/>
                <w:sz w:val="24"/>
                <w:szCs w:val="24"/>
                <w:lang w:eastAsia="zh-CN"/>
              </w:rPr>
              <w:t>对废气进行有效收集，集气罩设置在注塑机上方，集气罩的设计、安装应符合《机械安全局部排气通风系统安全要求》（</w:t>
            </w:r>
            <w:r>
              <w:rPr>
                <w:rFonts w:hint="eastAsia" w:cs="Times New Roman" w:eastAsiaTheme="minorEastAsia"/>
                <w:color w:val="FF0000"/>
                <w:sz w:val="24"/>
                <w:szCs w:val="24"/>
                <w:lang w:val="en-US" w:eastAsia="zh-CN"/>
              </w:rPr>
              <w:t>GB/T35077</w:t>
            </w:r>
            <w:r>
              <w:rPr>
                <w:rFonts w:hint="eastAsia" w:cs="Times New Roman" w:eastAsiaTheme="minorEastAsia"/>
                <w:color w:val="FF0000"/>
                <w:sz w:val="24"/>
                <w:szCs w:val="24"/>
                <w:lang w:eastAsia="zh-CN"/>
              </w:rPr>
              <w:t>）</w:t>
            </w:r>
            <w:r>
              <w:rPr>
                <w:rFonts w:hint="eastAsia" w:cs="Times New Roman" w:eastAsiaTheme="minorEastAsia"/>
                <w:color w:val="FF0000"/>
                <w:sz w:val="24"/>
                <w:szCs w:val="24"/>
                <w:lang w:val="en-US" w:eastAsia="zh-CN"/>
              </w:rPr>
              <w:t>,</w:t>
            </w:r>
            <w:r>
              <w:rPr>
                <w:rFonts w:hint="default" w:ascii="Times New Roman" w:hAnsi="Times New Roman" w:cs="Times New Roman"/>
                <w:color w:val="FF0000"/>
              </w:rPr>
              <w:t>距集气罩开口面最远处的VOCs无组织排放位置，控制风速应不低于0.3米/秒</w:t>
            </w:r>
            <w:r>
              <w:rPr>
                <w:rFonts w:hint="eastAsia" w:ascii="Times New Roman" w:cs="Times New Roman"/>
                <w:color w:val="FF0000"/>
                <w:lang w:eastAsia="zh-CN"/>
              </w:rPr>
              <w:t>，通风管路设计应符合《通风管道技术规程》（</w:t>
            </w:r>
            <w:r>
              <w:rPr>
                <w:rFonts w:hint="eastAsia" w:ascii="Times New Roman" w:cs="Times New Roman"/>
                <w:color w:val="FF0000"/>
                <w:lang w:val="en-US" w:eastAsia="zh-CN"/>
              </w:rPr>
              <w:t>JGJ/T141</w:t>
            </w:r>
            <w:r>
              <w:rPr>
                <w:rFonts w:hint="eastAsia" w:ascii="Times New Roman" w:cs="Times New Roman"/>
                <w:color w:val="FF0000"/>
                <w:lang w:eastAsia="zh-CN"/>
              </w:rPr>
              <w:t>）等相关规范要求，</w:t>
            </w:r>
            <w:r>
              <w:rPr>
                <w:rFonts w:hint="default" w:ascii="Times New Roman" w:hAnsi="Times New Roman" w:cs="Times New Roman"/>
                <w:color w:val="FF0000"/>
                <w:sz w:val="24"/>
                <w:szCs w:val="24"/>
              </w:rPr>
              <w:t>保持车间微负压状态</w:t>
            </w:r>
            <w:r>
              <w:rPr>
                <w:rFonts w:hint="eastAsia" w:ascii="Times New Roman" w:cs="Times New Roman"/>
                <w:color w:val="FF0000"/>
                <w:sz w:val="24"/>
                <w:szCs w:val="24"/>
                <w:lang w:eastAsia="zh-CN"/>
              </w:rPr>
              <w:t>，</w:t>
            </w:r>
            <w:r>
              <w:rPr>
                <w:rFonts w:hint="default" w:ascii="Times New Roman" w:hAnsi="Times New Roman" w:cs="Times New Roman"/>
                <w:color w:val="FF0000"/>
                <w:kern w:val="2"/>
                <w:sz w:val="24"/>
                <w:szCs w:val="24"/>
              </w:rPr>
              <w:t>废气基本全收集，考虑到开关门运输物料时少量逸散，</w:t>
            </w:r>
            <w:r>
              <w:rPr>
                <w:rFonts w:hint="default" w:ascii="Times New Roman" w:hAnsi="Times New Roman" w:cs="Times New Roman"/>
                <w:color w:val="FF0000"/>
                <w:kern w:val="2"/>
                <w:sz w:val="24"/>
                <w:szCs w:val="24"/>
                <w:lang w:eastAsia="zh-CN"/>
              </w:rPr>
              <w:t>本项目有机废气</w:t>
            </w:r>
            <w:r>
              <w:rPr>
                <w:rFonts w:hint="default" w:ascii="Times New Roman" w:hAnsi="Times New Roman" w:cs="Times New Roman"/>
                <w:color w:val="FF0000"/>
                <w:kern w:val="2"/>
                <w:sz w:val="24"/>
                <w:szCs w:val="24"/>
              </w:rPr>
              <w:t>收集效率取9</w:t>
            </w:r>
            <w:r>
              <w:rPr>
                <w:rFonts w:hint="eastAsia" w:cs="Times New Roman"/>
                <w:color w:val="FF0000"/>
                <w:kern w:val="2"/>
                <w:sz w:val="24"/>
                <w:szCs w:val="24"/>
                <w:lang w:val="en-US" w:eastAsia="zh-CN"/>
              </w:rPr>
              <w:t>0</w:t>
            </w:r>
            <w:r>
              <w:rPr>
                <w:rFonts w:hint="default" w:ascii="Times New Roman" w:hAnsi="Times New Roman" w:cs="Times New Roman"/>
                <w:color w:val="FF0000"/>
                <w:kern w:val="2"/>
                <w:sz w:val="24"/>
                <w:szCs w:val="24"/>
              </w:rPr>
              <w:t>%</w:t>
            </w:r>
            <w:r>
              <w:rPr>
                <w:rFonts w:hint="eastAsia" w:ascii="Times New Roman" w:hAnsi="Times New Roman" w:cs="Times New Roman"/>
                <w:color w:val="FF0000"/>
                <w:kern w:val="2"/>
                <w:sz w:val="24"/>
                <w:szCs w:val="24"/>
                <w:lang w:eastAsia="zh-CN"/>
              </w:rPr>
              <w:t>。</w:t>
            </w:r>
          </w:p>
          <w:p>
            <w:pPr>
              <w:pStyle w:val="17"/>
              <w:ind w:lef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加热挤出工段采用上吸风方式对废气进行有效收集</w:t>
            </w:r>
            <w:r>
              <w:rPr>
                <w:rFonts w:hint="default" w:ascii="Times New Roman" w:hAnsi="Times New Roman" w:eastAsia="宋体" w:cs="Times New Roman"/>
                <w:color w:val="auto"/>
                <w:sz w:val="24"/>
                <w:szCs w:val="24"/>
                <w:lang w:eastAsia="zh-CN"/>
              </w:rPr>
              <w:t>，车间</w:t>
            </w:r>
            <w:r>
              <w:rPr>
                <w:rFonts w:hint="default" w:ascii="Times New Roman" w:hAnsi="Times New Roman" w:eastAsia="宋体" w:cs="Times New Roman"/>
                <w:color w:val="auto"/>
                <w:sz w:val="24"/>
                <w:szCs w:val="24"/>
              </w:rPr>
              <w:t>保持微负压状态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加热挤出工序产生的废气经分子筛</w:t>
            </w:r>
            <w:r>
              <w:rPr>
                <w:rFonts w:hint="eastAsia" w:ascii="Times New Roman" w:eastAsia="宋体" w:cs="Times New Roman"/>
                <w:color w:val="auto"/>
                <w:sz w:val="24"/>
                <w:szCs w:val="24"/>
                <w:lang w:eastAsia="zh-CN"/>
              </w:rPr>
              <w:t>废气</w:t>
            </w:r>
            <w:r>
              <w:rPr>
                <w:rFonts w:hint="default" w:ascii="Times New Roman" w:hAnsi="Times New Roman" w:eastAsia="宋体" w:cs="Times New Roman"/>
                <w:color w:val="auto"/>
                <w:sz w:val="24"/>
                <w:szCs w:val="24"/>
              </w:rPr>
              <w:t>处理</w:t>
            </w:r>
            <w:r>
              <w:rPr>
                <w:rFonts w:hint="default" w:ascii="Times New Roman" w:hAnsi="Times New Roman" w:eastAsia="宋体" w:cs="Times New Roman"/>
                <w:color w:val="auto"/>
                <w:sz w:val="24"/>
                <w:szCs w:val="24"/>
                <w:lang w:eastAsia="zh-CN"/>
              </w:rPr>
              <w:t>装置处理后，由</w:t>
            </w:r>
            <w:r>
              <w:rPr>
                <w:rFonts w:hint="default" w:ascii="Times New Roman" w:hAnsi="Times New Roman" w:eastAsia="宋体" w:cs="Times New Roman"/>
                <w:color w:val="auto"/>
                <w:sz w:val="24"/>
                <w:szCs w:val="24"/>
                <w:lang w:val="en-US" w:eastAsia="zh-CN"/>
              </w:rPr>
              <w:t>15m排气筒排放，</w:t>
            </w:r>
            <w:r>
              <w:rPr>
                <w:rFonts w:hint="default" w:ascii="Times New Roman" w:hAnsi="Times New Roman" w:cs="Times New Roman" w:eastAsiaTheme="minorEastAsia"/>
                <w:color w:val="auto"/>
                <w:sz w:val="24"/>
                <w:szCs w:val="24"/>
              </w:rPr>
              <w:t>根据《重点行业挥发性有机物综合治理方案》的通知（环大气[2019]53号文），采用吸附处理工艺的，应满足《吸附法工业有机废气治理工程技术规范》（HJ2026-2013）要求，该技术规范要求“6.1.3 吸附装置的净化效率不得低于90%。”因此本项目</w:t>
            </w:r>
            <w:r>
              <w:rPr>
                <w:rFonts w:hint="default" w:ascii="Times New Roman" w:hAnsi="Times New Roman" w:eastAsia="宋体" w:cs="Times New Roman"/>
                <w:color w:val="auto"/>
                <w:sz w:val="24"/>
                <w:szCs w:val="24"/>
              </w:rPr>
              <w:t>分子筛</w:t>
            </w:r>
            <w:r>
              <w:rPr>
                <w:rFonts w:hint="eastAsia" w:ascii="Times New Roman" w:eastAsia="宋体" w:cs="Times New Roman"/>
                <w:color w:val="auto"/>
                <w:sz w:val="24"/>
                <w:szCs w:val="24"/>
                <w:lang w:eastAsia="zh-CN"/>
              </w:rPr>
              <w:t>废气</w:t>
            </w:r>
            <w:r>
              <w:rPr>
                <w:rFonts w:hint="default" w:ascii="Times New Roman" w:hAnsi="Times New Roman" w:eastAsia="宋体" w:cs="Times New Roman"/>
                <w:color w:val="auto"/>
                <w:sz w:val="24"/>
                <w:szCs w:val="24"/>
              </w:rPr>
              <w:t>处理</w:t>
            </w:r>
            <w:r>
              <w:rPr>
                <w:rFonts w:hint="eastAsia" w:ascii="Times New Roman" w:eastAsia="宋体" w:cs="Times New Roman"/>
                <w:color w:val="auto"/>
                <w:sz w:val="24"/>
                <w:szCs w:val="24"/>
                <w:lang w:eastAsia="zh-CN"/>
              </w:rPr>
              <w:t>装置</w:t>
            </w:r>
            <w:r>
              <w:rPr>
                <w:rFonts w:hint="eastAsia" w:ascii="Times New Roman" w:hAnsi="Times New Roman" w:cs="Times New Roman" w:eastAsiaTheme="minorEastAsia"/>
                <w:color w:val="auto"/>
                <w:sz w:val="24"/>
                <w:szCs w:val="24"/>
                <w:lang w:eastAsia="zh-CN"/>
              </w:rPr>
              <w:t>处理</w:t>
            </w:r>
            <w:r>
              <w:rPr>
                <w:rFonts w:hint="default" w:ascii="Times New Roman" w:hAnsi="Times New Roman" w:cs="Times New Roman" w:eastAsiaTheme="minorEastAsia"/>
                <w:color w:val="auto"/>
                <w:sz w:val="24"/>
                <w:szCs w:val="24"/>
              </w:rPr>
              <w:t>效率</w:t>
            </w:r>
            <w:r>
              <w:rPr>
                <w:rFonts w:hint="eastAsia" w:ascii="Times New Roman" w:hAnsi="Times New Roman" w:cs="Times New Roman" w:eastAsiaTheme="minorEastAsia"/>
                <w:color w:val="auto"/>
                <w:sz w:val="24"/>
                <w:szCs w:val="24"/>
                <w:lang w:eastAsia="zh-CN"/>
              </w:rPr>
              <w:t>取</w:t>
            </w:r>
            <w:r>
              <w:rPr>
                <w:rFonts w:hint="default" w:ascii="Times New Roman" w:hAnsi="Times New Roman" w:cs="Times New Roman" w:eastAsiaTheme="minorEastAsia"/>
                <w:color w:val="auto"/>
                <w:sz w:val="24"/>
                <w:szCs w:val="24"/>
              </w:rPr>
              <w:t>90%。</w:t>
            </w:r>
            <w:r>
              <w:rPr>
                <w:rFonts w:hint="default" w:ascii="Times New Roman" w:hAnsi="Times New Roman" w:eastAsia="宋体" w:cs="Times New Roman"/>
                <w:color w:val="auto"/>
                <w:sz w:val="24"/>
                <w:szCs w:val="24"/>
              </w:rPr>
              <w:t>分子筛</w:t>
            </w:r>
            <w:r>
              <w:rPr>
                <w:rFonts w:hint="eastAsia" w:ascii="Times New Roman" w:eastAsia="宋体" w:cs="Times New Roman"/>
                <w:color w:val="auto"/>
                <w:sz w:val="24"/>
                <w:szCs w:val="24"/>
                <w:lang w:eastAsia="zh-CN"/>
              </w:rPr>
              <w:t>废气</w:t>
            </w:r>
            <w:r>
              <w:rPr>
                <w:rFonts w:hint="default" w:ascii="Times New Roman" w:hAnsi="Times New Roman" w:eastAsia="宋体" w:cs="Times New Roman"/>
                <w:color w:val="auto"/>
                <w:sz w:val="24"/>
                <w:szCs w:val="24"/>
              </w:rPr>
              <w:t>处理</w:t>
            </w:r>
            <w:r>
              <w:rPr>
                <w:rFonts w:hint="eastAsia" w:ascii="Times New Roman" w:eastAsia="宋体" w:cs="Times New Roman"/>
                <w:color w:val="auto"/>
                <w:sz w:val="24"/>
                <w:szCs w:val="24"/>
                <w:lang w:eastAsia="zh-CN"/>
              </w:rPr>
              <w:t>装置</w:t>
            </w:r>
            <w:r>
              <w:rPr>
                <w:rFonts w:hint="default" w:ascii="Times New Roman" w:hAnsi="Times New Roman" w:eastAsia="宋体" w:cs="Times New Roman"/>
                <w:color w:val="auto"/>
                <w:sz w:val="24"/>
                <w:szCs w:val="24"/>
              </w:rPr>
              <w:t>安装自动提醒脱附系统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当去除率低于85%时，系统自动提醒；当去除率低于80%时，启动生产线断电</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分子筛</w:t>
            </w:r>
            <w:r>
              <w:rPr>
                <w:rFonts w:hint="eastAsia" w:ascii="Times New Roman" w:eastAsia="宋体" w:cs="Times New Roman"/>
                <w:color w:val="auto"/>
                <w:sz w:val="24"/>
                <w:szCs w:val="24"/>
                <w:lang w:eastAsia="zh-CN"/>
              </w:rPr>
              <w:t>废气处理装置</w:t>
            </w:r>
            <w:r>
              <w:rPr>
                <w:rFonts w:hint="default" w:ascii="Times New Roman" w:hAnsi="Times New Roman" w:eastAsia="宋体" w:cs="Times New Roman"/>
                <w:color w:val="auto"/>
                <w:sz w:val="24"/>
                <w:szCs w:val="24"/>
              </w:rPr>
              <w:t>与生产设备应自动同步启动，安装企业电量智能管控系统，并与市生态环境局联网。企业电量智能管控系统主要采集挤出工序及废气收集处理设施用电情况</w:t>
            </w:r>
            <w:r>
              <w:rPr>
                <w:rFonts w:hint="default" w:ascii="Times New Roman" w:hAnsi="Times New Roman" w:eastAsia="宋体" w:cs="Times New Roman"/>
                <w:color w:val="auto"/>
                <w:sz w:val="24"/>
                <w:szCs w:val="24"/>
                <w:lang w:eastAsia="zh-CN"/>
              </w:rPr>
              <w:t>。</w:t>
            </w:r>
          </w:p>
          <w:p>
            <w:pPr>
              <w:pStyle w:val="17"/>
              <w:ind w:lef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负压工作原理：</w:t>
            </w:r>
          </w:p>
          <w:p>
            <w:pPr>
              <w:pStyle w:val="17"/>
              <w:ind w:lef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负压风机向外排出空气使室内气压下降，室内空气变稀薄，形成一个负压区，空气由于气压差补偿流入室内。在实际应用中，负压风机集中安装于厂房一侧，进气口于厂房另外一侧，空气由进出口到负压风机形成对流吹风。在这个过程中，靠近负压风机附近的门窗保持关闭，强迫空气由进气口一侧门窗补偿流入车间，空气排着队，有秩序的由进气口流入车间，从车间流过，由负压风机排出车间</w:t>
            </w:r>
            <w:r>
              <w:rPr>
                <w:rFonts w:hint="default" w:ascii="Times New Roman" w:hAnsi="Times New Roman" w:eastAsia="宋体" w:cs="Times New Roman"/>
                <w:color w:val="auto"/>
                <w:sz w:val="24"/>
                <w:szCs w:val="24"/>
                <w:lang w:eastAsia="zh-CN"/>
              </w:rPr>
              <w:t>。</w:t>
            </w:r>
          </w:p>
          <w:p>
            <w:pPr>
              <w:bidi w:val="0"/>
              <w:spacing w:line="360" w:lineRule="auto"/>
              <w:ind w:firstLine="482" w:firstLineChars="200"/>
              <w:jc w:val="left"/>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分子筛</w:t>
            </w:r>
            <w:r>
              <w:rPr>
                <w:rFonts w:hint="eastAsia" w:eastAsia="宋体" w:cs="Times New Roman"/>
                <w:b/>
                <w:bCs/>
                <w:color w:val="auto"/>
                <w:sz w:val="24"/>
                <w:szCs w:val="24"/>
                <w:lang w:eastAsia="zh-CN"/>
              </w:rPr>
              <w:t>废气处理装置</w:t>
            </w:r>
            <w:r>
              <w:rPr>
                <w:rFonts w:hint="default" w:ascii="Times New Roman" w:hAnsi="Times New Roman" w:eastAsia="宋体" w:cs="Times New Roman"/>
                <w:b/>
                <w:bCs/>
                <w:color w:val="auto"/>
                <w:sz w:val="24"/>
                <w:szCs w:val="24"/>
                <w:lang w:eastAsia="zh-CN"/>
              </w:rPr>
              <w:t>工作原理：</w:t>
            </w:r>
          </w:p>
          <w:p>
            <w:pPr>
              <w:bidi w:val="0"/>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分子筛是指利用固体分子筛（沸石分子筛），吸附工业废气中的污染物，针对不同的废气成分，选用合适的分子筛。当分子筛达到饱和后将污染物脱附出来，利用催化燃烧技术使工业废气中有机物深度氧化成二氧化碳和水，从而达到净化目的的一体机及附属设备</w:t>
            </w:r>
            <w:r>
              <w:rPr>
                <w:rFonts w:hint="default" w:ascii="Times New Roman" w:hAnsi="Times New Roman" w:eastAsia="宋体" w:cs="Times New Roman"/>
                <w:color w:val="auto"/>
                <w:sz w:val="24"/>
                <w:szCs w:val="24"/>
                <w:lang w:eastAsia="zh-CN"/>
              </w:rPr>
              <w:t>。</w:t>
            </w:r>
          </w:p>
          <w:p>
            <w:pPr>
              <w:bidi w:val="0"/>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有机废气在吸附风机的作用下由进气口进入前置过滤箱体中，前置过滤器将废气中的颗粒物过滤、阻截，避免颗粒物进入吸附层堵塞分子筛微孔，影响净化效果。然后废气由前置过滤器分别进入两侧吸附脱附箱体（中间设有旁路保温隔层，在有机废气检测浓度达标情况下旁通阀直接开启排放)，吸附脱附箱体内的吸附层吸附净化有机废气。当沸石分子筛吸附层接近饱和时（排气浓度达到设定值），PLC控制器自动关闭进气阀门，</w:t>
            </w:r>
            <w:r>
              <w:rPr>
                <w:rFonts w:hint="default" w:ascii="Times New Roman" w:hAnsi="Times New Roman" w:eastAsia="宋体" w:cs="Times New Roman"/>
                <w:color w:val="auto"/>
                <w:sz w:val="24"/>
                <w:szCs w:val="24"/>
                <w:lang w:eastAsia="zh-CN"/>
              </w:rPr>
              <w:t>经移动脱附后循环利用。</w:t>
            </w:r>
            <w:r>
              <w:rPr>
                <w:rFonts w:hint="default" w:ascii="Times New Roman" w:hAnsi="Times New Roman" w:eastAsia="宋体" w:cs="Times New Roman"/>
                <w:color w:val="auto"/>
                <w:sz w:val="24"/>
                <w:szCs w:val="24"/>
              </w:rPr>
              <w:t>蜂窝状沸石分子筛最大的特点就是净化效果好，风速阻力小，是一种吸附性能好、无二次污染、可高温再生的高效分子筛载体，比同类活性炭提高40%效率</w:t>
            </w:r>
            <w:r>
              <w:rPr>
                <w:rFonts w:hint="default" w:ascii="Times New Roman" w:hAnsi="Times New Roman" w:eastAsia="宋体" w:cs="Times New Roman"/>
                <w:color w:val="auto"/>
                <w:sz w:val="24"/>
                <w:szCs w:val="24"/>
                <w:lang w:eastAsia="zh-CN"/>
              </w:rPr>
              <w:t>。</w:t>
            </w:r>
          </w:p>
          <w:p>
            <w:pPr>
              <w:bidi w:val="0"/>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分子筛</w:t>
            </w:r>
            <w:r>
              <w:rPr>
                <w:rFonts w:hint="eastAsia" w:eastAsia="宋体" w:cs="Times New Roman"/>
                <w:color w:val="auto"/>
                <w:sz w:val="24"/>
                <w:szCs w:val="24"/>
                <w:lang w:eastAsia="zh-CN"/>
              </w:rPr>
              <w:t>废气处理装置</w:t>
            </w:r>
            <w:r>
              <w:rPr>
                <w:rFonts w:hint="default" w:ascii="Times New Roman" w:hAnsi="Times New Roman" w:eastAsia="宋体" w:cs="Times New Roman"/>
                <w:color w:val="auto"/>
                <w:sz w:val="24"/>
                <w:szCs w:val="24"/>
              </w:rPr>
              <w:t>体积小、结构简单，移动运输方便，节省安装空间及安装程序。改变了传统有机</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"http://www.baolanhuanbao.com/" \t "http://www.feiqiwang.cn/shebzs/_blank" </w:instrText>
            </w:r>
            <w:r>
              <w:rPr>
                <w:rFonts w:hint="default" w:ascii="Times New Roman" w:hAnsi="Times New Roman" w:eastAsia="宋体" w:cs="Times New Roman"/>
                <w:color w:val="auto"/>
                <w:sz w:val="24"/>
                <w:szCs w:val="24"/>
              </w:rPr>
              <w:fldChar w:fldCharType="separate"/>
            </w:r>
            <w:r>
              <w:rPr>
                <w:rStyle w:val="35"/>
                <w:rFonts w:hint="default" w:ascii="Times New Roman" w:hAnsi="Times New Roman" w:eastAsia="宋体" w:cs="Times New Roman"/>
                <w:i w:val="0"/>
                <w:caps w:val="0"/>
                <w:color w:val="auto"/>
                <w:spacing w:val="0"/>
                <w:sz w:val="24"/>
                <w:szCs w:val="24"/>
                <w:u w:val="none"/>
                <w:shd w:val="clear" w:color="auto" w:fill="FFFFFF"/>
              </w:rPr>
              <w:t>废气净化</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系统占地面积大，安装复杂，易受场地、空间限制等现状；将所有处理单元进行模块式集成，避免了复杂的安装程序、大大节省了空间利用率，具有即装即用的优势</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废气处理效率可达90%以上</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rPr>
              <w:t>两套或多套吸附系统交替再生，不但保证生产连续性，且减少了运营成本</w:t>
            </w:r>
            <w:r>
              <w:rPr>
                <w:rFonts w:hint="default" w:ascii="Times New Roman" w:hAnsi="Times New Roman" w:eastAsia="宋体" w:cs="Times New Roman"/>
                <w:color w:val="auto"/>
                <w:sz w:val="24"/>
                <w:szCs w:val="24"/>
                <w:lang w:eastAsia="zh-CN"/>
              </w:rPr>
              <w:t>。</w:t>
            </w:r>
          </w:p>
          <w:p>
            <w:pPr>
              <w:pStyle w:val="17"/>
              <w:ind w:left="0" w:firstLine="480" w:firstLineChars="200"/>
              <w:rPr>
                <w:rFonts w:hint="eastAsia" w:ascii="Times New Roman" w:eastAsia="宋体" w:cs="Times New Roman"/>
                <w:color w:val="auto"/>
                <w:sz w:val="24"/>
                <w:szCs w:val="24"/>
                <w:lang w:eastAsia="zh-CN"/>
              </w:rPr>
            </w:pPr>
            <w:r>
              <w:rPr>
                <w:rFonts w:hint="default" w:ascii="Times New Roman" w:hAnsi="Times New Roman" w:cs="Times New Roman"/>
                <w:color w:val="auto"/>
                <w:sz w:val="24"/>
                <w:szCs w:val="24"/>
              </w:rPr>
              <w:t>综合上述分析内容，采取</w:t>
            </w:r>
            <w:r>
              <w:rPr>
                <w:rFonts w:hint="default" w:ascii="Times New Roman" w:hAnsi="Times New Roman" w:eastAsia="宋体" w:cs="Times New Roman"/>
                <w:color w:val="auto"/>
                <w:sz w:val="24"/>
                <w:szCs w:val="24"/>
              </w:rPr>
              <w:t>分子筛</w:t>
            </w:r>
            <w:r>
              <w:rPr>
                <w:rFonts w:hint="eastAsia" w:ascii="Times New Roman" w:eastAsia="宋体" w:cs="Times New Roman"/>
                <w:color w:val="auto"/>
                <w:sz w:val="24"/>
                <w:szCs w:val="24"/>
                <w:lang w:eastAsia="zh-CN"/>
              </w:rPr>
              <w:t>废气</w:t>
            </w:r>
            <w:r>
              <w:rPr>
                <w:rFonts w:hint="default" w:ascii="Times New Roman" w:hAnsi="Times New Roman" w:eastAsia="宋体" w:cs="Times New Roman"/>
                <w:color w:val="auto"/>
                <w:sz w:val="24"/>
                <w:szCs w:val="24"/>
              </w:rPr>
              <w:t>处理</w:t>
            </w:r>
            <w:r>
              <w:rPr>
                <w:rFonts w:hint="default" w:ascii="Times New Roman" w:hAnsi="Times New Roman" w:cs="Times New Roman"/>
                <w:color w:val="auto"/>
                <w:sz w:val="24"/>
                <w:szCs w:val="24"/>
              </w:rPr>
              <w:t>方式可行</w:t>
            </w:r>
            <w:r>
              <w:rPr>
                <w:rFonts w:hint="eastAsia" w:ascii="Times New Roman" w:cs="Times New Roman"/>
                <w:color w:val="auto"/>
                <w:sz w:val="24"/>
                <w:szCs w:val="24"/>
                <w:lang w:eastAsia="zh-CN"/>
              </w:rPr>
              <w:t>。</w:t>
            </w:r>
          </w:p>
          <w:p>
            <w:pPr>
              <w:pStyle w:val="17"/>
              <w:ind w:left="0" w:firstLine="482" w:firstLineChars="200"/>
              <w:rPr>
                <w:rFonts w:hint="default" w:ascii="Times New Roman" w:hAnsi="Times New Roman" w:cs="Times New Roman"/>
                <w:b/>
                <w:color w:val="auto"/>
              </w:rPr>
            </w:pPr>
            <w:r>
              <w:rPr>
                <w:rFonts w:hint="default" w:ascii="Times New Roman" w:hAnsi="Times New Roman" w:cs="Times New Roman"/>
                <w:b/>
                <w:color w:val="auto"/>
              </w:rPr>
              <w:t>二、水环境影响分析</w:t>
            </w:r>
          </w:p>
          <w:p>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1、地表水环境影响分析</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szCs w:val="24"/>
              </w:rPr>
              <w:t>本项目运营期间</w:t>
            </w:r>
            <w:r>
              <w:rPr>
                <w:rFonts w:hint="default" w:ascii="Times New Roman" w:hAnsi="Times New Roman" w:cs="Times New Roman"/>
                <w:color w:val="auto"/>
                <w:sz w:val="24"/>
              </w:rPr>
              <w:t>生产过程</w:t>
            </w:r>
            <w:r>
              <w:rPr>
                <w:rFonts w:hint="default" w:ascii="Times New Roman" w:hAnsi="Times New Roman" w:cs="Times New Roman"/>
                <w:color w:val="auto"/>
                <w:sz w:val="24"/>
                <w:lang w:eastAsia="zh-CN"/>
              </w:rPr>
              <w:t>不用水，无废水排放，</w:t>
            </w:r>
            <w:r>
              <w:rPr>
                <w:rFonts w:hint="default" w:ascii="Times New Roman" w:hAnsi="Times New Roman" w:cs="Times New Roman"/>
                <w:bCs/>
                <w:color w:val="auto"/>
                <w:sz w:val="24"/>
                <w:szCs w:val="24"/>
              </w:rPr>
              <w:t>因此，本项目废水主要为生活污水</w:t>
            </w:r>
            <w:r>
              <w:rPr>
                <w:rFonts w:hint="eastAsia"/>
                <w:bCs/>
                <w:color w:val="auto"/>
                <w:sz w:val="24"/>
                <w:szCs w:val="24"/>
              </w:rPr>
              <w:t>，产生量约为</w:t>
            </w:r>
            <w:r>
              <w:rPr>
                <w:rFonts w:hint="eastAsia"/>
                <w:bCs/>
                <w:color w:val="auto"/>
                <w:sz w:val="24"/>
                <w:szCs w:val="24"/>
                <w:lang w:val="en-US" w:eastAsia="zh-CN"/>
              </w:rPr>
              <w:t>240</w:t>
            </w:r>
            <w:r>
              <w:rPr>
                <w:rFonts w:hint="eastAsia"/>
                <w:bCs/>
                <w:color w:val="auto"/>
                <w:sz w:val="24"/>
                <w:szCs w:val="24"/>
              </w:rPr>
              <w:t>t/a，主要污染物为CODcr、氨氮等</w:t>
            </w:r>
            <w:r>
              <w:rPr>
                <w:rFonts w:hint="eastAsia" w:ascii="Times New Roman" w:hAnsi="Times New Roman" w:cs="Times New Roman"/>
                <w:color w:val="auto"/>
                <w:sz w:val="24"/>
                <w:szCs w:val="24"/>
                <w:lang w:eastAsia="zh-CN"/>
              </w:rPr>
              <w:t>。</w:t>
            </w:r>
            <w:r>
              <w:rPr>
                <w:color w:val="auto"/>
                <w:sz w:val="24"/>
                <w:szCs w:val="24"/>
              </w:rPr>
              <w:t>参照城市生活污水水质，</w:t>
            </w:r>
            <w:r>
              <w:rPr>
                <w:rFonts w:hint="eastAsia"/>
                <w:color w:val="auto"/>
                <w:sz w:val="24"/>
                <w:szCs w:val="24"/>
              </w:rPr>
              <w:t>本项目</w:t>
            </w:r>
            <w:r>
              <w:rPr>
                <w:color w:val="auto"/>
                <w:sz w:val="24"/>
                <w:szCs w:val="24"/>
              </w:rPr>
              <w:t>生活污水中</w:t>
            </w:r>
            <w:r>
              <w:rPr>
                <w:rFonts w:hint="eastAsia"/>
                <w:color w:val="auto"/>
                <w:sz w:val="24"/>
                <w:szCs w:val="24"/>
              </w:rPr>
              <w:t>CODcr</w:t>
            </w:r>
            <w:r>
              <w:rPr>
                <w:color w:val="auto"/>
                <w:sz w:val="24"/>
                <w:szCs w:val="24"/>
              </w:rPr>
              <w:t>、氨氮产生浓度分别为</w:t>
            </w:r>
            <w:r>
              <w:rPr>
                <w:rFonts w:hint="eastAsia"/>
                <w:color w:val="auto"/>
                <w:sz w:val="24"/>
                <w:szCs w:val="24"/>
              </w:rPr>
              <w:t>450</w:t>
            </w:r>
            <w:r>
              <w:rPr>
                <w:color w:val="auto"/>
                <w:sz w:val="24"/>
                <w:szCs w:val="24"/>
              </w:rPr>
              <w:t>mg/L、</w:t>
            </w:r>
            <w:r>
              <w:rPr>
                <w:rFonts w:hint="eastAsia"/>
                <w:color w:val="auto"/>
                <w:sz w:val="24"/>
                <w:szCs w:val="24"/>
              </w:rPr>
              <w:t>40</w:t>
            </w:r>
            <w:r>
              <w:rPr>
                <w:color w:val="auto"/>
                <w:sz w:val="24"/>
                <w:szCs w:val="24"/>
              </w:rPr>
              <w:t>mg/L，</w:t>
            </w:r>
            <w:r>
              <w:rPr>
                <w:rFonts w:hint="eastAsia"/>
                <w:color w:val="auto"/>
                <w:sz w:val="24"/>
                <w:szCs w:val="24"/>
              </w:rPr>
              <w:t>CODcr</w:t>
            </w:r>
            <w:r>
              <w:rPr>
                <w:color w:val="auto"/>
                <w:sz w:val="24"/>
                <w:szCs w:val="24"/>
              </w:rPr>
              <w:t>产生量为</w:t>
            </w:r>
            <w:r>
              <w:rPr>
                <w:rFonts w:hint="eastAsia"/>
                <w:color w:val="auto"/>
                <w:sz w:val="24"/>
                <w:szCs w:val="24"/>
                <w:lang w:val="en-US" w:eastAsia="zh-CN"/>
              </w:rPr>
              <w:t>0.108</w:t>
            </w:r>
            <w:r>
              <w:rPr>
                <w:color w:val="auto"/>
                <w:sz w:val="24"/>
                <w:szCs w:val="24"/>
              </w:rPr>
              <w:t>t/a，氨氮产生量为</w:t>
            </w:r>
            <w:r>
              <w:rPr>
                <w:rFonts w:hint="eastAsia"/>
                <w:color w:val="auto"/>
                <w:sz w:val="24"/>
                <w:szCs w:val="24"/>
                <w:lang w:val="en-US" w:eastAsia="zh-CN"/>
              </w:rPr>
              <w:t>0.01</w:t>
            </w:r>
            <w:r>
              <w:rPr>
                <w:color w:val="auto"/>
                <w:sz w:val="24"/>
                <w:szCs w:val="24"/>
              </w:rPr>
              <w:t>t/a。经化粪池预处理后的污水中污染物</w:t>
            </w:r>
            <w:r>
              <w:rPr>
                <w:rFonts w:hint="eastAsia"/>
                <w:color w:val="auto"/>
                <w:sz w:val="24"/>
                <w:szCs w:val="24"/>
              </w:rPr>
              <w:t>CODcr</w:t>
            </w:r>
            <w:r>
              <w:rPr>
                <w:color w:val="auto"/>
                <w:sz w:val="24"/>
                <w:szCs w:val="24"/>
              </w:rPr>
              <w:t>、氨氮排放浓度分别为350mg/L、25 mg/L，</w:t>
            </w:r>
            <w:r>
              <w:rPr>
                <w:rFonts w:hint="eastAsia"/>
                <w:color w:val="auto"/>
                <w:sz w:val="24"/>
                <w:szCs w:val="24"/>
              </w:rPr>
              <w:t>CODcr</w:t>
            </w:r>
            <w:r>
              <w:rPr>
                <w:color w:val="auto"/>
                <w:sz w:val="24"/>
                <w:szCs w:val="24"/>
              </w:rPr>
              <w:t>排放量为</w:t>
            </w:r>
            <w:r>
              <w:rPr>
                <w:rFonts w:hint="eastAsia"/>
                <w:color w:val="auto"/>
                <w:sz w:val="24"/>
                <w:szCs w:val="24"/>
                <w:lang w:val="en-US" w:eastAsia="zh-CN"/>
              </w:rPr>
              <w:t>0.084</w:t>
            </w:r>
            <w:r>
              <w:rPr>
                <w:color w:val="auto"/>
                <w:sz w:val="24"/>
                <w:szCs w:val="24"/>
              </w:rPr>
              <w:t>t/a，氨氮排放量为</w:t>
            </w:r>
            <w:r>
              <w:rPr>
                <w:rFonts w:hint="eastAsia"/>
                <w:color w:val="auto"/>
                <w:sz w:val="24"/>
                <w:szCs w:val="24"/>
              </w:rPr>
              <w:t>0.0</w:t>
            </w:r>
            <w:r>
              <w:rPr>
                <w:rFonts w:hint="eastAsia"/>
                <w:color w:val="auto"/>
                <w:sz w:val="24"/>
                <w:szCs w:val="24"/>
                <w:lang w:val="en-US" w:eastAsia="zh-CN"/>
              </w:rPr>
              <w:t>06</w:t>
            </w:r>
            <w:r>
              <w:rPr>
                <w:color w:val="auto"/>
                <w:sz w:val="24"/>
                <w:szCs w:val="24"/>
              </w:rPr>
              <w:t>t/a</w:t>
            </w:r>
            <w:r>
              <w:rPr>
                <w:rFonts w:hint="eastAsia"/>
                <w:color w:val="auto"/>
                <w:sz w:val="24"/>
                <w:szCs w:val="24"/>
              </w:rPr>
              <w:t>，</w:t>
            </w:r>
            <w:r>
              <w:rPr>
                <w:color w:val="auto"/>
                <w:sz w:val="24"/>
                <w:szCs w:val="24"/>
              </w:rPr>
              <w:t>能够达到《污水排入城镇下水道水质标准》（GB/T31962-2015）表1中的B等级标准</w:t>
            </w:r>
            <w:r>
              <w:rPr>
                <w:rFonts w:hint="default" w:ascii="Times New Roman" w:hAnsi="Times New Roman" w:cs="Times New Roman"/>
                <w:color w:val="auto"/>
                <w:sz w:val="24"/>
                <w:szCs w:val="24"/>
              </w:rPr>
              <w:t>，经市政污水管网输送至</w:t>
            </w:r>
            <w:r>
              <w:rPr>
                <w:rFonts w:hint="eastAsia" w:cs="Times New Roman"/>
                <w:color w:val="auto"/>
                <w:sz w:val="24"/>
                <w:szCs w:val="24"/>
                <w:lang w:eastAsia="zh-CN"/>
              </w:rPr>
              <w:t>威海初村污水处理厂</w:t>
            </w:r>
            <w:r>
              <w:rPr>
                <w:rFonts w:hint="default" w:ascii="Times New Roman" w:hAnsi="Times New Roman" w:cs="Times New Roman"/>
                <w:color w:val="auto"/>
                <w:sz w:val="24"/>
                <w:szCs w:val="24"/>
              </w:rPr>
              <w:t>集中处理，达到《城镇污水处理厂污染物排放标准》（GB18918-2002）一级A标准（CODcr50mg/l、氨氮5（8）mg/l）后排海，</w:t>
            </w:r>
            <w:r>
              <w:rPr>
                <w:rFonts w:hint="eastAsia"/>
                <w:color w:val="auto"/>
                <w:sz w:val="24"/>
                <w:szCs w:val="24"/>
              </w:rPr>
              <w:t>CODcr</w:t>
            </w:r>
            <w:r>
              <w:rPr>
                <w:color w:val="auto"/>
                <w:sz w:val="24"/>
                <w:szCs w:val="24"/>
              </w:rPr>
              <w:t>、氨氮排入外环境的量分别为</w:t>
            </w:r>
            <w:r>
              <w:rPr>
                <w:rFonts w:hint="eastAsia"/>
                <w:color w:val="auto"/>
                <w:sz w:val="24"/>
                <w:szCs w:val="24"/>
                <w:lang w:val="en-US" w:eastAsia="zh-CN"/>
              </w:rPr>
              <w:t>0.012</w:t>
            </w:r>
            <w:r>
              <w:rPr>
                <w:color w:val="auto"/>
                <w:sz w:val="24"/>
                <w:szCs w:val="24"/>
              </w:rPr>
              <w:t>t/a、0.00</w:t>
            </w:r>
            <w:r>
              <w:rPr>
                <w:rFonts w:hint="eastAsia"/>
                <w:color w:val="auto"/>
                <w:sz w:val="24"/>
                <w:szCs w:val="24"/>
                <w:lang w:val="en-US" w:eastAsia="zh-CN"/>
              </w:rPr>
              <w:t>2</w:t>
            </w:r>
            <w:r>
              <w:rPr>
                <w:color w:val="auto"/>
                <w:sz w:val="24"/>
                <w:szCs w:val="24"/>
              </w:rPr>
              <w:t>t/a</w:t>
            </w:r>
            <w:r>
              <w:rPr>
                <w:rFonts w:hint="default" w:ascii="Times New Roman" w:hAnsi="Times New Roman" w:cs="Times New Roman"/>
                <w:color w:val="auto"/>
                <w:sz w:val="24"/>
              </w:rPr>
              <w:t>。其总量纳入</w:t>
            </w:r>
            <w:r>
              <w:rPr>
                <w:rFonts w:hint="eastAsia" w:cs="Times New Roman"/>
                <w:color w:val="auto"/>
                <w:sz w:val="24"/>
                <w:lang w:eastAsia="zh-CN"/>
              </w:rPr>
              <w:t>威海初村污水处理厂</w:t>
            </w:r>
            <w:r>
              <w:rPr>
                <w:rFonts w:hint="default" w:ascii="Times New Roman" w:hAnsi="Times New Roman" w:cs="Times New Roman"/>
                <w:color w:val="auto"/>
                <w:sz w:val="24"/>
              </w:rPr>
              <w:t>总量指标。</w:t>
            </w:r>
          </w:p>
          <w:p>
            <w:pPr>
              <w:tabs>
                <w:tab w:val="left" w:pos="2894"/>
              </w:tabs>
              <w:spacing w:line="360" w:lineRule="auto"/>
              <w:ind w:firstLine="480" w:firstLineChars="200"/>
              <w:rPr>
                <w:rFonts w:hint="default" w:ascii="Times New Roman" w:hAnsi="Times New Roman" w:cs="Times New Roman"/>
                <w:color w:val="auto"/>
                <w:sz w:val="24"/>
              </w:rPr>
            </w:pPr>
            <w:r>
              <w:rPr>
                <w:bCs/>
                <w:color w:val="auto"/>
                <w:sz w:val="24"/>
              </w:rPr>
              <w:t>初村污水处理厂位于</w:t>
            </w:r>
            <w:r>
              <w:rPr>
                <w:color w:val="auto"/>
                <w:sz w:val="24"/>
              </w:rPr>
              <w:t>威海市高区初村镇北部防护林内，其由威海水务</w:t>
            </w:r>
            <w:r>
              <w:rPr>
                <w:rFonts w:hint="eastAsia"/>
                <w:color w:val="auto"/>
                <w:sz w:val="24"/>
              </w:rPr>
              <w:t>投资有限责任</w:t>
            </w:r>
            <w:r>
              <w:rPr>
                <w:color w:val="auto"/>
                <w:sz w:val="24"/>
              </w:rPr>
              <w:t>公司投资建设，总投资8451.8万元，占地面积33333.50 m</w:t>
            </w:r>
            <w:r>
              <w:rPr>
                <w:color w:val="auto"/>
                <w:sz w:val="24"/>
                <w:vertAlign w:val="superscript"/>
              </w:rPr>
              <w:t>2</w:t>
            </w:r>
            <w:r>
              <w:rPr>
                <w:color w:val="auto"/>
                <w:sz w:val="24"/>
              </w:rPr>
              <w:t>。初村污水处理厂总体设计污水处理能力为4万t/d，服务范围是整个初村片区、环翠区羊亭镇等。采用“厌氧—Carrousel氧化沟+絮凝沉淀+活性砂滤池”，污水处理厂设计出水为《城镇污水处理厂污染物排放标准》（GB18918-2002）中一级A标准，最终排入初村北部黄海海域。</w:t>
            </w:r>
            <w:r>
              <w:rPr>
                <w:rFonts w:hint="eastAsia" w:hAnsi="宋体"/>
                <w:color w:val="auto"/>
                <w:sz w:val="24"/>
                <w:szCs w:val="24"/>
              </w:rPr>
              <w:t>根据</w:t>
            </w:r>
            <w:r>
              <w:rPr>
                <w:color w:val="auto"/>
                <w:sz w:val="24"/>
              </w:rPr>
              <w:t>威海水务</w:t>
            </w:r>
            <w:r>
              <w:rPr>
                <w:rFonts w:hint="eastAsia"/>
                <w:color w:val="auto"/>
                <w:sz w:val="24"/>
              </w:rPr>
              <w:t>投资有限责任</w:t>
            </w:r>
            <w:r>
              <w:rPr>
                <w:color w:val="auto"/>
                <w:sz w:val="24"/>
              </w:rPr>
              <w:t>公司</w:t>
            </w:r>
            <w:r>
              <w:rPr>
                <w:rFonts w:hint="eastAsia" w:hAnsi="宋体"/>
                <w:color w:val="auto"/>
                <w:sz w:val="24"/>
                <w:szCs w:val="24"/>
              </w:rPr>
              <w:t>核发的排污许可证（证书编号</w:t>
            </w:r>
            <w:r>
              <w:rPr>
                <w:rFonts w:hAnsi="宋体"/>
                <w:color w:val="auto"/>
                <w:sz w:val="24"/>
                <w:szCs w:val="24"/>
              </w:rPr>
              <w:t>91371000080896598M00</w:t>
            </w:r>
            <w:r>
              <w:rPr>
                <w:rFonts w:hint="eastAsia" w:hAnsi="宋体"/>
                <w:color w:val="auto"/>
                <w:sz w:val="24"/>
                <w:szCs w:val="24"/>
              </w:rPr>
              <w:t>2X），初村污水处理厂</w:t>
            </w:r>
            <w:r>
              <w:rPr>
                <w:rFonts w:hAnsi="宋体"/>
                <w:color w:val="auto"/>
                <w:sz w:val="24"/>
                <w:szCs w:val="24"/>
              </w:rPr>
              <w:t>COD、氨氮</w:t>
            </w:r>
            <w:r>
              <w:rPr>
                <w:rFonts w:hint="eastAsia" w:hAnsi="宋体"/>
                <w:color w:val="auto"/>
                <w:sz w:val="24"/>
                <w:szCs w:val="24"/>
              </w:rPr>
              <w:t>许可年排放量</w:t>
            </w:r>
            <w:r>
              <w:rPr>
                <w:rFonts w:hAnsi="宋体"/>
                <w:color w:val="auto"/>
                <w:sz w:val="24"/>
                <w:szCs w:val="24"/>
              </w:rPr>
              <w:t>分别为</w:t>
            </w:r>
            <w:r>
              <w:rPr>
                <w:rFonts w:hint="eastAsia" w:hAnsi="宋体"/>
                <w:color w:val="auto"/>
                <w:sz w:val="24"/>
                <w:szCs w:val="24"/>
              </w:rPr>
              <w:t>365</w:t>
            </w:r>
            <w:r>
              <w:rPr>
                <w:rFonts w:hAnsi="宋体"/>
                <w:color w:val="auto"/>
                <w:sz w:val="24"/>
                <w:szCs w:val="24"/>
              </w:rPr>
              <w:t xml:space="preserve"> t</w:t>
            </w:r>
            <w:r>
              <w:rPr>
                <w:rFonts w:hint="eastAsia" w:hAnsi="宋体"/>
                <w:color w:val="auto"/>
                <w:sz w:val="24"/>
                <w:szCs w:val="24"/>
              </w:rPr>
              <w:t>/a</w:t>
            </w:r>
            <w:r>
              <w:rPr>
                <w:rFonts w:hAnsi="宋体"/>
                <w:color w:val="auto"/>
                <w:sz w:val="24"/>
                <w:szCs w:val="24"/>
              </w:rPr>
              <w:t>、</w:t>
            </w:r>
            <w:r>
              <w:rPr>
                <w:rFonts w:hint="eastAsia" w:hAnsi="宋体"/>
                <w:color w:val="auto"/>
                <w:sz w:val="24"/>
                <w:szCs w:val="24"/>
              </w:rPr>
              <w:t>45.625</w:t>
            </w:r>
            <w:r>
              <w:rPr>
                <w:rFonts w:hAnsi="宋体"/>
                <w:color w:val="auto"/>
                <w:sz w:val="24"/>
                <w:szCs w:val="24"/>
              </w:rPr>
              <w:t xml:space="preserve"> t</w:t>
            </w:r>
            <w:r>
              <w:rPr>
                <w:rFonts w:hint="eastAsia" w:hAnsi="宋体"/>
                <w:color w:val="auto"/>
                <w:sz w:val="24"/>
                <w:szCs w:val="24"/>
              </w:rPr>
              <w:t>/a。</w:t>
            </w:r>
            <w:r>
              <w:rPr>
                <w:rFonts w:hAnsi="宋体"/>
                <w:color w:val="auto"/>
                <w:sz w:val="24"/>
                <w:szCs w:val="24"/>
              </w:rPr>
              <w:t>目前</w:t>
            </w:r>
            <w:r>
              <w:rPr>
                <w:rFonts w:hint="eastAsia" w:hAnsi="宋体"/>
                <w:color w:val="auto"/>
                <w:sz w:val="24"/>
                <w:szCs w:val="24"/>
              </w:rPr>
              <w:t>该污水处理厂</w:t>
            </w:r>
            <w:r>
              <w:rPr>
                <w:rFonts w:hAnsi="宋体"/>
                <w:color w:val="auto"/>
                <w:sz w:val="24"/>
                <w:szCs w:val="24"/>
              </w:rPr>
              <w:t>日处理</w:t>
            </w:r>
            <w:r>
              <w:rPr>
                <w:rFonts w:hint="eastAsia" w:hAnsi="宋体"/>
                <w:color w:val="auto"/>
                <w:sz w:val="24"/>
                <w:szCs w:val="24"/>
              </w:rPr>
              <w:t>污水量为2.0</w:t>
            </w:r>
            <w:r>
              <w:rPr>
                <w:rFonts w:hAnsi="宋体"/>
                <w:color w:val="auto"/>
                <w:sz w:val="24"/>
                <w:szCs w:val="24"/>
              </w:rPr>
              <w:t>万m</w:t>
            </w:r>
            <w:r>
              <w:rPr>
                <w:rFonts w:hAnsi="宋体"/>
                <w:color w:val="auto"/>
                <w:sz w:val="24"/>
                <w:szCs w:val="24"/>
                <w:vertAlign w:val="superscript"/>
              </w:rPr>
              <w:t>3</w:t>
            </w:r>
            <w:r>
              <w:rPr>
                <w:rFonts w:hAnsi="宋体"/>
                <w:color w:val="auto"/>
                <w:sz w:val="24"/>
                <w:szCs w:val="24"/>
              </w:rPr>
              <w:t>/d，COD、氨氮年排放量分别为</w:t>
            </w:r>
            <w:r>
              <w:rPr>
                <w:rFonts w:hint="eastAsia" w:hAnsi="宋体"/>
                <w:color w:val="auto"/>
                <w:sz w:val="24"/>
                <w:szCs w:val="24"/>
              </w:rPr>
              <w:t>211.93</w:t>
            </w:r>
            <w:r>
              <w:rPr>
                <w:rFonts w:hAnsi="宋体"/>
                <w:color w:val="auto"/>
                <w:sz w:val="24"/>
                <w:szCs w:val="24"/>
              </w:rPr>
              <w:t xml:space="preserve"> t、</w:t>
            </w:r>
            <w:r>
              <w:rPr>
                <w:rFonts w:hint="eastAsia" w:hAnsi="宋体"/>
                <w:color w:val="auto"/>
                <w:sz w:val="24"/>
                <w:szCs w:val="24"/>
              </w:rPr>
              <w:t>8.7</w:t>
            </w:r>
            <w:r>
              <w:rPr>
                <w:rFonts w:hAnsi="宋体"/>
                <w:color w:val="auto"/>
                <w:sz w:val="24"/>
                <w:szCs w:val="24"/>
              </w:rPr>
              <w:t xml:space="preserve"> t，</w:t>
            </w:r>
            <w:r>
              <w:rPr>
                <w:rFonts w:hint="eastAsia" w:hAnsi="宋体"/>
                <w:color w:val="auto"/>
                <w:sz w:val="24"/>
                <w:szCs w:val="24"/>
              </w:rPr>
              <w:t>污水</w:t>
            </w:r>
            <w:r>
              <w:rPr>
                <w:rFonts w:hAnsi="宋体"/>
                <w:color w:val="auto"/>
                <w:sz w:val="24"/>
                <w:szCs w:val="24"/>
              </w:rPr>
              <w:t>处理余量为</w:t>
            </w:r>
            <w:r>
              <w:rPr>
                <w:rFonts w:hint="eastAsia" w:hAnsi="宋体"/>
                <w:color w:val="auto"/>
                <w:sz w:val="24"/>
                <w:szCs w:val="24"/>
              </w:rPr>
              <w:t>2.0</w:t>
            </w:r>
            <w:r>
              <w:rPr>
                <w:rFonts w:hAnsi="宋体"/>
                <w:color w:val="auto"/>
                <w:sz w:val="24"/>
                <w:szCs w:val="24"/>
              </w:rPr>
              <w:t>万m</w:t>
            </w:r>
            <w:r>
              <w:rPr>
                <w:rFonts w:hAnsi="宋体"/>
                <w:color w:val="auto"/>
                <w:sz w:val="24"/>
                <w:szCs w:val="24"/>
                <w:vertAlign w:val="superscript"/>
              </w:rPr>
              <w:t>3</w:t>
            </w:r>
            <w:r>
              <w:rPr>
                <w:rFonts w:hAnsi="宋体"/>
                <w:color w:val="auto"/>
                <w:sz w:val="24"/>
                <w:szCs w:val="24"/>
              </w:rPr>
              <w:t>/d，污染物</w:t>
            </w:r>
            <w:r>
              <w:rPr>
                <w:rFonts w:hint="eastAsia" w:hAnsi="宋体"/>
                <w:color w:val="auto"/>
                <w:sz w:val="24"/>
                <w:szCs w:val="24"/>
              </w:rPr>
              <w:t>许可排放量剩余</w:t>
            </w:r>
            <w:r>
              <w:rPr>
                <w:rFonts w:hAnsi="宋体"/>
                <w:color w:val="auto"/>
                <w:sz w:val="24"/>
                <w:szCs w:val="24"/>
              </w:rPr>
              <w:t xml:space="preserve">COD </w:t>
            </w:r>
            <w:r>
              <w:rPr>
                <w:rFonts w:hint="eastAsia" w:hAnsi="宋体"/>
                <w:color w:val="auto"/>
                <w:sz w:val="24"/>
                <w:szCs w:val="24"/>
              </w:rPr>
              <w:t>153.07</w:t>
            </w:r>
            <w:r>
              <w:rPr>
                <w:rFonts w:hAnsi="宋体"/>
                <w:color w:val="auto"/>
                <w:sz w:val="24"/>
                <w:szCs w:val="24"/>
              </w:rPr>
              <w:t xml:space="preserve"> t/a、氨氮</w:t>
            </w:r>
            <w:r>
              <w:rPr>
                <w:rFonts w:hint="eastAsia" w:hAnsi="宋体"/>
                <w:color w:val="auto"/>
                <w:sz w:val="24"/>
                <w:szCs w:val="24"/>
              </w:rPr>
              <w:t>36.925</w:t>
            </w:r>
            <w:r>
              <w:rPr>
                <w:rFonts w:hAnsi="宋体"/>
                <w:color w:val="auto"/>
                <w:sz w:val="24"/>
                <w:szCs w:val="24"/>
              </w:rPr>
              <w:t xml:space="preserve"> t/a</w:t>
            </w:r>
            <w:r>
              <w:rPr>
                <w:color w:val="auto"/>
                <w:sz w:val="24"/>
                <w:szCs w:val="24"/>
                <w:lang w:val="zh-CN"/>
              </w:rPr>
              <w:t>。</w:t>
            </w:r>
            <w:r>
              <w:rPr>
                <w:rFonts w:hint="eastAsia"/>
                <w:bCs/>
                <w:color w:val="auto"/>
                <w:sz w:val="24"/>
              </w:rPr>
              <w:t>本项目</w:t>
            </w:r>
            <w:r>
              <w:rPr>
                <w:bCs/>
                <w:color w:val="auto"/>
                <w:sz w:val="24"/>
              </w:rPr>
              <w:t>污水排放量约</w:t>
            </w:r>
            <w:r>
              <w:rPr>
                <w:rFonts w:hint="eastAsia"/>
                <w:bCs/>
                <w:color w:val="auto"/>
                <w:sz w:val="24"/>
                <w:lang w:val="en-US" w:eastAsia="zh-CN"/>
              </w:rPr>
              <w:t>0.4</w:t>
            </w:r>
            <w:r>
              <w:rPr>
                <w:bCs/>
                <w:color w:val="auto"/>
                <w:sz w:val="24"/>
              </w:rPr>
              <w:t>t/d，</w:t>
            </w:r>
            <w:r>
              <w:rPr>
                <w:color w:val="auto"/>
                <w:sz w:val="24"/>
              </w:rPr>
              <w:t>占污水处理厂可纳污空间很小，且项目排水指标浓度满足污水处理厂设计进水指标，因此不会对污水处理厂的运行负荷造成冲击。因此，威海市初村污水处理厂完全有能力接纳并处理项目废水</w:t>
            </w:r>
            <w:r>
              <w:rPr>
                <w:bCs/>
                <w:color w:val="auto"/>
                <w:sz w:val="24"/>
              </w:rPr>
              <w:t>，并使项目废水得到充分处理，项目废水治理排放方案合理可行</w:t>
            </w:r>
            <w:r>
              <w:rPr>
                <w:rFonts w:hint="default" w:ascii="Times New Roman" w:hAnsi="Times New Roman" w:cs="Times New Roman"/>
                <w:color w:val="auto"/>
                <w:sz w:val="24"/>
              </w:rPr>
              <w:t>。</w:t>
            </w:r>
          </w:p>
          <w:p>
            <w:pPr>
              <w:pStyle w:val="63"/>
              <w:adjustRightInd w:val="0"/>
              <w:snapToGrid w:val="0"/>
              <w:spacing w:line="360" w:lineRule="auto"/>
              <w:ind w:firstLine="480" w:firstLineChars="200"/>
              <w:rPr>
                <w:rFonts w:hint="default" w:ascii="Times New Roman" w:hAnsi="Times New Roman" w:eastAsia="宋体" w:cs="Times New Roman"/>
                <w:bCs/>
                <w:color w:val="auto"/>
                <w:sz w:val="24"/>
                <w:szCs w:val="24"/>
                <w:lang w:eastAsia="zh-CN"/>
              </w:rPr>
            </w:pPr>
            <w:r>
              <w:rPr>
                <w:rFonts w:hint="default" w:ascii="Times New Roman" w:hAnsi="Times New Roman" w:cs="Times New Roman"/>
                <w:color w:val="auto"/>
                <w:sz w:val="24"/>
                <w:szCs w:val="24"/>
              </w:rPr>
              <w:t>项目生活污水</w:t>
            </w:r>
            <w:r>
              <w:rPr>
                <w:rFonts w:hint="default" w:ascii="Times New Roman" w:hAnsi="Times New Roman" w:eastAsia="宋体" w:cs="Times New Roman"/>
                <w:color w:val="auto"/>
                <w:sz w:val="24"/>
                <w:szCs w:val="24"/>
                <w:lang w:eastAsia="zh-CN"/>
              </w:rPr>
              <w:t>采用</w:t>
            </w:r>
            <w:r>
              <w:rPr>
                <w:rFonts w:hint="default" w:ascii="Times New Roman" w:hAnsi="Times New Roman" w:cs="Times New Roman"/>
                <w:color w:val="auto"/>
                <w:sz w:val="24"/>
                <w:szCs w:val="24"/>
              </w:rPr>
              <w:t>HDPE管道纳入城镇污水管网，</w:t>
            </w:r>
            <w:r>
              <w:rPr>
                <w:rFonts w:hint="eastAsia" w:ascii="Times New Roman" w:hAnsi="Times New Roman"/>
                <w:color w:val="auto"/>
                <w:sz w:val="24"/>
                <w:szCs w:val="24"/>
              </w:rPr>
              <w:t>不</w:t>
            </w:r>
            <w:r>
              <w:rPr>
                <w:rFonts w:hint="eastAsia" w:ascii="Times New Roman" w:hAnsi="Times New Roman" w:eastAsia="宋体"/>
                <w:color w:val="auto"/>
                <w:sz w:val="24"/>
                <w:szCs w:val="24"/>
                <w:lang w:eastAsia="zh-CN"/>
              </w:rPr>
              <w:t>直接</w:t>
            </w:r>
            <w:r>
              <w:rPr>
                <w:rFonts w:hint="eastAsia" w:ascii="Times New Roman" w:hAnsi="Times New Roman"/>
                <w:color w:val="auto"/>
                <w:sz w:val="24"/>
                <w:szCs w:val="24"/>
              </w:rPr>
              <w:t>排入</w:t>
            </w:r>
            <w:r>
              <w:rPr>
                <w:rFonts w:hint="eastAsia" w:ascii="Times New Roman" w:hAnsi="Times New Roman"/>
                <w:color w:val="auto"/>
                <w:sz w:val="24"/>
                <w:szCs w:val="24"/>
                <w:lang w:eastAsia="zh-CN"/>
              </w:rPr>
              <w:t>外环境</w:t>
            </w:r>
            <w:r>
              <w:rPr>
                <w:rFonts w:hint="default" w:ascii="Times New Roman" w:hAnsi="Times New Roman" w:cs="Times New Roman"/>
                <w:color w:val="auto"/>
                <w:sz w:val="24"/>
                <w:szCs w:val="24"/>
              </w:rPr>
              <w:t>，因此对地表水无影响</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管道敷设时已对管道坑进行回填粘土夯实，并进行防渗处理。化粪池等均采用水泥硬化、并作防渗处理，因此，生活污水的输送、贮存等环节发生泄漏的几率很小。</w:t>
            </w:r>
          </w:p>
          <w:p>
            <w:pPr>
              <w:pStyle w:val="63"/>
              <w:adjustRightInd w:val="0"/>
              <w:snapToGrid w:val="0"/>
              <w:spacing w:line="360" w:lineRule="auto"/>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bCs/>
                <w:color w:val="auto"/>
                <w:sz w:val="24"/>
              </w:rPr>
              <w:t>2、</w:t>
            </w:r>
            <w:r>
              <w:rPr>
                <w:rFonts w:hint="default" w:ascii="Times New Roman" w:hAnsi="Times New Roman" w:cs="Times New Roman"/>
                <w:snapToGrid w:val="0"/>
                <w:color w:val="auto"/>
                <w:kern w:val="0"/>
                <w:sz w:val="24"/>
              </w:rPr>
              <w:t>地下水环境影响分析</w:t>
            </w:r>
          </w:p>
          <w:p>
            <w:pPr>
              <w:pStyle w:val="78"/>
              <w:rPr>
                <w:rFonts w:hint="default" w:ascii="Times New Roman" w:hAnsi="Times New Roman" w:cs="Times New Roman"/>
                <w:color w:val="auto"/>
              </w:rPr>
            </w:pPr>
            <w:r>
              <w:rPr>
                <w:rFonts w:hint="default" w:ascii="Times New Roman" w:hAnsi="Times New Roman" w:cs="Times New Roman"/>
                <w:color w:val="auto"/>
                <w:sz w:val="24"/>
                <w:szCs w:val="24"/>
              </w:rPr>
              <w:t>项目不取地下水，不会对区域地下水水位等造成影响，项目可能对地下水造成影响的方式主要为污染物通过渗透方式进入地下水环境</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项目在确保排水系统与市政污水主管网对接的前提下，并有效防止污水管网“跑、冒、滴、漏”现象的发生，项目废水对地下水环境影响很小</w:t>
            </w:r>
            <w:r>
              <w:rPr>
                <w:rFonts w:hint="default" w:ascii="Times New Roman" w:hAnsi="Times New Roman" w:cs="Times New Roman"/>
                <w:color w:val="auto"/>
              </w:rPr>
              <w:t>。</w:t>
            </w:r>
          </w:p>
          <w:p>
            <w:pPr>
              <w:pStyle w:val="78"/>
              <w:rPr>
                <w:rFonts w:hint="default" w:ascii="Times New Roman" w:hAnsi="Times New Roman" w:cs="Times New Roman"/>
                <w:color w:val="auto"/>
              </w:rPr>
            </w:pPr>
            <w:r>
              <w:rPr>
                <w:rFonts w:hint="default" w:ascii="Times New Roman" w:hAnsi="Times New Roman" w:cs="Times New Roman"/>
                <w:color w:val="auto"/>
              </w:rPr>
              <w:t>项目区防渗等防止地下水污染预防措施见下表。</w:t>
            </w:r>
          </w:p>
          <w:p>
            <w:pPr>
              <w:adjustRightInd w:val="0"/>
              <w:snapToGrid w:val="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表7-</w:t>
            </w:r>
            <w:r>
              <w:rPr>
                <w:rFonts w:hint="eastAsia" w:cs="Times New Roman"/>
                <w:b/>
                <w:color w:val="auto"/>
                <w:sz w:val="24"/>
                <w:szCs w:val="24"/>
                <w:lang w:val="en-US" w:eastAsia="zh-CN"/>
              </w:rPr>
              <w:t>2</w:t>
            </w:r>
            <w:r>
              <w:rPr>
                <w:rFonts w:hint="default" w:ascii="Times New Roman" w:hAnsi="Times New Roman" w:cs="Times New Roman"/>
                <w:b/>
                <w:color w:val="auto"/>
                <w:sz w:val="24"/>
                <w:szCs w:val="24"/>
              </w:rPr>
              <w:t xml:space="preserve">  厂区防渗等预防措施表</w:t>
            </w:r>
          </w:p>
          <w:tbl>
            <w:tblPr>
              <w:tblStyle w:val="39"/>
              <w:tblW w:w="907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6"/>
              <w:gridCol w:w="1503"/>
              <w:gridCol w:w="67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16"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序号</w:t>
                  </w:r>
                </w:p>
              </w:tc>
              <w:tc>
                <w:tcPr>
                  <w:tcW w:w="1503"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名称</w:t>
                  </w:r>
                </w:p>
              </w:tc>
              <w:tc>
                <w:tcPr>
                  <w:tcW w:w="6752"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16"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w:t>
                  </w:r>
                </w:p>
              </w:tc>
              <w:tc>
                <w:tcPr>
                  <w:tcW w:w="1503"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生产车间</w:t>
                  </w:r>
                </w:p>
              </w:tc>
              <w:tc>
                <w:tcPr>
                  <w:tcW w:w="6752" w:type="dxa"/>
                  <w:vAlign w:val="center"/>
                </w:tcPr>
                <w:p>
                  <w:pPr>
                    <w:adjustRightInd w:val="0"/>
                    <w:snapToGrid w:val="0"/>
                    <w:rPr>
                      <w:rFonts w:hint="default" w:ascii="Times New Roman" w:hAnsi="Times New Roman" w:cs="Times New Roman"/>
                      <w:bCs/>
                      <w:color w:val="auto"/>
                      <w:szCs w:val="21"/>
                    </w:rPr>
                  </w:pPr>
                  <w:r>
                    <w:rPr>
                      <w:rFonts w:hint="default" w:ascii="Times New Roman" w:hAnsi="Times New Roman" w:cs="Times New Roman"/>
                      <w:bCs/>
                      <w:color w:val="auto"/>
                      <w:szCs w:val="21"/>
                    </w:rPr>
                    <w:t>底部铺设防渗层，再用水泥抹面硬化，确保防渗系数小于10</w:t>
                  </w:r>
                  <w:r>
                    <w:rPr>
                      <w:rFonts w:hint="default" w:ascii="Times New Roman" w:hAnsi="Times New Roman" w:cs="Times New Roman"/>
                      <w:bCs/>
                      <w:color w:val="auto"/>
                      <w:szCs w:val="21"/>
                      <w:vertAlign w:val="superscript"/>
                    </w:rPr>
                    <w:t>-7</w:t>
                  </w:r>
                  <w:r>
                    <w:rPr>
                      <w:rFonts w:hint="default" w:ascii="Times New Roman" w:hAnsi="Times New Roman" w:cs="Times New Roman"/>
                      <w:bCs/>
                      <w:color w:val="auto"/>
                      <w:szCs w:val="21"/>
                    </w:rPr>
                    <w:t>cm/s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16"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w:t>
                  </w:r>
                </w:p>
              </w:tc>
              <w:tc>
                <w:tcPr>
                  <w:tcW w:w="1503"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化粪池</w:t>
                  </w:r>
                </w:p>
              </w:tc>
              <w:tc>
                <w:tcPr>
                  <w:tcW w:w="6752" w:type="dxa"/>
                  <w:vAlign w:val="center"/>
                </w:tcPr>
                <w:p>
                  <w:pPr>
                    <w:adjustRightInd w:val="0"/>
                    <w:snapToGrid w:val="0"/>
                    <w:rPr>
                      <w:rFonts w:hint="default" w:ascii="Times New Roman" w:hAnsi="Times New Roman" w:cs="Times New Roman"/>
                      <w:bCs/>
                      <w:color w:val="auto"/>
                      <w:szCs w:val="21"/>
                    </w:rPr>
                  </w:pPr>
                  <w:r>
                    <w:rPr>
                      <w:rFonts w:hint="default" w:ascii="Times New Roman" w:hAnsi="Times New Roman" w:cs="Times New Roman"/>
                      <w:bCs/>
                      <w:color w:val="auto"/>
                      <w:szCs w:val="21"/>
                    </w:rPr>
                    <w:t>底部和墙体铺设防渗层，再用水泥抹面硬化，确保防渗系数小于10</w:t>
                  </w:r>
                  <w:r>
                    <w:rPr>
                      <w:rFonts w:hint="default" w:ascii="Times New Roman" w:hAnsi="Times New Roman" w:cs="Times New Roman"/>
                      <w:bCs/>
                      <w:color w:val="auto"/>
                      <w:szCs w:val="21"/>
                      <w:vertAlign w:val="superscript"/>
                    </w:rPr>
                    <w:t>-7</w:t>
                  </w:r>
                  <w:r>
                    <w:rPr>
                      <w:rFonts w:hint="default" w:ascii="Times New Roman" w:hAnsi="Times New Roman" w:cs="Times New Roman"/>
                      <w:bCs/>
                      <w:color w:val="auto"/>
                      <w:szCs w:val="21"/>
                    </w:rPr>
                    <w:t>cm/s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16"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w:t>
                  </w:r>
                </w:p>
              </w:tc>
              <w:tc>
                <w:tcPr>
                  <w:tcW w:w="1503"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固废库</w:t>
                  </w:r>
                </w:p>
              </w:tc>
              <w:tc>
                <w:tcPr>
                  <w:tcW w:w="6752" w:type="dxa"/>
                  <w:vAlign w:val="center"/>
                </w:tcPr>
                <w:p>
                  <w:pPr>
                    <w:adjustRightInd w:val="0"/>
                    <w:snapToGrid w:val="0"/>
                    <w:rPr>
                      <w:rFonts w:hint="default" w:ascii="Times New Roman" w:hAnsi="Times New Roman" w:cs="Times New Roman"/>
                      <w:bCs/>
                      <w:color w:val="auto"/>
                      <w:szCs w:val="21"/>
                    </w:rPr>
                  </w:pPr>
                  <w:r>
                    <w:rPr>
                      <w:rFonts w:hint="default" w:ascii="Times New Roman" w:hAnsi="Times New Roman" w:cs="Times New Roman"/>
                      <w:bCs/>
                      <w:color w:val="auto"/>
                      <w:szCs w:val="21"/>
                    </w:rPr>
                    <w:t>严格按照《一般工业固体废物贮存、处置场污染控制标准》(GB18599-2001)及其修改单要求制定防渗措施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16"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w:t>
                  </w:r>
                </w:p>
              </w:tc>
              <w:tc>
                <w:tcPr>
                  <w:tcW w:w="1503"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危废库</w:t>
                  </w:r>
                </w:p>
              </w:tc>
              <w:tc>
                <w:tcPr>
                  <w:tcW w:w="6752" w:type="dxa"/>
                  <w:vAlign w:val="center"/>
                </w:tcPr>
                <w:p>
                  <w:pPr>
                    <w:adjustRightInd w:val="0"/>
                    <w:snapToGrid w:val="0"/>
                    <w:rPr>
                      <w:rFonts w:hint="default" w:ascii="Times New Roman" w:hAnsi="Times New Roman" w:cs="Times New Roman"/>
                      <w:bCs/>
                      <w:color w:val="auto"/>
                      <w:szCs w:val="21"/>
                    </w:rPr>
                  </w:pPr>
                  <w:r>
                    <w:rPr>
                      <w:rFonts w:hint="default" w:ascii="Times New Roman" w:hAnsi="Times New Roman" w:cs="Times New Roman"/>
                      <w:bCs/>
                      <w:color w:val="auto"/>
                      <w:szCs w:val="21"/>
                    </w:rPr>
                    <w:t>底部距离地面10～15cm，粘土夯实、使防渗层厚度大于20cm，铺设防渗膜，再用水泥抹面硬化，确保防渗系数小于10</w:t>
                  </w:r>
                  <w:r>
                    <w:rPr>
                      <w:rFonts w:hint="default" w:ascii="Times New Roman" w:hAnsi="Times New Roman" w:cs="Times New Roman"/>
                      <w:bCs/>
                      <w:color w:val="auto"/>
                      <w:szCs w:val="21"/>
                      <w:vertAlign w:val="superscript"/>
                    </w:rPr>
                    <w:t>-10</w:t>
                  </w:r>
                  <w:r>
                    <w:rPr>
                      <w:rFonts w:hint="default" w:ascii="Times New Roman" w:hAnsi="Times New Roman" w:cs="Times New Roman"/>
                      <w:bCs/>
                      <w:color w:val="auto"/>
                      <w:szCs w:val="21"/>
                    </w:rPr>
                    <w:t>cm/s</w:t>
                  </w:r>
                </w:p>
              </w:tc>
            </w:tr>
          </w:tbl>
          <w:p>
            <w:pPr>
              <w:spacing w:line="360" w:lineRule="auto"/>
              <w:ind w:firstLine="439" w:firstLineChars="183"/>
              <w:rPr>
                <w:rFonts w:hint="default" w:ascii="Times New Roman" w:hAnsi="Times New Roman" w:cs="Times New Roman"/>
                <w:b/>
                <w:color w:val="auto"/>
                <w:sz w:val="24"/>
                <w:szCs w:val="24"/>
              </w:rPr>
            </w:pPr>
            <w:r>
              <w:rPr>
                <w:rFonts w:hint="default" w:ascii="Times New Roman" w:hAnsi="Times New Roman" w:cs="Times New Roman"/>
                <w:color w:val="auto"/>
                <w:kern w:val="0"/>
                <w:sz w:val="24"/>
              </w:rPr>
              <w:t>综上所述，项目采取严格管理和切实的防治措施的前提下，项目废水对周边地表水及地下水的影响较小。</w:t>
            </w:r>
          </w:p>
          <w:p>
            <w:pPr>
              <w:spacing w:line="360" w:lineRule="auto"/>
              <w:ind w:firstLine="441" w:firstLineChars="183"/>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三、噪声环境影响分析</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rPr>
              <w:t>本项目</w:t>
            </w:r>
            <w:r>
              <w:rPr>
                <w:rFonts w:hint="default" w:ascii="Times New Roman" w:hAnsi="Times New Roman" w:cs="Times New Roman"/>
                <w:color w:val="auto"/>
                <w:sz w:val="24"/>
                <w:szCs w:val="24"/>
              </w:rPr>
              <w:t>噪声主要来自</w:t>
            </w:r>
            <w:r>
              <w:rPr>
                <w:rFonts w:hint="eastAsia" w:cs="Times New Roman"/>
                <w:color w:val="auto"/>
                <w:sz w:val="24"/>
                <w:szCs w:val="24"/>
                <w:lang w:eastAsia="zh-CN"/>
              </w:rPr>
              <w:t>注塑机、风机</w:t>
            </w:r>
            <w:r>
              <w:rPr>
                <w:rFonts w:hint="default" w:ascii="Times New Roman" w:hAnsi="Times New Roman" w:cs="Times New Roman"/>
                <w:color w:val="auto"/>
                <w:sz w:val="24"/>
                <w:szCs w:val="24"/>
                <w:lang w:eastAsia="zh-CN"/>
              </w:rPr>
              <w:t>等机械设备</w:t>
            </w:r>
            <w:r>
              <w:rPr>
                <w:rFonts w:hint="default" w:ascii="Times New Roman" w:hAnsi="Times New Roman" w:cs="Times New Roman"/>
                <w:color w:val="auto"/>
                <w:sz w:val="24"/>
                <w:szCs w:val="24"/>
              </w:rPr>
              <w:t>的运行，</w:t>
            </w:r>
            <w:r>
              <w:rPr>
                <w:rFonts w:hint="default" w:ascii="Times New Roman" w:hAnsi="Times New Roman" w:cs="Times New Roman"/>
                <w:color w:val="auto"/>
                <w:sz w:val="24"/>
              </w:rPr>
              <w:t>根据国内同类行业的车间内噪声值的经验数据，噪声值约在</w:t>
            </w:r>
            <w:r>
              <w:rPr>
                <w:rFonts w:hint="default" w:ascii="Times New Roman" w:hAnsi="Times New Roman" w:cs="Times New Roman"/>
                <w:color w:val="auto"/>
                <w:sz w:val="24"/>
                <w:lang w:val="en-US" w:eastAsia="zh-CN"/>
              </w:rPr>
              <w:t>65</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85</w:t>
            </w:r>
            <w:r>
              <w:rPr>
                <w:rFonts w:hint="default" w:ascii="Times New Roman" w:hAnsi="Times New Roman" w:cs="Times New Roman"/>
                <w:color w:val="auto"/>
                <w:sz w:val="24"/>
              </w:rPr>
              <w:t>dB(A)</w:t>
            </w:r>
            <w:r>
              <w:rPr>
                <w:rFonts w:hint="default" w:ascii="Times New Roman" w:hAnsi="Times New Roman" w:cs="Times New Roman"/>
                <w:color w:val="auto"/>
                <w:sz w:val="24"/>
                <w:lang w:eastAsia="zh-CN"/>
              </w:rPr>
              <w:t>左右</w:t>
            </w:r>
            <w:r>
              <w:rPr>
                <w:rFonts w:hint="default" w:ascii="Times New Roman" w:hAnsi="Times New Roman" w:cs="Times New Roman"/>
                <w:color w:val="auto"/>
                <w:sz w:val="24"/>
                <w:szCs w:val="24"/>
              </w:rPr>
              <w:t>。在设备选型上，选用装备先进的低噪音设备，主要噪声设备采取车间内布置，并采取适当的降噪措施，如风机的进出口装消音器，对较大设备采取基础减震，底座加装减震垫和消声器。厂区平面布置优化，合理布局，将高噪声设备尽量布置在远离厂界处，通过距离衰减减轻噪声源对厂界噪声的影响。在采取上述措施后，项目厂界噪声能够达到《工业企业厂界环境噪声排放标准》（GB 12348-2008）</w:t>
            </w:r>
            <w:r>
              <w:rPr>
                <w:rFonts w:hint="eastAsia" w:cs="Times New Roman"/>
                <w:color w:val="auto"/>
                <w:sz w:val="24"/>
                <w:szCs w:val="24"/>
                <w:lang w:val="en-US" w:eastAsia="zh-CN"/>
              </w:rPr>
              <w:t>3</w:t>
            </w:r>
            <w:r>
              <w:rPr>
                <w:rFonts w:hint="default" w:ascii="Times New Roman" w:hAnsi="Times New Roman" w:cs="Times New Roman"/>
                <w:color w:val="auto"/>
                <w:sz w:val="24"/>
                <w:szCs w:val="24"/>
              </w:rPr>
              <w:t>类标准（昼间6</w:t>
            </w:r>
            <w:r>
              <w:rPr>
                <w:rFonts w:hint="eastAsia" w:cs="Times New Roman"/>
                <w:color w:val="auto"/>
                <w:sz w:val="24"/>
                <w:szCs w:val="24"/>
                <w:lang w:val="en-US" w:eastAsia="zh-CN"/>
              </w:rPr>
              <w:t>5</w:t>
            </w:r>
            <w:r>
              <w:rPr>
                <w:rFonts w:hint="default" w:ascii="Times New Roman" w:hAnsi="Times New Roman" w:cs="Times New Roman"/>
                <w:color w:val="auto"/>
                <w:sz w:val="24"/>
                <w:szCs w:val="24"/>
              </w:rPr>
              <w:t>dB、夜间5</w:t>
            </w:r>
            <w:r>
              <w:rPr>
                <w:rFonts w:hint="eastAsia" w:cs="Times New Roman"/>
                <w:color w:val="auto"/>
                <w:sz w:val="24"/>
                <w:szCs w:val="24"/>
                <w:lang w:val="en-US" w:eastAsia="zh-CN"/>
              </w:rPr>
              <w:t>5</w:t>
            </w:r>
            <w:r>
              <w:rPr>
                <w:rFonts w:hint="default" w:ascii="Times New Roman" w:hAnsi="Times New Roman" w:cs="Times New Roman"/>
                <w:color w:val="auto"/>
                <w:sz w:val="24"/>
                <w:szCs w:val="24"/>
              </w:rPr>
              <w:t>dB）的要求，对周围环境影响较小</w:t>
            </w:r>
            <w:r>
              <w:rPr>
                <w:rFonts w:hint="default" w:ascii="Times New Roman" w:hAnsi="Times New Roman" w:cs="Times New Roman"/>
                <w:color w:val="auto"/>
                <w:sz w:val="24"/>
                <w:lang w:eastAsia="zh-CN"/>
              </w:rPr>
              <w:t>。</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四、固体废物环境影响分析</w:t>
            </w:r>
          </w:p>
          <w:p>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本项目营运期固体废物分为一般工业固废、危险废物和职工生活垃圾。</w:t>
            </w:r>
          </w:p>
          <w:p>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1、一般工业固废</w:t>
            </w:r>
          </w:p>
          <w:p>
            <w:pPr>
              <w:spacing w:line="360" w:lineRule="auto"/>
              <w:ind w:firstLine="480" w:firstLineChars="200"/>
              <w:rPr>
                <w:rFonts w:hint="default" w:ascii="Times New Roman" w:hAnsi="Times New Roman" w:cs="Times New Roman"/>
                <w:bCs/>
                <w:color w:val="auto"/>
                <w:sz w:val="24"/>
              </w:rPr>
            </w:pPr>
            <w:r>
              <w:rPr>
                <w:rFonts w:hint="eastAsia" w:cs="Times New Roman"/>
                <w:color w:val="auto"/>
                <w:sz w:val="24"/>
                <w:lang w:val="en-US" w:eastAsia="zh-CN"/>
              </w:rPr>
              <w:t>本项目</w:t>
            </w:r>
            <w:r>
              <w:rPr>
                <w:rFonts w:hint="eastAsia" w:ascii="Times New Roman" w:hAnsi="Times New Roman" w:cs="Times New Roman"/>
                <w:color w:val="auto"/>
                <w:sz w:val="24"/>
                <w:lang w:eastAsia="zh-CN"/>
              </w:rPr>
              <w:t>一般工业固废包括下脚料、废包装、</w:t>
            </w:r>
            <w:r>
              <w:rPr>
                <w:rFonts w:hint="eastAsia" w:cs="Times New Roman"/>
                <w:color w:val="auto"/>
                <w:sz w:val="24"/>
                <w:lang w:eastAsia="zh-CN"/>
              </w:rPr>
              <w:t>不合格品等，</w:t>
            </w:r>
            <w:r>
              <w:rPr>
                <w:rFonts w:hint="default" w:ascii="Times New Roman" w:hAnsi="Times New Roman" w:cs="Times New Roman"/>
                <w:color w:val="auto"/>
                <w:sz w:val="24"/>
                <w:lang w:eastAsia="zh-CN"/>
              </w:rPr>
              <w:t>下脚料</w:t>
            </w:r>
            <w:r>
              <w:rPr>
                <w:rFonts w:hint="eastAsia" w:cs="Times New Roman"/>
                <w:color w:val="auto"/>
                <w:sz w:val="24"/>
                <w:lang w:eastAsia="zh-CN"/>
              </w:rPr>
              <w:t>、不合格品</w:t>
            </w:r>
            <w:r>
              <w:rPr>
                <w:rFonts w:hint="default" w:ascii="Times New Roman" w:hAnsi="Times New Roman" w:cs="Times New Roman"/>
                <w:color w:val="auto"/>
                <w:sz w:val="24"/>
              </w:rPr>
              <w:t>产生量约为</w:t>
            </w:r>
            <w:r>
              <w:rPr>
                <w:rFonts w:hint="eastAsia" w:cs="Times New Roman"/>
                <w:color w:val="auto"/>
                <w:sz w:val="24"/>
                <w:lang w:val="en-US" w:eastAsia="zh-CN"/>
              </w:rPr>
              <w:t>0.5</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废包装产生量约为</w:t>
            </w:r>
            <w:r>
              <w:rPr>
                <w:rFonts w:hint="eastAsia" w:cs="Times New Roman"/>
                <w:color w:val="auto"/>
                <w:sz w:val="24"/>
                <w:lang w:val="en-US" w:eastAsia="zh-CN"/>
              </w:rPr>
              <w:t>0.2</w:t>
            </w:r>
            <w:r>
              <w:rPr>
                <w:rFonts w:hint="default" w:ascii="Times New Roman" w:hAnsi="Times New Roman" w:cs="Times New Roman"/>
                <w:color w:val="auto"/>
                <w:sz w:val="24"/>
                <w:lang w:val="en-US" w:eastAsia="zh-CN"/>
              </w:rPr>
              <w:t>t/a</w:t>
            </w:r>
            <w:r>
              <w:rPr>
                <w:rFonts w:hint="eastAsia" w:cs="Times New Roman"/>
                <w:color w:val="auto"/>
                <w:sz w:val="24"/>
                <w:lang w:val="en-US" w:eastAsia="zh-CN"/>
              </w:rPr>
              <w:t>。以上一般工业固废</w:t>
            </w:r>
            <w:r>
              <w:rPr>
                <w:rFonts w:hint="eastAsia" w:cs="Times New Roman"/>
                <w:color w:val="auto"/>
                <w:sz w:val="24"/>
                <w:lang w:eastAsia="zh-CN"/>
              </w:rPr>
              <w:t>分类</w:t>
            </w:r>
            <w:r>
              <w:rPr>
                <w:rFonts w:hint="default" w:ascii="Times New Roman" w:hAnsi="Times New Roman" w:cs="Times New Roman"/>
                <w:color w:val="auto"/>
                <w:sz w:val="24"/>
              </w:rPr>
              <w:t>收集后</w:t>
            </w:r>
            <w:r>
              <w:rPr>
                <w:rFonts w:hint="default" w:ascii="Times New Roman" w:hAnsi="Times New Roman" w:cs="Times New Roman"/>
                <w:color w:val="auto"/>
                <w:sz w:val="24"/>
                <w:lang w:eastAsia="zh-CN"/>
              </w:rPr>
              <w:t>由物资回收部门回收处置</w:t>
            </w:r>
            <w:r>
              <w:rPr>
                <w:rFonts w:hint="default" w:ascii="Times New Roman" w:hAnsi="Times New Roman" w:cs="Times New Roman"/>
                <w:color w:val="auto"/>
                <w:sz w:val="24"/>
                <w:szCs w:val="24"/>
              </w:rPr>
              <w:t>。</w:t>
            </w:r>
          </w:p>
          <w:p>
            <w:pPr>
              <w:bidi w:val="0"/>
              <w:spacing w:line="360" w:lineRule="auto"/>
              <w:ind w:firstLine="480" w:firstLineChars="200"/>
              <w:jc w:val="left"/>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一般固废的收集和贮存</w:t>
            </w:r>
          </w:p>
          <w:p>
            <w:pPr>
              <w:bidi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一般固废的收集、储存、管理严格按照《一般工业固体废弃物贮存、处置场污染控制标准》（GB 18599-2001）及2013年第36号修改单相关规定和要求执行，建立产生、收集、贮存、运输、利用、处置全过程的污染环境防治责任制度，建立管理台账。由专人负责一般固废的收集和管理工作。</w:t>
            </w:r>
          </w:p>
          <w:p>
            <w:pPr>
              <w:bidi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一般固废库必须设置识别一般固废的明显标志，</w:t>
            </w:r>
            <w:r>
              <w:rPr>
                <w:rFonts w:hint="default" w:ascii="Times New Roman" w:hAnsi="Times New Roman" w:cs="Times New Roman"/>
                <w:color w:val="auto"/>
                <w:sz w:val="24"/>
                <w:lang w:eastAsia="zh-CN"/>
              </w:rPr>
              <w:t>废包装、不合格品、</w:t>
            </w:r>
            <w:r>
              <w:rPr>
                <w:rFonts w:hint="eastAsia" w:ascii="Times New Roman" w:hAnsi="Times New Roman" w:cs="Times New Roman"/>
                <w:color w:val="auto"/>
                <w:sz w:val="24"/>
                <w:lang w:eastAsia="zh-CN"/>
              </w:rPr>
              <w:t>下脚料</w:t>
            </w:r>
            <w:r>
              <w:rPr>
                <w:rFonts w:hint="default" w:ascii="Times New Roman" w:hAnsi="Times New Roman" w:eastAsia="宋体" w:cs="Times New Roman"/>
                <w:color w:val="auto"/>
                <w:sz w:val="24"/>
                <w:szCs w:val="24"/>
              </w:rPr>
              <w:t>属于一般工业固体废弃物中的Ⅰ类工业固体废物，按照《一般工业固体废物贮存、处置场污染控制标准》（GB18599-2001）要求，一般固废库不需要做防渗层。</w:t>
            </w:r>
          </w:p>
          <w:p>
            <w:pPr>
              <w:bidi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一般固废库位于</w:t>
            </w:r>
            <w:r>
              <w:rPr>
                <w:rFonts w:hint="eastAsia" w:cs="Times New Roman"/>
                <w:color w:val="auto"/>
                <w:sz w:val="24"/>
                <w:szCs w:val="24"/>
                <w:lang w:eastAsia="zh-CN"/>
              </w:rPr>
              <w:t>注塑车架内</w:t>
            </w:r>
            <w:r>
              <w:rPr>
                <w:rFonts w:hint="default" w:ascii="Times New Roman" w:hAnsi="Times New Roman" w:eastAsia="宋体" w:cs="Times New Roman"/>
                <w:color w:val="auto"/>
                <w:sz w:val="24"/>
                <w:szCs w:val="24"/>
              </w:rPr>
              <w:t>，占地面积约</w:t>
            </w:r>
            <w:r>
              <w:rPr>
                <w:rFonts w:hint="eastAsia" w:cs="Times New Roman"/>
                <w:color w:val="auto"/>
                <w:sz w:val="24"/>
                <w:szCs w:val="24"/>
                <w:lang w:val="en-US" w:eastAsia="zh-CN"/>
              </w:rPr>
              <w:t>15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，根据项目的一般固废数量、存储周期分析，能够容纳本项目产生的一般固废；为密闭间，地面进行硬化且无裂隙、</w:t>
            </w:r>
            <w:r>
              <w:rPr>
                <w:rFonts w:hint="eastAsia" w:cs="Times New Roman"/>
                <w:color w:val="auto"/>
                <w:sz w:val="24"/>
                <w:szCs w:val="24"/>
                <w:lang w:eastAsia="zh-CN"/>
              </w:rPr>
              <w:t>保持地面整洁</w:t>
            </w:r>
            <w:r>
              <w:rPr>
                <w:rFonts w:hint="default" w:ascii="Times New Roman" w:hAnsi="Times New Roman" w:eastAsia="宋体" w:cs="Times New Roman"/>
                <w:color w:val="auto"/>
                <w:sz w:val="24"/>
                <w:szCs w:val="24"/>
              </w:rPr>
              <w:t>。</w:t>
            </w:r>
          </w:p>
          <w:p>
            <w:pPr>
              <w:bidi w:val="0"/>
              <w:spacing w:line="360" w:lineRule="auto"/>
              <w:ind w:firstLine="480" w:firstLineChars="200"/>
              <w:jc w:val="left"/>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一般固废的转移及运输</w:t>
            </w:r>
          </w:p>
          <w:p>
            <w:pPr>
              <w:bidi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禁止将一般固废混入生活垃圾。</w:t>
            </w:r>
          </w:p>
          <w:p>
            <w:pPr>
              <w:spacing w:line="360" w:lineRule="auto"/>
              <w:ind w:firstLine="480" w:firstLineChars="200"/>
              <w:rPr>
                <w:rFonts w:hint="eastAsia" w:eastAsia="宋体"/>
                <w:bCs/>
                <w:color w:val="auto"/>
                <w:sz w:val="24"/>
                <w:lang w:eastAsia="zh-CN"/>
              </w:rPr>
            </w:pPr>
            <w:r>
              <w:rPr>
                <w:rFonts w:hint="default" w:ascii="Times New Roman" w:hAnsi="Times New Roman" w:eastAsia="宋体" w:cs="Times New Roman"/>
                <w:color w:val="auto"/>
                <w:sz w:val="24"/>
                <w:szCs w:val="24"/>
              </w:rPr>
              <w:t>该项目在严格按照一般固废处理的相关规定的前提下，固体废物能够达到零排放，因此对周围环境基本无影响</w:t>
            </w:r>
            <w:r>
              <w:rPr>
                <w:rFonts w:hint="eastAsia" w:cs="Times New Roman"/>
                <w:color w:val="auto"/>
                <w:sz w:val="24"/>
                <w:szCs w:val="24"/>
                <w:lang w:eastAsia="zh-CN"/>
              </w:rPr>
              <w:t>。</w:t>
            </w:r>
          </w:p>
          <w:p>
            <w:pPr>
              <w:spacing w:line="360" w:lineRule="auto"/>
              <w:ind w:firstLine="480" w:firstLineChars="200"/>
              <w:rPr>
                <w:rFonts w:hint="eastAsia"/>
                <w:bCs/>
                <w:color w:val="auto"/>
                <w:sz w:val="24"/>
              </w:rPr>
            </w:pPr>
            <w:r>
              <w:rPr>
                <w:rFonts w:hint="eastAsia"/>
                <w:bCs/>
                <w:color w:val="auto"/>
                <w:sz w:val="24"/>
              </w:rPr>
              <w:t>2、危险废物</w:t>
            </w:r>
          </w:p>
          <w:p>
            <w:pPr>
              <w:spacing w:line="360" w:lineRule="auto"/>
              <w:ind w:firstLine="480"/>
              <w:jc w:val="left"/>
              <w:rPr>
                <w:rFonts w:hint="eastAsia" w:ascii="Times New Roman" w:hAnsi="Times New Roman" w:eastAsia="宋体" w:cs="Times New Roman"/>
                <w:color w:val="auto"/>
                <w:sz w:val="24"/>
                <w:szCs w:val="24"/>
                <w:lang w:val="en-US" w:eastAsia="zh-CN"/>
              </w:rPr>
            </w:pPr>
            <w:r>
              <w:rPr>
                <w:rFonts w:hint="eastAsia"/>
                <w:color w:val="auto"/>
                <w:sz w:val="24"/>
              </w:rPr>
              <w:t>本项目</w:t>
            </w:r>
            <w:r>
              <w:rPr>
                <w:rFonts w:hint="default" w:ascii="Times New Roman" w:hAnsi="Times New Roman" w:eastAsia="宋体" w:cs="Times New Roman"/>
                <w:color w:val="auto"/>
                <w:sz w:val="24"/>
                <w:szCs w:val="24"/>
                <w:lang w:eastAsia="zh-CN"/>
              </w:rPr>
              <w:t>生产过程危险废物主要为</w:t>
            </w:r>
            <w:r>
              <w:rPr>
                <w:rFonts w:hint="default" w:ascii="Times New Roman" w:hAnsi="Times New Roman" w:cs="Times New Roman"/>
                <w:color w:val="auto"/>
                <w:sz w:val="24"/>
                <w:szCs w:val="24"/>
              </w:rPr>
              <w:t>废气净化装置</w:t>
            </w:r>
            <w:r>
              <w:rPr>
                <w:rFonts w:hint="default" w:ascii="Times New Roman" w:hAnsi="Times New Roman" w:cs="Times New Roman"/>
                <w:color w:val="auto"/>
                <w:sz w:val="24"/>
                <w:szCs w:val="24"/>
                <w:lang w:eastAsia="zh-CN"/>
              </w:rPr>
              <w:t>产生的</w:t>
            </w:r>
            <w:r>
              <w:rPr>
                <w:rFonts w:hint="default" w:ascii="Times New Roman" w:hAnsi="Times New Roman" w:eastAsia="宋体" w:cs="Times New Roman"/>
                <w:color w:val="auto"/>
                <w:sz w:val="24"/>
                <w:szCs w:val="24"/>
                <w:lang w:eastAsia="zh-CN"/>
              </w:rPr>
              <w:t>废</w:t>
            </w:r>
            <w:r>
              <w:rPr>
                <w:rFonts w:hint="eastAsia" w:cs="Times New Roman"/>
                <w:color w:val="auto"/>
                <w:sz w:val="24"/>
                <w:szCs w:val="24"/>
                <w:lang w:eastAsia="zh-CN"/>
              </w:rPr>
              <w:t>分子筛</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属于《国家危险废物名录》中“HW49 其他废物”，废物代码900-041-49，危险特性为T/In。根据环保设备厂家提供资料，</w:t>
            </w:r>
            <w:r>
              <w:rPr>
                <w:rFonts w:hint="eastAsia" w:eastAsia="宋体" w:cs="Times New Roman"/>
                <w:color w:val="auto"/>
                <w:sz w:val="24"/>
                <w:szCs w:val="24"/>
                <w:lang w:eastAsia="zh-CN"/>
              </w:rPr>
              <w:t>废气</w:t>
            </w:r>
            <w:r>
              <w:rPr>
                <w:rFonts w:hint="default" w:ascii="Times New Roman" w:hAnsi="Times New Roman" w:eastAsia="宋体" w:cs="Times New Roman"/>
                <w:color w:val="auto"/>
                <w:sz w:val="24"/>
                <w:szCs w:val="24"/>
              </w:rPr>
              <w:t>处理</w:t>
            </w:r>
            <w:r>
              <w:rPr>
                <w:rFonts w:hint="default" w:ascii="Times New Roman" w:hAnsi="Times New Roman" w:cs="Times New Roman"/>
                <w:color w:val="auto"/>
                <w:sz w:val="24"/>
                <w:szCs w:val="24"/>
              </w:rPr>
              <w:t>装置</w:t>
            </w:r>
            <w:r>
              <w:rPr>
                <w:rFonts w:hint="eastAsia" w:cs="Times New Roman"/>
                <w:color w:val="auto"/>
                <w:sz w:val="24"/>
                <w:szCs w:val="24"/>
                <w:lang w:eastAsia="zh-CN"/>
              </w:rPr>
              <w:t>中</w:t>
            </w:r>
            <w:r>
              <w:rPr>
                <w:rFonts w:hint="default" w:ascii="Times New Roman" w:hAnsi="Times New Roman" w:cs="Times New Roman"/>
                <w:color w:val="auto"/>
                <w:sz w:val="24"/>
                <w:szCs w:val="24"/>
                <w:lang w:eastAsia="zh-CN"/>
              </w:rPr>
              <w:t>分子筛</w:t>
            </w:r>
            <w:r>
              <w:rPr>
                <w:rFonts w:hint="eastAsia" w:cs="Times New Roman"/>
                <w:color w:val="auto"/>
                <w:sz w:val="24"/>
                <w:szCs w:val="24"/>
                <w:lang w:eastAsia="zh-CN"/>
              </w:rPr>
              <w:t>填装量</w:t>
            </w:r>
            <w:r>
              <w:rPr>
                <w:rFonts w:hint="default" w:ascii="Times New Roman" w:hAnsi="Times New Roman" w:cs="Times New Roman"/>
                <w:color w:val="auto"/>
                <w:sz w:val="24"/>
                <w:szCs w:val="24"/>
              </w:rPr>
              <w:t>约为0.</w:t>
            </w:r>
            <w:r>
              <w:rPr>
                <w:rFonts w:hint="eastAsia" w:cs="Times New Roman"/>
                <w:color w:val="auto"/>
                <w:sz w:val="24"/>
                <w:szCs w:val="24"/>
                <w:lang w:val="en-US" w:eastAsia="zh-CN"/>
              </w:rPr>
              <w:t>2</w:t>
            </w:r>
            <w:r>
              <w:rPr>
                <w:rFonts w:hint="default" w:ascii="Times New Roman" w:hAnsi="Times New Roman" w:cs="Times New Roman"/>
                <w:color w:val="auto"/>
                <w:sz w:val="24"/>
                <w:szCs w:val="24"/>
              </w:rPr>
              <w:t>t，</w:t>
            </w:r>
            <w:r>
              <w:rPr>
                <w:rFonts w:hint="default" w:ascii="Times New Roman" w:hAnsi="Times New Roman" w:cs="Times New Roman"/>
                <w:color w:val="auto"/>
                <w:sz w:val="24"/>
                <w:szCs w:val="24"/>
                <w:lang w:eastAsia="zh-CN"/>
              </w:rPr>
              <w:t>使用</w:t>
            </w:r>
            <w:r>
              <w:rPr>
                <w:rFonts w:hint="default" w:ascii="Times New Roman" w:hAnsi="Times New Roman" w:cs="Times New Roman"/>
                <w:color w:val="auto"/>
                <w:sz w:val="24"/>
                <w:szCs w:val="24"/>
              </w:rPr>
              <w:t>寿命约为6000-8000h，根据项目</w:t>
            </w:r>
            <w:r>
              <w:rPr>
                <w:rFonts w:hint="default" w:ascii="Times New Roman" w:hAnsi="Times New Roman" w:cs="Times New Roman"/>
                <w:color w:val="auto"/>
                <w:sz w:val="24"/>
                <w:szCs w:val="24"/>
                <w:lang w:eastAsia="zh-CN"/>
              </w:rPr>
              <w:t>作业</w:t>
            </w:r>
            <w:r>
              <w:rPr>
                <w:rFonts w:hint="default" w:ascii="Times New Roman" w:hAnsi="Times New Roman" w:cs="Times New Roman"/>
                <w:color w:val="auto"/>
                <w:sz w:val="24"/>
                <w:szCs w:val="24"/>
              </w:rPr>
              <w:t>时间，约每3年更换一次，则</w:t>
            </w:r>
            <w:r>
              <w:rPr>
                <w:rFonts w:hint="default" w:ascii="Times New Roman" w:hAnsi="Times New Roman" w:cs="Times New Roman"/>
                <w:color w:val="auto"/>
                <w:sz w:val="24"/>
                <w:szCs w:val="24"/>
                <w:lang w:eastAsia="zh-CN"/>
              </w:rPr>
              <w:t>废分子筛</w:t>
            </w:r>
            <w:r>
              <w:rPr>
                <w:rFonts w:hint="default" w:ascii="Times New Roman" w:hAnsi="Times New Roman" w:cs="Times New Roman"/>
                <w:color w:val="auto"/>
                <w:sz w:val="24"/>
                <w:szCs w:val="24"/>
              </w:rPr>
              <w:t>年产生量为0.</w:t>
            </w:r>
            <w:r>
              <w:rPr>
                <w:rFonts w:hint="eastAsia" w:cs="Times New Roman"/>
                <w:color w:val="auto"/>
                <w:sz w:val="24"/>
                <w:szCs w:val="24"/>
                <w:lang w:val="en-US" w:eastAsia="zh-CN"/>
              </w:rPr>
              <w:t>2</w:t>
            </w:r>
            <w:r>
              <w:rPr>
                <w:rFonts w:hint="default" w:ascii="Times New Roman" w:hAnsi="Times New Roman" w:cs="Times New Roman"/>
                <w:color w:val="auto"/>
                <w:sz w:val="24"/>
                <w:szCs w:val="24"/>
              </w:rPr>
              <w:t>t/</w:t>
            </w:r>
            <w:r>
              <w:rPr>
                <w:rFonts w:hint="eastAsia" w:cs="Times New Roman"/>
                <w:color w:val="auto"/>
                <w:sz w:val="24"/>
                <w:szCs w:val="24"/>
                <w:lang w:val="en-US" w:eastAsia="zh-CN"/>
              </w:rPr>
              <w:t>3</w:t>
            </w:r>
            <w:r>
              <w:rPr>
                <w:rFonts w:hint="default" w:ascii="Times New Roman" w:hAnsi="Times New Roman" w:cs="Times New Roman"/>
                <w:color w:val="auto"/>
                <w:sz w:val="24"/>
                <w:szCs w:val="24"/>
              </w:rPr>
              <w:t>a，由具有危险废物处置资质的单位进行回收处置</w:t>
            </w:r>
            <w:r>
              <w:rPr>
                <w:rFonts w:hint="eastAsia" w:cs="Times New Roman"/>
                <w:color w:val="auto"/>
                <w:sz w:val="24"/>
                <w:szCs w:val="24"/>
                <w:lang w:eastAsia="zh-CN"/>
              </w:rPr>
              <w:t>。</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项目危险废物汇总表见</w:t>
            </w:r>
            <w:r>
              <w:rPr>
                <w:rFonts w:hint="default" w:ascii="Times New Roman" w:hAnsi="Times New Roman" w:cs="Times New Roman"/>
                <w:b w:val="0"/>
                <w:bCs w:val="0"/>
                <w:color w:val="auto"/>
                <w:sz w:val="24"/>
                <w:szCs w:val="24"/>
                <w:lang w:eastAsia="zh-CN"/>
              </w:rPr>
              <w:t>下表</w:t>
            </w:r>
            <w:r>
              <w:rPr>
                <w:rFonts w:hint="default" w:ascii="Times New Roman" w:hAnsi="Times New Roman" w:cs="Times New Roman"/>
                <w:b w:val="0"/>
                <w:bCs w:val="0"/>
                <w:color w:val="auto"/>
                <w:sz w:val="24"/>
                <w:szCs w:val="24"/>
              </w:rPr>
              <w:t>。</w:t>
            </w:r>
          </w:p>
          <w:p>
            <w:pPr>
              <w:spacing w:line="360" w:lineRule="auto"/>
              <w:jc w:val="center"/>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表</w:t>
            </w:r>
            <w:r>
              <w:rPr>
                <w:rFonts w:hint="default" w:ascii="Times New Roman" w:hAnsi="Times New Roman" w:eastAsia="宋体" w:cs="Times New Roman"/>
                <w:b/>
                <w:bCs/>
                <w:color w:val="auto"/>
                <w:kern w:val="2"/>
                <w:sz w:val="24"/>
                <w:szCs w:val="24"/>
                <w:lang w:val="en-US" w:eastAsia="zh-CN"/>
              </w:rPr>
              <w:t>7-</w:t>
            </w:r>
            <w:r>
              <w:rPr>
                <w:rFonts w:hint="eastAsia" w:cs="Times New Roman"/>
                <w:b/>
                <w:bCs/>
                <w:color w:val="auto"/>
                <w:kern w:val="2"/>
                <w:sz w:val="24"/>
                <w:szCs w:val="24"/>
                <w:lang w:val="en-US" w:eastAsia="zh-CN"/>
              </w:rPr>
              <w:t>3</w:t>
            </w:r>
            <w:r>
              <w:rPr>
                <w:rFonts w:hint="default" w:ascii="Times New Roman" w:hAnsi="Times New Roman" w:eastAsia="宋体" w:cs="Times New Roman"/>
                <w:b/>
                <w:bCs/>
                <w:color w:val="auto"/>
                <w:kern w:val="2"/>
                <w:sz w:val="24"/>
                <w:szCs w:val="24"/>
              </w:rPr>
              <w:t xml:space="preserve"> 项目危险废物汇总表</w:t>
            </w:r>
          </w:p>
          <w:tbl>
            <w:tblPr>
              <w:tblStyle w:val="39"/>
              <w:tblW w:w="909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8"/>
              <w:gridCol w:w="792"/>
              <w:gridCol w:w="980"/>
              <w:gridCol w:w="1080"/>
              <w:gridCol w:w="794"/>
              <w:gridCol w:w="980"/>
              <w:gridCol w:w="536"/>
              <w:gridCol w:w="702"/>
              <w:gridCol w:w="688"/>
              <w:gridCol w:w="600"/>
              <w:gridCol w:w="611"/>
              <w:gridCol w:w="8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438"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序号</w:t>
                  </w:r>
                </w:p>
              </w:tc>
              <w:tc>
                <w:tcPr>
                  <w:tcW w:w="792"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危险废物名称</w:t>
                  </w:r>
                </w:p>
              </w:tc>
              <w:tc>
                <w:tcPr>
                  <w:tcW w:w="980"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危险废物类别</w:t>
                  </w:r>
                </w:p>
              </w:tc>
              <w:tc>
                <w:tcPr>
                  <w:tcW w:w="1080"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危险废物代码</w:t>
                  </w:r>
                </w:p>
              </w:tc>
              <w:tc>
                <w:tcPr>
                  <w:tcW w:w="794"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产生量</w:t>
                  </w:r>
                </w:p>
              </w:tc>
              <w:tc>
                <w:tcPr>
                  <w:tcW w:w="980"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产生工序及装置</w:t>
                  </w:r>
                </w:p>
              </w:tc>
              <w:tc>
                <w:tcPr>
                  <w:tcW w:w="536"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形态</w:t>
                  </w:r>
                </w:p>
              </w:tc>
              <w:tc>
                <w:tcPr>
                  <w:tcW w:w="702"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主要成分</w:t>
                  </w:r>
                </w:p>
              </w:tc>
              <w:tc>
                <w:tcPr>
                  <w:tcW w:w="688"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有害成分</w:t>
                  </w:r>
                </w:p>
              </w:tc>
              <w:tc>
                <w:tcPr>
                  <w:tcW w:w="600"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产废周期</w:t>
                  </w:r>
                </w:p>
              </w:tc>
              <w:tc>
                <w:tcPr>
                  <w:tcW w:w="611"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危险</w:t>
                  </w:r>
                </w:p>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特性</w:t>
                  </w:r>
                </w:p>
              </w:tc>
              <w:tc>
                <w:tcPr>
                  <w:tcW w:w="891"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32" w:hRule="atLeast"/>
                <w:jc w:val="center"/>
              </w:trPr>
              <w:tc>
                <w:tcPr>
                  <w:tcW w:w="438"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792" w:type="dxa"/>
                  <w:tcBorders>
                    <w:tl2br w:val="nil"/>
                    <w:tr2bl w:val="nil"/>
                  </w:tcBorders>
                  <w:vAlign w:val="center"/>
                </w:tcPr>
                <w:p>
                  <w:pPr>
                    <w:topLinePunct/>
                    <w:adjustRightInd w:val="0"/>
                    <w:snapToGrid w:val="0"/>
                    <w:spacing w:line="240" w:lineRule="exact"/>
                    <w:jc w:val="center"/>
                    <w:rPr>
                      <w:rFonts w:hint="eastAsia" w:ascii="Times New Roman" w:hAnsi="Times New Roman" w:eastAsia="宋体" w:cs="Times New Roman"/>
                      <w:color w:val="auto"/>
                      <w:kern w:val="0"/>
                      <w:sz w:val="18"/>
                      <w:szCs w:val="18"/>
                      <w:lang w:eastAsia="zh-CN"/>
                    </w:rPr>
                  </w:pPr>
                  <w:r>
                    <w:rPr>
                      <w:rFonts w:hint="eastAsia" w:eastAsia="宋体" w:cs="Times New Roman"/>
                      <w:color w:val="auto"/>
                      <w:sz w:val="18"/>
                      <w:szCs w:val="18"/>
                      <w:lang w:eastAsia="zh-CN"/>
                    </w:rPr>
                    <w:t>废</w:t>
                  </w:r>
                  <w:r>
                    <w:rPr>
                      <w:rFonts w:hint="eastAsia" w:cs="Times New Roman"/>
                      <w:color w:val="auto"/>
                      <w:sz w:val="18"/>
                      <w:szCs w:val="18"/>
                      <w:lang w:eastAsia="zh-CN"/>
                    </w:rPr>
                    <w:t>分子筛</w:t>
                  </w:r>
                </w:p>
              </w:tc>
              <w:tc>
                <w:tcPr>
                  <w:tcW w:w="980"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 xml:space="preserve">HW49 </w:t>
                  </w:r>
                </w:p>
              </w:tc>
              <w:tc>
                <w:tcPr>
                  <w:tcW w:w="1080" w:type="dxa"/>
                  <w:tcBorders>
                    <w:tl2br w:val="nil"/>
                    <w:tr2bl w:val="nil"/>
                  </w:tcBorders>
                  <w:vAlign w:val="center"/>
                </w:tcPr>
                <w:p>
                  <w:pPr>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900-041-49</w:t>
                  </w:r>
                </w:p>
              </w:tc>
              <w:tc>
                <w:tcPr>
                  <w:tcW w:w="794" w:type="dxa"/>
                  <w:tcBorders>
                    <w:tl2br w:val="nil"/>
                    <w:tr2bl w:val="nil"/>
                  </w:tcBorders>
                  <w:vAlign w:val="center"/>
                </w:tcPr>
                <w:p>
                  <w:pPr>
                    <w:topLinePunct/>
                    <w:adjustRightInd w:val="0"/>
                    <w:snapToGrid w:val="0"/>
                    <w:spacing w:line="240" w:lineRule="exact"/>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0.1t/5a</w:t>
                  </w:r>
                </w:p>
              </w:tc>
              <w:tc>
                <w:tcPr>
                  <w:tcW w:w="980"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废气处理装置</w:t>
                  </w:r>
                </w:p>
              </w:tc>
              <w:tc>
                <w:tcPr>
                  <w:tcW w:w="536"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固态</w:t>
                  </w:r>
                </w:p>
              </w:tc>
              <w:tc>
                <w:tcPr>
                  <w:tcW w:w="702" w:type="dxa"/>
                  <w:tcBorders>
                    <w:tl2br w:val="nil"/>
                    <w:tr2bl w:val="nil"/>
                  </w:tcBorders>
                  <w:vAlign w:val="center"/>
                </w:tcPr>
                <w:p>
                  <w:pPr>
                    <w:topLinePunct/>
                    <w:adjustRightInd w:val="0"/>
                    <w:snapToGrid w:val="0"/>
                    <w:spacing w:line="240" w:lineRule="exact"/>
                    <w:jc w:val="center"/>
                    <w:rPr>
                      <w:rFonts w:hint="eastAsia" w:ascii="Times New Roman" w:hAnsi="Times New Roman" w:eastAsia="宋体" w:cs="Times New Roman"/>
                      <w:color w:val="auto"/>
                      <w:kern w:val="0"/>
                      <w:sz w:val="18"/>
                      <w:szCs w:val="18"/>
                      <w:lang w:eastAsia="zh-CN"/>
                    </w:rPr>
                  </w:pPr>
                  <w:r>
                    <w:rPr>
                      <w:rFonts w:hint="eastAsia" w:eastAsia="宋体" w:cs="Times New Roman"/>
                      <w:color w:val="auto"/>
                      <w:kern w:val="0"/>
                      <w:sz w:val="18"/>
                      <w:szCs w:val="18"/>
                      <w:lang w:eastAsia="zh-CN"/>
                    </w:rPr>
                    <w:t>废</w:t>
                  </w:r>
                  <w:r>
                    <w:rPr>
                      <w:rFonts w:hint="eastAsia" w:cs="Times New Roman"/>
                      <w:color w:val="auto"/>
                      <w:kern w:val="0"/>
                      <w:sz w:val="18"/>
                      <w:szCs w:val="18"/>
                      <w:lang w:eastAsia="zh-CN"/>
                    </w:rPr>
                    <w:t>分子筛</w:t>
                  </w:r>
                </w:p>
              </w:tc>
              <w:tc>
                <w:tcPr>
                  <w:tcW w:w="688" w:type="dxa"/>
                  <w:tcBorders>
                    <w:tl2br w:val="nil"/>
                    <w:tr2bl w:val="nil"/>
                  </w:tcBorders>
                  <w:vAlign w:val="center"/>
                </w:tcPr>
                <w:p>
                  <w:pPr>
                    <w:topLinePunct/>
                    <w:adjustRightInd w:val="0"/>
                    <w:snapToGrid w:val="0"/>
                    <w:spacing w:line="240" w:lineRule="exact"/>
                    <w:jc w:val="center"/>
                    <w:rPr>
                      <w:rFonts w:hint="eastAsia"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有机物、</w:t>
                  </w:r>
                  <w:r>
                    <w:rPr>
                      <w:rFonts w:hint="eastAsia" w:cs="Times New Roman"/>
                      <w:color w:val="auto"/>
                      <w:kern w:val="0"/>
                      <w:sz w:val="18"/>
                      <w:szCs w:val="18"/>
                      <w:lang w:eastAsia="zh-CN"/>
                    </w:rPr>
                    <w:t>废分子筛</w:t>
                  </w:r>
                </w:p>
              </w:tc>
              <w:tc>
                <w:tcPr>
                  <w:tcW w:w="600"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eastAsia" w:cs="Times New Roman"/>
                      <w:color w:val="auto"/>
                      <w:kern w:val="0"/>
                      <w:sz w:val="18"/>
                      <w:szCs w:val="18"/>
                      <w:lang w:val="en-US" w:eastAsia="zh-CN"/>
                    </w:rPr>
                    <w:t>3</w:t>
                  </w:r>
                  <w:r>
                    <w:rPr>
                      <w:rFonts w:hint="default" w:ascii="Times New Roman" w:hAnsi="Times New Roman" w:cs="Times New Roman"/>
                      <w:color w:val="auto"/>
                      <w:kern w:val="0"/>
                      <w:sz w:val="18"/>
                      <w:szCs w:val="18"/>
                    </w:rPr>
                    <w:t>年</w:t>
                  </w:r>
                </w:p>
              </w:tc>
              <w:tc>
                <w:tcPr>
                  <w:tcW w:w="611"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T/In</w:t>
                  </w:r>
                </w:p>
              </w:tc>
              <w:tc>
                <w:tcPr>
                  <w:tcW w:w="891"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暂存于危废库，委托有资质的单位负责转运并处置</w:t>
                  </w:r>
                </w:p>
              </w:tc>
            </w:tr>
          </w:tbl>
          <w:p>
            <w:pPr>
              <w:spacing w:line="160" w:lineRule="exact"/>
              <w:ind w:firstLine="420" w:firstLineChars="200"/>
              <w:rPr>
                <w:rFonts w:hint="default" w:ascii="Times New Roman" w:hAnsi="Times New Roman" w:eastAsia="华康简宋" w:cs="Times New Roman"/>
                <w:color w:val="auto"/>
                <w:kern w:val="2"/>
                <w:szCs w:val="24"/>
              </w:rPr>
            </w:pP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由于</w:t>
            </w:r>
            <w:r>
              <w:rPr>
                <w:rFonts w:hint="eastAsia" w:cs="Times New Roman"/>
                <w:color w:val="auto"/>
                <w:sz w:val="24"/>
                <w:szCs w:val="24"/>
                <w:lang w:eastAsia="zh-CN"/>
              </w:rPr>
              <w:t>废分子筛</w:t>
            </w:r>
            <w:r>
              <w:rPr>
                <w:rFonts w:hint="default" w:ascii="Times New Roman" w:hAnsi="Times New Roman" w:cs="Times New Roman"/>
                <w:color w:val="auto"/>
                <w:sz w:val="24"/>
                <w:szCs w:val="24"/>
              </w:rPr>
              <w:t>属于危险废物</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其储存运输应按《危险废物贮存污染控制标准》（GB18597－2001）及其修改单、《危险废物污染防治技术政策》和《建设项目危险废物环境影响评价指南》的要求进行。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（1）危险废物的收集和贮存</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险废物的收集、储存、管理严格按照《危险废物贮存污染控制标准》(GB18597-2001)及2013年修改单要求执行，建立岗位责任制和危险废物管理档案，由专人负责危险废物收集和管理工作；由于《危险废物贮存污染控制标准》(GB18597-2001)及2013年修改单标准中除对医疗废物贮存周期提出了要求外，未对其他危险废物贮存周期提出具体的要求，根据项目的危险废物数量分析，项目存储周期能够保证危险废物的及时运输。</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危废库必须设置识别危险废物的明显标志，并严格采取“四防”措施：</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防风、防雨、防晒</w:t>
            </w:r>
            <w:r>
              <w:rPr>
                <w:rFonts w:hint="default" w:ascii="Times New Roman" w:hAnsi="Times New Roman" w:cs="Times New Roman"/>
                <w:color w:val="auto"/>
                <w:sz w:val="24"/>
                <w:szCs w:val="24"/>
              </w:rPr>
              <w:t>：</w:t>
            </w:r>
            <w:r>
              <w:rPr>
                <w:rFonts w:hint="eastAsia" w:cs="Times New Roman"/>
                <w:color w:val="auto"/>
                <w:sz w:val="24"/>
                <w:szCs w:val="24"/>
                <w:lang w:eastAsia="zh-CN"/>
              </w:rPr>
              <w:t>本</w:t>
            </w:r>
            <w:r>
              <w:rPr>
                <w:rFonts w:hint="default" w:ascii="Times New Roman" w:hAnsi="Times New Roman" w:cs="Times New Roman"/>
                <w:color w:val="auto"/>
                <w:sz w:val="24"/>
                <w:szCs w:val="24"/>
              </w:rPr>
              <w:t>项目危废库位于</w:t>
            </w:r>
            <w:r>
              <w:rPr>
                <w:rFonts w:hint="eastAsia" w:cs="Times New Roman"/>
                <w:color w:val="auto"/>
                <w:sz w:val="24"/>
                <w:szCs w:val="24"/>
                <w:lang w:eastAsia="zh-CN"/>
              </w:rPr>
              <w:t>项目厂区西侧</w:t>
            </w:r>
            <w:r>
              <w:rPr>
                <w:rFonts w:hint="default" w:ascii="Times New Roman" w:hAnsi="Times New Roman" w:cs="Times New Roman"/>
                <w:color w:val="auto"/>
                <w:sz w:val="24"/>
                <w:szCs w:val="24"/>
                <w:lang w:val="en-US" w:eastAsia="zh-CN"/>
              </w:rPr>
              <w:t>，共设1个</w:t>
            </w:r>
            <w:r>
              <w:rPr>
                <w:rFonts w:hint="default" w:ascii="Times New Roman" w:hAnsi="Times New Roman" w:cs="Times New Roman"/>
                <w:color w:val="auto"/>
                <w:sz w:val="24"/>
                <w:szCs w:val="24"/>
              </w:rPr>
              <w:t>，面积约</w:t>
            </w: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，危废库设置为密闭间，能起到很好的防风、防雨、防晒效果。</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防渗漏</w:t>
            </w:r>
            <w:r>
              <w:rPr>
                <w:rFonts w:hint="default" w:ascii="Times New Roman" w:hAnsi="Times New Roman" w:cs="Times New Roman"/>
                <w:color w:val="auto"/>
                <w:sz w:val="24"/>
                <w:szCs w:val="24"/>
              </w:rPr>
              <w:t>：危废库地面进行硬化和防渗漏处理，建设堵截泄漏的裙脚，地面与裙脚要用坚固防渗的材料建造。同时其地面须为耐腐蚀的硬化地面，且地面无裂隙；基础防渗层可用厚度在2mm以上的高密度聚乙烯或其他人工防渗材料组成，渗透系数应小于1.0×10</w:t>
            </w:r>
            <w:r>
              <w:rPr>
                <w:rFonts w:hint="default" w:ascii="Times New Roman" w:hAnsi="Times New Roman" w:cs="Times New Roman"/>
                <w:color w:val="auto"/>
                <w:sz w:val="24"/>
                <w:szCs w:val="24"/>
                <w:vertAlign w:val="superscript"/>
              </w:rPr>
              <w:t>-10</w:t>
            </w:r>
            <w:r>
              <w:rPr>
                <w:rFonts w:hint="default" w:ascii="Times New Roman" w:hAnsi="Times New Roman" w:cs="Times New Roman"/>
                <w:color w:val="auto"/>
                <w:sz w:val="24"/>
                <w:szCs w:val="24"/>
              </w:rPr>
              <w:t>cm/s。</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危废库内，</w:t>
            </w:r>
            <w:r>
              <w:rPr>
                <w:rFonts w:hint="default" w:ascii="Times New Roman" w:hAnsi="Times New Roman" w:cs="Times New Roman"/>
                <w:color w:val="auto"/>
                <w:sz w:val="24"/>
                <w:szCs w:val="24"/>
                <w:lang w:eastAsia="zh-CN"/>
              </w:rPr>
              <w:t>各类危险废物</w:t>
            </w:r>
            <w:r>
              <w:rPr>
                <w:rFonts w:hint="default" w:ascii="Times New Roman" w:hAnsi="Times New Roman" w:cs="Times New Roman"/>
                <w:color w:val="auto"/>
                <w:sz w:val="24"/>
                <w:szCs w:val="24"/>
              </w:rPr>
              <w:t>应分区贮存，各个分区应设置围堰或托盘，围堰或托盘的容积应大于储存物料量，事故发生时可保证将泄漏的物料控制在围堰或托盘内，每个分区均应粘贴储存物质标牌等。收集、贮存危险废物的场所、设施、设备和容器、包装物或其他物品转作他用时，必须经过消除污染的处理，并经环境保护监测部门监测，达到无害化标准，未达标准的严禁转作他用。</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收集、贮存危险废物过程中，发生污染事故或其他突发性污染事件时，必须立即采取措施，消除或减轻污染危害，及时通知可能受到危害的单位和居民，并应于24h内向所在区、市环境保护行政主管部门和有关部门报告，接受调查处理。</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收集、贮存危险废物过程中按危险废物特性进行分类包装。包装容器的外面必须有表示废物形态、性质的明显标志，并向运输者和接受者提供安全保护要求的文字说明。</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危废库管理人员每月统计危险废物的产生数量，并按照有关规定及时进行清运和处置。</w:t>
            </w:r>
            <w:r>
              <w:rPr>
                <w:rFonts w:hint="eastAsia" w:cs="Times New Roman"/>
                <w:color w:val="auto"/>
                <w:sz w:val="24"/>
                <w:szCs w:val="24"/>
                <w:lang w:eastAsia="zh-CN"/>
              </w:rPr>
              <w:t>本</w:t>
            </w:r>
            <w:r>
              <w:rPr>
                <w:rFonts w:hint="default" w:ascii="Times New Roman" w:hAnsi="Times New Roman" w:cs="Times New Roman"/>
                <w:color w:val="auto"/>
                <w:sz w:val="24"/>
                <w:szCs w:val="24"/>
              </w:rPr>
              <w:t>项目危险废物贮存场所（设施）基本</w:t>
            </w:r>
            <w:r>
              <w:rPr>
                <w:rFonts w:hint="default" w:ascii="Times New Roman" w:hAnsi="Times New Roman" w:cs="Times New Roman"/>
                <w:b w:val="0"/>
                <w:bCs w:val="0"/>
                <w:color w:val="auto"/>
                <w:sz w:val="24"/>
                <w:szCs w:val="24"/>
              </w:rPr>
              <w:t>情况见</w:t>
            </w:r>
            <w:r>
              <w:rPr>
                <w:rFonts w:hint="default" w:ascii="Times New Roman" w:hAnsi="Times New Roman" w:cs="Times New Roman"/>
                <w:b w:val="0"/>
                <w:bCs w:val="0"/>
                <w:color w:val="auto"/>
                <w:sz w:val="24"/>
                <w:szCs w:val="24"/>
                <w:lang w:eastAsia="zh-CN"/>
              </w:rPr>
              <w:t>下</w:t>
            </w:r>
            <w:r>
              <w:rPr>
                <w:rFonts w:hint="default" w:ascii="Times New Roman" w:hAnsi="Times New Roman" w:cs="Times New Roman"/>
                <w:b w:val="0"/>
                <w:bCs w:val="0"/>
                <w:color w:val="auto"/>
                <w:sz w:val="24"/>
                <w:szCs w:val="24"/>
              </w:rPr>
              <w:t>表。</w:t>
            </w:r>
          </w:p>
          <w:p>
            <w:pPr>
              <w:spacing w:line="360" w:lineRule="auto"/>
              <w:jc w:val="center"/>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表</w:t>
            </w:r>
            <w:r>
              <w:rPr>
                <w:rFonts w:hint="default" w:ascii="Times New Roman" w:hAnsi="Times New Roman" w:eastAsia="宋体" w:cs="Times New Roman"/>
                <w:b/>
                <w:bCs/>
                <w:color w:val="auto"/>
                <w:kern w:val="2"/>
                <w:sz w:val="24"/>
                <w:szCs w:val="24"/>
                <w:lang w:val="en-US" w:eastAsia="zh-CN"/>
              </w:rPr>
              <w:t>7-</w:t>
            </w:r>
            <w:r>
              <w:rPr>
                <w:rFonts w:hint="eastAsia" w:cs="Times New Roman"/>
                <w:b/>
                <w:bCs/>
                <w:color w:val="auto"/>
                <w:kern w:val="2"/>
                <w:sz w:val="24"/>
                <w:szCs w:val="24"/>
                <w:lang w:val="en-US" w:eastAsia="zh-CN"/>
              </w:rPr>
              <w:t>4</w:t>
            </w:r>
            <w:r>
              <w:rPr>
                <w:rFonts w:hint="default" w:ascii="Times New Roman" w:hAnsi="Times New Roman" w:eastAsia="宋体" w:cs="Times New Roman"/>
                <w:b/>
                <w:bCs/>
                <w:color w:val="auto"/>
                <w:kern w:val="2"/>
                <w:sz w:val="24"/>
                <w:szCs w:val="24"/>
              </w:rPr>
              <w:t xml:space="preserve">  建设项目危险废物贮存场所（设施）基本情况表</w:t>
            </w:r>
          </w:p>
          <w:tbl>
            <w:tblPr>
              <w:tblStyle w:val="39"/>
              <w:tblW w:w="890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138"/>
              <w:gridCol w:w="918"/>
              <w:gridCol w:w="1087"/>
              <w:gridCol w:w="1188"/>
              <w:gridCol w:w="1240"/>
              <w:gridCol w:w="770"/>
              <w:gridCol w:w="708"/>
              <w:gridCol w:w="709"/>
              <w:gridCol w:w="7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41" w:type="dxa"/>
                  <w:tcBorders>
                    <w:tl2br w:val="nil"/>
                    <w:tr2bl w:val="nil"/>
                  </w:tcBorders>
                  <w:vAlign w:val="center"/>
                </w:tcPr>
                <w:p>
                  <w:pPr>
                    <w:topLinePunct/>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序号</w:t>
                  </w:r>
                </w:p>
              </w:tc>
              <w:tc>
                <w:tcPr>
                  <w:tcW w:w="1138" w:type="dxa"/>
                  <w:tcBorders>
                    <w:tl2br w:val="nil"/>
                    <w:tr2bl w:val="nil"/>
                  </w:tcBorders>
                  <w:vAlign w:val="center"/>
                </w:tcPr>
                <w:p>
                  <w:pPr>
                    <w:topLinePunct/>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贮存场所（设施）名称</w:t>
                  </w:r>
                </w:p>
              </w:tc>
              <w:tc>
                <w:tcPr>
                  <w:tcW w:w="918" w:type="dxa"/>
                  <w:tcBorders>
                    <w:tl2br w:val="nil"/>
                    <w:tr2bl w:val="nil"/>
                  </w:tcBorders>
                  <w:vAlign w:val="center"/>
                </w:tcPr>
                <w:p>
                  <w:pPr>
                    <w:topLinePunct/>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危险废物名称</w:t>
                  </w:r>
                </w:p>
              </w:tc>
              <w:tc>
                <w:tcPr>
                  <w:tcW w:w="1087" w:type="dxa"/>
                  <w:tcBorders>
                    <w:tl2br w:val="nil"/>
                    <w:tr2bl w:val="nil"/>
                  </w:tcBorders>
                  <w:vAlign w:val="center"/>
                </w:tcPr>
                <w:p>
                  <w:pPr>
                    <w:topLinePunct/>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危险废物类别</w:t>
                  </w:r>
                </w:p>
              </w:tc>
              <w:tc>
                <w:tcPr>
                  <w:tcW w:w="1188" w:type="dxa"/>
                  <w:tcBorders>
                    <w:tl2br w:val="nil"/>
                    <w:tr2bl w:val="nil"/>
                  </w:tcBorders>
                  <w:vAlign w:val="center"/>
                </w:tcPr>
                <w:p>
                  <w:pPr>
                    <w:topLinePunct/>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危险废物</w:t>
                  </w:r>
                </w:p>
                <w:p>
                  <w:pPr>
                    <w:topLinePunct/>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代码</w:t>
                  </w:r>
                </w:p>
              </w:tc>
              <w:tc>
                <w:tcPr>
                  <w:tcW w:w="1240" w:type="dxa"/>
                  <w:tcBorders>
                    <w:tl2br w:val="nil"/>
                    <w:tr2bl w:val="nil"/>
                  </w:tcBorders>
                  <w:vAlign w:val="center"/>
                </w:tcPr>
                <w:p>
                  <w:pPr>
                    <w:topLinePunct/>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位置</w:t>
                  </w:r>
                </w:p>
              </w:tc>
              <w:tc>
                <w:tcPr>
                  <w:tcW w:w="770" w:type="dxa"/>
                  <w:tcBorders>
                    <w:tl2br w:val="nil"/>
                    <w:tr2bl w:val="nil"/>
                  </w:tcBorders>
                  <w:vAlign w:val="center"/>
                </w:tcPr>
                <w:p>
                  <w:pPr>
                    <w:topLinePunct/>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占地面积</w:t>
                  </w:r>
                </w:p>
              </w:tc>
              <w:tc>
                <w:tcPr>
                  <w:tcW w:w="708" w:type="dxa"/>
                  <w:tcBorders>
                    <w:tl2br w:val="nil"/>
                    <w:tr2bl w:val="nil"/>
                  </w:tcBorders>
                  <w:vAlign w:val="center"/>
                </w:tcPr>
                <w:p>
                  <w:pPr>
                    <w:topLinePunct/>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贮存容器</w:t>
                  </w:r>
                </w:p>
              </w:tc>
              <w:tc>
                <w:tcPr>
                  <w:tcW w:w="709" w:type="dxa"/>
                  <w:tcBorders>
                    <w:tl2br w:val="nil"/>
                    <w:tr2bl w:val="nil"/>
                  </w:tcBorders>
                  <w:vAlign w:val="center"/>
                </w:tcPr>
                <w:p>
                  <w:pPr>
                    <w:topLinePunct/>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贮存</w:t>
                  </w:r>
                </w:p>
                <w:p>
                  <w:pPr>
                    <w:topLinePunct/>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能力</w:t>
                  </w:r>
                </w:p>
              </w:tc>
              <w:tc>
                <w:tcPr>
                  <w:tcW w:w="708" w:type="dxa"/>
                  <w:tcBorders>
                    <w:tl2br w:val="nil"/>
                    <w:tr2bl w:val="nil"/>
                  </w:tcBorders>
                  <w:vAlign w:val="center"/>
                </w:tcPr>
                <w:p>
                  <w:pPr>
                    <w:topLinePunct/>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贮存</w:t>
                  </w:r>
                </w:p>
                <w:p>
                  <w:pPr>
                    <w:topLinePunct/>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41" w:type="dxa"/>
                  <w:tcBorders>
                    <w:tl2br w:val="nil"/>
                    <w:tr2bl w:val="nil"/>
                  </w:tcBorders>
                  <w:vAlign w:val="center"/>
                </w:tcPr>
                <w:p>
                  <w:pPr>
                    <w:topLinePunct/>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1138" w:type="dxa"/>
                  <w:tcBorders>
                    <w:tl2br w:val="nil"/>
                    <w:tr2bl w:val="nil"/>
                  </w:tcBorders>
                  <w:vAlign w:val="center"/>
                </w:tcPr>
                <w:p>
                  <w:pPr>
                    <w:topLinePunct/>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危废库</w:t>
                  </w:r>
                </w:p>
              </w:tc>
              <w:tc>
                <w:tcPr>
                  <w:tcW w:w="918" w:type="dxa"/>
                  <w:tcBorders>
                    <w:tl2br w:val="nil"/>
                    <w:tr2bl w:val="nil"/>
                  </w:tcBorders>
                  <w:vAlign w:val="center"/>
                </w:tcPr>
                <w:p>
                  <w:pPr>
                    <w:topLinePunct/>
                    <w:adjustRightInd w:val="0"/>
                    <w:snapToGrid w:val="0"/>
                    <w:spacing w:line="240" w:lineRule="exact"/>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sz w:val="18"/>
                      <w:szCs w:val="18"/>
                    </w:rPr>
                    <w:t>废</w:t>
                  </w:r>
                  <w:r>
                    <w:rPr>
                      <w:rFonts w:hint="eastAsia" w:cs="Times New Roman"/>
                      <w:color w:val="auto"/>
                      <w:sz w:val="18"/>
                      <w:szCs w:val="18"/>
                      <w:lang w:eastAsia="zh-CN"/>
                    </w:rPr>
                    <w:t>分子筛</w:t>
                  </w:r>
                </w:p>
              </w:tc>
              <w:tc>
                <w:tcPr>
                  <w:tcW w:w="1087" w:type="dxa"/>
                  <w:tcBorders>
                    <w:tl2br w:val="nil"/>
                    <w:tr2bl w:val="nil"/>
                  </w:tcBorders>
                  <w:vAlign w:val="center"/>
                </w:tcPr>
                <w:p>
                  <w:pPr>
                    <w:topLinePunct/>
                    <w:adjustRightInd w:val="0"/>
                    <w:snapToGrid w:val="0"/>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 xml:space="preserve">HW49 </w:t>
                  </w:r>
                </w:p>
              </w:tc>
              <w:tc>
                <w:tcPr>
                  <w:tcW w:w="1188" w:type="dxa"/>
                  <w:tcBorders>
                    <w:tl2br w:val="nil"/>
                    <w:tr2bl w:val="nil"/>
                  </w:tcBorders>
                  <w:vAlign w:val="center"/>
                </w:tcPr>
                <w:p>
                  <w:pPr>
                    <w:spacing w:line="24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900-041-49</w:t>
                  </w:r>
                </w:p>
              </w:tc>
              <w:tc>
                <w:tcPr>
                  <w:tcW w:w="1240" w:type="dxa"/>
                  <w:tcBorders>
                    <w:tl2br w:val="nil"/>
                    <w:tr2bl w:val="nil"/>
                  </w:tcBorders>
                  <w:vAlign w:val="center"/>
                </w:tcPr>
                <w:p>
                  <w:pPr>
                    <w:topLinePunct/>
                    <w:adjustRightInd w:val="0"/>
                    <w:snapToGrid w:val="0"/>
                    <w:jc w:val="center"/>
                    <w:rPr>
                      <w:rFonts w:hint="default" w:ascii="Times New Roman" w:hAnsi="Times New Roman" w:eastAsia="宋体" w:cs="Times New Roman"/>
                      <w:color w:val="auto"/>
                      <w:kern w:val="0"/>
                      <w:sz w:val="18"/>
                      <w:szCs w:val="18"/>
                      <w:lang w:eastAsia="zh-CN"/>
                    </w:rPr>
                  </w:pPr>
                  <w:r>
                    <w:rPr>
                      <w:rFonts w:hint="eastAsia" w:cs="Times New Roman"/>
                      <w:color w:val="auto"/>
                      <w:sz w:val="18"/>
                      <w:szCs w:val="18"/>
                      <w:lang w:eastAsia="zh-CN"/>
                    </w:rPr>
                    <w:t>厂区西侧</w:t>
                  </w:r>
                </w:p>
              </w:tc>
              <w:tc>
                <w:tcPr>
                  <w:tcW w:w="770" w:type="dxa"/>
                  <w:tcBorders>
                    <w:tl2br w:val="nil"/>
                    <w:tr2bl w:val="nil"/>
                  </w:tcBorders>
                  <w:vAlign w:val="center"/>
                </w:tcPr>
                <w:p>
                  <w:pPr>
                    <w:topLinePunct/>
                    <w:adjustRightInd w:val="0"/>
                    <w:snapToGrid w:val="0"/>
                    <w:jc w:val="center"/>
                    <w:rPr>
                      <w:rFonts w:hint="default" w:ascii="Times New Roman" w:hAnsi="Times New Roman" w:eastAsia="宋体" w:cs="Times New Roman"/>
                      <w:color w:val="auto"/>
                      <w:kern w:val="0"/>
                      <w:sz w:val="18"/>
                      <w:szCs w:val="18"/>
                      <w:vertAlign w:val="baseline"/>
                      <w:lang w:val="en-US" w:eastAsia="zh-CN"/>
                    </w:rPr>
                  </w:pP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lang w:val="en-US" w:eastAsia="zh-CN"/>
                    </w:rPr>
                    <w:t>0</w:t>
                  </w:r>
                  <w:r>
                    <w:rPr>
                      <w:rFonts w:hint="default" w:ascii="Times New Roman" w:hAnsi="Times New Roman" w:cs="Times New Roman"/>
                      <w:color w:val="auto"/>
                      <w:kern w:val="0"/>
                      <w:sz w:val="18"/>
                      <w:szCs w:val="18"/>
                    </w:rPr>
                    <w:t>m</w:t>
                  </w:r>
                  <w:r>
                    <w:rPr>
                      <w:rFonts w:hint="default" w:ascii="Times New Roman" w:hAnsi="Times New Roman" w:cs="Times New Roman"/>
                      <w:color w:val="auto"/>
                      <w:kern w:val="0"/>
                      <w:sz w:val="18"/>
                      <w:szCs w:val="18"/>
                      <w:vertAlign w:val="superscript"/>
                    </w:rPr>
                    <w:t>2</w:t>
                  </w:r>
                  <w:r>
                    <w:rPr>
                      <w:rFonts w:hint="default" w:ascii="Times New Roman" w:hAnsi="Times New Roman" w:cs="Times New Roman"/>
                      <w:color w:val="auto"/>
                      <w:kern w:val="0"/>
                      <w:sz w:val="18"/>
                      <w:szCs w:val="18"/>
                      <w:vertAlign w:val="baseline"/>
                      <w:lang w:val="en-US" w:eastAsia="zh-CN"/>
                    </w:rPr>
                    <w:t>，共1个</w:t>
                  </w:r>
                </w:p>
              </w:tc>
              <w:tc>
                <w:tcPr>
                  <w:tcW w:w="708" w:type="dxa"/>
                  <w:tcBorders>
                    <w:tl2br w:val="nil"/>
                    <w:tr2bl w:val="nil"/>
                  </w:tcBorders>
                  <w:vAlign w:val="center"/>
                </w:tcPr>
                <w:p>
                  <w:pPr>
                    <w:topLinePunct/>
                    <w:adjustRightInd w:val="0"/>
                    <w:snapToGrid w:val="0"/>
                    <w:jc w:val="center"/>
                    <w:rPr>
                      <w:rFonts w:hint="eastAsia" w:ascii="Times New Roman" w:hAnsi="Times New Roman" w:eastAsia="宋体" w:cs="Times New Roman"/>
                      <w:color w:val="auto"/>
                      <w:kern w:val="0"/>
                      <w:sz w:val="18"/>
                      <w:szCs w:val="18"/>
                      <w:lang w:eastAsia="zh-CN"/>
                    </w:rPr>
                  </w:pPr>
                  <w:r>
                    <w:rPr>
                      <w:rFonts w:hint="eastAsia" w:cs="Times New Roman"/>
                      <w:color w:val="auto"/>
                      <w:kern w:val="0"/>
                      <w:sz w:val="18"/>
                      <w:szCs w:val="18"/>
                      <w:lang w:eastAsia="zh-CN"/>
                    </w:rPr>
                    <w:t>密封袋</w:t>
                  </w:r>
                </w:p>
              </w:tc>
              <w:tc>
                <w:tcPr>
                  <w:tcW w:w="709" w:type="dxa"/>
                  <w:tcBorders>
                    <w:tl2br w:val="nil"/>
                    <w:tr2bl w:val="nil"/>
                  </w:tcBorders>
                  <w:vAlign w:val="center"/>
                </w:tcPr>
                <w:p>
                  <w:pPr>
                    <w:topLinePunct/>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lang w:val="en-US" w:eastAsia="zh-CN"/>
                    </w:rPr>
                    <w:t>1</w:t>
                  </w:r>
                  <w:r>
                    <w:rPr>
                      <w:rFonts w:hint="default" w:ascii="Times New Roman" w:hAnsi="Times New Roman" w:cs="Times New Roman"/>
                      <w:color w:val="auto"/>
                      <w:kern w:val="0"/>
                      <w:sz w:val="18"/>
                      <w:szCs w:val="18"/>
                    </w:rPr>
                    <w:t>.0t</w:t>
                  </w:r>
                </w:p>
              </w:tc>
              <w:tc>
                <w:tcPr>
                  <w:tcW w:w="708" w:type="dxa"/>
                  <w:tcBorders>
                    <w:tl2br w:val="nil"/>
                    <w:tr2bl w:val="nil"/>
                  </w:tcBorders>
                  <w:vAlign w:val="center"/>
                </w:tcPr>
                <w:p>
                  <w:pPr>
                    <w:topLinePunct/>
                    <w:adjustRightInd w:val="0"/>
                    <w:snapToGrid w:val="0"/>
                    <w:jc w:val="center"/>
                    <w:rPr>
                      <w:rFonts w:hint="default" w:ascii="Times New Roman" w:hAnsi="Times New Roman" w:cs="Times New Roman"/>
                      <w:color w:val="auto"/>
                      <w:kern w:val="0"/>
                      <w:sz w:val="18"/>
                      <w:szCs w:val="18"/>
                    </w:rPr>
                  </w:pPr>
                  <w:r>
                    <w:rPr>
                      <w:rFonts w:hint="eastAsia" w:cs="Times New Roman"/>
                      <w:color w:val="auto"/>
                      <w:kern w:val="0"/>
                      <w:sz w:val="18"/>
                      <w:szCs w:val="18"/>
                      <w:lang w:val="en-US" w:eastAsia="zh-CN"/>
                    </w:rPr>
                    <w:t>1</w:t>
                  </w:r>
                  <w:r>
                    <w:rPr>
                      <w:rFonts w:hint="default" w:ascii="Times New Roman" w:hAnsi="Times New Roman" w:cs="Times New Roman"/>
                      <w:color w:val="auto"/>
                      <w:kern w:val="0"/>
                      <w:sz w:val="18"/>
                      <w:szCs w:val="18"/>
                    </w:rPr>
                    <w:t>年</w:t>
                  </w:r>
                </w:p>
              </w:tc>
            </w:tr>
          </w:tbl>
          <w:p>
            <w:pPr>
              <w:spacing w:line="240" w:lineRule="exact"/>
              <w:ind w:firstLine="482"/>
              <w:rPr>
                <w:rFonts w:hint="default" w:ascii="Times New Roman" w:hAnsi="Times New Roman" w:cs="Times New Roman"/>
                <w:color w:val="auto"/>
              </w:rPr>
            </w:pP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（2）危险废物的转移及运输</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危险废物的转移应遵从《危险废物转移联单管理办法》及其他有关规定的要求，并禁止在转移过程中将危险废物排放至外环境中。</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采用专用车辆和专用容器运输贮存危险废物，禁止将危险废物混入生活垃圾或其他废物。</w:t>
            </w:r>
          </w:p>
          <w:p>
            <w:pPr>
              <w:spacing w:line="360" w:lineRule="auto"/>
              <w:ind w:firstLine="480" w:firstLineChars="200"/>
              <w:rPr>
                <w:rFonts w:hint="eastAsia" w:eastAsia="宋体"/>
                <w:color w:val="auto"/>
                <w:sz w:val="24"/>
                <w:szCs w:val="24"/>
                <w:lang w:eastAsia="zh-CN"/>
              </w:rPr>
            </w:pP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项目产生的危险废物交由具有危险废物处置资质的单位进行回收处置。危险废物收集和运输应采用密闭容器和密闭专用货车，废物收集后立即运走，尽量缩短停滞时间。避免挥发产生的毒害气体对周围环境产生不利影响</w:t>
            </w:r>
            <w:r>
              <w:rPr>
                <w:rFonts w:hint="eastAsia"/>
                <w:color w:val="auto"/>
                <w:sz w:val="24"/>
                <w:szCs w:val="24"/>
                <w:lang w:eastAsia="zh-CN"/>
              </w:rPr>
              <w:t>。</w:t>
            </w:r>
          </w:p>
          <w:p>
            <w:pPr>
              <w:spacing w:line="360" w:lineRule="auto"/>
              <w:ind w:firstLine="480" w:firstLineChars="200"/>
              <w:rPr>
                <w:bCs/>
                <w:color w:val="auto"/>
                <w:sz w:val="24"/>
              </w:rPr>
            </w:pPr>
            <w:r>
              <w:rPr>
                <w:rFonts w:hint="eastAsia"/>
                <w:bCs/>
                <w:color w:val="auto"/>
                <w:sz w:val="24"/>
              </w:rPr>
              <w:t>3、</w:t>
            </w:r>
            <w:r>
              <w:rPr>
                <w:bCs/>
                <w:color w:val="auto"/>
                <w:sz w:val="24"/>
              </w:rPr>
              <w:t>生活垃圾</w:t>
            </w:r>
          </w:p>
          <w:p>
            <w:pPr>
              <w:spacing w:line="360" w:lineRule="auto"/>
              <w:ind w:firstLine="482"/>
              <w:rPr>
                <w:color w:val="auto"/>
                <w:sz w:val="24"/>
              </w:rPr>
            </w:pPr>
            <w:r>
              <w:rPr>
                <w:rFonts w:hint="eastAsia"/>
                <w:bCs/>
                <w:color w:val="auto"/>
                <w:sz w:val="24"/>
              </w:rPr>
              <w:t>本项目</w:t>
            </w:r>
            <w:r>
              <w:rPr>
                <w:bCs/>
                <w:color w:val="auto"/>
                <w:sz w:val="24"/>
              </w:rPr>
              <w:t>劳动定员</w:t>
            </w:r>
            <w:r>
              <w:rPr>
                <w:rFonts w:hint="eastAsia"/>
                <w:bCs/>
                <w:color w:val="auto"/>
                <w:sz w:val="24"/>
                <w:lang w:val="en-US" w:eastAsia="zh-CN"/>
              </w:rPr>
              <w:t>20</w:t>
            </w:r>
            <w:r>
              <w:rPr>
                <w:bCs/>
                <w:color w:val="auto"/>
                <w:sz w:val="24"/>
              </w:rPr>
              <w:t>人，</w:t>
            </w:r>
            <w:r>
              <w:rPr>
                <w:color w:val="auto"/>
                <w:kern w:val="0"/>
                <w:sz w:val="24"/>
                <w:szCs w:val="24"/>
                <w:lang w:val="zh-CN"/>
              </w:rPr>
              <w:t>生活垃圾产生量按0.5kg/人</w:t>
            </w:r>
            <w:r>
              <w:rPr>
                <w:rFonts w:hint="eastAsia" w:ascii="仿宋_GB2312" w:hAnsi="仿宋_GB2312" w:eastAsia="仿宋_GB2312" w:cs="仿宋_GB2312"/>
                <w:color w:val="auto"/>
                <w:kern w:val="0"/>
                <w:sz w:val="24"/>
                <w:szCs w:val="24"/>
                <w:lang w:val="zh-CN"/>
              </w:rPr>
              <w:t>·</w:t>
            </w:r>
            <w:r>
              <w:rPr>
                <w:color w:val="auto"/>
                <w:kern w:val="0"/>
                <w:sz w:val="24"/>
                <w:szCs w:val="24"/>
                <w:lang w:val="zh-CN"/>
              </w:rPr>
              <w:t>天计，年产生量</w:t>
            </w:r>
            <w:r>
              <w:rPr>
                <w:rFonts w:hint="eastAsia"/>
                <w:color w:val="auto"/>
                <w:kern w:val="0"/>
                <w:sz w:val="24"/>
                <w:szCs w:val="24"/>
                <w:lang w:val="en-US" w:eastAsia="zh-CN"/>
              </w:rPr>
              <w:t>3</w:t>
            </w:r>
            <w:r>
              <w:rPr>
                <w:color w:val="auto"/>
                <w:kern w:val="0"/>
                <w:sz w:val="24"/>
                <w:szCs w:val="24"/>
                <w:lang w:val="zh-CN"/>
              </w:rPr>
              <w:t>t/a，生活垃圾集中收集后由环卫部门清运至</w:t>
            </w:r>
            <w:r>
              <w:rPr>
                <w:rFonts w:hint="eastAsia"/>
                <w:color w:val="auto"/>
                <w:sz w:val="24"/>
                <w:szCs w:val="24"/>
              </w:rPr>
              <w:t>威海市垃圾处理场</w:t>
            </w:r>
            <w:r>
              <w:rPr>
                <w:color w:val="auto"/>
                <w:sz w:val="24"/>
                <w:szCs w:val="24"/>
              </w:rPr>
              <w:t>进行</w:t>
            </w:r>
            <w:r>
              <w:rPr>
                <w:color w:val="auto"/>
                <w:sz w:val="24"/>
              </w:rPr>
              <w:t>无</w:t>
            </w:r>
            <w:r>
              <w:rPr>
                <w:color w:val="auto"/>
                <w:kern w:val="0"/>
                <w:sz w:val="24"/>
                <w:szCs w:val="24"/>
                <w:lang w:val="zh-CN"/>
              </w:rPr>
              <w:t>害化处理</w:t>
            </w:r>
            <w:r>
              <w:rPr>
                <w:color w:val="auto"/>
                <w:sz w:val="24"/>
              </w:rPr>
              <w:t>。</w:t>
            </w:r>
          </w:p>
          <w:p>
            <w:pPr>
              <w:spacing w:line="360" w:lineRule="auto"/>
              <w:ind w:firstLine="482"/>
              <w:rPr>
                <w:color w:val="auto"/>
                <w:sz w:val="24"/>
              </w:rPr>
            </w:pPr>
            <w:r>
              <w:rPr>
                <w:color w:val="auto"/>
                <w:sz w:val="24"/>
              </w:rPr>
              <w:t>威海市垃圾处理场位于威海市环翠区张村镇艾山红透山夼，该工程于1998年开工建设，2001年投入使用，主要处理方式为卫生填埋为主。二期工程总投资约3.2亿元，位于填埋场西侧，工艺采用目前国内外常用的机械炉排炉垃圾焚烧技术，处理能力是700 t/d，于2011年6月开始试运行，可以接纳项目产生的垃圾。</w:t>
            </w:r>
          </w:p>
          <w:p>
            <w:pPr>
              <w:spacing w:line="360" w:lineRule="auto"/>
              <w:ind w:firstLine="480"/>
              <w:rPr>
                <w:rFonts w:hint="default" w:ascii="Times New Roman" w:hAnsi="Times New Roman" w:cs="Times New Roman"/>
                <w:color w:val="auto"/>
                <w:sz w:val="24"/>
              </w:rPr>
            </w:pPr>
            <w:r>
              <w:rPr>
                <w:color w:val="auto"/>
                <w:sz w:val="24"/>
              </w:rPr>
              <w:t>在采取上述措施后，</w:t>
            </w:r>
            <w:r>
              <w:rPr>
                <w:rFonts w:hint="eastAsia"/>
                <w:color w:val="auto"/>
                <w:sz w:val="24"/>
              </w:rPr>
              <w:t>本项目</w:t>
            </w:r>
            <w:r>
              <w:rPr>
                <w:color w:val="auto"/>
                <w:sz w:val="24"/>
              </w:rPr>
              <w:t>营运期产生的固体废物可实现零排放，对环境影响轻微，不会造成土壤、水和空气等环境的污染</w:t>
            </w:r>
            <w:r>
              <w:rPr>
                <w:rFonts w:hint="default" w:ascii="Times New Roman" w:hAnsi="Times New Roman" w:cs="Times New Roman"/>
                <w:color w:val="auto"/>
                <w:sz w:val="24"/>
              </w:rPr>
              <w:t>。</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五、环境风险分析</w:t>
            </w:r>
          </w:p>
          <w:p>
            <w:pPr>
              <w:adjustRightInd w:val="0"/>
              <w:snapToGrid w:val="0"/>
              <w:spacing w:line="360" w:lineRule="auto"/>
              <w:ind w:firstLine="439" w:firstLineChars="183"/>
              <w:rPr>
                <w:color w:val="auto"/>
                <w:sz w:val="24"/>
              </w:rPr>
            </w:pPr>
            <w:r>
              <w:rPr>
                <w:rFonts w:hint="eastAsia"/>
                <w:color w:val="auto"/>
                <w:sz w:val="24"/>
                <w:szCs w:val="24"/>
              </w:rPr>
              <w:t>1、</w:t>
            </w:r>
            <w:r>
              <w:rPr>
                <w:color w:val="auto"/>
                <w:sz w:val="24"/>
                <w:szCs w:val="24"/>
              </w:rPr>
              <w:t>根据</w:t>
            </w:r>
            <w:r>
              <w:rPr>
                <w:bCs/>
                <w:color w:val="auto"/>
                <w:sz w:val="24"/>
                <w:szCs w:val="24"/>
              </w:rPr>
              <w:t>《建设项目环境风险评价技术导则》（HJ169-2018）</w:t>
            </w:r>
            <w:r>
              <w:rPr>
                <w:color w:val="auto"/>
                <w:sz w:val="24"/>
                <w:szCs w:val="24"/>
              </w:rPr>
              <w:t>和《危险化学品重大危险源辨识》（GB18218 -20</w:t>
            </w:r>
            <w:r>
              <w:rPr>
                <w:rFonts w:hint="eastAsia"/>
                <w:color w:val="auto"/>
                <w:sz w:val="24"/>
                <w:szCs w:val="24"/>
              </w:rPr>
              <w:t>18</w:t>
            </w:r>
            <w:r>
              <w:rPr>
                <w:color w:val="auto"/>
                <w:sz w:val="24"/>
                <w:szCs w:val="24"/>
              </w:rPr>
              <w:t>）规定的物质危险性识别标准及所在区域类别可知，</w:t>
            </w:r>
            <w:r>
              <w:rPr>
                <w:rFonts w:hint="eastAsia" w:ascii="宋体" w:cs="宋体"/>
                <w:color w:val="auto"/>
                <w:kern w:val="0"/>
                <w:sz w:val="24"/>
              </w:rPr>
              <w:t>本项目</w:t>
            </w:r>
            <w:r>
              <w:rPr>
                <w:rFonts w:hint="default" w:ascii="Times New Roman" w:hAnsi="Times New Roman" w:cs="Times New Roman"/>
                <w:color w:val="auto"/>
                <w:sz w:val="24"/>
              </w:rPr>
              <w:t>不生产和使用具有毒性和易燃易爆等性质的物品</w:t>
            </w:r>
            <w:r>
              <w:rPr>
                <w:rFonts w:hint="eastAsia" w:cs="Times New Roman"/>
                <w:color w:val="auto"/>
                <w:sz w:val="24"/>
                <w:lang w:eastAsia="zh-CN"/>
              </w:rPr>
              <w:t>，</w:t>
            </w:r>
            <w:r>
              <w:rPr>
                <w:color w:val="auto"/>
                <w:sz w:val="24"/>
              </w:rPr>
              <w:t>没有构成重大危险源，</w:t>
            </w:r>
            <w:r>
              <w:rPr>
                <w:rFonts w:ascii="Times New Roman"/>
                <w:bCs/>
                <w:color w:val="auto"/>
                <w:sz w:val="24"/>
                <w:szCs w:val="24"/>
              </w:rPr>
              <w:t>本项目风险潜势为I级</w:t>
            </w:r>
            <w:r>
              <w:rPr>
                <w:rFonts w:hint="eastAsia"/>
                <w:bCs/>
                <w:color w:val="auto"/>
                <w:sz w:val="24"/>
                <w:szCs w:val="24"/>
                <w:lang w:eastAsia="zh-CN"/>
              </w:rPr>
              <w:t>，</w:t>
            </w:r>
            <w:r>
              <w:rPr>
                <w:color w:val="auto"/>
                <w:sz w:val="24"/>
              </w:rPr>
              <w:t>对风险因素进行简要分析。</w:t>
            </w:r>
          </w:p>
          <w:p>
            <w:pPr>
              <w:autoSpaceDE w:val="0"/>
              <w:autoSpaceDN w:val="0"/>
              <w:spacing w:line="360" w:lineRule="auto"/>
              <w:ind w:firstLine="480"/>
              <w:jc w:val="left"/>
              <w:rPr>
                <w:rFonts w:hint="eastAsia"/>
                <w:color w:val="auto"/>
                <w:sz w:val="24"/>
                <w:szCs w:val="24"/>
              </w:rPr>
            </w:pPr>
            <w:r>
              <w:rPr>
                <w:rFonts w:hint="eastAsia"/>
                <w:color w:val="auto"/>
                <w:sz w:val="24"/>
                <w:szCs w:val="24"/>
              </w:rPr>
              <w:t>2、风险管理</w:t>
            </w:r>
          </w:p>
          <w:p>
            <w:pPr>
              <w:spacing w:line="360" w:lineRule="auto"/>
              <w:ind w:firstLine="480" w:firstLineChars="200"/>
              <w:jc w:val="left"/>
              <w:rPr>
                <w:color w:val="auto"/>
                <w:sz w:val="24"/>
                <w:szCs w:val="24"/>
              </w:rPr>
            </w:pPr>
            <w:r>
              <w:rPr>
                <w:rFonts w:ascii="Times New Roman" w:hAnsi="Times New Roman"/>
                <w:color w:val="auto"/>
                <w:sz w:val="24"/>
              </w:rPr>
              <w:t>虽然本项目生产过程中无重大危险源，但是在其生产中也要做到防患于未然，</w:t>
            </w:r>
            <w:r>
              <w:rPr>
                <w:color w:val="auto"/>
                <w:sz w:val="24"/>
                <w:szCs w:val="24"/>
              </w:rPr>
              <w:t>要从建设、生产、储运等各方面采取防护措施，加大防范力度，防患于未然。另外，要制定合理可行的事故应急预案，以控制事故和减少对环境造成的危害。</w:t>
            </w:r>
          </w:p>
          <w:p>
            <w:pPr>
              <w:spacing w:line="360" w:lineRule="auto"/>
              <w:ind w:firstLine="480" w:firstLineChars="200"/>
              <w:rPr>
                <w:color w:val="auto"/>
                <w:sz w:val="24"/>
              </w:rPr>
            </w:pPr>
            <w:r>
              <w:rPr>
                <w:color w:val="auto"/>
                <w:sz w:val="24"/>
              </w:rPr>
              <w:t>建设单位应组建安全环保管理机构，配备管理人员，通过技能培训，承担该公司运行中的环保安全工作。</w:t>
            </w:r>
          </w:p>
          <w:p>
            <w:pPr>
              <w:spacing w:line="360" w:lineRule="auto"/>
              <w:ind w:firstLine="480" w:firstLineChars="200"/>
              <w:rPr>
                <w:color w:val="auto"/>
                <w:sz w:val="24"/>
              </w:rPr>
            </w:pPr>
            <w:r>
              <w:rPr>
                <w:color w:val="auto"/>
                <w:sz w:val="24"/>
              </w:rPr>
              <w:t>安全环保机构将根据相关的环境管理要求，结合项目区具体情况，制定各项安全生产管理制度、严格的生产操作规则和完善的事故应急计划及相应的应急处理手段和设施，同时加强安全教育，以提高职工的安全意识和安全防范能力。</w:t>
            </w:r>
          </w:p>
          <w:p>
            <w:pPr>
              <w:spacing w:line="360" w:lineRule="auto"/>
              <w:ind w:firstLine="480" w:firstLineChars="200"/>
              <w:rPr>
                <w:color w:val="auto"/>
                <w:sz w:val="24"/>
              </w:rPr>
            </w:pPr>
            <w:r>
              <w:rPr>
                <w:color w:val="auto"/>
                <w:sz w:val="24"/>
              </w:rPr>
              <w:t>生产装置区的配电和照明均应按《爆炸和火灾危险环境电力装置设计规范》的规定，选用相应防爆级别的电气设备和照明灯具及开关，线路敷设均应满足安全要求。厂内运输和装卸应根据货运量、货物性质和消防的需要，合理组织车流、人流、物流。厂区道路净空宽度不得小于5m。</w:t>
            </w:r>
          </w:p>
          <w:p>
            <w:pPr>
              <w:spacing w:line="360" w:lineRule="auto"/>
              <w:ind w:firstLine="480" w:firstLineChars="200"/>
              <w:rPr>
                <w:color w:val="auto"/>
                <w:sz w:val="24"/>
              </w:rPr>
            </w:pPr>
            <w:r>
              <w:rPr>
                <w:color w:val="auto"/>
                <w:sz w:val="24"/>
              </w:rPr>
              <w:t>生产厂区应做水泥硬化地面，进行防渗防漏处理，以防影响当地地下水环境。</w:t>
            </w:r>
          </w:p>
          <w:p>
            <w:pPr>
              <w:spacing w:line="360" w:lineRule="auto"/>
              <w:ind w:firstLine="480" w:firstLineChars="200"/>
              <w:rPr>
                <w:color w:val="auto"/>
                <w:sz w:val="24"/>
              </w:rPr>
            </w:pPr>
            <w:r>
              <w:rPr>
                <w:color w:val="auto"/>
                <w:sz w:val="24"/>
              </w:rPr>
              <w:t>3、事故防范措施</w:t>
            </w:r>
          </w:p>
          <w:p>
            <w:pPr>
              <w:spacing w:line="360" w:lineRule="auto"/>
              <w:ind w:firstLine="480" w:firstLineChars="200"/>
              <w:rPr>
                <w:color w:val="auto"/>
                <w:sz w:val="24"/>
              </w:rPr>
            </w:pPr>
            <w:bookmarkStart w:id="3" w:name="_Toc5549839"/>
            <w:bookmarkStart w:id="4" w:name="_Toc515096152"/>
            <w:bookmarkStart w:id="5" w:name="_Toc515339922"/>
            <w:bookmarkStart w:id="6" w:name="_Toc11312172"/>
            <w:r>
              <w:rPr>
                <w:color w:val="auto"/>
                <w:sz w:val="24"/>
              </w:rPr>
              <w:t>事故的防范措施是项目风险评价的重要内容。为防止事故的发生，必须加强劳动安全卫生管理，制定完备、有效的安全防范措施，尽可能降低该项目环境风险事故发生的概率。</w:t>
            </w:r>
            <w:r>
              <w:rPr>
                <w:rFonts w:hint="eastAsia"/>
                <w:color w:val="auto"/>
                <w:sz w:val="24"/>
                <w:lang w:eastAsia="zh-CN"/>
              </w:rPr>
              <w:t>本项目</w:t>
            </w:r>
            <w:r>
              <w:rPr>
                <w:color w:val="auto"/>
                <w:sz w:val="24"/>
              </w:rPr>
              <w:t>的环境风险评价从管理、安全设计、防火等方面提出风险事故的以下防范措施：</w:t>
            </w:r>
          </w:p>
          <w:p>
            <w:pPr>
              <w:pStyle w:val="17"/>
              <w:ind w:left="0" w:firstLine="480" w:firstLineChars="200"/>
              <w:rPr>
                <w:rFonts w:ascii="Times New Roman"/>
                <w:color w:val="auto"/>
              </w:rPr>
            </w:pPr>
            <w:r>
              <w:rPr>
                <w:rFonts w:ascii="Times New Roman"/>
                <w:color w:val="auto"/>
              </w:rPr>
              <w:t>（1）为预防事故的发生，应成立应急事故领导小组。</w:t>
            </w:r>
          </w:p>
          <w:p>
            <w:pPr>
              <w:spacing w:line="360" w:lineRule="auto"/>
              <w:ind w:firstLine="480" w:firstLineChars="200"/>
              <w:rPr>
                <w:color w:val="auto"/>
                <w:sz w:val="24"/>
                <w:szCs w:val="24"/>
              </w:rPr>
            </w:pPr>
            <w:r>
              <w:rPr>
                <w:color w:val="auto"/>
                <w:sz w:val="24"/>
                <w:szCs w:val="24"/>
              </w:rPr>
              <w:t>（2）每个生产岗位必须制定一个明确而又能为所有在岗人员熟悉的安全方针；并定期组织员工培训，熟练掌握应急事故处理措施。</w:t>
            </w:r>
          </w:p>
          <w:p>
            <w:pPr>
              <w:spacing w:line="360" w:lineRule="auto"/>
              <w:ind w:firstLine="480" w:firstLineChars="200"/>
              <w:rPr>
                <w:color w:val="auto"/>
                <w:sz w:val="24"/>
                <w:szCs w:val="24"/>
              </w:rPr>
            </w:pPr>
            <w:r>
              <w:rPr>
                <w:color w:val="auto"/>
                <w:sz w:val="24"/>
                <w:szCs w:val="24"/>
              </w:rPr>
              <w:t>（3）在生产过程中，必须要有人值班，自动掌握安全防范措施，尽可能将风险降低到最低限度。</w:t>
            </w:r>
          </w:p>
          <w:p>
            <w:pPr>
              <w:pStyle w:val="17"/>
              <w:ind w:left="0" w:firstLine="480" w:firstLineChars="200"/>
              <w:rPr>
                <w:rFonts w:ascii="Times New Roman"/>
                <w:color w:val="auto"/>
              </w:rPr>
            </w:pPr>
            <w:r>
              <w:rPr>
                <w:rFonts w:ascii="Times New Roman"/>
                <w:color w:val="auto"/>
              </w:rPr>
              <w:t>（4）管理人员和操作人员必须在预防事故的活动中通力合作；</w:t>
            </w:r>
          </w:p>
          <w:p>
            <w:pPr>
              <w:pStyle w:val="17"/>
              <w:ind w:left="0" w:firstLine="480" w:firstLineChars="200"/>
              <w:rPr>
                <w:rFonts w:ascii="Times New Roman"/>
                <w:color w:val="auto"/>
              </w:rPr>
            </w:pPr>
            <w:r>
              <w:rPr>
                <w:rFonts w:ascii="Times New Roman"/>
                <w:color w:val="auto"/>
              </w:rPr>
              <w:t>（5）加强员工的思想、道德教育，提高员工的责任心和主观能动性：完善并严格遵守相关的操作规程，加强岗位培训，落实岗位责任制；加强设备管理，特别是对易产生火灾隐患的部位加强检查。</w:t>
            </w:r>
          </w:p>
          <w:p>
            <w:pPr>
              <w:pStyle w:val="17"/>
              <w:ind w:left="0" w:firstLine="480" w:firstLineChars="200"/>
              <w:rPr>
                <w:rFonts w:ascii="Times New Roman"/>
                <w:color w:val="auto"/>
              </w:rPr>
            </w:pPr>
            <w:r>
              <w:rPr>
                <w:rFonts w:ascii="Times New Roman"/>
                <w:color w:val="auto"/>
              </w:rPr>
              <w:t>（6）加强事故管理，生产车间需严禁烟火，防治火灾事故的发生，在生产过程中注意对其它单位相关事故的研究，充分吸取经验和教训。</w:t>
            </w:r>
            <w:bookmarkEnd w:id="3"/>
            <w:bookmarkEnd w:id="4"/>
            <w:bookmarkEnd w:id="5"/>
            <w:bookmarkEnd w:id="6"/>
          </w:p>
          <w:p>
            <w:pPr>
              <w:autoSpaceDE w:val="0"/>
              <w:autoSpaceDN w:val="0"/>
              <w:spacing w:line="360" w:lineRule="auto"/>
              <w:ind w:firstLine="480" w:firstLineChars="200"/>
              <w:rPr>
                <w:color w:val="auto"/>
                <w:sz w:val="24"/>
                <w:szCs w:val="24"/>
              </w:rPr>
            </w:pPr>
            <w:r>
              <w:rPr>
                <w:color w:val="auto"/>
                <w:sz w:val="24"/>
                <w:szCs w:val="24"/>
              </w:rPr>
              <w:t>（7）项目设计施工时应严格施工工艺，加强监理，科学施工，建设优质工程；投运后加强管理和教育培训，加强巡视和检查，坚决杜绝生产过程中的“跑、冒、滴、漏”现象，并制定详尽的应急预案和预防措施。</w:t>
            </w:r>
          </w:p>
          <w:p>
            <w:pPr>
              <w:autoSpaceDE w:val="0"/>
              <w:autoSpaceDN w:val="0"/>
              <w:spacing w:line="360" w:lineRule="auto"/>
              <w:ind w:firstLine="480" w:firstLineChars="200"/>
              <w:rPr>
                <w:color w:val="auto"/>
                <w:sz w:val="24"/>
                <w:szCs w:val="24"/>
              </w:rPr>
            </w:pPr>
            <w:r>
              <w:rPr>
                <w:color w:val="auto"/>
                <w:sz w:val="24"/>
                <w:szCs w:val="24"/>
              </w:rPr>
              <w:t>（</w:t>
            </w:r>
            <w:r>
              <w:rPr>
                <w:rFonts w:hint="eastAsia"/>
                <w:color w:val="auto"/>
                <w:sz w:val="24"/>
                <w:szCs w:val="24"/>
              </w:rPr>
              <w:t>8</w:t>
            </w:r>
            <w:r>
              <w:rPr>
                <w:color w:val="auto"/>
                <w:sz w:val="24"/>
                <w:szCs w:val="24"/>
              </w:rPr>
              <w:t>）加强废气处理设备的运行管理、维护，保证正常运行，杜绝事故性排放；配备监护员和应急救援人员； 严格安全管理，落实作业许可，制订科学的应急预案，并加强演练,。</w:t>
            </w:r>
          </w:p>
          <w:p>
            <w:pPr>
              <w:autoSpaceDE w:val="0"/>
              <w:autoSpaceDN w:val="0"/>
              <w:spacing w:line="360" w:lineRule="auto"/>
              <w:ind w:firstLine="480" w:firstLineChars="200"/>
              <w:rPr>
                <w:color w:val="auto"/>
                <w:sz w:val="24"/>
                <w:szCs w:val="24"/>
              </w:rPr>
            </w:pPr>
            <w:r>
              <w:rPr>
                <w:rFonts w:hint="eastAsia"/>
                <w:color w:val="auto"/>
                <w:sz w:val="24"/>
                <w:szCs w:val="24"/>
                <w:lang w:eastAsia="zh-CN"/>
              </w:rPr>
              <w:t>（</w:t>
            </w:r>
            <w:r>
              <w:rPr>
                <w:rFonts w:hint="eastAsia"/>
                <w:color w:val="auto"/>
                <w:sz w:val="24"/>
                <w:szCs w:val="24"/>
                <w:lang w:val="en-US" w:eastAsia="zh-CN"/>
              </w:rPr>
              <w:t>9</w:t>
            </w:r>
            <w:r>
              <w:rPr>
                <w:rFonts w:hint="eastAsia"/>
                <w:color w:val="auto"/>
                <w:sz w:val="24"/>
                <w:szCs w:val="24"/>
                <w:lang w:eastAsia="zh-CN"/>
              </w:rPr>
              <w:t>）</w:t>
            </w:r>
            <w:r>
              <w:rPr>
                <w:color w:val="auto"/>
                <w:sz w:val="24"/>
                <w:szCs w:val="24"/>
              </w:rPr>
              <w:t>对危险废物的处置要严格按照《危险废物贮存污染控制标准》（GB18597-2001）中相关规定和要求执行，设置专门的贮存场所，并采取防渗、防雨等措施；所有危险废物须全部委托有资质的危险废物处置单位进行处置，并同时建立危险废物去向登记制度，明确其去向和处置方式。</w:t>
            </w:r>
          </w:p>
          <w:p>
            <w:pPr>
              <w:tabs>
                <w:tab w:val="left" w:pos="4557"/>
              </w:tabs>
              <w:spacing w:line="360" w:lineRule="auto"/>
              <w:ind w:firstLine="468" w:firstLineChars="195"/>
              <w:rPr>
                <w:color w:val="auto"/>
                <w:sz w:val="24"/>
              </w:rPr>
            </w:pPr>
            <w:r>
              <w:rPr>
                <w:color w:val="auto"/>
                <w:sz w:val="24"/>
              </w:rPr>
              <w:t>4、风险应急预案</w:t>
            </w:r>
          </w:p>
          <w:p>
            <w:pPr>
              <w:spacing w:line="360" w:lineRule="auto"/>
              <w:ind w:firstLine="480" w:firstLineChars="200"/>
              <w:rPr>
                <w:color w:val="auto"/>
                <w:sz w:val="24"/>
              </w:rPr>
            </w:pPr>
            <w:r>
              <w:rPr>
                <w:color w:val="auto"/>
                <w:sz w:val="24"/>
              </w:rPr>
              <w:t>根据国家环保局（90）环管字057号文的要求，通过对污染事故的风险评价，各有关企事业单位应制定防止重大环境污染事故发生的工作计划，消除事故隐患的实施及突发事故应急处理办法等。</w:t>
            </w:r>
          </w:p>
          <w:p>
            <w:pPr>
              <w:spacing w:line="360" w:lineRule="auto"/>
              <w:ind w:firstLine="480" w:firstLineChars="200"/>
              <w:rPr>
                <w:color w:val="auto"/>
                <w:sz w:val="24"/>
              </w:rPr>
            </w:pPr>
            <w:r>
              <w:rPr>
                <w:color w:val="auto"/>
                <w:sz w:val="24"/>
              </w:rPr>
              <w:t>在制定事故应急计划时，首先要确定事故发生后的事故处理单位部门及合作单位，及各有关部门和单位的应急通讯方式。</w:t>
            </w:r>
          </w:p>
          <w:p>
            <w:pPr>
              <w:spacing w:line="360" w:lineRule="auto"/>
              <w:ind w:firstLine="480" w:firstLineChars="200"/>
              <w:rPr>
                <w:color w:val="auto"/>
                <w:sz w:val="24"/>
              </w:rPr>
            </w:pPr>
            <w:r>
              <w:rPr>
                <w:color w:val="auto"/>
                <w:sz w:val="24"/>
              </w:rPr>
              <w:t>（1）事故应急管理系统分为四个主要阶段：</w:t>
            </w:r>
          </w:p>
          <w:p>
            <w:pPr>
              <w:spacing w:line="360" w:lineRule="auto"/>
              <w:ind w:firstLine="480" w:firstLineChars="200"/>
              <w:rPr>
                <w:color w:val="auto"/>
                <w:sz w:val="24"/>
              </w:rPr>
            </w:pPr>
            <w:r>
              <w:rPr>
                <w:color w:val="auto"/>
                <w:sz w:val="24"/>
              </w:rPr>
              <w:t>1）预防：从应急管理角度，防止紧急事件或事故的发生，采取应急行动；</w:t>
            </w:r>
          </w:p>
          <w:p>
            <w:pPr>
              <w:spacing w:line="360" w:lineRule="auto"/>
              <w:ind w:firstLine="480" w:firstLineChars="200"/>
              <w:rPr>
                <w:color w:val="auto"/>
                <w:sz w:val="24"/>
              </w:rPr>
            </w:pPr>
            <w:r>
              <w:rPr>
                <w:color w:val="auto"/>
                <w:sz w:val="24"/>
              </w:rPr>
              <w:t>2）预备：应急发生前准备的工作，主要是为了建立应急管理能力；</w:t>
            </w:r>
          </w:p>
          <w:p>
            <w:pPr>
              <w:spacing w:line="360" w:lineRule="auto"/>
              <w:ind w:firstLine="480" w:firstLineChars="200"/>
              <w:rPr>
                <w:color w:val="auto"/>
                <w:sz w:val="24"/>
              </w:rPr>
            </w:pPr>
            <w:r>
              <w:rPr>
                <w:color w:val="auto"/>
                <w:sz w:val="24"/>
              </w:rPr>
              <w:t>3）响应：事故发生之前、中间和事故后所立即采取的行动；</w:t>
            </w:r>
          </w:p>
          <w:p>
            <w:pPr>
              <w:spacing w:line="360" w:lineRule="auto"/>
              <w:ind w:firstLine="480" w:firstLineChars="200"/>
              <w:rPr>
                <w:color w:val="auto"/>
                <w:sz w:val="24"/>
              </w:rPr>
            </w:pPr>
            <w:r>
              <w:rPr>
                <w:color w:val="auto"/>
                <w:sz w:val="24"/>
              </w:rPr>
              <w:t>4）恢复：在事故发生之后立即进行，尽快恢复正常状态。</w:t>
            </w:r>
          </w:p>
          <w:p>
            <w:pPr>
              <w:spacing w:line="360" w:lineRule="auto"/>
              <w:ind w:firstLine="480" w:firstLineChars="200"/>
              <w:rPr>
                <w:color w:val="auto"/>
                <w:sz w:val="24"/>
              </w:rPr>
            </w:pPr>
            <w:r>
              <w:rPr>
                <w:color w:val="auto"/>
                <w:sz w:val="24"/>
              </w:rPr>
              <w:t>（2）事故应急救援系统分为：</w:t>
            </w:r>
          </w:p>
          <w:p>
            <w:pPr>
              <w:spacing w:line="360" w:lineRule="auto"/>
              <w:ind w:firstLine="480" w:firstLineChars="200"/>
              <w:rPr>
                <w:color w:val="auto"/>
                <w:sz w:val="24"/>
              </w:rPr>
            </w:pPr>
            <w:r>
              <w:rPr>
                <w:color w:val="auto"/>
                <w:sz w:val="24"/>
              </w:rPr>
              <w:t>1）应急求援组织机构：包括应急指挥机构、事故现场指挥机构、支持保障机构、媒体机构、信息管理机构；</w:t>
            </w:r>
          </w:p>
          <w:p>
            <w:pPr>
              <w:spacing w:line="360" w:lineRule="auto"/>
              <w:ind w:firstLine="480" w:firstLineChars="200"/>
              <w:rPr>
                <w:color w:val="auto"/>
                <w:sz w:val="24"/>
              </w:rPr>
            </w:pPr>
            <w:r>
              <w:rPr>
                <w:color w:val="auto"/>
                <w:sz w:val="24"/>
              </w:rPr>
              <w:t>2）应急救援预案：实现制定，用于计划指导整个应急救援过程；</w:t>
            </w:r>
          </w:p>
          <w:p>
            <w:pPr>
              <w:spacing w:line="360" w:lineRule="auto"/>
              <w:ind w:firstLine="480" w:firstLineChars="200"/>
              <w:rPr>
                <w:color w:val="auto"/>
                <w:sz w:val="24"/>
              </w:rPr>
            </w:pPr>
            <w:r>
              <w:rPr>
                <w:color w:val="auto"/>
                <w:sz w:val="24"/>
              </w:rPr>
              <w:t>3）应急训练和演习：预案的一部分，确保事故发生时应急预案能得到实施与贯彻；</w:t>
            </w:r>
          </w:p>
          <w:p>
            <w:pPr>
              <w:spacing w:line="360" w:lineRule="auto"/>
              <w:ind w:firstLine="480" w:firstLineChars="200"/>
              <w:rPr>
                <w:color w:val="auto"/>
                <w:sz w:val="24"/>
              </w:rPr>
            </w:pPr>
            <w:r>
              <w:rPr>
                <w:color w:val="auto"/>
                <w:sz w:val="24"/>
              </w:rPr>
              <w:t>4）应急救援行动：发生紧急情况时所采取的一系列行动；</w:t>
            </w:r>
          </w:p>
          <w:p>
            <w:pPr>
              <w:spacing w:line="360" w:lineRule="auto"/>
              <w:ind w:firstLine="480" w:firstLineChars="200"/>
              <w:rPr>
                <w:color w:val="auto"/>
                <w:sz w:val="24"/>
              </w:rPr>
            </w:pPr>
            <w:r>
              <w:rPr>
                <w:color w:val="auto"/>
                <w:sz w:val="24"/>
              </w:rPr>
              <w:t>5）现场清除与净化：事故后的恢复：尽快将生产和人员恢复。</w:t>
            </w:r>
          </w:p>
          <w:p>
            <w:pPr>
              <w:spacing w:line="360" w:lineRule="auto"/>
              <w:ind w:firstLine="200"/>
              <w:rPr>
                <w:vanish/>
                <w:color w:val="auto"/>
                <w:sz w:val="24"/>
              </w:rPr>
            </w:pPr>
          </w:p>
          <w:p>
            <w:pPr>
              <w:autoSpaceDE w:val="0"/>
              <w:autoSpaceDN w:val="0"/>
              <w:spacing w:line="360" w:lineRule="auto"/>
              <w:ind w:firstLine="480" w:firstLineChars="200"/>
              <w:rPr>
                <w:color w:val="auto"/>
                <w:sz w:val="24"/>
              </w:rPr>
            </w:pPr>
            <w:r>
              <w:rPr>
                <w:color w:val="auto"/>
                <w:sz w:val="24"/>
              </w:rPr>
              <w:t>事故现场及受影响区域，根据实际情况采取有效善后措施。厂区善后计划措施包括确认事故状态彻底解除、清理现场、清除污染、恢复生产等现场工作；对事故中受伤人员的医治；事故损失的估算；事故原因分析和防止事故再发生的防范措施等，总结教训，写出事故报告，报有关主管部门等</w:t>
            </w:r>
          </w:p>
          <w:p>
            <w:pPr>
              <w:numPr>
                <w:ilvl w:val="0"/>
                <w:numId w:val="0"/>
              </w:numPr>
              <w:bidi w:val="0"/>
              <w:spacing w:line="360" w:lineRule="auto"/>
              <w:ind w:leftChars="0" w:firstLine="480" w:firstLineChars="200"/>
              <w:rPr>
                <w:rFonts w:hint="default" w:ascii="Times New Roman" w:hAnsi="Times New Roman" w:eastAsia="宋体" w:cs="Times New Roman"/>
                <w:color w:val="auto"/>
                <w:sz w:val="24"/>
                <w:szCs w:val="24"/>
                <w:lang w:val="en-US" w:eastAsia="zh-CN"/>
              </w:rPr>
            </w:pPr>
            <w:r>
              <w:rPr>
                <w:color w:val="auto"/>
                <w:sz w:val="24"/>
              </w:rPr>
              <w:t>在生产单位完善并严格落实各项防范措施和应急预案后，</w:t>
            </w:r>
            <w:r>
              <w:rPr>
                <w:rFonts w:hint="eastAsia"/>
                <w:color w:val="auto"/>
                <w:sz w:val="24"/>
                <w:lang w:eastAsia="zh-CN"/>
              </w:rPr>
              <w:t>本项目</w:t>
            </w:r>
            <w:r>
              <w:rPr>
                <w:color w:val="auto"/>
                <w:sz w:val="24"/>
              </w:rPr>
              <w:t>的各项环境风险发生概率处于可接受水平</w:t>
            </w:r>
            <w:r>
              <w:rPr>
                <w:rFonts w:hint="default" w:ascii="Times New Roman" w:hAnsi="Times New Roman" w:eastAsia="宋体" w:cs="Times New Roman"/>
                <w:color w:val="auto"/>
                <w:sz w:val="24"/>
                <w:szCs w:val="24"/>
                <w:lang w:eastAsia="zh-CN"/>
              </w:rPr>
              <w:t>。</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六、清洁生产分析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清洁生产是指不断采取改进设计、使用清洁的能源和原料、采取先进的工艺技术与设备、改善管理、综合利用等措施，从源头削减污染，提高资源利用率，减少或者避免生产、服务和产品使用过程中污染物的产生和排放，以减轻或者消除对人类健康和环境的危害。</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根据国发[1996] 31号文件《国务院关于环境保护若干问题的决定》，所有建设项目要提高技术起点，采用能耗物耗小、污染物产生量小的清洁生产工艺，严禁采用国家明令禁止的设备和工艺。该项目产品在生产及销售过程中对环境影响轻微，在正常的生产过程中，其单位产品耗电量、物耗居平均水平。</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1、原辅材料和产品：本项目生产所需要的原辅材料主要是</w:t>
            </w:r>
            <w:r>
              <w:rPr>
                <w:rFonts w:hint="eastAsia"/>
                <w:color w:val="auto"/>
                <w:sz w:val="24"/>
                <w:szCs w:val="24"/>
                <w:lang w:val="en-US" w:eastAsia="zh-CN"/>
              </w:rPr>
              <w:t>PS、ABS</w:t>
            </w:r>
            <w:r>
              <w:rPr>
                <w:rFonts w:hint="default" w:ascii="Times New Roman" w:hAnsi="Times New Roman" w:cs="Times New Roman"/>
                <w:color w:val="auto"/>
                <w:sz w:val="24"/>
                <w:szCs w:val="24"/>
                <w:lang w:val="en-US" w:eastAsia="zh-CN"/>
              </w:rPr>
              <w:t>等</w:t>
            </w:r>
            <w:r>
              <w:rPr>
                <w:rFonts w:hint="default" w:ascii="Times New Roman" w:hAnsi="Times New Roman" w:cs="Times New Roman"/>
                <w:color w:val="auto"/>
                <w:sz w:val="24"/>
                <w:szCs w:val="24"/>
              </w:rPr>
              <w:t>，生产原料供应有可靠保障。项目的原辅材料资源、供应条件好，品质功能优良，能够满足清洁生产要求。产品品质功能优良，能够满足清洁生产要求。</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2、生产设备：本项目生产设备主要为</w:t>
            </w:r>
            <w:r>
              <w:rPr>
                <w:rFonts w:hint="eastAsia" w:cs="Times New Roman"/>
                <w:color w:val="auto"/>
                <w:sz w:val="24"/>
                <w:szCs w:val="24"/>
                <w:lang w:eastAsia="zh-CN"/>
              </w:rPr>
              <w:t>注塑机、风机</w:t>
            </w:r>
            <w:r>
              <w:rPr>
                <w:rFonts w:hint="default" w:ascii="Times New Roman" w:hAnsi="Times New Roman" w:cs="Times New Roman"/>
                <w:color w:val="auto"/>
                <w:sz w:val="24"/>
                <w:szCs w:val="24"/>
                <w:lang w:eastAsia="zh-CN"/>
              </w:rPr>
              <w:t>等</w:t>
            </w:r>
            <w:r>
              <w:rPr>
                <w:rFonts w:hint="default" w:ascii="Times New Roman" w:hAnsi="Times New Roman" w:cs="Times New Roman"/>
                <w:color w:val="auto"/>
                <w:sz w:val="24"/>
                <w:szCs w:val="24"/>
              </w:rPr>
              <w:t>，在生产设备选择上，在满足生产工艺前提下，优先选用先进、高效性能的设备，技术成熟、实用耐用、噪声小，便于管理和维护。项目所用机械设备中没有《产业机构调整指导目录》（201</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年本）第三类“淘汰类”第一条“落后生产工艺装备”中所列淘汰设备。</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3、节能：</w:t>
            </w:r>
            <w:r>
              <w:rPr>
                <w:rFonts w:hint="default" w:ascii="Times New Roman" w:hAnsi="Times New Roman" w:cs="Times New Roman"/>
                <w:color w:val="auto"/>
                <w:sz w:val="24"/>
                <w:szCs w:val="24"/>
                <w:lang w:eastAsia="zh-CN"/>
              </w:rPr>
              <w:t>本项</w:t>
            </w:r>
            <w:r>
              <w:rPr>
                <w:rFonts w:hint="default" w:ascii="Times New Roman" w:hAnsi="Times New Roman" w:cs="Times New Roman"/>
                <w:color w:val="auto"/>
                <w:kern w:val="28"/>
                <w:sz w:val="24"/>
                <w:szCs w:val="24"/>
              </w:rPr>
              <w:t>目生产工艺是在比较分析目前国际国内先进生产工艺基础上，综合原辅料供应、工艺操作条件和三废情况等各种因素而制定的，工艺过程先进，提高生产效率，达到节能目的。其次，合理选用节能设备，使能源消耗在设备源头上就得到有效控制。</w:t>
            </w:r>
            <w:r>
              <w:rPr>
                <w:rFonts w:hint="default" w:ascii="Times New Roman" w:hAnsi="Times New Roman" w:cs="Times New Roman"/>
                <w:color w:val="auto"/>
                <w:sz w:val="24"/>
                <w:szCs w:val="24"/>
              </w:rPr>
              <w:t>在电器的选择上，将统一选用节能型电器，降低电能损耗，</w:t>
            </w:r>
            <w:r>
              <w:rPr>
                <w:rFonts w:hint="default" w:ascii="Times New Roman" w:hAnsi="Times New Roman" w:cs="Times New Roman"/>
                <w:bCs/>
                <w:color w:val="auto"/>
                <w:sz w:val="24"/>
                <w:szCs w:val="24"/>
              </w:rPr>
              <w:t>采用节水型卫生洁具</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4、污染防治：项目产生的主要污染物为废水、废气</w:t>
            </w:r>
            <w:r>
              <w:rPr>
                <w:rFonts w:hint="default" w:ascii="Times New Roman" w:hAnsi="Times New Roman" w:cs="Times New Roman"/>
                <w:color w:val="auto"/>
                <w:sz w:val="24"/>
                <w:szCs w:val="24"/>
                <w:lang w:eastAsia="zh-CN"/>
              </w:rPr>
              <w:t>、噪声和</w:t>
            </w:r>
            <w:r>
              <w:rPr>
                <w:rFonts w:hint="default" w:ascii="Times New Roman" w:hAnsi="Times New Roman" w:cs="Times New Roman"/>
                <w:color w:val="auto"/>
                <w:sz w:val="24"/>
                <w:szCs w:val="24"/>
              </w:rPr>
              <w:t>少量固体废物。生活污水经化粪池预处理后，</w:t>
            </w:r>
            <w:r>
              <w:rPr>
                <w:rFonts w:hint="default" w:ascii="Times New Roman" w:hAnsi="Times New Roman" w:cs="Times New Roman"/>
                <w:color w:val="auto"/>
                <w:sz w:val="24"/>
                <w:szCs w:val="24"/>
                <w:lang w:eastAsia="zh-CN"/>
              </w:rPr>
              <w:t>由</w:t>
            </w:r>
            <w:r>
              <w:rPr>
                <w:rFonts w:hint="default" w:ascii="Times New Roman" w:hAnsi="Times New Roman" w:cs="Times New Roman"/>
                <w:color w:val="auto"/>
                <w:sz w:val="24"/>
                <w:szCs w:val="24"/>
              </w:rPr>
              <w:t>市政污水管网排入</w:t>
            </w:r>
            <w:r>
              <w:rPr>
                <w:rFonts w:hint="eastAsia" w:cs="Times New Roman"/>
                <w:color w:val="auto"/>
                <w:sz w:val="24"/>
                <w:szCs w:val="24"/>
                <w:lang w:val="zh-CN"/>
              </w:rPr>
              <w:t>威海初村污水处理厂</w:t>
            </w:r>
            <w:r>
              <w:rPr>
                <w:rFonts w:hint="default" w:ascii="Times New Roman" w:hAnsi="Times New Roman" w:cs="Times New Roman"/>
                <w:color w:val="auto"/>
                <w:sz w:val="24"/>
                <w:szCs w:val="24"/>
              </w:rPr>
              <w:t>集中处理达标后排海</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注塑</w:t>
            </w:r>
            <w:r>
              <w:rPr>
                <w:rFonts w:hint="default" w:ascii="Times New Roman" w:hAnsi="Times New Roman" w:cs="Times New Roman"/>
                <w:color w:val="auto"/>
                <w:sz w:val="24"/>
                <w:szCs w:val="24"/>
                <w:lang w:val="en-US" w:eastAsia="zh-CN"/>
              </w:rPr>
              <w:t>过程产生的有机废气</w:t>
            </w:r>
            <w:r>
              <w:rPr>
                <w:rFonts w:hint="default" w:ascii="Times New Roman" w:hAnsi="Times New Roman" w:cs="Times New Roman"/>
                <w:b w:val="0"/>
                <w:bCs w:val="0"/>
                <w:color w:val="auto"/>
                <w:sz w:val="24"/>
                <w:szCs w:val="24"/>
              </w:rPr>
              <w:t>经</w:t>
            </w:r>
            <w:r>
              <w:rPr>
                <w:rFonts w:hint="eastAsia" w:cs="Times New Roman"/>
                <w:b w:val="0"/>
                <w:bCs w:val="0"/>
                <w:color w:val="auto"/>
                <w:sz w:val="24"/>
                <w:szCs w:val="24"/>
                <w:lang w:eastAsia="zh-CN"/>
              </w:rPr>
              <w:t>分子筛废气处理装置</w:t>
            </w:r>
            <w:r>
              <w:rPr>
                <w:rFonts w:hint="default" w:ascii="Times New Roman" w:hAnsi="Times New Roman" w:cs="Times New Roman"/>
                <w:b w:val="0"/>
                <w:bCs w:val="0"/>
                <w:color w:val="auto"/>
                <w:sz w:val="24"/>
                <w:szCs w:val="24"/>
              </w:rPr>
              <w:t>处理后</w:t>
            </w:r>
            <w:r>
              <w:rPr>
                <w:rFonts w:hint="default" w:ascii="Times New Roman" w:hAnsi="Times New Roman" w:cs="Times New Roman"/>
                <w:color w:val="auto"/>
                <w:sz w:val="24"/>
                <w:szCs w:val="24"/>
              </w:rPr>
              <w:t>由</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5m排气筒达标排放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项目所选用的设备均为高效、低噪声设备，</w:t>
            </w:r>
            <w:r>
              <w:rPr>
                <w:rFonts w:hint="default" w:ascii="Times New Roman" w:hAnsi="Times New Roman" w:cs="Times New Roman"/>
                <w:color w:val="auto"/>
                <w:sz w:val="24"/>
                <w:szCs w:val="24"/>
                <w:lang w:eastAsia="zh-CN"/>
              </w:rPr>
              <w:t>采取</w:t>
            </w:r>
            <w:r>
              <w:rPr>
                <w:rFonts w:hint="default" w:ascii="Times New Roman" w:hAnsi="Times New Roman" w:cs="Times New Roman"/>
                <w:color w:val="auto"/>
                <w:sz w:val="24"/>
                <w:szCs w:val="24"/>
              </w:rPr>
              <w:t>消声、隔声、减震</w:t>
            </w:r>
            <w:r>
              <w:rPr>
                <w:rFonts w:hint="default" w:ascii="Times New Roman" w:hAnsi="Times New Roman" w:cs="Times New Roman"/>
                <w:color w:val="auto"/>
                <w:sz w:val="24"/>
                <w:szCs w:val="24"/>
                <w:lang w:eastAsia="zh-CN"/>
              </w:rPr>
              <w:t>、合理布局等措施</w:t>
            </w:r>
            <w:r>
              <w:rPr>
                <w:rFonts w:hint="default" w:ascii="Times New Roman" w:hAnsi="Times New Roman" w:cs="Times New Roman"/>
                <w:color w:val="auto"/>
                <w:sz w:val="24"/>
                <w:szCs w:val="24"/>
              </w:rPr>
              <w:t>后，厂界噪声能够达到相应标准的要求</w:t>
            </w:r>
            <w:r>
              <w:rPr>
                <w:rFonts w:hint="default" w:ascii="Times New Roman" w:hAnsi="Times New Roman" w:cs="Times New Roman"/>
                <w:color w:val="auto"/>
                <w:sz w:val="24"/>
                <w:szCs w:val="24"/>
                <w:lang w:eastAsia="zh-CN"/>
              </w:rPr>
              <w:t>。</w:t>
            </w:r>
            <w:r>
              <w:rPr>
                <w:rFonts w:ascii="Times New Roman"/>
                <w:color w:val="auto"/>
                <w:sz w:val="24"/>
                <w:szCs w:val="24"/>
              </w:rPr>
              <w:t>生活垃圾由环卫部门运送至威海市垃圾处理场合理处置，</w:t>
            </w:r>
            <w:r>
              <w:rPr>
                <w:rFonts w:hint="eastAsia" w:ascii="Times New Roman" w:hAnsi="Times New Roman" w:cs="Times New Roman"/>
                <w:color w:val="auto"/>
                <w:sz w:val="24"/>
                <w:lang w:eastAsia="zh-CN"/>
              </w:rPr>
              <w:t>下脚料</w:t>
            </w:r>
            <w:r>
              <w:rPr>
                <w:rFonts w:hint="eastAsia" w:cs="Times New Roman"/>
                <w:color w:val="auto"/>
                <w:sz w:val="24"/>
                <w:lang w:eastAsia="zh-CN"/>
              </w:rPr>
              <w:t>、不合格品、</w:t>
            </w:r>
            <w:r>
              <w:rPr>
                <w:rFonts w:hint="eastAsia" w:ascii="Times New Roman" w:hAnsi="Times New Roman" w:cs="Times New Roman"/>
                <w:color w:val="auto"/>
                <w:sz w:val="24"/>
                <w:lang w:eastAsia="zh-CN"/>
              </w:rPr>
              <w:t>废包装</w:t>
            </w:r>
            <w:r>
              <w:rPr>
                <w:rFonts w:ascii="Times New Roman"/>
                <w:color w:val="auto"/>
                <w:sz w:val="24"/>
                <w:szCs w:val="24"/>
              </w:rPr>
              <w:t>由</w:t>
            </w:r>
            <w:r>
              <w:rPr>
                <w:rFonts w:hint="eastAsia"/>
                <w:color w:val="auto"/>
                <w:sz w:val="24"/>
                <w:szCs w:val="24"/>
                <w:lang w:eastAsia="zh-CN"/>
              </w:rPr>
              <w:t>物资</w:t>
            </w:r>
            <w:r>
              <w:rPr>
                <w:rFonts w:ascii="Times New Roman"/>
                <w:color w:val="auto"/>
                <w:sz w:val="24"/>
                <w:szCs w:val="24"/>
              </w:rPr>
              <w:t>回收</w:t>
            </w:r>
            <w:r>
              <w:rPr>
                <w:rFonts w:hint="eastAsia"/>
                <w:color w:val="auto"/>
                <w:sz w:val="24"/>
                <w:szCs w:val="24"/>
                <w:lang w:eastAsia="zh-CN"/>
              </w:rPr>
              <w:t>部门</w:t>
            </w:r>
            <w:r>
              <w:rPr>
                <w:rFonts w:ascii="Times New Roman"/>
                <w:color w:val="auto"/>
                <w:sz w:val="24"/>
                <w:szCs w:val="24"/>
              </w:rPr>
              <w:t>回收利用，</w:t>
            </w:r>
            <w:r>
              <w:rPr>
                <w:rFonts w:hint="eastAsia"/>
                <w:color w:val="auto"/>
                <w:sz w:val="24"/>
                <w:szCs w:val="24"/>
                <w:lang w:eastAsia="zh-CN"/>
              </w:rPr>
              <w:t>废分子筛</w:t>
            </w:r>
            <w:r>
              <w:rPr>
                <w:rFonts w:hint="eastAsia" w:ascii="Times New Roman"/>
                <w:color w:val="auto"/>
                <w:sz w:val="24"/>
                <w:szCs w:val="24"/>
              </w:rPr>
              <w:t>委托</w:t>
            </w:r>
            <w:r>
              <w:rPr>
                <w:rFonts w:ascii="Times New Roman"/>
                <w:color w:val="auto"/>
                <w:sz w:val="24"/>
                <w:szCs w:val="24"/>
              </w:rPr>
              <w:t>有</w:t>
            </w:r>
            <w:r>
              <w:rPr>
                <w:rFonts w:hint="eastAsia"/>
                <w:color w:val="auto"/>
                <w:sz w:val="24"/>
                <w:szCs w:val="24"/>
                <w:lang w:eastAsia="zh-CN"/>
              </w:rPr>
              <w:t>危废处置</w:t>
            </w:r>
            <w:r>
              <w:rPr>
                <w:rFonts w:ascii="Times New Roman"/>
                <w:color w:val="auto"/>
                <w:sz w:val="24"/>
                <w:szCs w:val="24"/>
              </w:rPr>
              <w:t>资质的单位进行</w:t>
            </w:r>
            <w:r>
              <w:rPr>
                <w:rFonts w:hint="eastAsia" w:ascii="Times New Roman"/>
                <w:color w:val="auto"/>
                <w:sz w:val="24"/>
                <w:szCs w:val="24"/>
              </w:rPr>
              <w:t>回收</w:t>
            </w:r>
            <w:r>
              <w:rPr>
                <w:rFonts w:ascii="Times New Roman"/>
                <w:color w:val="auto"/>
                <w:sz w:val="24"/>
                <w:szCs w:val="24"/>
              </w:rPr>
              <w:t>处置，固体废物处置方式可行，对周围环境影响很小</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综上所述，本项目将清洁生产的原则贯穿于生产的全过程，符合清洁生产政策的要求。</w:t>
            </w:r>
          </w:p>
          <w:p>
            <w:pPr>
              <w:spacing w:line="360" w:lineRule="auto"/>
              <w:ind w:firstLine="482" w:firstLineChars="200"/>
              <w:rPr>
                <w:rFonts w:hint="default" w:ascii="Times New Roman" w:hAnsi="Times New Roman" w:eastAsia="Calibri" w:cs="Times New Roman"/>
                <w:b/>
                <w:bCs/>
                <w:color w:val="auto"/>
                <w:sz w:val="24"/>
                <w:lang w:eastAsia="zh-CN"/>
              </w:rPr>
            </w:pPr>
            <w:r>
              <w:rPr>
                <w:rFonts w:hint="default" w:ascii="Times New Roman" w:hAnsi="Times New Roman" w:cs="Times New Roman"/>
                <w:b/>
                <w:bCs/>
                <w:color w:val="auto"/>
                <w:sz w:val="24"/>
                <w:lang w:eastAsia="zh-CN"/>
              </w:rPr>
              <w:t>七、土壤环境影响分析</w:t>
            </w:r>
          </w:p>
          <w:p>
            <w:pPr>
              <w:spacing w:line="360" w:lineRule="auto"/>
              <w:ind w:firstLine="480" w:firstLineChars="200"/>
              <w:rPr>
                <w:rFonts w:hint="default" w:ascii="Times New Roman" w:hAnsi="Times New Roman" w:cs="Times New Roman"/>
                <w:b/>
                <w:bCs/>
                <w:color w:val="auto"/>
                <w:sz w:val="24"/>
              </w:rPr>
            </w:pPr>
            <w:r>
              <w:rPr>
                <w:rFonts w:hint="default" w:ascii="Times New Roman" w:hAnsi="Times New Roman" w:eastAsia="宋体" w:cs="Times New Roman"/>
                <w:color w:val="auto"/>
                <w:sz w:val="24"/>
                <w:szCs w:val="24"/>
              </w:rPr>
              <w:t>该项目</w:t>
            </w:r>
            <w:r>
              <w:rPr>
                <w:rFonts w:hint="default" w:ascii="Times New Roman" w:hAnsi="Times New Roman" w:eastAsia="宋体" w:cs="Times New Roman"/>
                <w:color w:val="auto"/>
                <w:sz w:val="24"/>
                <w:szCs w:val="24"/>
                <w:lang w:eastAsia="zh-CN"/>
              </w:rPr>
              <w:t>为</w:t>
            </w:r>
            <w:r>
              <w:rPr>
                <w:rFonts w:hint="eastAsia" w:cs="Times New Roman"/>
                <w:bCs/>
                <w:color w:val="auto"/>
                <w:sz w:val="24"/>
                <w:szCs w:val="24"/>
                <w:lang w:eastAsia="zh-CN"/>
              </w:rPr>
              <w:t>打印机塑料件加工项目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位于</w:t>
            </w:r>
            <w:r>
              <w:rPr>
                <w:rFonts w:hint="eastAsia" w:cs="Times New Roman"/>
                <w:color w:val="auto"/>
                <w:sz w:val="24"/>
                <w:lang w:eastAsia="zh-CN"/>
              </w:rPr>
              <w:t>威海市环翠区羊亭镇顺海路3-1号</w:t>
            </w:r>
            <w:r>
              <w:rPr>
                <w:rFonts w:hint="default" w:ascii="Times New Roman" w:hAnsi="Times New Roman" w:eastAsia="宋体" w:cs="Times New Roman"/>
                <w:color w:val="auto"/>
                <w:sz w:val="24"/>
                <w:szCs w:val="24"/>
              </w:rPr>
              <w:t>，对照《环境影响评价技术导则土壤环境》（HJ 964-2018）附录A 中的项目类别，该项目属于</w:t>
            </w:r>
            <w:r>
              <w:rPr>
                <w:rFonts w:hint="eastAsia" w:ascii="宋体" w:hAnsi="宋体" w:eastAsia="宋体" w:cs="宋体"/>
                <w:color w:val="auto"/>
                <w:sz w:val="24"/>
                <w:szCs w:val="24"/>
              </w:rPr>
              <w:t>Ⅲ</w:t>
            </w:r>
            <w:r>
              <w:rPr>
                <w:rFonts w:hint="default" w:ascii="Times New Roman" w:hAnsi="Times New Roman" w:eastAsia="宋体" w:cs="Times New Roman"/>
                <w:color w:val="auto"/>
                <w:sz w:val="24"/>
                <w:szCs w:val="24"/>
              </w:rPr>
              <w:t>类项目，</w:t>
            </w:r>
            <w:r>
              <w:rPr>
                <w:rFonts w:hint="eastAsia" w:ascii="Times New Roman" w:hAnsi="Times New Roman" w:cs="Times New Roman"/>
                <w:color w:val="auto"/>
                <w:sz w:val="24"/>
                <w:szCs w:val="24"/>
                <w:lang w:eastAsia="zh-CN"/>
              </w:rPr>
              <w:t>本项目占地面积</w:t>
            </w:r>
            <w:r>
              <w:rPr>
                <w:rFonts w:hint="eastAsia" w:ascii="宋体" w:hAnsi="宋体" w:eastAsia="宋体" w:cs="宋体"/>
                <w:color w:val="auto"/>
                <w:sz w:val="24"/>
                <w:szCs w:val="24"/>
                <w:lang w:eastAsia="zh-CN"/>
              </w:rPr>
              <w:t>≦</w:t>
            </w:r>
            <w:r>
              <w:rPr>
                <w:rFonts w:hint="eastAsia" w:ascii="Times New Roman" w:hAnsi="Times New Roman" w:cs="Times New Roman"/>
                <w:color w:val="auto"/>
                <w:sz w:val="24"/>
                <w:szCs w:val="24"/>
                <w:lang w:val="en-US" w:eastAsia="zh-CN"/>
              </w:rPr>
              <w:t>5hm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vertAlign w:val="baseline"/>
                <w:lang w:val="en-US" w:eastAsia="zh-CN"/>
              </w:rPr>
              <w:t>，为小型占地规模</w:t>
            </w:r>
            <w:r>
              <w:rPr>
                <w:rFonts w:hint="eastAsia" w:ascii="Times New Roman" w:hAnsi="Times New Roman" w:cs="Times New Roman"/>
                <w:color w:val="auto"/>
                <w:sz w:val="24"/>
                <w:szCs w:val="24"/>
                <w:lang w:val="en-US" w:eastAsia="zh-CN"/>
              </w:rPr>
              <w:t>，周边无土壤环境敏感目标，根据</w:t>
            </w:r>
            <w:r>
              <w:rPr>
                <w:rFonts w:hint="default" w:ascii="Times New Roman" w:hAnsi="Times New Roman" w:eastAsia="宋体" w:cs="Times New Roman"/>
                <w:color w:val="auto"/>
                <w:sz w:val="24"/>
                <w:szCs w:val="24"/>
              </w:rPr>
              <w:t>《环境影响评价技术导则土壤环境》（HJ 964-2018）</w:t>
            </w:r>
            <w:r>
              <w:rPr>
                <w:rFonts w:hint="eastAsia" w:ascii="Times New Roman" w:hAnsi="Times New Roman" w:cs="Times New Roman"/>
                <w:color w:val="auto"/>
                <w:sz w:val="24"/>
                <w:szCs w:val="24"/>
                <w:lang w:val="en-US" w:eastAsia="zh-CN"/>
              </w:rPr>
              <w:t>6.2.2.3中表4污染影响型评价工作登记表，本项目评价工作等级为“-”，</w:t>
            </w:r>
            <w:r>
              <w:rPr>
                <w:rFonts w:hint="eastAsia" w:ascii="Times New Roman" w:hAnsi="Times New Roman" w:eastAsia="宋体" w:cs="Times New Roman"/>
                <w:color w:val="auto"/>
                <w:sz w:val="24"/>
                <w:szCs w:val="24"/>
                <w:lang w:eastAsia="zh-CN"/>
              </w:rPr>
              <w:t>不开展土壤环境影响评价</w:t>
            </w:r>
            <w:r>
              <w:rPr>
                <w:rFonts w:hint="default" w:ascii="Times New Roman" w:hAnsi="Times New Roman" w:eastAsia="宋体" w:cs="Times New Roman"/>
                <w:color w:val="auto"/>
                <w:sz w:val="24"/>
                <w:szCs w:val="24"/>
                <w:lang w:eastAsia="zh-CN"/>
              </w:rPr>
              <w:t>。</w:t>
            </w:r>
          </w:p>
          <w:p>
            <w:pPr>
              <w:spacing w:line="360" w:lineRule="auto"/>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sz w:val="24"/>
                <w:lang w:eastAsia="zh-CN"/>
              </w:rPr>
              <w:t>八</w:t>
            </w:r>
            <w:r>
              <w:rPr>
                <w:rFonts w:hint="default" w:ascii="Times New Roman" w:hAnsi="Times New Roman" w:cs="Times New Roman"/>
                <w:b/>
                <w:bCs/>
                <w:color w:val="auto"/>
                <w:sz w:val="24"/>
              </w:rPr>
              <w:t>、</w:t>
            </w:r>
            <w:r>
              <w:rPr>
                <w:rFonts w:hint="default" w:ascii="Times New Roman" w:hAnsi="Times New Roman" w:cs="Times New Roman"/>
                <w:b/>
                <w:bCs/>
                <w:color w:val="auto"/>
                <w:kern w:val="0"/>
                <w:sz w:val="24"/>
              </w:rPr>
              <w:t>环境管理与监测计划</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加强项目的环境管理，有效地保护区域环境，落实建设项目环境影响评价和“三同时”制度，实现建设项目的经济效益、社会效益和环境效益的统一，更好地监控工程环保设施的运行，及时掌握污染治理措施的效果，必须设置相应的环保机构，制定全厂环境管理和环境监测计划。</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组织机构</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工程应设置专门或兼职的环保管理部门，管理人员至少1人，负责环境管理工作。</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职责</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贯彻执行环境保护法规和标准；</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组织制定和修改本项目环境保护管理规章制度，监督各班组执行情况；</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编制并组织实施环境保护规划和计划；</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定期检查项目环境保护设施，保证设备正常运行；</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组织开展本企业的环境保护专业技术培训，搞好环境保护教育和宣传，提高职工的环境保护意识。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、环境监测</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公司没有环境监测实验室及专门工作人员，有监测需求时，委托有资质的环境监测单位对厂区污染源进行监测，把握公司生产过程中环境质量状况。</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根据本企业的排污特点及《环境监测工作的实施细则》，确定监测内容、监测项目及监测频率。监测计划见下表。</w:t>
            </w:r>
          </w:p>
          <w:p>
            <w:pPr>
              <w:pStyle w:val="81"/>
              <w:spacing w:line="360" w:lineRule="auto"/>
              <w:ind w:firstLine="0" w:firstLineChars="0"/>
              <w:jc w:val="center"/>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表7-</w:t>
            </w:r>
            <w:r>
              <w:rPr>
                <w:rFonts w:hint="eastAsia" w:cs="Times New Roman"/>
                <w:b/>
                <w:color w:val="auto"/>
                <w:kern w:val="0"/>
                <w:sz w:val="24"/>
                <w:szCs w:val="24"/>
                <w:lang w:val="en-US" w:eastAsia="zh-CN"/>
              </w:rPr>
              <w:t>5</w:t>
            </w:r>
            <w:r>
              <w:rPr>
                <w:rFonts w:hint="default" w:ascii="Times New Roman" w:hAnsi="Times New Roman" w:cs="Times New Roman"/>
                <w:b/>
                <w:color w:val="auto"/>
                <w:kern w:val="0"/>
                <w:sz w:val="24"/>
                <w:szCs w:val="24"/>
              </w:rPr>
              <w:t xml:space="preserve"> 监测计划一览表</w:t>
            </w:r>
          </w:p>
          <w:tbl>
            <w:tblPr>
              <w:tblStyle w:val="39"/>
              <w:tblW w:w="906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2351"/>
              <w:gridCol w:w="2904"/>
              <w:gridCol w:w="27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环境</w:t>
                  </w:r>
                </w:p>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要素</w:t>
                  </w:r>
                </w:p>
              </w:tc>
              <w:tc>
                <w:tcPr>
                  <w:tcW w:w="235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监测位置</w:t>
                  </w:r>
                </w:p>
              </w:tc>
              <w:tc>
                <w:tcPr>
                  <w:tcW w:w="29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监测项目</w:t>
                  </w:r>
                </w:p>
              </w:tc>
              <w:tc>
                <w:tcPr>
                  <w:tcW w:w="273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075"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废气</w:t>
                  </w:r>
                </w:p>
              </w:tc>
              <w:tc>
                <w:tcPr>
                  <w:tcW w:w="2351" w:type="dxa"/>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eastAsia="zh-CN"/>
                    </w:rPr>
                    <w:t>排气筒</w:t>
                  </w:r>
                </w:p>
              </w:tc>
              <w:tc>
                <w:tcPr>
                  <w:tcW w:w="2904" w:type="dxa"/>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VOCs</w:t>
                  </w:r>
                </w:p>
              </w:tc>
              <w:tc>
                <w:tcPr>
                  <w:tcW w:w="273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每年监测一次，每次两天，每天监测4次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1075" w:type="dxa"/>
                  <w:vMerge w:val="continue"/>
                  <w:vAlign w:val="center"/>
                </w:tcPr>
                <w:p>
                  <w:pPr>
                    <w:jc w:val="center"/>
                    <w:rPr>
                      <w:rFonts w:hint="default" w:ascii="Times New Roman" w:hAnsi="Times New Roman" w:cs="Times New Roman"/>
                      <w:bCs/>
                      <w:color w:val="auto"/>
                      <w:szCs w:val="21"/>
                    </w:rPr>
                  </w:pPr>
                </w:p>
              </w:tc>
              <w:tc>
                <w:tcPr>
                  <w:tcW w:w="235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厂界</w:t>
                  </w:r>
                </w:p>
              </w:tc>
              <w:tc>
                <w:tcPr>
                  <w:tcW w:w="2904" w:type="dxa"/>
                  <w:vAlign w:val="center"/>
                </w:tcPr>
                <w:p>
                  <w:pPr>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VOCs</w:t>
                  </w:r>
                </w:p>
              </w:tc>
              <w:tc>
                <w:tcPr>
                  <w:tcW w:w="273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每年监测一次，每次两天，每天监测4次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10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废水</w:t>
                  </w:r>
                </w:p>
              </w:tc>
              <w:tc>
                <w:tcPr>
                  <w:tcW w:w="235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厂区排污口</w:t>
                  </w:r>
                </w:p>
              </w:tc>
              <w:tc>
                <w:tcPr>
                  <w:tcW w:w="29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COD、氨氮</w:t>
                  </w:r>
                </w:p>
              </w:tc>
              <w:tc>
                <w:tcPr>
                  <w:tcW w:w="273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每年监测一次，每次两天，每天监测一次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10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噪声</w:t>
                  </w:r>
                </w:p>
              </w:tc>
              <w:tc>
                <w:tcPr>
                  <w:tcW w:w="235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厂界</w:t>
                  </w:r>
                </w:p>
              </w:tc>
              <w:tc>
                <w:tcPr>
                  <w:tcW w:w="29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LAeq</w:t>
                  </w:r>
                </w:p>
              </w:tc>
              <w:tc>
                <w:tcPr>
                  <w:tcW w:w="273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每季一次，每次两天，昼夜各监测1次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10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固废</w:t>
                  </w:r>
                </w:p>
              </w:tc>
              <w:tc>
                <w:tcPr>
                  <w:tcW w:w="235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统计各类固废量</w:t>
                  </w:r>
                </w:p>
              </w:tc>
              <w:tc>
                <w:tcPr>
                  <w:tcW w:w="29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产生量、贮存状况、处置去向</w:t>
                  </w:r>
                </w:p>
              </w:tc>
              <w:tc>
                <w:tcPr>
                  <w:tcW w:w="273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每月统计一次</w:t>
                  </w:r>
                </w:p>
              </w:tc>
            </w:tr>
          </w:tbl>
          <w:p>
            <w:pPr>
              <w:pStyle w:val="2"/>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4、排污许可</w:t>
            </w:r>
          </w:p>
          <w:p>
            <w:pPr>
              <w:snapToGrid w:val="0"/>
              <w:spacing w:line="360" w:lineRule="auto"/>
              <w:ind w:firstLine="480" w:firstLineChars="200"/>
              <w:rPr>
                <w:rFonts w:hint="default" w:ascii="Times New Roman" w:hAnsi="Times New Roman" w:eastAsia="宋体" w:cs="Times New Roman"/>
                <w:b/>
                <w:color w:val="auto"/>
                <w:sz w:val="24"/>
                <w:lang w:eastAsia="zh-CN"/>
              </w:rPr>
            </w:pPr>
            <w:r>
              <w:rPr>
                <w:rFonts w:hint="default" w:ascii="Times New Roman" w:hAnsi="Times New Roman" w:eastAsia="宋体" w:cs="Times New Roman"/>
                <w:color w:val="auto"/>
                <w:sz w:val="24"/>
                <w:szCs w:val="24"/>
              </w:rPr>
              <w:t>根据《控制污染物排放许可制实施方案》（国办发[2016]81号，2016年11月11日）和《关于印发&lt;排污许可证管理暂行规定&gt;的通知》（环水体[2016]186号，2016年12月23日）等文件，环境影响评价制度是建设项目的环境准入门槛，排污许可制是企事业单位生产运营期排污的法律依据，必须做好充分衔接，实现从污染预防到污染治理和排放控制的全过程监管。企业应按《固定污染源排污许可分类管理名录（2019年版）》（环境保护部令部令第45号）要求，申请并取得排污许可证</w:t>
            </w:r>
            <w:r>
              <w:rPr>
                <w:rFonts w:hint="default" w:ascii="Times New Roman" w:hAnsi="Times New Roman" w:eastAsia="宋体" w:cs="Times New Roman"/>
                <w:color w:val="auto"/>
                <w:sz w:val="24"/>
                <w:szCs w:val="24"/>
                <w:lang w:eastAsia="zh-CN"/>
              </w:rPr>
              <w:t>。</w:t>
            </w:r>
          </w:p>
          <w:p>
            <w:pPr>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lang w:eastAsia="zh-CN"/>
              </w:rPr>
              <w:t>九</w:t>
            </w:r>
            <w:r>
              <w:rPr>
                <w:rFonts w:hint="default" w:ascii="Times New Roman" w:hAnsi="Times New Roman" w:cs="Times New Roman"/>
                <w:b/>
                <w:color w:val="auto"/>
                <w:sz w:val="24"/>
              </w:rPr>
              <w:t>、环保“三同时”验收</w:t>
            </w:r>
          </w:p>
          <w:p>
            <w:pPr>
              <w:snapToGrid w:val="0"/>
              <w:spacing w:line="360" w:lineRule="auto"/>
              <w:ind w:firstLine="480" w:firstLineChars="200"/>
              <w:rPr>
                <w:rFonts w:hint="default" w:ascii="Times New Roman" w:hAnsi="Times New Roman" w:cs="Times New Roman"/>
                <w:color w:val="auto"/>
                <w:kern w:val="24"/>
                <w:sz w:val="24"/>
              </w:rPr>
            </w:pPr>
            <w:r>
              <w:rPr>
                <w:rFonts w:hint="default" w:ascii="Times New Roman" w:hAnsi="Times New Roman" w:cs="Times New Roman"/>
                <w:color w:val="auto"/>
                <w:kern w:val="24"/>
                <w:sz w:val="24"/>
              </w:rPr>
              <w:t xml:space="preserve"> “三同时”验收清单见下表。</w:t>
            </w:r>
          </w:p>
          <w:p>
            <w:pPr>
              <w:spacing w:line="360" w:lineRule="auto"/>
              <w:jc w:val="center"/>
              <w:rPr>
                <w:rFonts w:hint="default" w:ascii="Times New Roman" w:hAnsi="Times New Roman" w:cs="Times New Roman"/>
                <w:b/>
                <w:color w:val="auto"/>
                <w:sz w:val="24"/>
              </w:rPr>
            </w:pPr>
            <w:r>
              <w:rPr>
                <w:rFonts w:hint="default" w:ascii="Times New Roman" w:hAnsi="Times New Roman" w:cs="Times New Roman"/>
                <w:b/>
                <w:color w:val="auto"/>
                <w:sz w:val="24"/>
              </w:rPr>
              <w:t>表7-</w:t>
            </w:r>
            <w:r>
              <w:rPr>
                <w:rFonts w:hint="eastAsia" w:cs="Times New Roman"/>
                <w:b/>
                <w:color w:val="auto"/>
                <w:sz w:val="24"/>
                <w:lang w:val="en-US" w:eastAsia="zh-CN"/>
              </w:rPr>
              <w:t>6</w:t>
            </w:r>
            <w:r>
              <w:rPr>
                <w:rFonts w:hint="default" w:ascii="Times New Roman" w:hAnsi="Times New Roman" w:cs="Times New Roman"/>
                <w:b/>
                <w:color w:val="auto"/>
                <w:sz w:val="24"/>
              </w:rPr>
              <w:t>建设项目“三同时”验收一览表</w:t>
            </w:r>
          </w:p>
          <w:tbl>
            <w:tblPr>
              <w:tblStyle w:val="39"/>
              <w:tblW w:w="90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023"/>
              <w:gridCol w:w="3970"/>
              <w:gridCol w:w="40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1023" w:type="dxa"/>
                  <w:vAlign w:val="center"/>
                </w:tcPr>
                <w:p>
                  <w:pPr>
                    <w:pStyle w:val="82"/>
                    <w:snapToGrid/>
                    <w:ind w:firstLine="211"/>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类别</w:t>
                  </w:r>
                </w:p>
              </w:tc>
              <w:tc>
                <w:tcPr>
                  <w:tcW w:w="3970" w:type="dxa"/>
                  <w:vAlign w:val="center"/>
                </w:tcPr>
                <w:p>
                  <w:pPr>
                    <w:pStyle w:val="82"/>
                    <w:snapToGrid/>
                    <w:ind w:firstLine="211"/>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验收内容</w:t>
                  </w:r>
                </w:p>
              </w:tc>
              <w:tc>
                <w:tcPr>
                  <w:tcW w:w="4067" w:type="dxa"/>
                  <w:vAlign w:val="center"/>
                </w:tcPr>
                <w:p>
                  <w:pPr>
                    <w:pStyle w:val="82"/>
                    <w:snapToGrid/>
                    <w:ind w:firstLine="211"/>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1023" w:type="dxa"/>
                  <w:vAlign w:val="center"/>
                </w:tcPr>
                <w:p>
                  <w:pPr>
                    <w:pStyle w:val="82"/>
                    <w:snapToGrid/>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w:t>
                  </w:r>
                </w:p>
              </w:tc>
              <w:tc>
                <w:tcPr>
                  <w:tcW w:w="3970" w:type="dxa"/>
                  <w:vAlign w:val="center"/>
                </w:tcPr>
                <w:p>
                  <w:pPr>
                    <w:bidi w:val="0"/>
                    <w:rPr>
                      <w:rFonts w:hint="default"/>
                      <w:color w:val="auto"/>
                      <w:lang w:eastAsia="zh-CN"/>
                    </w:rPr>
                  </w:pPr>
                  <w:r>
                    <w:rPr>
                      <w:rFonts w:hint="eastAsia" w:cs="Times New Roman" w:eastAsiaTheme="minorEastAsia"/>
                      <w:color w:val="auto"/>
                      <w:sz w:val="21"/>
                      <w:szCs w:val="21"/>
                      <w:lang w:val="en-US" w:eastAsia="zh-CN"/>
                    </w:rPr>
                    <w:t>注塑</w:t>
                  </w:r>
                  <w:r>
                    <w:rPr>
                      <w:rFonts w:hint="default" w:ascii="Times New Roman" w:hAnsi="Times New Roman" w:cs="Times New Roman" w:eastAsiaTheme="minorEastAsia"/>
                      <w:color w:val="auto"/>
                      <w:sz w:val="21"/>
                      <w:szCs w:val="21"/>
                      <w:lang w:val="en-US" w:eastAsia="zh-CN"/>
                    </w:rPr>
                    <w:t>过程产生的有机废气</w:t>
                  </w:r>
                  <w:r>
                    <w:rPr>
                      <w:rFonts w:hint="default" w:ascii="Times New Roman" w:hAnsi="Times New Roman" w:cs="Times New Roman" w:eastAsiaTheme="minorEastAsia"/>
                      <w:color w:val="auto"/>
                      <w:sz w:val="21"/>
                      <w:szCs w:val="21"/>
                    </w:rPr>
                    <w:t>经</w:t>
                  </w:r>
                  <w:r>
                    <w:rPr>
                      <w:rFonts w:hint="eastAsia" w:cs="Times New Roman" w:eastAsiaTheme="minorEastAsia"/>
                      <w:b w:val="0"/>
                      <w:bCs w:val="0"/>
                      <w:color w:val="auto"/>
                      <w:sz w:val="21"/>
                      <w:szCs w:val="21"/>
                      <w:lang w:eastAsia="zh-CN"/>
                    </w:rPr>
                    <w:t>分子筛废气处理装置</w:t>
                  </w:r>
                  <w:r>
                    <w:rPr>
                      <w:rFonts w:hint="default" w:ascii="Times New Roman" w:hAnsi="Times New Roman" w:cs="Times New Roman" w:eastAsiaTheme="minorEastAsia"/>
                      <w:color w:val="auto"/>
                      <w:sz w:val="21"/>
                      <w:szCs w:val="21"/>
                    </w:rPr>
                    <w:t>处理后由</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5m排气筒达标排放</w:t>
                  </w:r>
                  <w:r>
                    <w:rPr>
                      <w:rFonts w:hint="eastAsia"/>
                      <w:color w:val="auto"/>
                      <w:lang w:val="en-US" w:eastAsia="zh-CN"/>
                    </w:rPr>
                    <w:t>。</w:t>
                  </w:r>
                </w:p>
              </w:tc>
              <w:tc>
                <w:tcPr>
                  <w:tcW w:w="4067" w:type="dxa"/>
                  <w:vAlign w:val="center"/>
                </w:tcPr>
                <w:p>
                  <w:pPr>
                    <w:bidi w:val="0"/>
                    <w:rPr>
                      <w:rFonts w:hint="eastAsia" w:eastAsia="宋体"/>
                      <w:color w:val="auto"/>
                      <w:lang w:eastAsia="zh-CN"/>
                    </w:rPr>
                  </w:pPr>
                  <w:r>
                    <w:rPr>
                      <w:rFonts w:hint="default"/>
                      <w:color w:val="auto"/>
                    </w:rPr>
                    <w:t>有机废气</w:t>
                  </w:r>
                  <w:r>
                    <w:rPr>
                      <w:rFonts w:hint="default"/>
                      <w:color w:val="auto"/>
                      <w:lang w:eastAsia="zh-CN"/>
                    </w:rPr>
                    <w:t>满足</w:t>
                  </w:r>
                  <w:r>
                    <w:rPr>
                      <w:rFonts w:hint="default" w:ascii="Times New Roman" w:hAnsi="Times New Roman" w:cs="Times New Roman"/>
                      <w:color w:val="auto"/>
                    </w:rPr>
                    <w:t>《挥发性有机物排放标准 第6部分：有机化工行业》（DB37/2801.6-2018）表1中Ⅱ时段（VOCs浓度限值≦60mg/m3、速率限值≦3.0kg/h）以及表3厂界监控点浓度限值（VOCs浓度限值≦2.0mg/m3）</w:t>
                  </w:r>
                  <w:r>
                    <w:rPr>
                      <w:rFonts w:hint="default" w:ascii="Times New Roman" w:hAnsi="Times New Roman" w:cs="Times New Roman"/>
                      <w:color w:val="auto"/>
                      <w:lang w:eastAsia="zh-CN"/>
                    </w:rPr>
                    <w:t>、《挥发性有机物无组织排放控制标准》（</w:t>
                  </w:r>
                  <w:r>
                    <w:rPr>
                      <w:rFonts w:hint="default" w:ascii="Times New Roman" w:hAnsi="Times New Roman" w:cs="Times New Roman"/>
                      <w:color w:val="auto"/>
                      <w:lang w:val="en-US" w:eastAsia="zh-CN"/>
                    </w:rPr>
                    <w:t>GB37822-2019</w:t>
                  </w:r>
                  <w:r>
                    <w:rPr>
                      <w:rFonts w:hint="default" w:ascii="Times New Roman" w:hAnsi="Times New Roman" w:cs="Times New Roman"/>
                      <w:color w:val="auto"/>
                      <w:lang w:eastAsia="zh-CN"/>
                    </w:rPr>
                    <w:t>）及附录</w:t>
                  </w:r>
                  <w:r>
                    <w:rPr>
                      <w:rFonts w:hint="default" w:ascii="Times New Roman" w:hAnsi="Times New Roman" w:cs="Times New Roman"/>
                      <w:color w:val="auto"/>
                      <w:lang w:val="en-US" w:eastAsia="zh-CN"/>
                    </w:rPr>
                    <w:t>A厂区内VOCs无组织排放监控要求</w:t>
                  </w:r>
                  <w:r>
                    <w:rPr>
                      <w:rFonts w:hint="default"/>
                      <w:color w:va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942" w:hRule="atLeast"/>
                <w:jc w:val="center"/>
              </w:trPr>
              <w:tc>
                <w:tcPr>
                  <w:tcW w:w="102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噪声</w:t>
                  </w:r>
                </w:p>
              </w:tc>
              <w:tc>
                <w:tcPr>
                  <w:tcW w:w="3970" w:type="dxa"/>
                  <w:vAlign w:val="center"/>
                </w:tcPr>
                <w:p>
                  <w:pPr>
                    <w:rPr>
                      <w:rFonts w:hint="default" w:ascii="Times New Roman" w:hAnsi="Times New Roman" w:cs="Times New Roman"/>
                      <w:bCs/>
                      <w:color w:val="auto"/>
                      <w:szCs w:val="21"/>
                    </w:rPr>
                  </w:pPr>
                  <w:r>
                    <w:rPr>
                      <w:rFonts w:hint="default" w:ascii="Times New Roman" w:hAnsi="Times New Roman" w:cs="Times New Roman"/>
                      <w:color w:val="auto"/>
                      <w:szCs w:val="21"/>
                    </w:rPr>
                    <w:t>采取隔声、减震</w:t>
                  </w:r>
                  <w:r>
                    <w:rPr>
                      <w:rFonts w:hint="default" w:ascii="Times New Roman" w:hAnsi="Times New Roman" w:cs="Times New Roman"/>
                      <w:color w:val="auto"/>
                      <w:szCs w:val="21"/>
                      <w:lang w:eastAsia="zh-CN"/>
                    </w:rPr>
                    <w:t>、合理布局</w:t>
                  </w:r>
                  <w:r>
                    <w:rPr>
                      <w:rFonts w:hint="default" w:ascii="Times New Roman" w:hAnsi="Times New Roman" w:cs="Times New Roman"/>
                      <w:color w:val="auto"/>
                      <w:szCs w:val="21"/>
                    </w:rPr>
                    <w:t>等措施</w:t>
                  </w:r>
                  <w:r>
                    <w:rPr>
                      <w:rFonts w:hint="default" w:ascii="Times New Roman" w:hAnsi="Times New Roman" w:cs="Times New Roman"/>
                      <w:bCs/>
                      <w:color w:val="auto"/>
                      <w:szCs w:val="21"/>
                    </w:rPr>
                    <w:t>。</w:t>
                  </w:r>
                </w:p>
              </w:tc>
              <w:tc>
                <w:tcPr>
                  <w:tcW w:w="4067" w:type="dxa"/>
                  <w:vAlign w:val="center"/>
                </w:tcPr>
                <w:p>
                  <w:pPr>
                    <w:ind w:leftChars="-13" w:hanging="27" w:hangingChars="13"/>
                    <w:jc w:val="center"/>
                    <w:rPr>
                      <w:rFonts w:hint="default" w:ascii="Times New Roman" w:hAnsi="Times New Roman" w:cs="Times New Roman"/>
                      <w:bCs/>
                      <w:color w:val="auto"/>
                      <w:kern w:val="24"/>
                      <w:szCs w:val="21"/>
                    </w:rPr>
                  </w:pPr>
                  <w:r>
                    <w:rPr>
                      <w:rFonts w:hint="default" w:ascii="Times New Roman" w:hAnsi="Times New Roman" w:cs="Times New Roman"/>
                      <w:bCs/>
                      <w:color w:val="auto"/>
                      <w:szCs w:val="21"/>
                    </w:rPr>
                    <w:t>厂界噪声满足</w:t>
                  </w:r>
                  <w:r>
                    <w:rPr>
                      <w:rFonts w:hint="default" w:ascii="Times New Roman" w:hAnsi="Times New Roman" w:cs="Times New Roman"/>
                      <w:color w:val="auto"/>
                      <w:szCs w:val="21"/>
                    </w:rPr>
                    <w:t>《工业企业厂界环境噪声排放标准》（GB12348-2008）</w:t>
                  </w:r>
                  <w:r>
                    <w:rPr>
                      <w:rFonts w:hint="eastAsia" w:cs="Times New Roman"/>
                      <w:color w:val="auto"/>
                      <w:szCs w:val="21"/>
                      <w:lang w:val="en-US" w:eastAsia="zh-CN"/>
                    </w:rPr>
                    <w:t>3</w:t>
                  </w:r>
                  <w:r>
                    <w:rPr>
                      <w:rFonts w:hint="default" w:ascii="Times New Roman" w:hAnsi="Times New Roman" w:cs="Times New Roman"/>
                      <w:color w:val="auto"/>
                      <w:szCs w:val="21"/>
                    </w:rPr>
                    <w:t>类标准（昼间6</w:t>
                  </w:r>
                  <w:r>
                    <w:rPr>
                      <w:rFonts w:hint="eastAsia" w:cs="Times New Roman"/>
                      <w:color w:val="auto"/>
                      <w:szCs w:val="21"/>
                      <w:lang w:val="en-US" w:eastAsia="zh-CN"/>
                    </w:rPr>
                    <w:t>5</w:t>
                  </w:r>
                  <w:r>
                    <w:rPr>
                      <w:rFonts w:hint="default" w:ascii="Times New Roman" w:hAnsi="Times New Roman" w:cs="Times New Roman"/>
                      <w:color w:val="auto"/>
                      <w:szCs w:val="21"/>
                    </w:rPr>
                    <w:t>dB（A）、夜间5</w:t>
                  </w:r>
                  <w:r>
                    <w:rPr>
                      <w:rFonts w:hint="eastAsia" w:cs="Times New Roman"/>
                      <w:color w:val="auto"/>
                      <w:szCs w:val="21"/>
                      <w:lang w:val="en-US" w:eastAsia="zh-CN"/>
                    </w:rPr>
                    <w:t>5</w:t>
                  </w:r>
                  <w:r>
                    <w:rPr>
                      <w:rFonts w:hint="default" w:ascii="Times New Roman" w:hAnsi="Times New Roman" w:cs="Times New Roman"/>
                      <w:color w:val="auto"/>
                      <w:szCs w:val="21"/>
                    </w:rPr>
                    <w:t>dB（A））</w:t>
                  </w:r>
                  <w:r>
                    <w:rPr>
                      <w:rFonts w:hint="default" w:ascii="Times New Roman" w:hAnsi="Times New Roman" w:cs="Times New Roman"/>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860" w:hRule="atLeast"/>
                <w:jc w:val="center"/>
              </w:trPr>
              <w:tc>
                <w:tcPr>
                  <w:tcW w:w="102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废水</w:t>
                  </w:r>
                </w:p>
              </w:tc>
              <w:tc>
                <w:tcPr>
                  <w:tcW w:w="3970" w:type="dxa"/>
                  <w:vAlign w:val="center"/>
                </w:tcPr>
                <w:p>
                  <w:pPr>
                    <w:rPr>
                      <w:rFonts w:hint="default" w:ascii="Times New Roman" w:hAnsi="Times New Roman" w:cs="Times New Roman"/>
                      <w:bCs/>
                      <w:color w:val="auto"/>
                      <w:szCs w:val="21"/>
                    </w:rPr>
                  </w:pPr>
                  <w:r>
                    <w:rPr>
                      <w:rFonts w:hint="default" w:ascii="Times New Roman" w:hAnsi="Times New Roman" w:cs="Times New Roman"/>
                      <w:color w:val="auto"/>
                      <w:szCs w:val="21"/>
                    </w:rPr>
                    <w:t>生活污水经化粪池预处理后由污水管网输送至</w:t>
                  </w:r>
                  <w:r>
                    <w:rPr>
                      <w:rFonts w:hint="eastAsia" w:cs="Times New Roman"/>
                      <w:color w:val="auto"/>
                      <w:szCs w:val="21"/>
                      <w:lang w:eastAsia="zh-CN"/>
                    </w:rPr>
                    <w:t>威海初村污水处理厂</w:t>
                  </w:r>
                  <w:r>
                    <w:rPr>
                      <w:rFonts w:hint="default" w:ascii="Times New Roman" w:hAnsi="Times New Roman" w:cs="Times New Roman"/>
                      <w:color w:val="auto"/>
                      <w:szCs w:val="21"/>
                    </w:rPr>
                    <w:t>处理，达标排放。</w:t>
                  </w:r>
                </w:p>
              </w:tc>
              <w:tc>
                <w:tcPr>
                  <w:tcW w:w="406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szCs w:val="21"/>
                    </w:rPr>
                    <w:t>废水满足《污水排入城镇下水道水质标准》（GB/T31962-2015）表1中B等级（主要污染物CODcr≦500mg/L、氨氮≦45mg/L）。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997" w:hRule="atLeast"/>
                <w:jc w:val="center"/>
              </w:trPr>
              <w:tc>
                <w:tcPr>
                  <w:tcW w:w="1023"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固体废物</w:t>
                  </w:r>
                </w:p>
              </w:tc>
              <w:tc>
                <w:tcPr>
                  <w:tcW w:w="3970" w:type="dxa"/>
                  <w:vAlign w:val="center"/>
                </w:tcPr>
                <w:p>
                  <w:pPr>
                    <w:rPr>
                      <w:rFonts w:hint="default" w:ascii="Times New Roman" w:hAnsi="Times New Roman" w:cs="Times New Roman"/>
                      <w:bCs/>
                      <w:color w:val="auto"/>
                      <w:sz w:val="21"/>
                      <w:szCs w:val="21"/>
                    </w:rPr>
                  </w:pPr>
                  <w:r>
                    <w:rPr>
                      <w:rFonts w:ascii="Times New Roman"/>
                      <w:color w:val="auto"/>
                      <w:sz w:val="21"/>
                      <w:szCs w:val="21"/>
                    </w:rPr>
                    <w:t>生活垃圾由环卫部门运送至威海市垃圾处理场合理处置，</w:t>
                  </w:r>
                  <w:r>
                    <w:rPr>
                      <w:rFonts w:hint="eastAsia" w:ascii="Times New Roman" w:hAnsi="Times New Roman" w:cs="Times New Roman"/>
                      <w:color w:val="auto"/>
                      <w:sz w:val="21"/>
                      <w:szCs w:val="21"/>
                      <w:lang w:eastAsia="zh-CN"/>
                    </w:rPr>
                    <w:t>下脚料</w:t>
                  </w:r>
                  <w:r>
                    <w:rPr>
                      <w:rFonts w:hint="eastAsia" w:cs="Times New Roman"/>
                      <w:color w:val="auto"/>
                      <w:sz w:val="21"/>
                      <w:szCs w:val="21"/>
                      <w:lang w:eastAsia="zh-CN"/>
                    </w:rPr>
                    <w:t>、不合格品、</w:t>
                  </w:r>
                  <w:r>
                    <w:rPr>
                      <w:rFonts w:hint="eastAsia" w:ascii="Times New Roman" w:hAnsi="Times New Roman" w:cs="Times New Roman"/>
                      <w:color w:val="auto"/>
                      <w:sz w:val="21"/>
                      <w:szCs w:val="21"/>
                      <w:lang w:eastAsia="zh-CN"/>
                    </w:rPr>
                    <w:t>废包装</w:t>
                  </w:r>
                  <w:r>
                    <w:rPr>
                      <w:rFonts w:ascii="Times New Roman"/>
                      <w:color w:val="auto"/>
                      <w:sz w:val="21"/>
                      <w:szCs w:val="21"/>
                    </w:rPr>
                    <w:t>由</w:t>
                  </w:r>
                  <w:r>
                    <w:rPr>
                      <w:rFonts w:hint="eastAsia"/>
                      <w:color w:val="auto"/>
                      <w:sz w:val="21"/>
                      <w:szCs w:val="21"/>
                      <w:lang w:eastAsia="zh-CN"/>
                    </w:rPr>
                    <w:t>物资</w:t>
                  </w:r>
                  <w:r>
                    <w:rPr>
                      <w:rFonts w:ascii="Times New Roman"/>
                      <w:color w:val="auto"/>
                      <w:sz w:val="21"/>
                      <w:szCs w:val="21"/>
                    </w:rPr>
                    <w:t>回收公司回收利用，</w:t>
                  </w:r>
                  <w:r>
                    <w:rPr>
                      <w:rFonts w:hint="eastAsia"/>
                      <w:color w:val="auto"/>
                      <w:sz w:val="21"/>
                      <w:szCs w:val="21"/>
                      <w:lang w:eastAsia="zh-CN"/>
                    </w:rPr>
                    <w:t>废分子筛</w:t>
                  </w:r>
                  <w:r>
                    <w:rPr>
                      <w:rFonts w:hint="eastAsia" w:ascii="Times New Roman"/>
                      <w:color w:val="auto"/>
                      <w:sz w:val="21"/>
                      <w:szCs w:val="21"/>
                    </w:rPr>
                    <w:t>委托</w:t>
                  </w:r>
                  <w:r>
                    <w:rPr>
                      <w:rFonts w:ascii="Times New Roman"/>
                      <w:color w:val="auto"/>
                      <w:sz w:val="21"/>
                      <w:szCs w:val="21"/>
                    </w:rPr>
                    <w:t>有</w:t>
                  </w:r>
                  <w:r>
                    <w:rPr>
                      <w:rFonts w:hint="eastAsia" w:ascii="Times New Roman"/>
                      <w:color w:val="auto"/>
                      <w:sz w:val="21"/>
                      <w:szCs w:val="21"/>
                      <w:lang w:eastAsia="zh-CN"/>
                    </w:rPr>
                    <w:t>危险废物处置</w:t>
                  </w:r>
                  <w:r>
                    <w:rPr>
                      <w:rFonts w:ascii="Times New Roman"/>
                      <w:color w:val="auto"/>
                      <w:sz w:val="21"/>
                      <w:szCs w:val="21"/>
                    </w:rPr>
                    <w:t>资质的单位进行</w:t>
                  </w:r>
                  <w:r>
                    <w:rPr>
                      <w:rFonts w:hint="eastAsia" w:ascii="Times New Roman"/>
                      <w:color w:val="auto"/>
                      <w:sz w:val="21"/>
                      <w:szCs w:val="21"/>
                    </w:rPr>
                    <w:t>回收</w:t>
                  </w:r>
                  <w:r>
                    <w:rPr>
                      <w:rFonts w:ascii="Times New Roman"/>
                      <w:color w:val="auto"/>
                      <w:sz w:val="21"/>
                      <w:szCs w:val="21"/>
                    </w:rPr>
                    <w:t>处置</w:t>
                  </w:r>
                  <w:r>
                    <w:rPr>
                      <w:rFonts w:hint="default" w:ascii="Times New Roman" w:hAnsi="Times New Roman" w:cs="Times New Roman"/>
                      <w:bCs/>
                      <w:color w:val="auto"/>
                      <w:sz w:val="21"/>
                      <w:szCs w:val="21"/>
                    </w:rPr>
                    <w:t>。</w:t>
                  </w:r>
                </w:p>
              </w:tc>
              <w:tc>
                <w:tcPr>
                  <w:tcW w:w="4067"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一般固废</w:t>
                  </w:r>
                  <w:r>
                    <w:rPr>
                      <w:rFonts w:hint="default" w:ascii="Times New Roman" w:hAnsi="Times New Roman" w:cs="Times New Roman"/>
                      <w:color w:val="auto"/>
                      <w:sz w:val="21"/>
                      <w:szCs w:val="21"/>
                    </w:rPr>
                    <w:t>满足《一般工业固体废物贮存、处置场污染控制标准》（GB 18599-2001）及其修改单；危险废物满足《危险废物贮存污染控制标准》（GB18597-2001）及其修改单。</w:t>
                  </w:r>
                </w:p>
              </w:tc>
            </w:tr>
          </w:tbl>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both"/>
              <w:rPr>
                <w:rFonts w:hint="default" w:ascii="Times New Roman" w:hAnsi="Times New Roman" w:cs="Times New Roman"/>
                <w:b/>
                <w:color w:val="auto"/>
                <w:sz w:val="24"/>
              </w:rPr>
            </w:pPr>
          </w:p>
          <w:p>
            <w:pPr>
              <w:rPr>
                <w:rFonts w:hint="default" w:ascii="Times New Roman" w:hAnsi="Times New Roman" w:cs="Times New Roman"/>
                <w:color w:val="auto"/>
              </w:rPr>
            </w:pPr>
          </w:p>
        </w:tc>
      </w:tr>
    </w:tbl>
    <w:p>
      <w:pPr>
        <w:spacing w:after="12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八、建设项目拟采取的防治措施及预期治理效果</w:t>
      </w:r>
    </w:p>
    <w:tbl>
      <w:tblPr>
        <w:tblStyle w:val="39"/>
        <w:tblW w:w="92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6"/>
        <w:gridCol w:w="936"/>
        <w:gridCol w:w="1320"/>
        <w:gridCol w:w="2136"/>
        <w:gridCol w:w="40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类型</w:t>
            </w:r>
          </w:p>
        </w:tc>
        <w:tc>
          <w:tcPr>
            <w:tcW w:w="93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排放源</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（编号）</w:t>
            </w:r>
          </w:p>
        </w:tc>
        <w:tc>
          <w:tcPr>
            <w:tcW w:w="13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213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防治措施</w:t>
            </w:r>
          </w:p>
        </w:tc>
        <w:tc>
          <w:tcPr>
            <w:tcW w:w="40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7" w:hRule="atLeast"/>
          <w:jc w:val="center"/>
        </w:trPr>
        <w:tc>
          <w:tcPr>
            <w:tcW w:w="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大气</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936" w:type="dxa"/>
            <w:vAlign w:val="center"/>
          </w:tcPr>
          <w:p>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生产</w:t>
            </w:r>
          </w:p>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过程</w:t>
            </w:r>
          </w:p>
        </w:tc>
        <w:tc>
          <w:tcPr>
            <w:tcW w:w="1320" w:type="dxa"/>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VOCs</w:t>
            </w:r>
          </w:p>
        </w:tc>
        <w:tc>
          <w:tcPr>
            <w:tcW w:w="2136" w:type="dxa"/>
            <w:vAlign w:val="center"/>
          </w:tcPr>
          <w:p>
            <w:pPr>
              <w:bidi w:val="0"/>
              <w:rPr>
                <w:rFonts w:hint="default" w:ascii="Times New Roman" w:hAnsi="Times New Roman" w:cs="Times New Roman"/>
                <w:color w:val="auto"/>
                <w:sz w:val="21"/>
                <w:szCs w:val="21"/>
              </w:rPr>
            </w:pPr>
            <w:r>
              <w:rPr>
                <w:rFonts w:hint="eastAsia" w:cs="Times New Roman" w:eastAsiaTheme="minorEastAsia"/>
                <w:color w:val="auto"/>
                <w:sz w:val="21"/>
                <w:szCs w:val="21"/>
                <w:lang w:val="en-US" w:eastAsia="zh-CN"/>
              </w:rPr>
              <w:t>注塑</w:t>
            </w:r>
            <w:r>
              <w:rPr>
                <w:rFonts w:hint="default" w:ascii="Times New Roman" w:hAnsi="Times New Roman" w:cs="Times New Roman" w:eastAsiaTheme="minorEastAsia"/>
                <w:color w:val="auto"/>
                <w:sz w:val="21"/>
                <w:szCs w:val="21"/>
                <w:lang w:val="en-US" w:eastAsia="zh-CN"/>
              </w:rPr>
              <w:t>过程产生的有机废气</w:t>
            </w:r>
            <w:r>
              <w:rPr>
                <w:rFonts w:hint="default" w:ascii="Times New Roman" w:hAnsi="Times New Roman" w:cs="Times New Roman" w:eastAsiaTheme="minorEastAsia"/>
                <w:color w:val="auto"/>
                <w:sz w:val="21"/>
                <w:szCs w:val="21"/>
              </w:rPr>
              <w:t>经</w:t>
            </w:r>
            <w:r>
              <w:rPr>
                <w:rFonts w:hint="eastAsia" w:cs="Times New Roman" w:eastAsiaTheme="minorEastAsia"/>
                <w:b w:val="0"/>
                <w:bCs w:val="0"/>
                <w:color w:val="auto"/>
                <w:sz w:val="21"/>
                <w:szCs w:val="21"/>
                <w:lang w:eastAsia="zh-CN"/>
              </w:rPr>
              <w:t>分子筛废气处理装置</w:t>
            </w:r>
            <w:r>
              <w:rPr>
                <w:rFonts w:hint="default" w:ascii="Times New Roman" w:hAnsi="Times New Roman" w:cs="Times New Roman" w:eastAsiaTheme="minorEastAsia"/>
                <w:color w:val="auto"/>
                <w:sz w:val="21"/>
                <w:szCs w:val="21"/>
              </w:rPr>
              <w:t>处理后由</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5m排气筒达标排放</w:t>
            </w:r>
            <w:r>
              <w:rPr>
                <w:rFonts w:hint="eastAsia"/>
                <w:color w:val="auto"/>
                <w:lang w:val="en-US" w:eastAsia="zh-CN"/>
              </w:rPr>
              <w:t>。</w:t>
            </w:r>
          </w:p>
        </w:tc>
        <w:tc>
          <w:tcPr>
            <w:tcW w:w="4084" w:type="dxa"/>
            <w:vAlign w:val="center"/>
          </w:tcPr>
          <w:p>
            <w:pPr>
              <w:bidi w:val="0"/>
              <w:rPr>
                <w:rFonts w:hint="default" w:ascii="Times New Roman" w:hAnsi="Times New Roman" w:cs="Times New Roman" w:eastAsiaTheme="minorEastAsia"/>
                <w:color w:val="auto"/>
                <w:sz w:val="21"/>
                <w:szCs w:val="21"/>
                <w:lang w:eastAsia="zh-CN"/>
              </w:rPr>
            </w:pPr>
            <w:r>
              <w:rPr>
                <w:rFonts w:hint="default"/>
                <w:color w:val="auto"/>
              </w:rPr>
              <w:t>有机废气</w:t>
            </w:r>
            <w:r>
              <w:rPr>
                <w:rFonts w:hint="default"/>
                <w:color w:val="auto"/>
                <w:lang w:eastAsia="zh-CN"/>
              </w:rPr>
              <w:t>满足</w:t>
            </w:r>
            <w:r>
              <w:rPr>
                <w:rFonts w:hint="default" w:ascii="Times New Roman" w:hAnsi="Times New Roman" w:cs="Times New Roman"/>
                <w:color w:val="auto"/>
              </w:rPr>
              <w:t>《挥发性有机物排放标准 第6部分：有机化工行业》（DB37/2801.6-2018）表1中Ⅱ时段（VOCs浓度限值≦60mg/m3、速率限值≦3.0kg/h）以及表3厂界监控点浓度限值（VOCs浓度限值≦2.0mg/m3）</w:t>
            </w:r>
            <w:r>
              <w:rPr>
                <w:rFonts w:hint="default" w:ascii="Times New Roman" w:hAnsi="Times New Roman" w:cs="Times New Roman"/>
                <w:color w:val="auto"/>
                <w:lang w:eastAsia="zh-CN"/>
              </w:rPr>
              <w:t>、《挥发性有机物无组织排放控制标准》（</w:t>
            </w:r>
            <w:r>
              <w:rPr>
                <w:rFonts w:hint="default" w:ascii="Times New Roman" w:hAnsi="Times New Roman" w:cs="Times New Roman"/>
                <w:color w:val="auto"/>
                <w:lang w:val="en-US" w:eastAsia="zh-CN"/>
              </w:rPr>
              <w:t>GB37822-2019</w:t>
            </w:r>
            <w:r>
              <w:rPr>
                <w:rFonts w:hint="default" w:ascii="Times New Roman" w:hAnsi="Times New Roman" w:cs="Times New Roman"/>
                <w:color w:val="auto"/>
                <w:lang w:eastAsia="zh-CN"/>
              </w:rPr>
              <w:t>）及附录</w:t>
            </w:r>
            <w:r>
              <w:rPr>
                <w:rFonts w:hint="default" w:ascii="Times New Roman" w:hAnsi="Times New Roman" w:cs="Times New Roman"/>
                <w:color w:val="auto"/>
                <w:lang w:val="en-US" w:eastAsia="zh-CN"/>
              </w:rPr>
              <w:t>A厂区内VOCs无组织排放监控要求</w:t>
            </w:r>
            <w:r>
              <w:rPr>
                <w:rFonts w:hint="default"/>
                <w:color w:va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95" w:hRule="atLeast"/>
          <w:jc w:val="center"/>
        </w:trPr>
        <w:tc>
          <w:tcPr>
            <w:tcW w:w="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水污</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染物</w:t>
            </w:r>
          </w:p>
        </w:tc>
        <w:tc>
          <w:tcPr>
            <w:tcW w:w="93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污水</w:t>
            </w:r>
          </w:p>
        </w:tc>
        <w:tc>
          <w:tcPr>
            <w:tcW w:w="13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CODcr</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2136"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生活污水经化粪池预处理后由污水管网输送至</w:t>
            </w:r>
            <w:r>
              <w:rPr>
                <w:rFonts w:hint="eastAsia" w:cs="Times New Roman"/>
                <w:color w:val="auto"/>
                <w:szCs w:val="21"/>
                <w:lang w:eastAsia="zh-CN"/>
              </w:rPr>
              <w:t>威海初村污水处理厂</w:t>
            </w:r>
            <w:r>
              <w:rPr>
                <w:rFonts w:hint="default" w:ascii="Times New Roman" w:hAnsi="Times New Roman" w:cs="Times New Roman"/>
                <w:color w:val="auto"/>
                <w:szCs w:val="21"/>
              </w:rPr>
              <w:t>处理，达标排放。</w:t>
            </w:r>
          </w:p>
        </w:tc>
        <w:tc>
          <w:tcPr>
            <w:tcW w:w="40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废水满足《污水排入城镇下水道水质标准》（GB/T31962-2015）表1中B等级（主要污染物CODcr≦500mg/L、氨氮≦45mg/L）。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35" w:hRule="atLeast"/>
          <w:jc w:val="center"/>
        </w:trPr>
        <w:tc>
          <w:tcPr>
            <w:tcW w:w="78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体</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物</w:t>
            </w:r>
          </w:p>
        </w:tc>
        <w:tc>
          <w:tcPr>
            <w:tcW w:w="93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生产</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过程</w:t>
            </w:r>
          </w:p>
        </w:tc>
        <w:tc>
          <w:tcPr>
            <w:tcW w:w="1320" w:type="dxa"/>
            <w:vAlign w:val="center"/>
          </w:tcPr>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废包装、</w:t>
            </w:r>
          </w:p>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不合格品、</w:t>
            </w:r>
            <w:r>
              <w:rPr>
                <w:rFonts w:hint="eastAsia" w:cs="Times New Roman"/>
                <w:color w:val="auto"/>
                <w:sz w:val="21"/>
                <w:szCs w:val="21"/>
                <w:lang w:eastAsia="zh-CN"/>
              </w:rPr>
              <w:t>下脚料</w:t>
            </w:r>
          </w:p>
        </w:tc>
        <w:tc>
          <w:tcPr>
            <w:tcW w:w="213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由物资回收部门回收处置</w:t>
            </w:r>
          </w:p>
        </w:tc>
        <w:tc>
          <w:tcPr>
            <w:tcW w:w="40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满足《一般工业固体废物贮存、处置场污染控制标准》（GB 18599-2001）及其修改单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43" w:hRule="atLeast"/>
          <w:jc w:val="center"/>
        </w:trPr>
        <w:tc>
          <w:tcPr>
            <w:tcW w:w="786" w:type="dxa"/>
            <w:vMerge w:val="continue"/>
            <w:vAlign w:val="center"/>
          </w:tcPr>
          <w:p>
            <w:pPr>
              <w:jc w:val="center"/>
              <w:rPr>
                <w:rFonts w:hint="default" w:ascii="Times New Roman" w:hAnsi="Times New Roman" w:cs="Times New Roman"/>
                <w:color w:val="auto"/>
                <w:szCs w:val="21"/>
              </w:rPr>
            </w:pPr>
          </w:p>
        </w:tc>
        <w:tc>
          <w:tcPr>
            <w:tcW w:w="936" w:type="dxa"/>
            <w:vMerge w:val="continue"/>
            <w:vAlign w:val="center"/>
          </w:tcPr>
          <w:p>
            <w:pPr>
              <w:jc w:val="center"/>
              <w:rPr>
                <w:rFonts w:hint="default" w:ascii="Times New Roman" w:hAnsi="Times New Roman" w:cs="Times New Roman"/>
                <w:color w:val="auto"/>
                <w:szCs w:val="21"/>
              </w:rPr>
            </w:pPr>
          </w:p>
        </w:tc>
        <w:tc>
          <w:tcPr>
            <w:tcW w:w="1320" w:type="dxa"/>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 w:val="21"/>
                <w:szCs w:val="21"/>
                <w:lang w:eastAsia="zh-CN"/>
              </w:rPr>
              <w:t>废分子筛</w:t>
            </w:r>
          </w:p>
        </w:tc>
        <w:tc>
          <w:tcPr>
            <w:tcW w:w="213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由有危废处置资质单位处置</w:t>
            </w:r>
          </w:p>
        </w:tc>
        <w:tc>
          <w:tcPr>
            <w:tcW w:w="40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满足《危险废物贮存污染控制标准》（GB18597-2001）及其修改单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jc w:val="center"/>
        </w:trPr>
        <w:tc>
          <w:tcPr>
            <w:tcW w:w="786" w:type="dxa"/>
            <w:vMerge w:val="continue"/>
            <w:vAlign w:val="center"/>
          </w:tcPr>
          <w:p>
            <w:pPr>
              <w:jc w:val="center"/>
              <w:rPr>
                <w:rFonts w:hint="default" w:ascii="Times New Roman" w:hAnsi="Times New Roman" w:cs="Times New Roman"/>
                <w:color w:val="auto"/>
                <w:szCs w:val="21"/>
              </w:rPr>
            </w:pPr>
          </w:p>
        </w:tc>
        <w:tc>
          <w:tcPr>
            <w:tcW w:w="93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职工</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w:t>
            </w:r>
          </w:p>
        </w:tc>
        <w:tc>
          <w:tcPr>
            <w:tcW w:w="132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213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由环卫部门定期清运</w:t>
            </w:r>
          </w:p>
        </w:tc>
        <w:tc>
          <w:tcPr>
            <w:tcW w:w="40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满足《一般工业固体废物贮存、处置场污染控制标准》（GB 18599-2001）及其修改单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声</w:t>
            </w:r>
          </w:p>
        </w:tc>
        <w:tc>
          <w:tcPr>
            <w:tcW w:w="936" w:type="dxa"/>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营运期</w:t>
            </w:r>
          </w:p>
        </w:tc>
        <w:tc>
          <w:tcPr>
            <w:tcW w:w="1320" w:type="dxa"/>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设备噪声</w:t>
            </w:r>
          </w:p>
        </w:tc>
        <w:tc>
          <w:tcPr>
            <w:tcW w:w="2136" w:type="dxa"/>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采取隔声、减震</w:t>
            </w:r>
            <w:r>
              <w:rPr>
                <w:rFonts w:hint="default" w:ascii="Times New Roman" w:hAnsi="Times New Roman" w:cs="Times New Roman"/>
                <w:color w:val="auto"/>
                <w:szCs w:val="21"/>
                <w:lang w:eastAsia="zh-CN"/>
              </w:rPr>
              <w:t>、合理布局</w:t>
            </w:r>
            <w:r>
              <w:rPr>
                <w:rFonts w:hint="default" w:ascii="Times New Roman" w:hAnsi="Times New Roman" w:cs="Times New Roman"/>
                <w:color w:val="auto"/>
                <w:szCs w:val="21"/>
              </w:rPr>
              <w:t>等措施</w:t>
            </w:r>
          </w:p>
        </w:tc>
        <w:tc>
          <w:tcPr>
            <w:tcW w:w="40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满足《工业企业厂界环境噪声排放标准》（GB12348-2008）</w:t>
            </w:r>
            <w:r>
              <w:rPr>
                <w:rFonts w:hint="eastAsia" w:cs="Times New Roman"/>
                <w:color w:val="auto"/>
                <w:szCs w:val="21"/>
                <w:lang w:val="en-US" w:eastAsia="zh-CN"/>
              </w:rPr>
              <w:t>3</w:t>
            </w:r>
            <w:r>
              <w:rPr>
                <w:rFonts w:hint="default" w:ascii="Times New Roman" w:hAnsi="Times New Roman" w:cs="Times New Roman"/>
                <w:color w:val="auto"/>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其他</w:t>
            </w:r>
          </w:p>
        </w:tc>
        <w:tc>
          <w:tcPr>
            <w:tcW w:w="8476" w:type="dxa"/>
            <w:gridSpan w:val="4"/>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02" w:hRule="atLeast"/>
          <w:jc w:val="center"/>
        </w:trPr>
        <w:tc>
          <w:tcPr>
            <w:tcW w:w="9262" w:type="dxa"/>
            <w:gridSpan w:val="5"/>
            <w:vAlign w:val="center"/>
          </w:tcPr>
          <w:p>
            <w:pPr>
              <w:jc w:val="left"/>
              <w:rPr>
                <w:rFonts w:hint="default" w:ascii="Times New Roman" w:hAnsi="Times New Roman" w:cs="Times New Roman"/>
                <w:color w:val="auto"/>
              </w:rPr>
            </w:pPr>
          </w:p>
          <w:p>
            <w:pPr>
              <w:jc w:val="left"/>
              <w:rPr>
                <w:rFonts w:hint="default" w:ascii="Times New Roman" w:hAnsi="Times New Roman" w:cs="Times New Roman"/>
                <w:color w:val="auto"/>
              </w:rPr>
            </w:pPr>
            <w:r>
              <w:rPr>
                <w:rFonts w:hint="default" w:ascii="Times New Roman" w:hAnsi="Times New Roman" w:cs="Times New Roman"/>
                <w:color w:val="auto"/>
              </w:rPr>
              <w:t>生态保护措施及预期效果：</w:t>
            </w:r>
          </w:p>
          <w:p>
            <w:pPr>
              <w:jc w:val="left"/>
              <w:rPr>
                <w:rFonts w:hint="default" w:ascii="Times New Roman" w:hAnsi="Times New Roman" w:cs="Times New Roman"/>
                <w:color w:val="auto"/>
              </w:rPr>
            </w:pPr>
          </w:p>
          <w:p>
            <w:pPr>
              <w:spacing w:line="360" w:lineRule="auto"/>
              <w:ind w:firstLine="420"/>
              <w:jc w:val="left"/>
              <w:rPr>
                <w:rFonts w:hint="default" w:ascii="Times New Roman" w:hAnsi="Times New Roman" w:cs="Times New Roman"/>
                <w:color w:val="auto"/>
              </w:rPr>
            </w:pPr>
            <w:r>
              <w:rPr>
                <w:rFonts w:hint="default" w:ascii="Times New Roman" w:hAnsi="Times New Roman" w:cs="Times New Roman"/>
                <w:color w:val="auto"/>
              </w:rPr>
              <w:t>本项目拟采取的主要生态保护措施为进行区内绿化，通过加强绿化和管理，提高物种的优良率，以当地物种为主，选取适宜的物种，尽可能提高区域内的绿化率，以达到降低噪声、防止水土流失、增加地下水补给量、美化生活环境的作用。</w:t>
            </w:r>
          </w:p>
        </w:tc>
      </w:tr>
    </w:tbl>
    <w:p>
      <w:pPr>
        <w:numPr>
          <w:ilvl w:val="0"/>
          <w:numId w:val="7"/>
        </w:numPr>
        <w:spacing w:after="120"/>
        <w:rPr>
          <w:rFonts w:hint="default" w:ascii="Times New Roman" w:hAnsi="Times New Roman" w:eastAsia="黑体" w:cs="Times New Roman"/>
          <w:color w:val="auto"/>
          <w:sz w:val="30"/>
          <w:szCs w:val="30"/>
        </w:rPr>
        <w:sectPr>
          <w:footerReference r:id="rId8" w:type="default"/>
          <w:pgSz w:w="11907" w:h="16840"/>
          <w:pgMar w:top="1402" w:right="1797" w:bottom="1558"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before="120" w:after="12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九、结论与建议</w:t>
      </w:r>
    </w:p>
    <w:tbl>
      <w:tblPr>
        <w:tblStyle w:val="39"/>
        <w:tblW w:w="9356"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35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356" w:type="dxa"/>
          </w:tcPr>
          <w:p>
            <w:pPr>
              <w:spacing w:beforeLines="50"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一、结论：</w:t>
            </w:r>
          </w:p>
          <w:p>
            <w:pPr>
              <w:pStyle w:val="13"/>
              <w:spacing w:before="0"/>
              <w:ind w:firstLineChars="200"/>
              <w:rPr>
                <w:rFonts w:hint="default" w:ascii="Times New Roman" w:hAnsi="Times New Roman" w:cs="Times New Roman"/>
                <w:b/>
                <w:color w:val="auto"/>
              </w:rPr>
            </w:pPr>
            <w:r>
              <w:rPr>
                <w:rFonts w:hint="default" w:ascii="Times New Roman" w:hAnsi="Times New Roman" w:cs="Times New Roman"/>
                <w:b/>
                <w:color w:val="auto"/>
              </w:rPr>
              <w:t>1、项目概况</w:t>
            </w:r>
          </w:p>
          <w:p>
            <w:pPr>
              <w:adjustRightInd w:val="0"/>
              <w:snapToGrid w:val="0"/>
              <w:spacing w:line="360" w:lineRule="auto"/>
              <w:ind w:right="105" w:rightChars="50" w:firstLine="480" w:firstLineChars="200"/>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本项目系</w:t>
            </w:r>
            <w:r>
              <w:rPr>
                <w:rFonts w:hint="eastAsia" w:cs="Times New Roman"/>
                <w:color w:val="auto"/>
                <w:sz w:val="24"/>
                <w:szCs w:val="24"/>
                <w:lang w:eastAsia="zh-CN"/>
              </w:rPr>
              <w:t>威海宇能模塑有限公司</w:t>
            </w:r>
            <w:r>
              <w:rPr>
                <w:rFonts w:hint="default" w:ascii="Times New Roman" w:hAnsi="Times New Roman" w:cs="Times New Roman"/>
                <w:bCs/>
                <w:color w:val="auto"/>
                <w:sz w:val="24"/>
                <w:szCs w:val="24"/>
              </w:rPr>
              <w:t>投资建设的</w:t>
            </w:r>
            <w:r>
              <w:rPr>
                <w:rFonts w:hint="eastAsia" w:cs="Times New Roman"/>
                <w:bCs/>
                <w:color w:val="auto"/>
                <w:sz w:val="24"/>
                <w:szCs w:val="24"/>
                <w:lang w:eastAsia="zh-CN"/>
              </w:rPr>
              <w:t>打印机塑料件加工项目</w:t>
            </w:r>
            <w:r>
              <w:rPr>
                <w:rFonts w:hint="default" w:ascii="Times New Roman" w:hAnsi="Times New Roman" w:cs="Times New Roman"/>
                <w:bCs/>
                <w:color w:val="auto"/>
                <w:sz w:val="24"/>
                <w:szCs w:val="24"/>
              </w:rPr>
              <w:t>，</w:t>
            </w:r>
            <w:r>
              <w:rPr>
                <w:rFonts w:hint="default" w:ascii="Times New Roman" w:hAnsi="Times New Roman" w:cs="Times New Roman"/>
                <w:color w:val="auto"/>
                <w:sz w:val="24"/>
                <w:szCs w:val="24"/>
              </w:rPr>
              <w:t>项目总投资</w:t>
            </w:r>
            <w:r>
              <w:rPr>
                <w:rFonts w:hint="eastAsia" w:ascii="Times New Roman" w:hAnsi="Times New Roman" w:cs="Times New Roman"/>
                <w:color w:val="auto"/>
                <w:sz w:val="24"/>
                <w:szCs w:val="24"/>
                <w:lang w:val="en-US" w:eastAsia="zh-CN"/>
              </w:rPr>
              <w:t>100</w:t>
            </w:r>
            <w:r>
              <w:rPr>
                <w:rFonts w:hint="default" w:ascii="Times New Roman" w:hAnsi="Times New Roman" w:cs="Times New Roman"/>
                <w:color w:val="auto"/>
                <w:sz w:val="24"/>
                <w:szCs w:val="24"/>
              </w:rPr>
              <w:t>万元，</w:t>
            </w:r>
            <w:r>
              <w:rPr>
                <w:rFonts w:hint="default" w:ascii="Times New Roman" w:hAnsi="Times New Roman" w:cs="Times New Roman"/>
                <w:color w:val="auto"/>
                <w:sz w:val="24"/>
                <w:szCs w:val="24"/>
                <w:shd w:val="clear" w:color="auto" w:fill="FFFFFF"/>
              </w:rPr>
              <w:t>总建筑面积</w:t>
            </w:r>
            <w:r>
              <w:rPr>
                <w:rFonts w:hint="eastAsia" w:cs="Times New Roman"/>
                <w:color w:val="auto"/>
                <w:sz w:val="24"/>
                <w:szCs w:val="24"/>
                <w:shd w:val="clear" w:color="auto" w:fill="FFFFFF"/>
                <w:lang w:val="en-US" w:eastAsia="zh-CN"/>
              </w:rPr>
              <w:t>4080</w:t>
            </w:r>
            <w:r>
              <w:rPr>
                <w:rFonts w:hint="default" w:ascii="Times New Roman" w:hAnsi="Times New Roman" w:cs="Times New Roman"/>
                <w:color w:val="auto"/>
                <w:sz w:val="24"/>
                <w:szCs w:val="24"/>
                <w:shd w:val="clear" w:color="auto" w:fill="FFFFFF"/>
              </w:rPr>
              <w:t>m</w:t>
            </w:r>
            <w:r>
              <w:rPr>
                <w:rFonts w:hint="default" w:ascii="Times New Roman" w:hAnsi="Times New Roman" w:cs="Times New Roman"/>
                <w:color w:val="auto"/>
                <w:sz w:val="24"/>
                <w:szCs w:val="24"/>
                <w:shd w:val="clear" w:color="auto" w:fill="FFFFFF"/>
                <w:vertAlign w:val="superscript"/>
              </w:rPr>
              <w:t>2</w:t>
            </w:r>
            <w:r>
              <w:rPr>
                <w:rFonts w:hint="default" w:ascii="Times New Roman" w:hAnsi="Times New Roman" w:cs="Times New Roman"/>
                <w:color w:val="auto"/>
                <w:sz w:val="24"/>
                <w:szCs w:val="24"/>
                <w:shd w:val="clear" w:color="auto" w:fill="FFFFFF"/>
              </w:rPr>
              <w:t>，</w:t>
            </w:r>
            <w:r>
              <w:rPr>
                <w:rFonts w:hint="default" w:ascii="Times New Roman" w:hAnsi="Times New Roman" w:cs="Times New Roman"/>
                <w:color w:val="auto"/>
                <w:sz w:val="24"/>
                <w:szCs w:val="24"/>
                <w:shd w:val="clear" w:color="auto" w:fill="FFFFFF"/>
                <w:lang w:eastAsia="zh-CN"/>
              </w:rPr>
              <w:t>包括</w:t>
            </w:r>
            <w:r>
              <w:rPr>
                <w:rFonts w:hint="eastAsia" w:cs="Times New Roman"/>
                <w:color w:val="auto"/>
                <w:sz w:val="24"/>
                <w:szCs w:val="24"/>
                <w:shd w:val="clear" w:color="auto" w:fill="FFFFFF"/>
                <w:lang w:eastAsia="zh-CN"/>
              </w:rPr>
              <w:t>注塑车间、办公室、仓库</w:t>
            </w:r>
            <w:r>
              <w:rPr>
                <w:rFonts w:hint="default" w:ascii="Times New Roman" w:hAnsi="Times New Roman" w:cs="Times New Roman"/>
                <w:color w:val="auto"/>
                <w:sz w:val="24"/>
                <w:szCs w:val="24"/>
                <w:shd w:val="clear" w:color="auto" w:fill="FFFFFF"/>
                <w:lang w:eastAsia="zh-CN"/>
              </w:rPr>
              <w:t>、危废库等，不设食堂和宿舍</w:t>
            </w:r>
            <w:r>
              <w:rPr>
                <w:rFonts w:hint="default" w:ascii="Times New Roman" w:hAnsi="Times New Roman" w:cs="Times New Roman"/>
                <w:color w:val="auto"/>
                <w:sz w:val="24"/>
                <w:szCs w:val="24"/>
                <w:shd w:val="clear" w:color="auto" w:fill="FFFFFF"/>
              </w:rPr>
              <w:t>。</w:t>
            </w:r>
            <w:r>
              <w:rPr>
                <w:rFonts w:hint="default" w:ascii="Times New Roman" w:hAnsi="Times New Roman" w:cs="Times New Roman"/>
                <w:bCs/>
                <w:color w:val="auto"/>
                <w:sz w:val="24"/>
                <w:szCs w:val="24"/>
              </w:rPr>
              <w:t>项目劳动人员</w:t>
            </w:r>
            <w:r>
              <w:rPr>
                <w:rFonts w:hint="eastAsia" w:cs="Times New Roman"/>
                <w:bCs/>
                <w:color w:val="auto"/>
                <w:sz w:val="24"/>
                <w:szCs w:val="24"/>
                <w:lang w:val="en-US" w:eastAsia="zh-CN"/>
              </w:rPr>
              <w:t>20</w:t>
            </w:r>
            <w:r>
              <w:rPr>
                <w:rFonts w:hint="default" w:ascii="Times New Roman" w:hAnsi="Times New Roman" w:cs="Times New Roman"/>
                <w:bCs/>
                <w:color w:val="auto"/>
                <w:sz w:val="24"/>
                <w:szCs w:val="24"/>
              </w:rPr>
              <w:t>人，其中管理人员</w:t>
            </w:r>
            <w:r>
              <w:rPr>
                <w:rFonts w:hint="eastAsia" w:cs="Times New Roman"/>
                <w:bCs/>
                <w:color w:val="auto"/>
                <w:sz w:val="24"/>
                <w:szCs w:val="24"/>
                <w:lang w:val="en-US" w:eastAsia="zh-CN"/>
              </w:rPr>
              <w:t>5</w:t>
            </w:r>
            <w:r>
              <w:rPr>
                <w:rFonts w:hint="default" w:ascii="Times New Roman" w:hAnsi="Times New Roman" w:cs="Times New Roman"/>
                <w:bCs/>
                <w:color w:val="auto"/>
                <w:sz w:val="24"/>
                <w:szCs w:val="24"/>
              </w:rPr>
              <w:t>人，工人</w:t>
            </w:r>
            <w:r>
              <w:rPr>
                <w:rFonts w:hint="eastAsia" w:cs="Times New Roman"/>
                <w:bCs/>
                <w:color w:val="auto"/>
                <w:sz w:val="24"/>
                <w:szCs w:val="24"/>
                <w:lang w:val="en-US" w:eastAsia="zh-CN"/>
              </w:rPr>
              <w:t>15</w:t>
            </w:r>
            <w:r>
              <w:rPr>
                <w:rFonts w:hint="default" w:ascii="Times New Roman" w:hAnsi="Times New Roman" w:cs="Times New Roman"/>
                <w:bCs/>
                <w:color w:val="auto"/>
                <w:sz w:val="24"/>
                <w:szCs w:val="24"/>
              </w:rPr>
              <w:t>人，生产实行单班制，每班工作时间为8h，年工作300d</w:t>
            </w:r>
            <w:r>
              <w:rPr>
                <w:rFonts w:hint="default" w:ascii="Times New Roman" w:hAnsi="Times New Roman" w:cs="Times New Roman"/>
                <w:color w:val="auto"/>
                <w:sz w:val="24"/>
                <w:szCs w:val="24"/>
                <w:shd w:val="clear" w:color="auto" w:fill="FFFFFF"/>
              </w:rPr>
              <w:t>。</w:t>
            </w:r>
            <w:r>
              <w:rPr>
                <w:rFonts w:hint="default" w:ascii="Times New Roman" w:hAnsi="Times New Roman" w:cs="Times New Roman"/>
                <w:color w:val="auto"/>
                <w:sz w:val="24"/>
                <w:szCs w:val="24"/>
                <w:lang w:val="en-US" w:eastAsia="zh-CN"/>
              </w:rPr>
              <w:t>项目建成后预计年可</w:t>
            </w:r>
            <w:r>
              <w:rPr>
                <w:rFonts w:hint="eastAsia" w:cs="Times New Roman"/>
                <w:color w:val="auto"/>
                <w:sz w:val="24"/>
                <w:szCs w:val="24"/>
                <w:lang w:val="en-US" w:eastAsia="zh-CN"/>
              </w:rPr>
              <w:t>生产打印机塑料件200t/a</w:t>
            </w:r>
            <w:r>
              <w:rPr>
                <w:rFonts w:hint="default" w:ascii="Times New Roman" w:hAnsi="Times New Roman" w:cs="Times New Roman"/>
                <w:color w:val="auto"/>
                <w:sz w:val="24"/>
                <w:szCs w:val="24"/>
                <w:shd w:val="clear" w:color="auto" w:fill="FFFFFF"/>
              </w:rPr>
              <w:t>。</w:t>
            </w:r>
            <w:r>
              <w:rPr>
                <w:rFonts w:hint="default" w:ascii="Times New Roman" w:hAnsi="Times New Roman" w:cs="Times New Roman"/>
                <w:color w:val="auto"/>
                <w:sz w:val="24"/>
                <w:szCs w:val="24"/>
                <w:lang w:val="zh-CN"/>
              </w:rPr>
              <w:t>本项目位于</w:t>
            </w:r>
            <w:r>
              <w:rPr>
                <w:rFonts w:hint="eastAsia" w:cs="Times New Roman"/>
                <w:color w:val="auto"/>
                <w:sz w:val="24"/>
                <w:szCs w:val="24"/>
                <w:lang w:eastAsia="zh-CN"/>
              </w:rPr>
              <w:t>威海市环翠区羊亭镇顺海路3-1号</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w:t>
            </w:r>
            <w:r>
              <w:rPr>
                <w:rFonts w:hint="eastAsia" w:cs="Times New Roman"/>
                <w:color w:val="auto"/>
                <w:sz w:val="24"/>
                <w:szCs w:val="24"/>
                <w:lang w:eastAsia="zh-CN"/>
              </w:rPr>
              <w:t>北面为威洋机电设备公司和恒安电子设备公司，东南临凤凰山路，西邻威海气动元件公司</w:t>
            </w:r>
            <w:r>
              <w:rPr>
                <w:rFonts w:hint="default" w:ascii="Times New Roman" w:hAnsi="Times New Roman" w:cs="Times New Roman"/>
                <w:color w:val="auto"/>
                <w:sz w:val="24"/>
                <w:szCs w:val="24"/>
              </w:rPr>
              <w:t>。</w:t>
            </w:r>
            <w:r>
              <w:rPr>
                <w:rFonts w:hint="default" w:ascii="Times New Roman" w:hAnsi="Times New Roman" w:cs="Times New Roman"/>
                <w:bCs/>
                <w:color w:val="auto"/>
                <w:sz w:val="24"/>
                <w:szCs w:val="24"/>
              </w:rPr>
              <w:t>该项目所在地交通、通讯等条件便捷，适宜项目的建设。</w:t>
            </w:r>
          </w:p>
          <w:p>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2、选址符合性</w:t>
            </w:r>
          </w:p>
          <w:p>
            <w:pPr>
              <w:pStyle w:val="86"/>
              <w:ind w:left="0" w:leftChars="0" w:right="0" w:rightChars="0"/>
              <w:rPr>
                <w:rFonts w:hint="default" w:ascii="Times New Roman" w:hAnsi="Times New Roman" w:cs="Times New Roman"/>
                <w:color w:val="auto"/>
                <w:sz w:val="24"/>
                <w:szCs w:val="24"/>
              </w:rPr>
            </w:pPr>
            <w:r>
              <w:rPr>
                <w:rFonts w:hint="default" w:ascii="Times New Roman" w:hAnsi="Times New Roman" w:cs="Times New Roman"/>
                <w:bCs/>
                <w:color w:val="auto"/>
                <w:lang w:val="en-US" w:eastAsia="zh-CN"/>
              </w:rPr>
              <w:t>本项目</w:t>
            </w:r>
            <w:r>
              <w:rPr>
                <w:rFonts w:hint="default" w:ascii="Times New Roman" w:hAnsi="Times New Roman" w:cs="Times New Roman"/>
                <w:bCs/>
                <w:color w:val="auto"/>
                <w:lang w:val="en-US"/>
              </w:rPr>
              <w:t>位于</w:t>
            </w:r>
            <w:r>
              <w:rPr>
                <w:rFonts w:hint="eastAsia" w:cs="Times New Roman"/>
                <w:color w:val="auto"/>
                <w:sz w:val="24"/>
                <w:lang w:eastAsia="zh-CN"/>
              </w:rPr>
              <w:t>威海市环翠区羊亭镇顺海路3-1号</w:t>
            </w:r>
            <w:r>
              <w:rPr>
                <w:rFonts w:hint="default" w:ascii="Times New Roman" w:hAnsi="Times New Roman" w:cs="Times New Roman"/>
                <w:color w:val="auto"/>
              </w:rPr>
              <w:t>，</w:t>
            </w:r>
            <w:r>
              <w:rPr>
                <w:rFonts w:hint="eastAsia" w:cs="Times New Roman"/>
                <w:color w:val="auto"/>
                <w:sz w:val="24"/>
                <w:szCs w:val="24"/>
                <w:lang w:val="en-US" w:eastAsia="zh-CN"/>
              </w:rPr>
              <w:t>使用已建</w:t>
            </w:r>
            <w:r>
              <w:rPr>
                <w:rFonts w:hint="default" w:ascii="Times New Roman" w:hAnsi="Times New Roman" w:cs="Times New Roman"/>
                <w:color w:val="auto"/>
                <w:sz w:val="24"/>
                <w:szCs w:val="24"/>
                <w:lang w:val="en-US" w:eastAsia="zh-CN"/>
              </w:rPr>
              <w:t>厂房</w:t>
            </w:r>
            <w:r>
              <w:rPr>
                <w:rFonts w:hint="default" w:ascii="Times New Roman" w:hAnsi="Times New Roman" w:cs="Times New Roman"/>
                <w:color w:val="auto"/>
                <w:szCs w:val="24"/>
              </w:rPr>
              <w:t>进行生产</w:t>
            </w:r>
            <w:r>
              <w:rPr>
                <w:rFonts w:hint="default" w:ascii="Times New Roman" w:hAnsi="Times New Roman" w:cs="Times New Roman"/>
                <w:color w:val="auto"/>
                <w:szCs w:val="24"/>
                <w:lang w:eastAsia="zh-CN"/>
              </w:rPr>
              <w:t>加工</w:t>
            </w:r>
            <w:r>
              <w:rPr>
                <w:rFonts w:hint="default" w:ascii="Times New Roman" w:hAnsi="Times New Roman" w:cs="Times New Roman"/>
                <w:color w:val="auto"/>
              </w:rPr>
              <w:t>，</w:t>
            </w:r>
            <w:r>
              <w:rPr>
                <w:rFonts w:hint="default" w:ascii="Times New Roman" w:hAnsi="Times New Roman" w:cs="Times New Roman"/>
                <w:color w:val="auto"/>
                <w:highlight w:val="none"/>
                <w:lang w:eastAsia="zh-CN"/>
              </w:rPr>
              <w:t>该地块于</w:t>
            </w:r>
            <w:r>
              <w:rPr>
                <w:rFonts w:hint="default" w:ascii="Times New Roman" w:hAnsi="Times New Roman" w:cs="Times New Roman"/>
                <w:color w:val="auto"/>
                <w:highlight w:val="none"/>
                <w:lang w:val="en-US" w:eastAsia="zh-CN"/>
              </w:rPr>
              <w:t>20</w:t>
            </w:r>
            <w:r>
              <w:rPr>
                <w:rFonts w:hint="eastAsia" w:cs="Times New Roman"/>
                <w:color w:val="auto"/>
                <w:highlight w:val="none"/>
                <w:lang w:val="en-US" w:eastAsia="zh-CN"/>
              </w:rPr>
              <w:t>09</w:t>
            </w:r>
            <w:r>
              <w:rPr>
                <w:rFonts w:hint="default" w:ascii="Times New Roman" w:hAnsi="Times New Roman" w:cs="Times New Roman"/>
                <w:color w:val="auto"/>
                <w:highlight w:val="none"/>
                <w:lang w:val="en-US" w:eastAsia="zh-CN"/>
              </w:rPr>
              <w:t>年办理了</w:t>
            </w:r>
            <w:r>
              <w:rPr>
                <w:rFonts w:hint="eastAsia" w:cs="Times New Roman"/>
                <w:color w:val="auto"/>
                <w:highlight w:val="none"/>
                <w:lang w:val="en-US" w:eastAsia="zh-CN"/>
              </w:rPr>
              <w:t>土地</w:t>
            </w:r>
            <w:r>
              <w:rPr>
                <w:rFonts w:hint="default" w:ascii="Times New Roman" w:hAnsi="Times New Roman" w:cs="Times New Roman"/>
                <w:color w:val="auto"/>
                <w:highlight w:val="none"/>
                <w:lang w:val="en-US" w:eastAsia="zh-CN"/>
              </w:rPr>
              <w:t>证，证号为：</w:t>
            </w:r>
            <w:r>
              <w:rPr>
                <w:rFonts w:hint="eastAsia" w:cs="Times New Roman"/>
                <w:color w:val="auto"/>
                <w:highlight w:val="none"/>
                <w:lang w:val="en-US" w:eastAsia="zh-CN"/>
              </w:rPr>
              <w:t>威环国用（2009）出第228号</w:t>
            </w:r>
            <w:r>
              <w:rPr>
                <w:rFonts w:hint="default" w:ascii="Times New Roman" w:hAnsi="Times New Roman" w:cs="Times New Roman"/>
                <w:color w:val="auto"/>
                <w:highlight w:val="none"/>
                <w:lang w:val="en-US" w:eastAsia="zh-CN"/>
              </w:rPr>
              <w:t>，用途为工业</w:t>
            </w:r>
            <w:r>
              <w:rPr>
                <w:rFonts w:hint="default" w:ascii="Times New Roman" w:hAnsi="Times New Roman" w:cs="Times New Roman"/>
                <w:color w:val="auto"/>
                <w:lang w:val="en-US" w:eastAsia="zh-CN"/>
              </w:rPr>
              <w:t>用地，根</w:t>
            </w:r>
            <w:r>
              <w:rPr>
                <w:rFonts w:hint="default" w:ascii="Times New Roman" w:hAnsi="Times New Roman" w:cs="Times New Roman"/>
                <w:color w:val="auto"/>
                <w:szCs w:val="24"/>
              </w:rPr>
              <w:t>据国土资源部、国家发展和改革委员会关于发布实施《限制用地项目目录（2012年本》和《禁止用地项目目录（2012年本）》相关规定，分析可知该项目用地不属于《限制用地项目目录（2012年本）》中规定的项目，也不属于《禁止用地项目目录（2012年本）》中的禁止用地项目；项目用地符合《关于工业建设项目节约集约利用土地的意见》（山东省国土资源厅、山东省发展和改革委员会、山东省经济贸易委员会、山东省建设厅2007年6月11日）中节约集约利用土地的指导思想和原则，</w:t>
            </w:r>
            <w:r>
              <w:rPr>
                <w:rFonts w:hint="default" w:ascii="Times New Roman" w:hAnsi="Times New Roman" w:cs="Times New Roman"/>
                <w:color w:val="auto"/>
              </w:rPr>
              <w:t>在规划的用地范围之内</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rPr>
              <w:t>项目</w:t>
            </w:r>
            <w:r>
              <w:rPr>
                <w:rFonts w:hint="default" w:ascii="Times New Roman" w:hAnsi="Times New Roman" w:cs="Times New Roman"/>
                <w:color w:val="auto"/>
                <w:sz w:val="24"/>
                <w:szCs w:val="24"/>
              </w:rPr>
              <w:t>周边主要以工业为主，位于《威海市城市总体规划（2004－2020）》中工业用地范围</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无自然保护区、风景名胜区、文物保护单位，亦无需特殊保护的野生动植物，环境承载能力较强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厂址所在地地质情况较好，无不良工程地质现象，建设条件良好</w:t>
            </w: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lang w:val="en-US"/>
              </w:rPr>
              <w:t>所在地地理位置优越，交通便利，排水通畅，水、电、暖供应满足工程要求，选址合理</w:t>
            </w:r>
            <w:r>
              <w:rPr>
                <w:rFonts w:hint="default" w:ascii="Times New Roman" w:hAnsi="Times New Roman" w:cs="Times New Roman"/>
                <w:color w:val="auto"/>
                <w:sz w:val="24"/>
                <w:szCs w:val="24"/>
              </w:rPr>
              <w:t>。</w:t>
            </w:r>
          </w:p>
          <w:p>
            <w:pPr>
              <w:pStyle w:val="13"/>
              <w:spacing w:before="0"/>
              <w:ind w:firstLineChars="200"/>
              <w:rPr>
                <w:rFonts w:hint="default" w:ascii="Times New Roman" w:hAnsi="Times New Roman" w:cs="Times New Roman"/>
                <w:b/>
                <w:color w:val="auto"/>
              </w:rPr>
            </w:pPr>
            <w:r>
              <w:rPr>
                <w:rFonts w:hint="default" w:ascii="Times New Roman" w:hAnsi="Times New Roman" w:cs="Times New Roman"/>
                <w:b/>
                <w:color w:val="auto"/>
              </w:rPr>
              <w:t>3、政策符合性</w:t>
            </w:r>
          </w:p>
          <w:p>
            <w:pPr>
              <w:pStyle w:val="86"/>
              <w:ind w:left="0" w:leftChars="0" w:right="0" w:rightChars="0"/>
              <w:rPr>
                <w:rFonts w:hint="default" w:ascii="Times New Roman" w:hAnsi="Times New Roman" w:cs="Times New Roman"/>
                <w:bCs/>
                <w:color w:val="auto"/>
                <w:szCs w:val="24"/>
                <w:lang w:val="en-US"/>
              </w:rPr>
            </w:pPr>
            <w:r>
              <w:rPr>
                <w:rFonts w:hint="default" w:ascii="Times New Roman" w:hAnsi="Times New Roman" w:cs="Times New Roman"/>
                <w:color w:val="auto"/>
              </w:rPr>
              <w:t>《产业结构调整指导目录（201</w:t>
            </w:r>
            <w:r>
              <w:rPr>
                <w:rFonts w:hint="default" w:ascii="Times New Roman" w:hAnsi="Times New Roman" w:cs="Times New Roman"/>
                <w:color w:val="auto"/>
                <w:lang w:val="en-US" w:eastAsia="zh-CN"/>
              </w:rPr>
              <w:t>9</w:t>
            </w:r>
            <w:r>
              <w:rPr>
                <w:rFonts w:hint="default" w:ascii="Times New Roman" w:hAnsi="Times New Roman" w:cs="Times New Roman"/>
                <w:color w:val="auto"/>
              </w:rPr>
              <w:t>年本）》（中华人民共和国国家发展和改革委员会令第2</w:t>
            </w:r>
            <w:r>
              <w:rPr>
                <w:rFonts w:hint="default" w:ascii="Times New Roman" w:hAnsi="Times New Roman" w:cs="Times New Roman"/>
                <w:color w:val="auto"/>
                <w:lang w:val="en-US" w:eastAsia="zh-CN"/>
              </w:rPr>
              <w:t>9</w:t>
            </w:r>
            <w:r>
              <w:rPr>
                <w:rFonts w:hint="default" w:ascii="Times New Roman" w:hAnsi="Times New Roman" w:cs="Times New Roman"/>
                <w:color w:val="auto"/>
              </w:rPr>
              <w:t>号）分为鼓励类、限制类和淘汰类产业名录。本项目不属于这三种名录之列，且符合国家相关法律、法规及政策的规定，属于允许类建设项目</w:t>
            </w:r>
            <w:r>
              <w:rPr>
                <w:rFonts w:hint="default" w:ascii="Times New Roman" w:hAnsi="Times New Roman" w:cs="Times New Roman"/>
                <w:bCs/>
                <w:color w:val="auto"/>
                <w:szCs w:val="24"/>
                <w:lang w:val="en-US"/>
              </w:rPr>
              <w:t>。</w:t>
            </w:r>
          </w:p>
          <w:p>
            <w:pPr>
              <w:pStyle w:val="86"/>
              <w:ind w:left="0" w:leftChars="0" w:right="0" w:rightChars="0"/>
              <w:rPr>
                <w:rFonts w:hint="default" w:ascii="Times New Roman" w:hAnsi="Times New Roman" w:cs="Times New Roman"/>
                <w:color w:val="auto"/>
                <w:szCs w:val="24"/>
                <w:lang w:val="en-US"/>
              </w:rPr>
            </w:pPr>
            <w:r>
              <w:rPr>
                <w:rFonts w:hint="default" w:ascii="Times New Roman" w:hAnsi="Times New Roman" w:cs="Times New Roman"/>
                <w:color w:val="auto"/>
                <w:szCs w:val="24"/>
              </w:rPr>
              <w:t>本项目所选设备也未列入工信部《部分工业行业淘汰落后生产工艺装备和产品指导目录（2010年本）》（工产业[2010]第122号），也未列入《产业结构调整指导目录（</w:t>
            </w:r>
            <w:r>
              <w:rPr>
                <w:rFonts w:hint="default" w:ascii="Times New Roman" w:hAnsi="Times New Roman" w:cs="Times New Roman"/>
                <w:color w:val="auto"/>
                <w:szCs w:val="24"/>
                <w:lang w:val="en-US"/>
              </w:rPr>
              <w:t>201</w:t>
            </w:r>
            <w:r>
              <w:rPr>
                <w:rFonts w:hint="default" w:ascii="Times New Roman" w:hAnsi="Times New Roman" w:cs="Times New Roman"/>
                <w:color w:val="auto"/>
                <w:szCs w:val="24"/>
                <w:lang w:val="en-US" w:eastAsia="zh-CN"/>
              </w:rPr>
              <w:t>9</w:t>
            </w:r>
            <w:r>
              <w:rPr>
                <w:rFonts w:hint="default" w:ascii="Times New Roman" w:hAnsi="Times New Roman" w:cs="Times New Roman"/>
                <w:color w:val="auto"/>
                <w:szCs w:val="24"/>
                <w:lang w:val="en-US"/>
              </w:rPr>
              <w:t>年本</w:t>
            </w:r>
            <w:r>
              <w:rPr>
                <w:rFonts w:hint="default" w:ascii="Times New Roman" w:hAnsi="Times New Roman" w:cs="Times New Roman"/>
                <w:color w:val="auto"/>
                <w:szCs w:val="24"/>
              </w:rPr>
              <w:t>）》第三类“淘汰类”第一条“落后生产工艺装备”中所列淘汰设备。</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因此，本项目的建设符合国家产业政策</w:t>
            </w:r>
            <w:r>
              <w:rPr>
                <w:rFonts w:hint="default" w:ascii="Times New Roman" w:hAnsi="Times New Roman" w:cs="Times New Roman"/>
                <w:color w:val="auto"/>
                <w:sz w:val="24"/>
              </w:rPr>
              <w:t>。</w:t>
            </w:r>
          </w:p>
          <w:p>
            <w:pPr>
              <w:adjustRightInd w:val="0"/>
              <w:snapToGrid w:val="0"/>
              <w:spacing w:line="360" w:lineRule="auto"/>
              <w:ind w:right="105" w:rightChars="5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4、审批要求符合性</w:t>
            </w:r>
          </w:p>
          <w:p>
            <w:pPr>
              <w:adjustRightInd w:val="0"/>
              <w:snapToGrid w:val="0"/>
              <w:spacing w:line="360" w:lineRule="auto"/>
              <w:ind w:right="105" w:rightChars="5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本项目建设符合“三线一单”的要求；不在《</w:t>
            </w:r>
            <w:r>
              <w:rPr>
                <w:rFonts w:hint="default" w:ascii="Times New Roman" w:hAnsi="Times New Roman" w:cs="Times New Roman"/>
                <w:color w:val="auto"/>
                <w:sz w:val="24"/>
                <w:szCs w:val="24"/>
                <w:lang w:eastAsia="zh-CN"/>
              </w:rPr>
              <w:t>威海市环境总体规划</w:t>
            </w:r>
            <w:r>
              <w:rPr>
                <w:rFonts w:hint="default" w:ascii="Times New Roman" w:hAnsi="Times New Roman" w:cs="Times New Roman"/>
                <w:color w:val="auto"/>
                <w:sz w:val="24"/>
                <w:szCs w:val="24"/>
              </w:rPr>
              <w:t>（201</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0年）》划定的“生态保护红线</w:t>
            </w:r>
            <w:r>
              <w:rPr>
                <w:rFonts w:hint="default" w:ascii="Times New Roman" w:hAnsi="Times New Roman" w:cs="Times New Roman"/>
                <w:color w:val="auto"/>
                <w:sz w:val="24"/>
                <w:szCs w:val="24"/>
                <w:lang w:eastAsia="zh-CN"/>
              </w:rPr>
              <w:t>管控</w:t>
            </w:r>
            <w:r>
              <w:rPr>
                <w:rFonts w:hint="default" w:ascii="Times New Roman" w:hAnsi="Times New Roman" w:cs="Times New Roman"/>
                <w:color w:val="auto"/>
                <w:sz w:val="24"/>
                <w:szCs w:val="24"/>
              </w:rPr>
              <w:t>区”范围之内</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符合</w:t>
            </w:r>
            <w:r>
              <w:rPr>
                <w:rFonts w:hint="default" w:ascii="Times New Roman" w:hAnsi="Times New Roman" w:cs="Times New Roman"/>
                <w:color w:val="auto"/>
                <w:sz w:val="24"/>
                <w:szCs w:val="24"/>
                <w:lang w:eastAsia="zh-CN"/>
              </w:rPr>
              <w:t>相关</w:t>
            </w:r>
            <w:r>
              <w:rPr>
                <w:rFonts w:hint="default" w:ascii="Times New Roman" w:hAnsi="Times New Roman" w:cs="Times New Roman"/>
                <w:color w:val="auto"/>
                <w:sz w:val="24"/>
                <w:szCs w:val="24"/>
              </w:rPr>
              <w:t>政策</w:t>
            </w:r>
            <w:r>
              <w:rPr>
                <w:rFonts w:hint="default" w:ascii="Times New Roman" w:hAnsi="Times New Roman" w:cs="Times New Roman"/>
                <w:color w:val="auto"/>
                <w:sz w:val="24"/>
                <w:szCs w:val="24"/>
                <w:lang w:eastAsia="zh-CN"/>
              </w:rPr>
              <w:t>及文件要求</w:t>
            </w:r>
            <w:r>
              <w:rPr>
                <w:rFonts w:hint="default" w:ascii="Times New Roman" w:hAnsi="Times New Roman" w:cs="Times New Roman"/>
                <w:color w:val="auto"/>
                <w:sz w:val="24"/>
                <w:szCs w:val="24"/>
              </w:rPr>
              <w:t>。</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5、周围环境质量现状</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本项目所在区域的环境空气中的二氧化硫、二氧化氮、可吸入颗粒物、TSP均符合《环境空气质量标准》（GB3095-2012）中的二级标准及修改单的要求；项目周围区域声环境符合《声环境质量标准》（GB3096-2008）中</w:t>
            </w:r>
            <w:r>
              <w:rPr>
                <w:rFonts w:hint="eastAsia" w:cs="Times New Roman"/>
                <w:bCs/>
                <w:color w:val="auto"/>
                <w:sz w:val="24"/>
                <w:lang w:val="en-US" w:eastAsia="zh-CN"/>
              </w:rPr>
              <w:t>3</w:t>
            </w:r>
            <w:r>
              <w:rPr>
                <w:rFonts w:hint="default" w:ascii="Times New Roman" w:hAnsi="Times New Roman" w:cs="Times New Roman"/>
                <w:bCs/>
                <w:color w:val="auto"/>
                <w:sz w:val="24"/>
              </w:rPr>
              <w:t>类区标准的要求；项目所在区域地下水各监测项目均符合《地下水质量标准》（GB/T14848-2017）中的Ⅲ类标准；项目所在区域地表水各监测项目</w:t>
            </w:r>
            <w:r>
              <w:rPr>
                <w:rFonts w:hint="default" w:ascii="Times New Roman" w:hAnsi="Times New Roman" w:cs="Times New Roman"/>
                <w:color w:val="auto"/>
                <w:sz w:val="24"/>
              </w:rPr>
              <w:t>均符合《地表水环境质量标准》（GB3838－2002）中</w:t>
            </w:r>
            <w:r>
              <w:rPr>
                <w:rFonts w:hint="eastAsia" w:ascii="宋体" w:hAnsi="宋体" w:eastAsia="宋体" w:cs="宋体"/>
                <w:color w:val="auto"/>
                <w:sz w:val="24"/>
                <w:szCs w:val="24"/>
              </w:rPr>
              <w:t>Ⅳ</w:t>
            </w:r>
            <w:r>
              <w:rPr>
                <w:rFonts w:hint="default" w:ascii="Times New Roman" w:hAnsi="Times New Roman" w:cs="Times New Roman"/>
                <w:color w:val="auto"/>
                <w:sz w:val="24"/>
              </w:rPr>
              <w:t>类标准要求。区域生态环境系统具有相对的稳定性及功能完整性，由于人工的有效管理及能量补给，系统维持稳定。</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6、总量控制</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szCs w:val="24"/>
              </w:rPr>
              <w:t>本项目生活污水经化粪池预处理后排入</w:t>
            </w:r>
            <w:r>
              <w:rPr>
                <w:rFonts w:hint="eastAsia" w:cs="Times New Roman"/>
                <w:color w:val="auto"/>
                <w:sz w:val="24"/>
                <w:szCs w:val="24"/>
                <w:lang w:val="zh-CN"/>
              </w:rPr>
              <w:t>威海初村污水处理厂</w:t>
            </w:r>
            <w:r>
              <w:rPr>
                <w:rFonts w:hint="default" w:ascii="Times New Roman" w:hAnsi="Times New Roman" w:cs="Times New Roman"/>
                <w:color w:val="auto"/>
                <w:sz w:val="24"/>
                <w:szCs w:val="24"/>
                <w:lang w:val="zh-CN"/>
              </w:rPr>
              <w:t>集中处理达标后深海排放</w:t>
            </w:r>
            <w:r>
              <w:rPr>
                <w:rFonts w:hint="default" w:ascii="Times New Roman" w:hAnsi="Times New Roman" w:cs="Times New Roman"/>
                <w:color w:val="auto"/>
                <w:sz w:val="24"/>
                <w:szCs w:val="24"/>
              </w:rPr>
              <w:t>，废水中主要污染物</w:t>
            </w:r>
            <w:r>
              <w:rPr>
                <w:rFonts w:hint="default" w:ascii="Times New Roman" w:hAnsi="Times New Roman" w:cs="Times New Roman"/>
                <w:color w:val="auto"/>
                <w:sz w:val="24"/>
                <w:szCs w:val="24"/>
                <w:lang w:eastAsia="zh-CN"/>
              </w:rPr>
              <w:t>CODcr</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-N的总量指标建议纳入该</w:t>
            </w:r>
            <w:r>
              <w:rPr>
                <w:rFonts w:hint="default" w:ascii="Times New Roman" w:hAnsi="Times New Roman" w:cs="Times New Roman"/>
                <w:color w:val="auto"/>
                <w:sz w:val="24"/>
                <w:szCs w:val="24"/>
                <w:lang w:val="zh-CN"/>
              </w:rPr>
              <w:t>污水处理厂</w:t>
            </w:r>
            <w:r>
              <w:rPr>
                <w:rFonts w:hint="default" w:ascii="Times New Roman" w:hAnsi="Times New Roman" w:cs="Times New Roman"/>
                <w:color w:val="auto"/>
                <w:sz w:val="24"/>
                <w:szCs w:val="24"/>
              </w:rPr>
              <w:t>总量指标管理</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（2）本项目不设锅炉等燃煤燃油设备，无SO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、氮氧化物等废气产生，不需要申请SO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、氮氧化物总量</w:t>
            </w:r>
            <w:r>
              <w:rPr>
                <w:rFonts w:hint="default" w:ascii="Times New Roman" w:hAnsi="Times New Roman" w:cs="Times New Roman"/>
                <w:color w:val="auto"/>
                <w:sz w:val="24"/>
                <w:szCs w:val="24"/>
                <w:lang w:eastAsia="zh-CN"/>
              </w:rPr>
              <w:t>控制指标</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（3）</w:t>
            </w:r>
            <w:r>
              <w:rPr>
                <w:rFonts w:hint="default" w:ascii="Times New Roman" w:hAnsi="Times New Roman" w:cs="Times New Roman"/>
                <w:color w:val="auto"/>
                <w:sz w:val="24"/>
              </w:rPr>
              <w:t>根据“十三五”规划，国家继续对化学需氧量、氨氮、二氧化硫和氮氧化物实施总量控制，同时在重点区域和重点行业推进挥发性有机物排放总量控制</w:t>
            </w:r>
            <w:r>
              <w:rPr>
                <w:rFonts w:hint="default" w:ascii="Times New Roman" w:hAnsi="Times New Roman" w:cs="Times New Roman"/>
                <w:color w:val="auto"/>
                <w:sz w:val="24"/>
                <w:lang w:eastAsia="zh-CN"/>
              </w:rPr>
              <w:t>。经计算，本项目</w:t>
            </w:r>
            <w:r>
              <w:rPr>
                <w:rFonts w:hint="default" w:ascii="Times New Roman" w:hAnsi="Times New Roman" w:cs="Times New Roman"/>
                <w:color w:val="auto"/>
                <w:sz w:val="24"/>
                <w:lang w:val="en-US" w:eastAsia="zh-CN"/>
              </w:rPr>
              <w:t>VOCs排放量为</w:t>
            </w:r>
            <w:r>
              <w:rPr>
                <w:rFonts w:hint="eastAsia" w:cs="Times New Roman"/>
                <w:color w:val="auto"/>
                <w:sz w:val="24"/>
                <w:lang w:val="en-US" w:eastAsia="zh-CN"/>
              </w:rPr>
              <w:t>0.013</w:t>
            </w:r>
            <w:r>
              <w:rPr>
                <w:rFonts w:hint="default" w:ascii="Times New Roman" w:hAnsi="Times New Roman" w:cs="Times New Roman"/>
                <w:color w:val="auto"/>
                <w:sz w:val="24"/>
                <w:lang w:val="en-US" w:eastAsia="zh-CN"/>
              </w:rPr>
              <w:t>t/a</w:t>
            </w:r>
            <w:r>
              <w:rPr>
                <w:rFonts w:hint="default" w:ascii="Times New Roman" w:hAnsi="Times New Roman" w:cs="Times New Roman"/>
                <w:color w:val="auto"/>
                <w:sz w:val="24"/>
                <w:szCs w:val="24"/>
              </w:rPr>
              <w:t>。</w:t>
            </w:r>
            <w:r>
              <w:rPr>
                <w:rFonts w:hint="default" w:ascii="Times New Roman" w:hAnsi="Times New Roman" w:cs="Times New Roman"/>
                <w:color w:val="auto"/>
                <w:sz w:val="24"/>
              </w:rPr>
              <w:t>按照</w:t>
            </w:r>
            <w:r>
              <w:rPr>
                <w:rFonts w:hint="default" w:ascii="Times New Roman" w:hAnsi="Times New Roman" w:cs="Times New Roman"/>
                <w:color w:val="auto"/>
                <w:sz w:val="24"/>
                <w:lang w:eastAsia="zh-CN"/>
              </w:rPr>
              <w:t>威海市生态环境局关于转发《山东省生态环境厅关于印发山东省建设项目主要大气污染物排放总量替代指标核算及管理办法的通知》的通知（威环函【</w:t>
            </w:r>
            <w:r>
              <w:rPr>
                <w:rFonts w:hint="default" w:ascii="Times New Roman" w:hAnsi="Times New Roman" w:cs="Times New Roman"/>
                <w:color w:val="auto"/>
                <w:sz w:val="24"/>
                <w:lang w:val="en-US" w:eastAsia="zh-CN"/>
              </w:rPr>
              <w:t>2020</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8号</w:t>
            </w:r>
            <w:r>
              <w:rPr>
                <w:rFonts w:hint="default" w:ascii="Times New Roman" w:hAnsi="Times New Roman" w:cs="Times New Roman"/>
                <w:color w:val="auto"/>
                <w:sz w:val="24"/>
                <w:lang w:eastAsia="zh-CN"/>
              </w:rPr>
              <w:t>）中</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上一年度环境空气质量年平均浓度达标的区市，相关污染物进行等量替代</w:t>
            </w:r>
            <w:r>
              <w:rPr>
                <w:rFonts w:hint="eastAsia" w:ascii="Times New Roman" w:hAnsi="Times New Roman" w:cs="Times New Roman"/>
                <w:color w:val="auto"/>
                <w:sz w:val="24"/>
                <w:lang w:eastAsia="zh-CN"/>
              </w:rPr>
              <w:t>”</w:t>
            </w:r>
            <w:r>
              <w:rPr>
                <w:rFonts w:hint="default" w:ascii="Times New Roman" w:hAnsi="Times New Roman" w:cs="Times New Roman" w:eastAsiaTheme="minorEastAsia"/>
                <w:color w:val="auto"/>
                <w:sz w:val="24"/>
                <w:szCs w:val="24"/>
              </w:rPr>
              <w:t>的要求</w:t>
            </w:r>
            <w:r>
              <w:rPr>
                <w:rFonts w:hint="default" w:ascii="Times New Roman" w:hAnsi="Times New Roman" w:cs="Times New Roman"/>
                <w:color w:val="auto"/>
                <w:sz w:val="24"/>
                <w:lang w:eastAsia="zh-CN"/>
              </w:rPr>
              <w:t>，本项目</w:t>
            </w:r>
            <w:r>
              <w:rPr>
                <w:rFonts w:hint="default" w:ascii="Times New Roman" w:hAnsi="Times New Roman" w:cs="Times New Roman"/>
                <w:color w:val="auto"/>
                <w:sz w:val="24"/>
              </w:rPr>
              <w:t>需</w:t>
            </w:r>
            <w:r>
              <w:rPr>
                <w:rFonts w:hint="eastAsia" w:cs="Times New Roman"/>
                <w:color w:val="auto"/>
                <w:sz w:val="24"/>
                <w:lang w:eastAsia="zh-CN"/>
              </w:rPr>
              <w:t>等</w:t>
            </w:r>
            <w:r>
              <w:rPr>
                <w:rFonts w:hint="default" w:ascii="Times New Roman" w:hAnsi="Times New Roman" w:cs="Times New Roman"/>
                <w:color w:val="auto"/>
                <w:sz w:val="24"/>
                <w:lang w:eastAsia="zh-CN"/>
              </w:rPr>
              <w:t>量</w:t>
            </w:r>
            <w:r>
              <w:rPr>
                <w:rFonts w:hint="default" w:ascii="Times New Roman" w:hAnsi="Times New Roman" w:cs="Times New Roman"/>
                <w:color w:val="auto"/>
                <w:sz w:val="24"/>
              </w:rPr>
              <w:t>替代挥发性有机物</w:t>
            </w:r>
            <w:r>
              <w:rPr>
                <w:rFonts w:hint="default" w:ascii="Times New Roman" w:hAnsi="Times New Roman" w:cs="Times New Roman"/>
                <w:color w:val="auto"/>
                <w:sz w:val="24"/>
                <w:lang w:eastAsia="zh-CN"/>
              </w:rPr>
              <w:t>的量为</w:t>
            </w:r>
            <w:r>
              <w:rPr>
                <w:rFonts w:hint="eastAsia" w:cs="Times New Roman"/>
                <w:color w:val="auto"/>
                <w:sz w:val="24"/>
                <w:lang w:val="en-US" w:eastAsia="zh-CN"/>
              </w:rPr>
              <w:t>0.013</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highlight w:val="none"/>
              </w:rPr>
              <w:t>可从</w:t>
            </w:r>
            <w:r>
              <w:rPr>
                <w:rFonts w:hint="eastAsia" w:cs="Times New Roman"/>
                <w:bCs/>
                <w:color w:val="auto"/>
                <w:sz w:val="24"/>
                <w:szCs w:val="24"/>
                <w:highlight w:val="none"/>
                <w:lang w:eastAsia="zh-CN"/>
              </w:rPr>
              <w:t>威海市畅源化纤有限责任公司羊亭分公司</w:t>
            </w:r>
            <w:r>
              <w:rPr>
                <w:rFonts w:hint="default" w:ascii="Times New Roman" w:hAnsi="Times New Roman" w:cs="Times New Roman"/>
                <w:color w:val="auto"/>
                <w:sz w:val="24"/>
                <w:szCs w:val="24"/>
                <w:highlight w:val="none"/>
              </w:rPr>
              <w:t>的VOCs削减量（共</w:t>
            </w:r>
            <w:r>
              <w:rPr>
                <w:rFonts w:hint="eastAsia" w:cs="Times New Roman"/>
                <w:color w:val="auto"/>
                <w:sz w:val="24"/>
                <w:szCs w:val="24"/>
                <w:highlight w:val="none"/>
                <w:lang w:val="en-US" w:eastAsia="zh-CN"/>
              </w:rPr>
              <w:t>0.175</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lang w:eastAsia="zh-CN"/>
              </w:rPr>
              <w:t>目前剩余</w:t>
            </w:r>
            <w:r>
              <w:rPr>
                <w:rFonts w:hint="eastAsia" w:cs="Times New Roman"/>
                <w:color w:val="auto"/>
                <w:sz w:val="24"/>
                <w:szCs w:val="24"/>
                <w:highlight w:val="none"/>
                <w:lang w:val="en-US" w:eastAsia="zh-CN"/>
              </w:rPr>
              <w:t>0.175</w:t>
            </w:r>
            <w:r>
              <w:rPr>
                <w:rFonts w:hint="default" w:ascii="Times New Roman" w:hAnsi="Times New Roman" w:cs="Times New Roman"/>
                <w:color w:val="auto"/>
                <w:sz w:val="24"/>
                <w:szCs w:val="24"/>
                <w:highlight w:val="none"/>
                <w:lang w:val="en-US" w:eastAsia="zh-CN"/>
              </w:rPr>
              <w:t>t，</w:t>
            </w:r>
            <w:r>
              <w:rPr>
                <w:rFonts w:hint="default" w:ascii="Times New Roman" w:hAnsi="Times New Roman" w:cs="Times New Roman"/>
                <w:color w:val="auto"/>
                <w:sz w:val="24"/>
                <w:szCs w:val="24"/>
                <w:highlight w:val="none"/>
              </w:rPr>
              <w:t>大于</w:t>
            </w:r>
            <w:r>
              <w:rPr>
                <w:rFonts w:hint="eastAsia" w:cs="Times New Roman"/>
                <w:color w:val="auto"/>
                <w:sz w:val="24"/>
                <w:szCs w:val="24"/>
                <w:highlight w:val="none"/>
                <w:lang w:val="en-US" w:eastAsia="zh-CN"/>
              </w:rPr>
              <w:t>0.013</w:t>
            </w:r>
            <w:r>
              <w:rPr>
                <w:rFonts w:hint="default" w:ascii="Times New Roman" w:hAnsi="Times New Roman" w:cs="Times New Roman"/>
                <w:color w:val="auto"/>
                <w:sz w:val="24"/>
                <w:szCs w:val="24"/>
                <w:highlight w:val="none"/>
              </w:rPr>
              <w:t>t/a）中进行替代</w:t>
            </w:r>
            <w:r>
              <w:rPr>
                <w:rFonts w:hint="default" w:ascii="Times New Roman" w:hAnsi="Times New Roman" w:cs="Times New Roman"/>
                <w:color w:val="auto"/>
                <w:sz w:val="24"/>
              </w:rPr>
              <w:t>。</w:t>
            </w:r>
          </w:p>
          <w:p>
            <w:pPr>
              <w:snapToGrid w:val="0"/>
              <w:spacing w:line="360" w:lineRule="auto"/>
              <w:ind w:firstLine="482" w:firstLineChars="200"/>
              <w:rPr>
                <w:rFonts w:hint="default" w:ascii="Times New Roman" w:hAnsi="Times New Roman" w:eastAsia="宋体" w:cs="Times New Roman"/>
                <w:b/>
                <w:color w:val="auto"/>
                <w:sz w:val="24"/>
                <w:lang w:eastAsia="zh-CN"/>
              </w:rPr>
            </w:pPr>
            <w:r>
              <w:rPr>
                <w:rFonts w:hint="default" w:ascii="Times New Roman" w:hAnsi="Times New Roman" w:cs="Times New Roman"/>
                <w:b/>
                <w:color w:val="auto"/>
                <w:sz w:val="24"/>
              </w:rPr>
              <w:t>7、</w:t>
            </w:r>
            <w:r>
              <w:rPr>
                <w:rFonts w:hint="default" w:ascii="Times New Roman" w:hAnsi="Times New Roman" w:cs="Times New Roman"/>
                <w:b/>
                <w:color w:val="auto"/>
                <w:sz w:val="24"/>
                <w:lang w:eastAsia="zh-CN"/>
              </w:rPr>
              <w:t>环境影响分析及结论</w:t>
            </w:r>
          </w:p>
          <w:p>
            <w:pPr>
              <w:spacing w:line="360" w:lineRule="auto"/>
              <w:ind w:firstLine="482" w:firstLineChars="200"/>
              <w:rPr>
                <w:rFonts w:hint="default" w:ascii="Times New Roman" w:hAnsi="Times New Roman" w:eastAsia="宋体" w:cs="Times New Roman"/>
                <w:b/>
                <w:color w:val="auto"/>
                <w:sz w:val="24"/>
                <w:lang w:eastAsia="zh-CN"/>
              </w:rPr>
            </w:pPr>
            <w:r>
              <w:rPr>
                <w:rFonts w:hint="default" w:ascii="Times New Roman" w:hAnsi="Times New Roman" w:cs="Times New Roman"/>
                <w:b/>
                <w:color w:val="auto"/>
                <w:sz w:val="24"/>
              </w:rPr>
              <w:t>（1）</w:t>
            </w:r>
            <w:r>
              <w:rPr>
                <w:rFonts w:hint="default" w:ascii="Times New Roman" w:hAnsi="Times New Roman" w:cs="Times New Roman"/>
                <w:b/>
                <w:color w:val="auto"/>
                <w:sz w:val="24"/>
                <w:lang w:eastAsia="zh-CN"/>
              </w:rPr>
              <w:t>废气</w:t>
            </w:r>
          </w:p>
          <w:p>
            <w:pPr>
              <w:pStyle w:val="64"/>
              <w:autoSpaceDE w:val="0"/>
              <w:autoSpaceDN w:val="0"/>
              <w:adjustRightInd/>
              <w:spacing w:line="360" w:lineRule="auto"/>
              <w:jc w:val="left"/>
              <w:textAlignment w:val="auto"/>
              <w:rPr>
                <w:rFonts w:hint="default" w:ascii="Times New Roman" w:hAnsi="Times New Roman" w:cs="Times New Roman" w:eastAsiaTheme="minorEastAsia"/>
                <w:color w:val="auto"/>
                <w:szCs w:val="24"/>
                <w:lang w:eastAsia="zh-CN"/>
              </w:rPr>
            </w:pPr>
            <w:r>
              <w:rPr>
                <w:rFonts w:hint="default" w:ascii="Times New Roman" w:hAnsi="Times New Roman" w:cs="Times New Roman" w:eastAsiaTheme="minorEastAsia"/>
                <w:color w:val="auto"/>
                <w:szCs w:val="24"/>
                <w:lang w:eastAsia="zh-CN"/>
              </w:rPr>
              <w:t>本</w:t>
            </w:r>
            <w:r>
              <w:rPr>
                <w:rFonts w:hint="default" w:ascii="Times New Roman" w:hAnsi="Times New Roman" w:cs="Times New Roman" w:eastAsiaTheme="minorEastAsia"/>
                <w:color w:val="auto"/>
                <w:szCs w:val="24"/>
              </w:rPr>
              <w:t>项目</w:t>
            </w:r>
            <w:r>
              <w:rPr>
                <w:rFonts w:hint="default" w:ascii="Times New Roman" w:hAnsi="Times New Roman" w:cs="Times New Roman" w:eastAsiaTheme="minorEastAsia"/>
                <w:color w:val="auto"/>
                <w:szCs w:val="24"/>
                <w:shd w:val="clear" w:color="auto" w:fill="FFFFFF"/>
              </w:rPr>
              <w:t>废气主要</w:t>
            </w:r>
            <w:r>
              <w:rPr>
                <w:rFonts w:hint="default" w:ascii="Times New Roman" w:hAnsi="Times New Roman" w:cs="Times New Roman" w:eastAsiaTheme="minorEastAsia"/>
                <w:color w:val="auto"/>
                <w:szCs w:val="24"/>
                <w:shd w:val="clear" w:color="auto" w:fill="FFFFFF"/>
                <w:lang w:eastAsia="zh-CN"/>
              </w:rPr>
              <w:t>是</w:t>
            </w:r>
            <w:r>
              <w:rPr>
                <w:rFonts w:hint="default" w:ascii="Times New Roman" w:hAnsi="Times New Roman" w:cs="Times New Roman" w:eastAsiaTheme="minorEastAsia"/>
                <w:color w:val="auto"/>
                <w:sz w:val="24"/>
                <w:szCs w:val="24"/>
                <w:lang w:val="en-US" w:eastAsia="zh-CN" w:bidi="ar"/>
              </w:rPr>
              <w:t>原料烘干、加热熔融及合模保压等注塑过程产生有机废气</w:t>
            </w:r>
            <w:r>
              <w:rPr>
                <w:rFonts w:hint="default" w:ascii="Times New Roman" w:hAnsi="Times New Roman" w:cs="Times New Roman" w:eastAsiaTheme="minorEastAsia"/>
                <w:color w:val="auto"/>
                <w:szCs w:val="24"/>
                <w:lang w:val="zh-CN"/>
              </w:rPr>
              <w:t>，主要污染物为</w:t>
            </w:r>
            <w:r>
              <w:rPr>
                <w:rFonts w:hint="default" w:ascii="Times New Roman" w:hAnsi="Times New Roman" w:cs="Times New Roman" w:eastAsiaTheme="minorEastAsia"/>
                <w:color w:val="auto"/>
                <w:szCs w:val="24"/>
                <w:lang w:val="en-US" w:eastAsia="zh-CN"/>
              </w:rPr>
              <w:t>VOCs</w:t>
            </w:r>
            <w:r>
              <w:rPr>
                <w:rFonts w:hint="default" w:ascii="Times New Roman" w:hAnsi="Times New Roman" w:cs="Times New Roman" w:eastAsiaTheme="minorEastAsia"/>
                <w:color w:val="auto"/>
                <w:szCs w:val="24"/>
                <w:lang w:val="zh-CN"/>
              </w:rPr>
              <w:t>，分为有组织排放和无组织排放，项目厂区内设</w:t>
            </w:r>
            <w:r>
              <w:rPr>
                <w:rFonts w:hint="default" w:ascii="Times New Roman" w:hAnsi="Times New Roman" w:cs="Times New Roman" w:eastAsiaTheme="minorEastAsia"/>
                <w:color w:val="auto"/>
                <w:szCs w:val="24"/>
                <w:lang w:val="en-US" w:eastAsia="zh-CN"/>
              </w:rPr>
              <w:t>1根15m排气筒。</w:t>
            </w:r>
            <w:r>
              <w:rPr>
                <w:rFonts w:hint="default" w:ascii="Times New Roman" w:hAnsi="Times New Roman" w:cs="Times New Roman" w:eastAsiaTheme="minorEastAsia"/>
                <w:color w:val="auto"/>
                <w:kern w:val="2"/>
                <w:sz w:val="24"/>
                <w:szCs w:val="24"/>
                <w:lang w:eastAsia="zh-CN"/>
              </w:rPr>
              <w:t>根据工程分析，</w:t>
            </w:r>
            <w:r>
              <w:rPr>
                <w:rFonts w:hint="default" w:ascii="Times New Roman" w:hAnsi="Times New Roman" w:cs="Times New Roman" w:eastAsiaTheme="minorEastAsia"/>
                <w:color w:val="auto"/>
                <w:sz w:val="24"/>
                <w:szCs w:val="24"/>
              </w:rPr>
              <w:t>VOCs有组织排放量约为</w:t>
            </w:r>
            <w:r>
              <w:rPr>
                <w:rFonts w:hint="eastAsia" w:cs="Times New Roman" w:eastAsiaTheme="minorEastAsia"/>
                <w:color w:val="auto"/>
                <w:sz w:val="24"/>
                <w:szCs w:val="24"/>
                <w:lang w:val="en-US" w:eastAsia="zh-CN"/>
              </w:rPr>
              <w:t>0.006</w:t>
            </w:r>
            <w:r>
              <w:rPr>
                <w:rFonts w:hint="default" w:ascii="Times New Roman" w:hAnsi="Times New Roman" w:cs="Times New Roman" w:eastAsiaTheme="minorEastAsia"/>
                <w:color w:val="auto"/>
                <w:sz w:val="24"/>
                <w:szCs w:val="24"/>
              </w:rPr>
              <w:t>t/a，排放浓度为</w:t>
            </w:r>
            <w:r>
              <w:rPr>
                <w:rFonts w:hint="eastAsia" w:cs="Times New Roman" w:eastAsiaTheme="minorEastAsia"/>
                <w:color w:val="auto"/>
                <w:sz w:val="24"/>
                <w:szCs w:val="24"/>
                <w:lang w:val="en-US" w:eastAsia="zh-CN"/>
              </w:rPr>
              <w:t>0.5</w:t>
            </w:r>
            <w:r>
              <w:rPr>
                <w:rFonts w:hint="default" w:ascii="Times New Roman" w:hAnsi="Times New Roman" w:cs="Times New Roman" w:eastAsiaTheme="minorEastAsia"/>
                <w:color w:val="auto"/>
                <w:sz w:val="24"/>
                <w:szCs w:val="24"/>
              </w:rPr>
              <w:t>mg/m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，排放速率为</w:t>
            </w:r>
            <w:r>
              <w:rPr>
                <w:rFonts w:hint="eastAsia" w:cs="Times New Roman" w:eastAsiaTheme="minorEastAsia"/>
                <w:color w:val="auto"/>
                <w:sz w:val="24"/>
                <w:szCs w:val="24"/>
                <w:lang w:val="en-US" w:eastAsia="zh-CN"/>
              </w:rPr>
              <w:t>0.0025</w:t>
            </w:r>
            <w:r>
              <w:rPr>
                <w:rFonts w:hint="default" w:ascii="Times New Roman" w:hAnsi="Times New Roman" w:cs="Times New Roman" w:eastAsiaTheme="minorEastAsia"/>
                <w:color w:val="auto"/>
                <w:sz w:val="24"/>
                <w:szCs w:val="24"/>
              </w:rPr>
              <w:t>kg/h，满足</w:t>
            </w:r>
            <w:r>
              <w:rPr>
                <w:rFonts w:hint="default" w:ascii="Times New Roman" w:hAnsi="Times New Roman" w:cs="Times New Roman"/>
                <w:color w:val="auto"/>
                <w:sz w:val="24"/>
                <w:szCs w:val="24"/>
              </w:rPr>
              <w:t>《</w:t>
            </w:r>
            <w:r>
              <w:rPr>
                <w:rFonts w:hint="default" w:ascii="Times New Roman" w:hAnsi="Times New Roman" w:cs="Times New Roman" w:eastAsiaTheme="minorEastAsia"/>
                <w:color w:val="auto"/>
                <w:sz w:val="24"/>
                <w:szCs w:val="24"/>
              </w:rPr>
              <w:t>《挥发性有机物排放标准 第6部分：有机化工行业》（DB37/2801.6-2018）表1中Ⅱ时段（VOCs浓度限值≦60mg/m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、速率限值≦3.0kg/h）标准限值要求</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经预测，</w:t>
            </w:r>
            <w:r>
              <w:rPr>
                <w:rFonts w:hint="default" w:ascii="Times New Roman" w:hAnsi="Times New Roman" w:cs="Times New Roman" w:eastAsiaTheme="minorEastAsia"/>
                <w:color w:val="auto"/>
                <w:sz w:val="24"/>
                <w:szCs w:val="24"/>
                <w:lang w:eastAsia="zh-CN"/>
              </w:rPr>
              <w:t>厂区</w:t>
            </w:r>
            <w:r>
              <w:rPr>
                <w:rFonts w:hint="default" w:ascii="Times New Roman" w:hAnsi="Times New Roman" w:cs="Times New Roman" w:eastAsiaTheme="minorEastAsia"/>
                <w:color w:val="auto"/>
                <w:sz w:val="24"/>
                <w:szCs w:val="24"/>
              </w:rPr>
              <w:t>无组织排放的VOCs下风向轴线浓度最大</w:t>
            </w:r>
            <w:r>
              <w:rPr>
                <w:rFonts w:hint="default" w:ascii="Times New Roman" w:hAnsi="Times New Roman" w:cs="Times New Roman" w:eastAsiaTheme="minorEastAsia"/>
                <w:color w:val="auto"/>
                <w:sz w:val="24"/>
                <w:szCs w:val="24"/>
                <w:lang w:eastAsia="zh-CN"/>
              </w:rPr>
              <w:t>值约</w:t>
            </w:r>
            <w:r>
              <w:rPr>
                <w:rFonts w:hint="default" w:ascii="Times New Roman" w:hAnsi="Times New Roman" w:cs="Times New Roman" w:eastAsiaTheme="minorEastAsia"/>
                <w:color w:val="auto"/>
                <w:sz w:val="24"/>
                <w:szCs w:val="24"/>
              </w:rPr>
              <w:t>为</w:t>
            </w:r>
            <w:r>
              <w:rPr>
                <w:rFonts w:hint="default" w:ascii="Times New Roman" w:hAnsi="Times New Roman" w:cs="Times New Roman" w:eastAsiaTheme="minorEastAsia"/>
                <w:color w:val="auto"/>
                <w:sz w:val="24"/>
                <w:szCs w:val="24"/>
                <w:lang w:val="en-US" w:eastAsia="zh-CN"/>
              </w:rPr>
              <w:t>0.005597</w:t>
            </w:r>
            <w:r>
              <w:rPr>
                <w:rFonts w:hint="default" w:ascii="Times New Roman" w:hAnsi="Times New Roman" w:cs="Times New Roman" w:eastAsiaTheme="minorEastAsia"/>
                <w:color w:val="auto"/>
                <w:sz w:val="24"/>
                <w:szCs w:val="24"/>
              </w:rPr>
              <w:t>mg/m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，浓度占标率</w:t>
            </w:r>
            <w:r>
              <w:rPr>
                <w:rFonts w:hint="default" w:ascii="Times New Roman" w:hAnsi="Times New Roman" w:cs="Times New Roman" w:eastAsiaTheme="minorEastAsia"/>
                <w:color w:val="auto"/>
                <w:sz w:val="24"/>
                <w:szCs w:val="24"/>
                <w:lang w:eastAsia="zh-CN"/>
              </w:rPr>
              <w:t>约</w:t>
            </w:r>
            <w:r>
              <w:rPr>
                <w:rFonts w:hint="default" w:ascii="Times New Roman" w:hAnsi="Times New Roman" w:cs="Times New Roman" w:eastAsiaTheme="minorEastAsia"/>
                <w:color w:val="auto"/>
                <w:sz w:val="24"/>
                <w:szCs w:val="24"/>
              </w:rPr>
              <w:t>为</w:t>
            </w:r>
            <w:r>
              <w:rPr>
                <w:rFonts w:hint="default" w:ascii="Times New Roman" w:hAnsi="Times New Roman" w:cs="Times New Roman" w:eastAsiaTheme="minorEastAsia"/>
                <w:color w:val="auto"/>
                <w:sz w:val="24"/>
                <w:szCs w:val="24"/>
                <w:lang w:val="en-US" w:eastAsia="zh-CN"/>
              </w:rPr>
              <w:t>0.47</w:t>
            </w:r>
            <w:r>
              <w:rPr>
                <w:rFonts w:hint="default" w:ascii="Times New Roman" w:hAnsi="Times New Roman" w:cs="Times New Roman" w:eastAsiaTheme="minorEastAsia"/>
                <w:color w:val="auto"/>
                <w:sz w:val="24"/>
                <w:szCs w:val="24"/>
              </w:rPr>
              <w:t>%，最大落地浓度出现</w:t>
            </w:r>
            <w:r>
              <w:rPr>
                <w:rFonts w:hint="default" w:ascii="Times New Roman" w:hAnsi="Times New Roman" w:cs="Times New Roman" w:eastAsiaTheme="minorEastAsia"/>
                <w:color w:val="auto"/>
                <w:sz w:val="24"/>
                <w:szCs w:val="24"/>
                <w:lang w:eastAsia="zh-CN"/>
              </w:rPr>
              <w:t>在</w:t>
            </w:r>
            <w:r>
              <w:rPr>
                <w:rFonts w:hint="default" w:ascii="Times New Roman" w:hAnsi="Times New Roman" w:cs="Times New Roman" w:eastAsiaTheme="minorEastAsia"/>
                <w:color w:val="auto"/>
                <w:sz w:val="24"/>
                <w:szCs w:val="24"/>
              </w:rPr>
              <w:t>面源下风向</w:t>
            </w:r>
            <w:r>
              <w:rPr>
                <w:rFonts w:hint="default" w:ascii="Times New Roman" w:hAnsi="Times New Roman" w:cs="Times New Roman" w:eastAsiaTheme="minorEastAsia"/>
                <w:color w:val="auto"/>
                <w:sz w:val="24"/>
                <w:szCs w:val="24"/>
                <w:lang w:val="en-US" w:eastAsia="zh-CN"/>
              </w:rPr>
              <w:t>50</w:t>
            </w:r>
            <w:r>
              <w:rPr>
                <w:rFonts w:hint="default" w:ascii="Times New Roman" w:hAnsi="Times New Roman" w:cs="Times New Roman" w:eastAsiaTheme="minorEastAsia"/>
                <w:color w:val="auto"/>
                <w:sz w:val="24"/>
                <w:szCs w:val="24"/>
              </w:rPr>
              <w:t>m处</w:t>
            </w:r>
            <w:r>
              <w:rPr>
                <w:rFonts w:hint="default" w:ascii="Times New Roman" w:hAnsi="Times New Roman" w:cs="Times New Roman" w:eastAsiaTheme="minorEastAsia"/>
                <w:color w:val="auto"/>
                <w:sz w:val="24"/>
                <w:szCs w:val="24"/>
                <w:lang w:eastAsia="zh-CN"/>
              </w:rPr>
              <w:t>，满足</w:t>
            </w:r>
            <w:r>
              <w:rPr>
                <w:rFonts w:hint="default" w:ascii="Times New Roman" w:hAnsi="Times New Roman" w:cs="Times New Roman" w:eastAsiaTheme="minorEastAsia"/>
                <w:color w:val="auto"/>
                <w:sz w:val="24"/>
                <w:szCs w:val="24"/>
                <w:lang w:val="en-US" w:eastAsia="zh-CN"/>
              </w:rPr>
              <w:t>《挥发性有机物排放标准 第6部分：有机化工行业》（DB37/2801.6-2018）</w:t>
            </w:r>
            <w:r>
              <w:rPr>
                <w:rFonts w:hint="default" w:ascii="Times New Roman" w:hAnsi="Times New Roman" w:cs="Times New Roman" w:eastAsiaTheme="minorEastAsia"/>
                <w:color w:val="auto"/>
                <w:sz w:val="24"/>
                <w:szCs w:val="24"/>
                <w:vertAlign w:val="baseline"/>
                <w:lang w:val="en-US" w:eastAsia="zh-CN"/>
              </w:rPr>
              <w:t>表3厂界监控点浓度限值（VOCs浓度限值≦2.0mg/m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vertAlign w:val="baseline"/>
                <w:lang w:val="en-US" w:eastAsia="zh-CN"/>
              </w:rPr>
              <w:t>）</w:t>
            </w:r>
            <w:r>
              <w:rPr>
                <w:rFonts w:hint="default" w:ascii="Times New Roman" w:hAnsi="Times New Roman" w:cs="Times New Roman" w:eastAsiaTheme="minorEastAsia"/>
                <w:color w:val="auto"/>
                <w:sz w:val="24"/>
                <w:szCs w:val="24"/>
                <w:lang w:val="en-US" w:eastAsia="zh-CN"/>
              </w:rPr>
              <w:t>要求。</w:t>
            </w:r>
            <w:r>
              <w:rPr>
                <w:rFonts w:hint="default" w:ascii="Times New Roman" w:hAnsi="Times New Roman" w:cs="Times New Roman" w:eastAsiaTheme="minorEastAsia"/>
                <w:color w:val="auto"/>
                <w:sz w:val="24"/>
                <w:szCs w:val="24"/>
              </w:rPr>
              <w:t>本项目</w:t>
            </w:r>
            <w:r>
              <w:rPr>
                <w:rFonts w:hint="default" w:ascii="Times New Roman" w:hAnsi="Times New Roman" w:cs="Times New Roman" w:eastAsiaTheme="minorEastAsia"/>
                <w:color w:val="auto"/>
                <w:sz w:val="24"/>
                <w:szCs w:val="24"/>
                <w:lang w:eastAsia="zh-CN"/>
              </w:rPr>
              <w:t>无组织排放污染物</w:t>
            </w:r>
            <w:r>
              <w:rPr>
                <w:rFonts w:hint="default" w:ascii="Times New Roman" w:hAnsi="Times New Roman" w:cs="Times New Roman" w:eastAsiaTheme="minorEastAsia"/>
                <w:color w:val="auto"/>
                <w:sz w:val="24"/>
                <w:szCs w:val="24"/>
              </w:rPr>
              <w:t>的最大落地浓度贡献值较小，</w:t>
            </w:r>
            <w:r>
              <w:rPr>
                <w:rFonts w:hint="default" w:ascii="Times New Roman" w:hAnsi="Times New Roman" w:cs="Times New Roman" w:eastAsiaTheme="minorEastAsia"/>
                <w:color w:val="auto"/>
                <w:sz w:val="24"/>
                <w:szCs w:val="24"/>
                <w:lang w:eastAsia="zh-CN"/>
              </w:rPr>
              <w:t>对</w:t>
            </w:r>
            <w:r>
              <w:rPr>
                <w:rFonts w:hint="default" w:ascii="Times New Roman" w:hAnsi="Times New Roman" w:cs="Times New Roman" w:eastAsiaTheme="minorEastAsia"/>
                <w:color w:val="auto"/>
                <w:sz w:val="24"/>
                <w:szCs w:val="24"/>
              </w:rPr>
              <w:t>周围大气环境质量影响较小</w:t>
            </w:r>
            <w:r>
              <w:rPr>
                <w:rFonts w:hint="default" w:ascii="Times New Roman" w:hAnsi="Times New Roman" w:cs="Times New Roman" w:eastAsiaTheme="minorEastAsia"/>
                <w:color w:val="auto"/>
                <w:sz w:val="24"/>
                <w:szCs w:val="24"/>
                <w:lang w:eastAsia="zh-CN"/>
              </w:rPr>
              <w:t>。</w:t>
            </w:r>
          </w:p>
          <w:p>
            <w:pPr>
              <w:pStyle w:val="17"/>
              <w:ind w:left="0" w:firstLine="361" w:firstLineChars="150"/>
              <w:rPr>
                <w:rFonts w:hint="default" w:ascii="Times New Roman" w:hAnsi="Times New Roman" w:eastAsia="宋体" w:cs="Times New Roman"/>
                <w:b/>
                <w:color w:val="auto"/>
                <w:lang w:eastAsia="zh-CN"/>
              </w:rPr>
            </w:pPr>
            <w:r>
              <w:rPr>
                <w:rFonts w:hint="default" w:ascii="Times New Roman" w:hAnsi="Times New Roman" w:cs="Times New Roman"/>
                <w:b/>
                <w:color w:val="auto"/>
              </w:rPr>
              <w:t>（2）</w:t>
            </w:r>
            <w:r>
              <w:rPr>
                <w:rFonts w:hint="default" w:ascii="Times New Roman" w:hAnsi="Times New Roman" w:cs="Times New Roman"/>
                <w:b/>
                <w:color w:val="auto"/>
                <w:lang w:eastAsia="zh-CN"/>
              </w:rPr>
              <w:t>废水</w:t>
            </w:r>
          </w:p>
          <w:p>
            <w:pPr>
              <w:spacing w:line="360" w:lineRule="auto"/>
              <w:ind w:firstLine="480" w:firstLineChars="200"/>
              <w:jc w:val="left"/>
              <w:rPr>
                <w:rFonts w:hint="default" w:ascii="Times New Roman" w:hAnsi="Times New Roman" w:eastAsia="宋体" w:cs="Times New Roman"/>
                <w:color w:val="auto"/>
                <w:sz w:val="24"/>
                <w:lang w:eastAsia="zh-CN"/>
              </w:rPr>
            </w:pPr>
            <w:r>
              <w:rPr>
                <w:rFonts w:hint="default" w:ascii="Times New Roman" w:hAnsi="Times New Roman" w:cs="Times New Roman"/>
                <w:bCs/>
                <w:color w:val="auto"/>
                <w:sz w:val="24"/>
                <w:szCs w:val="24"/>
              </w:rPr>
              <w:t>本项目废水主要为生活污水，产生量约</w:t>
            </w:r>
            <w:r>
              <w:rPr>
                <w:rFonts w:hint="eastAsia" w:cs="Times New Roman"/>
                <w:bCs/>
                <w:color w:val="auto"/>
                <w:sz w:val="24"/>
                <w:szCs w:val="24"/>
                <w:lang w:val="en-US" w:eastAsia="zh-CN"/>
              </w:rPr>
              <w:t>240</w:t>
            </w:r>
            <w:r>
              <w:rPr>
                <w:rFonts w:hint="default" w:ascii="Times New Roman" w:hAnsi="Times New Roman" w:cs="Times New Roman"/>
                <w:bCs/>
                <w:color w:val="auto"/>
                <w:sz w:val="24"/>
                <w:szCs w:val="24"/>
              </w:rPr>
              <w:t>t/a，主要污染物为CODcr、氨氮等</w:t>
            </w:r>
            <w:r>
              <w:rPr>
                <w:rFonts w:hint="default" w:ascii="Times New Roman" w:hAnsi="Times New Roman" w:cs="Times New Roman"/>
                <w:color w:val="auto"/>
                <w:sz w:val="24"/>
              </w:rPr>
              <w:t>。</w:t>
            </w:r>
            <w:r>
              <w:rPr>
                <w:rFonts w:hint="default" w:ascii="Times New Roman" w:hAnsi="Times New Roman" w:cs="Times New Roman"/>
                <w:color w:val="auto"/>
                <w:sz w:val="24"/>
                <w:szCs w:val="24"/>
              </w:rPr>
              <w:t>经化粪池预处理后能够达到《污水排入城镇下水道水质标准》（GB/T31962-2015）表1中的B等级标准，</w:t>
            </w:r>
            <w:r>
              <w:rPr>
                <w:rFonts w:hint="default" w:ascii="Times New Roman" w:hAnsi="Times New Roman" w:cs="Times New Roman"/>
                <w:color w:val="auto"/>
                <w:sz w:val="24"/>
                <w:szCs w:val="24"/>
                <w:lang w:eastAsia="zh-CN"/>
              </w:rPr>
              <w:t>由</w:t>
            </w:r>
            <w:r>
              <w:rPr>
                <w:rFonts w:hint="default" w:ascii="Times New Roman" w:hAnsi="Times New Roman" w:cs="Times New Roman"/>
                <w:color w:val="auto"/>
                <w:sz w:val="24"/>
                <w:szCs w:val="24"/>
              </w:rPr>
              <w:t>市政污水管网输送至</w:t>
            </w:r>
            <w:r>
              <w:rPr>
                <w:rFonts w:hint="eastAsia" w:cs="Times New Roman"/>
                <w:color w:val="auto"/>
                <w:sz w:val="24"/>
                <w:szCs w:val="24"/>
                <w:lang w:eastAsia="zh-CN"/>
              </w:rPr>
              <w:t>威海初村污水处理厂</w:t>
            </w:r>
            <w:r>
              <w:rPr>
                <w:rFonts w:hint="default" w:ascii="Times New Roman" w:hAnsi="Times New Roman" w:cs="Times New Roman"/>
                <w:color w:val="auto"/>
                <w:sz w:val="24"/>
                <w:szCs w:val="24"/>
              </w:rPr>
              <w:t>集中处理，达到《城镇污水处理厂污染物排放标准》（GB18918-2002）一级A标准（CODcr50mg/l、氨氮5（8）mg/l）后排海</w:t>
            </w:r>
            <w:r>
              <w:rPr>
                <w:rFonts w:hint="default" w:ascii="Times New Roman" w:hAnsi="Times New Roman" w:cs="Times New Roman"/>
                <w:color w:val="auto"/>
                <w:sz w:val="24"/>
                <w:szCs w:val="24"/>
                <w:lang w:eastAsia="zh-CN"/>
              </w:rPr>
              <w:t>。厂区排放口</w:t>
            </w:r>
            <w:r>
              <w:rPr>
                <w:rFonts w:hint="eastAsia"/>
                <w:color w:val="auto"/>
                <w:sz w:val="24"/>
                <w:szCs w:val="24"/>
              </w:rPr>
              <w:t>CODcr</w:t>
            </w:r>
            <w:r>
              <w:rPr>
                <w:color w:val="auto"/>
                <w:sz w:val="24"/>
                <w:szCs w:val="24"/>
              </w:rPr>
              <w:t>排放量为</w:t>
            </w:r>
            <w:r>
              <w:rPr>
                <w:rFonts w:hint="eastAsia"/>
                <w:color w:val="auto"/>
                <w:sz w:val="24"/>
                <w:szCs w:val="24"/>
                <w:lang w:val="en-US" w:eastAsia="zh-CN"/>
              </w:rPr>
              <w:t>0.084</w:t>
            </w:r>
            <w:r>
              <w:rPr>
                <w:color w:val="auto"/>
                <w:sz w:val="24"/>
                <w:szCs w:val="24"/>
              </w:rPr>
              <w:t>t/a，氨氮排放量为</w:t>
            </w:r>
            <w:r>
              <w:rPr>
                <w:rFonts w:hint="eastAsia"/>
                <w:color w:val="auto"/>
                <w:sz w:val="24"/>
                <w:szCs w:val="24"/>
              </w:rPr>
              <w:t>0.0</w:t>
            </w:r>
            <w:r>
              <w:rPr>
                <w:rFonts w:hint="eastAsia"/>
                <w:color w:val="auto"/>
                <w:sz w:val="24"/>
                <w:szCs w:val="24"/>
                <w:lang w:val="en-US" w:eastAsia="zh-CN"/>
              </w:rPr>
              <w:t>06</w:t>
            </w:r>
            <w:r>
              <w:rPr>
                <w:color w:val="auto"/>
                <w:sz w:val="24"/>
                <w:szCs w:val="24"/>
              </w:rPr>
              <w:t>t/</w:t>
            </w:r>
            <w:r>
              <w:rPr>
                <w:rFonts w:hint="eastAsia"/>
                <w:color w:val="auto"/>
                <w:sz w:val="24"/>
                <w:szCs w:val="24"/>
                <w:lang w:val="en-US" w:eastAsia="zh-CN"/>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CODcr、氨氮排入外环境的量分别为</w:t>
            </w:r>
            <w:r>
              <w:rPr>
                <w:rFonts w:hint="eastAsia"/>
                <w:color w:val="auto"/>
                <w:sz w:val="24"/>
                <w:szCs w:val="24"/>
                <w:lang w:val="en-US" w:eastAsia="zh-CN"/>
              </w:rPr>
              <w:t>0.012</w:t>
            </w:r>
            <w:r>
              <w:rPr>
                <w:color w:val="auto"/>
                <w:sz w:val="24"/>
                <w:szCs w:val="24"/>
              </w:rPr>
              <w:t>t/a、0.00</w:t>
            </w:r>
            <w:r>
              <w:rPr>
                <w:rFonts w:hint="eastAsia"/>
                <w:color w:val="auto"/>
                <w:sz w:val="24"/>
                <w:szCs w:val="24"/>
                <w:lang w:val="en-US" w:eastAsia="zh-CN"/>
              </w:rPr>
              <w:t>2</w:t>
            </w:r>
            <w:r>
              <w:rPr>
                <w:color w:val="auto"/>
                <w:sz w:val="24"/>
                <w:szCs w:val="24"/>
              </w:rPr>
              <w:t>t/a</w:t>
            </w:r>
            <w:r>
              <w:rPr>
                <w:rFonts w:hint="default" w:ascii="Times New Roman" w:hAnsi="Times New Roman" w:cs="Times New Roman"/>
                <w:color w:val="auto"/>
                <w:sz w:val="24"/>
              </w:rPr>
              <w:t>。</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了最大限度地降低本项目对地下水的影响，本项目必须采取完善、有效的厂区防渗处理措施，制定严格细致的检查制度，定期对污水管渠等防渗情况进行检查，发现问题及时妥善处理，力争厂区内无跑、冒、滴、漏现象发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0"/>
                <w:sz w:val="24"/>
              </w:rPr>
              <w:t>综上所述，项目采取严格管理和切实的防治措施的前提下，项目废水对周边地表水及地下水的影响较小</w:t>
            </w:r>
            <w:r>
              <w:rPr>
                <w:rFonts w:hint="default" w:ascii="Times New Roman" w:hAnsi="Times New Roman" w:cs="Times New Roman"/>
                <w:color w:val="auto"/>
                <w:sz w:val="24"/>
                <w:szCs w:val="24"/>
              </w:rPr>
              <w:t>。</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（3）噪声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w:t>本项目</w:t>
            </w:r>
            <w:r>
              <w:rPr>
                <w:rFonts w:hint="default" w:ascii="Times New Roman" w:hAnsi="Times New Roman" w:cs="Times New Roman"/>
                <w:color w:val="auto"/>
                <w:sz w:val="24"/>
                <w:szCs w:val="24"/>
              </w:rPr>
              <w:t>噪声主要来自</w:t>
            </w:r>
            <w:r>
              <w:rPr>
                <w:rFonts w:hint="eastAsia" w:cs="Times New Roman"/>
                <w:color w:val="auto"/>
                <w:sz w:val="24"/>
                <w:szCs w:val="24"/>
                <w:lang w:eastAsia="zh-CN"/>
              </w:rPr>
              <w:t>注塑机、风机</w:t>
            </w:r>
            <w:r>
              <w:rPr>
                <w:rFonts w:hint="default" w:ascii="Times New Roman" w:hAnsi="Times New Roman" w:cs="Times New Roman"/>
                <w:color w:val="auto"/>
                <w:sz w:val="24"/>
                <w:szCs w:val="24"/>
                <w:lang w:eastAsia="zh-CN"/>
              </w:rPr>
              <w:t>等机械设备</w:t>
            </w:r>
            <w:r>
              <w:rPr>
                <w:rFonts w:hint="default" w:ascii="Times New Roman" w:hAnsi="Times New Roman" w:cs="Times New Roman"/>
                <w:color w:val="auto"/>
                <w:sz w:val="24"/>
                <w:szCs w:val="24"/>
              </w:rPr>
              <w:t>的运行，</w:t>
            </w:r>
            <w:r>
              <w:rPr>
                <w:rFonts w:hint="default" w:ascii="Times New Roman" w:hAnsi="Times New Roman" w:cs="Times New Roman"/>
                <w:color w:val="auto"/>
                <w:sz w:val="24"/>
              </w:rPr>
              <w:t>根据国内同类行业的车间内噪声值的经验数据，噪声值约在</w:t>
            </w:r>
            <w:r>
              <w:rPr>
                <w:rFonts w:hint="default" w:ascii="Times New Roman" w:hAnsi="Times New Roman" w:cs="Times New Roman"/>
                <w:color w:val="auto"/>
                <w:sz w:val="24"/>
                <w:lang w:val="en-US" w:eastAsia="zh-CN"/>
              </w:rPr>
              <w:t>65</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85</w:t>
            </w:r>
            <w:r>
              <w:rPr>
                <w:rFonts w:hint="default" w:ascii="Times New Roman" w:hAnsi="Times New Roman" w:cs="Times New Roman"/>
                <w:color w:val="auto"/>
                <w:sz w:val="24"/>
              </w:rPr>
              <w:t>dB(A)</w:t>
            </w:r>
            <w:r>
              <w:rPr>
                <w:rFonts w:hint="default" w:ascii="Times New Roman" w:hAnsi="Times New Roman" w:cs="Times New Roman"/>
                <w:color w:val="auto"/>
                <w:sz w:val="24"/>
                <w:lang w:eastAsia="zh-CN"/>
              </w:rPr>
              <w:t>左右</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项目噪声源通过合理布置，在加装各类减震垫，经厂房阻隔、吸声和距离衰减后可以达到《工业企业厂界环境噪声排放标准》（GB12348-2008）中的</w:t>
            </w:r>
            <w:r>
              <w:rPr>
                <w:rFonts w:hint="eastAsia" w:cs="Times New Roman"/>
                <w:color w:val="auto"/>
                <w:sz w:val="24"/>
                <w:szCs w:val="24"/>
                <w:lang w:val="en-US" w:eastAsia="zh-CN"/>
              </w:rPr>
              <w:t>3</w:t>
            </w:r>
            <w:r>
              <w:rPr>
                <w:rFonts w:hint="default" w:ascii="Times New Roman" w:hAnsi="Times New Roman" w:cs="Times New Roman"/>
                <w:color w:val="auto"/>
                <w:sz w:val="24"/>
                <w:szCs w:val="24"/>
              </w:rPr>
              <w:t>类标准的要求，对周围环境影响较小。</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（4）固体废物</w:t>
            </w:r>
          </w:p>
          <w:p>
            <w:pPr>
              <w:pStyle w:val="17"/>
              <w:ind w:left="0" w:firstLine="480" w:firstLineChars="200"/>
              <w:rPr>
                <w:rFonts w:hint="default" w:ascii="Times New Roman" w:hAnsi="Times New Roman" w:cs="Times New Roman"/>
                <w:bCs/>
                <w:color w:val="auto"/>
              </w:rPr>
            </w:pPr>
            <w:r>
              <w:rPr>
                <w:rFonts w:hint="default" w:ascii="Times New Roman" w:hAnsi="Times New Roman" w:cs="Times New Roman"/>
                <w:color w:val="auto"/>
              </w:rPr>
              <w:t>项目营运期</w:t>
            </w:r>
            <w:r>
              <w:rPr>
                <w:rFonts w:hint="default" w:ascii="Times New Roman" w:hAnsi="Times New Roman" w:cs="Times New Roman"/>
                <w:color w:val="auto"/>
                <w:sz w:val="24"/>
                <w:szCs w:val="24"/>
              </w:rPr>
              <w:t>生活垃圾由环卫部门运送至威海市垃圾处理场合理处置，</w:t>
            </w:r>
            <w:r>
              <w:rPr>
                <w:rFonts w:hint="default" w:ascii="Times New Roman" w:hAnsi="Times New Roman" w:cs="Times New Roman"/>
                <w:color w:val="auto"/>
                <w:sz w:val="24"/>
                <w:lang w:eastAsia="zh-CN"/>
              </w:rPr>
              <w:t>不合格品、废包装、</w:t>
            </w:r>
            <w:r>
              <w:rPr>
                <w:rFonts w:hint="eastAsia" w:ascii="Times New Roman" w:cs="Times New Roman"/>
                <w:color w:val="auto"/>
                <w:sz w:val="24"/>
                <w:lang w:eastAsia="zh-CN"/>
              </w:rPr>
              <w:t>下脚料</w:t>
            </w:r>
            <w:r>
              <w:rPr>
                <w:rFonts w:hint="default" w:ascii="Times New Roman" w:hAnsi="Times New Roman" w:cs="Times New Roman"/>
                <w:color w:val="auto"/>
                <w:sz w:val="24"/>
                <w:szCs w:val="24"/>
              </w:rPr>
              <w:t>由</w:t>
            </w:r>
            <w:r>
              <w:rPr>
                <w:rFonts w:hint="default" w:ascii="Times New Roman" w:hAnsi="Times New Roman" w:cs="Times New Roman"/>
                <w:color w:val="auto"/>
                <w:sz w:val="24"/>
                <w:szCs w:val="24"/>
                <w:lang w:eastAsia="zh-CN"/>
              </w:rPr>
              <w:t>物资</w:t>
            </w:r>
            <w:r>
              <w:rPr>
                <w:rFonts w:hint="default" w:ascii="Times New Roman" w:hAnsi="Times New Roman" w:cs="Times New Roman"/>
                <w:color w:val="auto"/>
                <w:sz w:val="24"/>
                <w:szCs w:val="24"/>
              </w:rPr>
              <w:t>回收</w:t>
            </w:r>
            <w:r>
              <w:rPr>
                <w:rFonts w:hint="default" w:ascii="Times New Roman" w:hAnsi="Times New Roman" w:cs="Times New Roman"/>
                <w:color w:val="auto"/>
                <w:sz w:val="24"/>
                <w:szCs w:val="24"/>
                <w:lang w:eastAsia="zh-CN"/>
              </w:rPr>
              <w:t>部门</w:t>
            </w:r>
            <w:r>
              <w:rPr>
                <w:rFonts w:hint="default" w:ascii="Times New Roman" w:hAnsi="Times New Roman" w:cs="Times New Roman"/>
                <w:color w:val="auto"/>
                <w:sz w:val="24"/>
                <w:szCs w:val="24"/>
              </w:rPr>
              <w:t>回收利用，</w:t>
            </w:r>
            <w:r>
              <w:rPr>
                <w:rFonts w:hint="eastAsia" w:ascii="Times New Roman" w:cs="Times New Roman"/>
                <w:color w:val="auto"/>
                <w:sz w:val="24"/>
                <w:szCs w:val="24"/>
                <w:lang w:eastAsia="zh-CN"/>
              </w:rPr>
              <w:t>废分子筛</w:t>
            </w:r>
            <w:r>
              <w:rPr>
                <w:rFonts w:hint="default" w:ascii="Times New Roman" w:hAnsi="Times New Roman" w:cs="Times New Roman"/>
                <w:color w:val="auto"/>
                <w:sz w:val="24"/>
                <w:szCs w:val="24"/>
              </w:rPr>
              <w:t>委托有</w:t>
            </w:r>
            <w:r>
              <w:rPr>
                <w:rFonts w:hint="eastAsia" w:ascii="Times New Roman" w:cs="Times New Roman"/>
                <w:color w:val="auto"/>
                <w:sz w:val="24"/>
                <w:szCs w:val="24"/>
                <w:lang w:eastAsia="zh-CN"/>
              </w:rPr>
              <w:t>危废处置</w:t>
            </w:r>
            <w:r>
              <w:rPr>
                <w:rFonts w:hint="default" w:ascii="Times New Roman" w:hAnsi="Times New Roman" w:cs="Times New Roman"/>
                <w:color w:val="auto"/>
                <w:sz w:val="24"/>
                <w:szCs w:val="24"/>
              </w:rPr>
              <w:t>资质的单位进行回收处置</w:t>
            </w:r>
            <w:r>
              <w:rPr>
                <w:rFonts w:hint="default" w:ascii="Times New Roman" w:hAnsi="Times New Roman" w:cs="Times New Roman"/>
                <w:color w:val="auto"/>
              </w:rPr>
              <w:t>。</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堆放各类固体废物的地面要硬化处理并分类堆放，各类固体废物只在厂内作短时间的堆放，对环境影响较小。经上述措施处理后固体废物处置满足《一般工业固体废物贮存、处置场污染控制标准》（GB18599-2001）及其修改单标准、</w:t>
            </w:r>
            <w:r>
              <w:rPr>
                <w:rFonts w:hint="default" w:ascii="Times New Roman" w:hAnsi="Times New Roman" w:cs="Times New Roman"/>
                <w:color w:val="auto"/>
                <w:sz w:val="24"/>
                <w:szCs w:val="24"/>
              </w:rPr>
              <w:t>《危险废物贮存污染控制标准》（GB18597-2001）及其修改单</w:t>
            </w:r>
            <w:r>
              <w:rPr>
                <w:rFonts w:hint="default" w:ascii="Times New Roman" w:hAnsi="Times New Roman" w:cs="Times New Roman"/>
                <w:bCs/>
                <w:color w:val="auto"/>
                <w:sz w:val="24"/>
              </w:rPr>
              <w:t>。</w:t>
            </w:r>
          </w:p>
          <w:p>
            <w:pPr>
              <w:adjustRightInd w:val="0"/>
              <w:snapToGrid w:val="0"/>
              <w:spacing w:line="360" w:lineRule="auto"/>
              <w:ind w:firstLine="48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（5）生态环境</w:t>
            </w:r>
          </w:p>
          <w:p>
            <w:pPr>
              <w:spacing w:line="360" w:lineRule="auto"/>
              <w:ind w:firstLine="448" w:firstLineChars="200"/>
              <w:rPr>
                <w:rFonts w:hint="default" w:ascii="Times New Roman" w:hAnsi="Times New Roman" w:cs="Times New Roman"/>
                <w:b/>
                <w:color w:val="auto"/>
                <w:sz w:val="24"/>
              </w:rPr>
            </w:pPr>
            <w:r>
              <w:rPr>
                <w:rFonts w:hint="default" w:ascii="Times New Roman" w:hAnsi="Times New Roman" w:cs="Times New Roman"/>
                <w:color w:val="auto"/>
                <w:spacing w:val="-8"/>
                <w:sz w:val="24"/>
              </w:rPr>
              <w:t>项目运营阶段不会造成区域内生态功能及结构的变化，对项目区及周围局部生态环境的影响在许可范围与程度之内。</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（6）环境风险</w:t>
            </w:r>
          </w:p>
          <w:p>
            <w:pPr>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按照</w:t>
            </w:r>
            <w:r>
              <w:rPr>
                <w:rFonts w:hint="default" w:ascii="Times New Roman" w:hAnsi="Times New Roman" w:cs="Times New Roman"/>
                <w:color w:val="auto"/>
                <w:kern w:val="0"/>
                <w:sz w:val="24"/>
              </w:rPr>
              <w:t>《建设项目环境风险评价技术导则》（HJ169-2018）</w:t>
            </w:r>
            <w:r>
              <w:rPr>
                <w:rFonts w:hint="default" w:ascii="Times New Roman" w:hAnsi="Times New Roman" w:cs="Times New Roman"/>
                <w:color w:val="auto"/>
                <w:sz w:val="24"/>
              </w:rPr>
              <w:t>的规定，对环境风险源进行了识别、制定了防范措施，本项目的建设符合</w:t>
            </w:r>
            <w:r>
              <w:rPr>
                <w:rFonts w:hint="default" w:ascii="Times New Roman" w:hAnsi="Times New Roman" w:cs="Times New Roman"/>
                <w:color w:val="auto"/>
                <w:kern w:val="0"/>
                <w:sz w:val="24"/>
              </w:rPr>
              <w:t>《建设项目环境风险评价技术导则》（HJ169-2018）</w:t>
            </w:r>
            <w:r>
              <w:rPr>
                <w:rFonts w:hint="default" w:ascii="Times New Roman" w:hAnsi="Times New Roman" w:cs="Times New Roman"/>
                <w:color w:val="auto"/>
                <w:sz w:val="24"/>
              </w:rPr>
              <w:t>关于环境风险评价的要求。</w:t>
            </w:r>
          </w:p>
          <w:p>
            <w:pPr>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bCs/>
                <w:color w:val="auto"/>
                <w:sz w:val="24"/>
              </w:rPr>
              <w:t>通过加强管理、加强教育和培训，</w:t>
            </w:r>
            <w:r>
              <w:rPr>
                <w:rFonts w:hint="default" w:ascii="Times New Roman" w:hAnsi="Times New Roman" w:cs="Times New Roman"/>
                <w:color w:val="auto"/>
                <w:sz w:val="24"/>
              </w:rPr>
              <w:t>并严格落实各项防范措施和应急预案，同时加强演练，项目潜在的环境风险发生概率处于可接受水平。</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（7）清洁生产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项目本身让有用资源得到有效利用，节约能源和动力。项目营运期间积极开展“节水、节地、节能、节材”等环保理念，秉持了“节能、降耗、减污、增效”的清洁生产理念，符合清洁生产政策要求。</w:t>
            </w:r>
          </w:p>
          <w:p>
            <w:pPr>
              <w:spacing w:line="480" w:lineRule="exact"/>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rPr>
              <w:t>综上所述，该项目符合国家产业政策，符合当地产业发展导向，选址符合当地发展规划。项目所在区域内环境质量现状良好，无重大环境制约要素，项目采取的污染物治理技术可行，措施有效。项目生产过程中产生的各种污染物在相应有效的环保措施及方案下，均可做到达标排放，对环境影响较小，基本维持当地环境质量现状级别。只要落实本报告表提出的环保对策措施，本项目建设从环境保护角度而言是可行的</w:t>
            </w:r>
            <w:r>
              <w:rPr>
                <w:rFonts w:hint="default" w:ascii="Times New Roman" w:hAnsi="Times New Roman" w:cs="Times New Roman"/>
                <w:b/>
                <w:color w:val="auto"/>
                <w:sz w:val="24"/>
                <w:szCs w:val="24"/>
              </w:rPr>
              <w:t>。</w:t>
            </w:r>
          </w:p>
          <w:p>
            <w:pPr>
              <w:spacing w:line="360" w:lineRule="auto"/>
              <w:ind w:firstLine="482" w:firstLineChars="200"/>
              <w:rPr>
                <w:rFonts w:hint="default" w:ascii="Times New Roman" w:hAnsi="Times New Roman" w:cs="Times New Roman"/>
                <w:b/>
                <w:color w:val="auto"/>
                <w:sz w:val="24"/>
              </w:rPr>
            </w:pP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二、环保建议：</w:t>
            </w:r>
          </w:p>
          <w:p>
            <w:pPr>
              <w:adjustRightIn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1、项目必须严格执行环保“三同时”制度，污染防治设施应与主体工程同时设计、同时施工和同时投入运营。</w:t>
            </w:r>
          </w:p>
          <w:p>
            <w:pPr>
              <w:adjustRightIn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2、营运期间环保设施的保养、维修应制度化，保证设备的正常运转。</w:t>
            </w:r>
          </w:p>
          <w:p>
            <w:pPr>
              <w:spacing w:line="360" w:lineRule="auto"/>
              <w:ind w:firstLine="48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3、增强职工风险意识，加强职工操作培训，提高职工安全环保意识，建立健全各项规章制度，注意正确的操作规程，避免因操作失误造成的安全事故和环境影响。</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4、积极配合环保部门的监督、监测等环保管理。建立健全环保机构，分工负责， 加强监督，完善环境管理。</w:t>
            </w:r>
          </w:p>
          <w:p>
            <w:pPr>
              <w:pStyle w:val="2"/>
              <w:spacing w:line="360" w:lineRule="auto"/>
              <w:jc w:val="left"/>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    5、</w:t>
            </w:r>
            <w:r>
              <w:rPr>
                <w:rFonts w:hint="default" w:ascii="Times New Roman" w:hAnsi="Times New Roman" w:cs="Times New Roman"/>
                <w:color w:val="auto"/>
                <w:sz w:val="24"/>
                <w:szCs w:val="24"/>
              </w:rPr>
              <w:t>建设项目的环境影响评价文件经批准后，建设项目的性质、规模、地点、采用的生产工艺或者防治污染、防治生态破坏的措施发生重大变动的，建设单位应当重新报批建设项目的环境影响评价文件</w:t>
            </w:r>
            <w:r>
              <w:rPr>
                <w:rFonts w:hint="default" w:ascii="Times New Roman" w:hAnsi="Times New Roman" w:cs="Times New Roman"/>
                <w:color w:val="auto"/>
                <w:sz w:val="24"/>
                <w:szCs w:val="24"/>
                <w:lang w:eastAsia="zh-CN"/>
              </w:rPr>
              <w:t>。</w:t>
            </w:r>
          </w:p>
          <w:p>
            <w:pPr>
              <w:pStyle w:val="2"/>
              <w:spacing w:line="360" w:lineRule="auto"/>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w:t>
            </w:r>
            <w:r>
              <w:rPr>
                <w:rFonts w:hint="default" w:ascii="Times New Roman" w:hAnsi="Times New Roman" w:cs="Times New Roman"/>
                <w:color w:val="auto"/>
              </w:rPr>
              <w:t>根据《建设项目环境保护管理条例》第十七条的规定，项目竣工后，建设单位应当按照国务院环境保护行政主管部门规定的标准和程序，对配套建设的环境保护设施进行验收</w:t>
            </w:r>
            <w:r>
              <w:rPr>
                <w:rFonts w:hint="default" w:ascii="Times New Roman" w:hAnsi="Times New Roman" w:cs="Times New Roman"/>
                <w:color w:val="auto"/>
                <w:lang w:eastAsia="zh-CN"/>
              </w:rPr>
              <w:t>。</w:t>
            </w: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ind w:firstLine="480"/>
              <w:rPr>
                <w:rFonts w:hint="default" w:ascii="Times New Roman" w:hAnsi="Times New Roman" w:cs="Times New Roman"/>
                <w:color w:val="auto"/>
              </w:rPr>
            </w:pPr>
          </w:p>
          <w:p>
            <w:pPr>
              <w:pStyle w:val="2"/>
              <w:spacing w:line="360" w:lineRule="auto"/>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356" w:type="dxa"/>
          </w:tcPr>
          <w:p>
            <w:pPr>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预审意见：</w:t>
            </w: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公   章</w:t>
            </w:r>
          </w:p>
          <w:p>
            <w:pPr>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经办人：                                            年    月    日</w:t>
            </w:r>
          </w:p>
          <w:p>
            <w:pPr>
              <w:spacing w:line="480" w:lineRule="exact"/>
              <w:rPr>
                <w:rFonts w:hint="default" w:ascii="Times New Roman" w:hAnsi="Times New Roman" w:cs="Times New Roman"/>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356" w:type="dxa"/>
          </w:tcPr>
          <w:p>
            <w:pPr>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下一级环境保护行政主管部门审查意见：</w:t>
            </w: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公   章</w:t>
            </w:r>
          </w:p>
          <w:p>
            <w:pPr>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经办人：                                            年    月    日</w:t>
            </w:r>
          </w:p>
          <w:p>
            <w:pPr>
              <w:spacing w:line="480" w:lineRule="exact"/>
              <w:rPr>
                <w:rFonts w:hint="default" w:ascii="Times New Roman" w:hAnsi="Times New Roman" w:cs="Times New Roman"/>
                <w:color w:val="auto"/>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356" w:type="dxa"/>
          </w:tcPr>
          <w:p>
            <w:pPr>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审批意见：</w:t>
            </w: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公   章</w:t>
            </w:r>
          </w:p>
          <w:p>
            <w:pPr>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经办人：                                           年    月    日</w:t>
            </w:r>
          </w:p>
          <w:p>
            <w:pPr>
              <w:tabs>
                <w:tab w:val="left" w:pos="417"/>
              </w:tabs>
              <w:spacing w:line="480" w:lineRule="exact"/>
              <w:rPr>
                <w:rFonts w:hint="default" w:ascii="Times New Roman" w:hAnsi="Times New Roman" w:cs="Times New Roman"/>
                <w:color w:val="auto"/>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356" w:type="dxa"/>
          </w:tcPr>
          <w:p>
            <w:pPr>
              <w:tabs>
                <w:tab w:val="left" w:pos="417"/>
              </w:tabs>
              <w:spacing w:line="480" w:lineRule="exact"/>
              <w:rPr>
                <w:rFonts w:hint="default" w:ascii="Times New Roman" w:hAnsi="Times New Roman" w:cs="Times New Roman"/>
                <w:color w:val="auto"/>
                <w:sz w:val="24"/>
              </w:rPr>
            </w:pPr>
          </w:p>
          <w:p>
            <w:pPr>
              <w:tabs>
                <w:tab w:val="left" w:pos="417"/>
              </w:tabs>
              <w:spacing w:line="48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注        释</w:t>
            </w:r>
          </w:p>
          <w:p>
            <w:pPr>
              <w:tabs>
                <w:tab w:val="left" w:pos="417"/>
              </w:tabs>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一、本报告表应附以下附件、附图：</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附件1  立项批准文件</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附件2  其他与环评有关的行政管理文件</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附图1  项目地理位置图(应反映行政区划、水系、标明纳污口位置和地形地貌等)</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附图2  项目平面布置图</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二、如果本报告表不能说明项目产生的污染及对环境造成的影响，应进行专项评价。根据建设项目的特点和当地环境特征，应选下列1-2项进行专项评价。</w:t>
            </w:r>
          </w:p>
          <w:p>
            <w:pPr>
              <w:tabs>
                <w:tab w:val="left" w:pos="417"/>
              </w:tabs>
              <w:snapToGrid w:val="0"/>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  1、大气环境影响专项评价</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2、水环境影响专项评价(包括地表水和地下水)</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3、生态影响专项评价</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4、声影响专项评价</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5、土壤影响专项评价</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6、固体废弃物影响专项评价</w:t>
            </w:r>
          </w:p>
          <w:p>
            <w:pPr>
              <w:tabs>
                <w:tab w:val="left" w:pos="417"/>
              </w:tabs>
              <w:snapToGrid w:val="0"/>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以上专项评价未包括的可另列专项，专项评价按照《环境影响评价技术导则》中的要求进行。</w:t>
            </w: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p>
            <w:pPr>
              <w:tabs>
                <w:tab w:val="left" w:pos="417"/>
              </w:tabs>
              <w:snapToGrid w:val="0"/>
              <w:spacing w:line="480" w:lineRule="exact"/>
              <w:rPr>
                <w:rFonts w:hint="default" w:ascii="Times New Roman" w:hAnsi="Times New Roman" w:cs="Times New Roman"/>
                <w:color w:val="auto"/>
                <w:sz w:val="24"/>
              </w:rPr>
            </w:pPr>
          </w:p>
        </w:tc>
      </w:tr>
    </w:tbl>
    <w:p>
      <w:pPr>
        <w:rPr>
          <w:rFonts w:hint="default" w:ascii="Times New Roman" w:hAnsi="Times New Roman" w:cs="Times New Roman"/>
          <w:color w:val="auto"/>
        </w:rPr>
      </w:pPr>
    </w:p>
    <w:sectPr>
      <w:footerReference r:id="rId9" w:type="default"/>
      <w:pgSz w:w="11907" w:h="16840"/>
      <w:pgMar w:top="1402" w:right="1797" w:bottom="1558" w:left="1797"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华康简宋">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9"/>
                            <w:rPr>
                              <w:rStyle w:val="29"/>
                            </w:rPr>
                          </w:pPr>
                          <w:r>
                            <w:fldChar w:fldCharType="begin"/>
                          </w:r>
                          <w:r>
                            <w:rPr>
                              <w:rStyle w:val="29"/>
                            </w:rPr>
                            <w:instrText xml:space="preserve">PAGE  </w:instrText>
                          </w:r>
                          <w:r>
                            <w:fldChar w:fldCharType="separate"/>
                          </w:r>
                          <w:r>
                            <w:rPr>
                              <w:rStyle w:val="29"/>
                            </w:rPr>
                            <w:t>3</w:t>
                          </w:r>
                          <w: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51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ql5uc8AAAAFAQAADwAAAAAAAAABACAAAAAiAAAAZHJzL2Rvd25yZXYueG1sUEsBAhQAFAAA&#10;AAgAh07iQK1peF+/AQAAZgMAAA4AAAAAAAAAAQAgAAAAHgEAAGRycy9lMm9Eb2MueG1sUEsFBgAA&#10;AAAGAAYAWQEAAE8FAAAAAA==&#10;">
              <v:fill on="f" focussize="0,0"/>
              <v:stroke on="f"/>
              <v:imagedata o:title=""/>
              <o:lock v:ext="edit" aspectratio="f"/>
              <v:textbox inset="0mm,0mm,0mm,0mm" style="mso-fit-shape-to-text:t;">
                <w:txbxContent>
                  <w:p>
                    <w:pPr>
                      <w:pStyle w:val="19"/>
                      <w:rPr>
                        <w:rStyle w:val="29"/>
                      </w:rPr>
                    </w:pPr>
                    <w:r>
                      <w:fldChar w:fldCharType="begin"/>
                    </w:r>
                    <w:r>
                      <w:rPr>
                        <w:rStyle w:val="29"/>
                      </w:rPr>
                      <w:instrText xml:space="preserve">PAGE  </w:instrText>
                    </w:r>
                    <w:r>
                      <w:fldChar w:fldCharType="separate"/>
                    </w:r>
                    <w:r>
                      <w:rPr>
                        <w:rStyle w:val="29"/>
                      </w:rP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9"/>
                            <w:rPr>
                              <w:rStyle w:val="29"/>
                            </w:rPr>
                          </w:pPr>
                          <w:r>
                            <w:fldChar w:fldCharType="begin"/>
                          </w:r>
                          <w:r>
                            <w:rPr>
                              <w:rStyle w:val="29"/>
                            </w:rPr>
                            <w:instrText xml:space="preserve">PAGE  </w:instrText>
                          </w:r>
                          <w:r>
                            <w:fldChar w:fldCharType="separate"/>
                          </w:r>
                          <w:r>
                            <w:rPr>
                              <w:rStyle w:val="29"/>
                            </w:rPr>
                            <w:t>8</w:t>
                          </w:r>
                          <w: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mf7tysEBAABmAwAADgAAAAAAAAABACAAAAAeAQAAZHJzL2Uyb0RvYy54bWxQSwUG&#10;AAAAAAYABgBZAQAAUQUAAAAA&#10;">
              <v:fill on="f" focussize="0,0"/>
              <v:stroke on="f"/>
              <v:imagedata o:title=""/>
              <o:lock v:ext="edit" aspectratio="f"/>
              <v:textbox inset="0mm,0mm,0mm,0mm" style="mso-fit-shape-to-text:t;">
                <w:txbxContent>
                  <w:p>
                    <w:pPr>
                      <w:pStyle w:val="19"/>
                      <w:rPr>
                        <w:rStyle w:val="29"/>
                      </w:rPr>
                    </w:pPr>
                    <w:r>
                      <w:fldChar w:fldCharType="begin"/>
                    </w:r>
                    <w:r>
                      <w:rPr>
                        <w:rStyle w:val="29"/>
                      </w:rPr>
                      <w:instrText xml:space="preserve">PAGE  </w:instrText>
                    </w:r>
                    <w:r>
                      <w:fldChar w:fldCharType="separate"/>
                    </w:r>
                    <w:r>
                      <w:rPr>
                        <w:rStyle w:val="29"/>
                      </w:rPr>
                      <w:t>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9"/>
                            <w:rPr>
                              <w:rStyle w:val="29"/>
                            </w:rPr>
                          </w:pPr>
                          <w:r>
                            <w:fldChar w:fldCharType="begin"/>
                          </w:r>
                          <w:r>
                            <w:rPr>
                              <w:rStyle w:val="29"/>
                            </w:rPr>
                            <w:instrText xml:space="preserve">PAGE  </w:instrText>
                          </w:r>
                          <w:r>
                            <w:fldChar w:fldCharType="separate"/>
                          </w:r>
                          <w:r>
                            <w:rPr>
                              <w:rStyle w:val="29"/>
                            </w:rPr>
                            <w:t>10</w:t>
                          </w:r>
                          <w: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3PzcFwAEAAGYDAAAOAAAAAAAAAAEAIAAAAB4BAABkcnMvZTJvRG9jLnhtbFBLBQYA&#10;AAAABgAGAFkBAABQBQAAAAA=&#10;">
              <v:fill on="f" focussize="0,0"/>
              <v:stroke on="f"/>
              <v:imagedata o:title=""/>
              <o:lock v:ext="edit" aspectratio="f"/>
              <v:textbox inset="0mm,0mm,0mm,0mm" style="mso-fit-shape-to-text:t;">
                <w:txbxContent>
                  <w:p>
                    <w:pPr>
                      <w:pStyle w:val="19"/>
                      <w:rPr>
                        <w:rStyle w:val="29"/>
                      </w:rPr>
                    </w:pPr>
                    <w:r>
                      <w:fldChar w:fldCharType="begin"/>
                    </w:r>
                    <w:r>
                      <w:rPr>
                        <w:rStyle w:val="29"/>
                      </w:rPr>
                      <w:instrText xml:space="preserve">PAGE  </w:instrText>
                    </w:r>
                    <w:r>
                      <w:fldChar w:fldCharType="separate"/>
                    </w:r>
                    <w:r>
                      <w:rPr>
                        <w:rStyle w:val="29"/>
                      </w:rPr>
                      <w:t>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9"/>
                            <w:rPr>
                              <w:rStyle w:val="29"/>
                            </w:rPr>
                          </w:pPr>
                          <w:r>
                            <w:fldChar w:fldCharType="begin"/>
                          </w:r>
                          <w:r>
                            <w:rPr>
                              <w:rStyle w:val="29"/>
                            </w:rPr>
                            <w:instrText xml:space="preserve">PAGE  </w:instrText>
                          </w:r>
                          <w:r>
                            <w:fldChar w:fldCharType="separate"/>
                          </w:r>
                          <w:r>
                            <w:rPr>
                              <w:rStyle w:val="29"/>
                            </w:rPr>
                            <w:t>19</w:t>
                          </w:r>
                          <w: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QvyCxwAEAAGcDAAAOAAAAAAAAAAEAIAAAAB4BAABkcnMvZTJvRG9jLnhtbFBLBQYA&#10;AAAABgAGAFkBAABQBQAAAAA=&#10;">
              <v:fill on="f" focussize="0,0"/>
              <v:stroke on="f"/>
              <v:imagedata o:title=""/>
              <o:lock v:ext="edit" aspectratio="f"/>
              <v:textbox inset="0mm,0mm,0mm,0mm" style="mso-fit-shape-to-text:t;">
                <w:txbxContent>
                  <w:p>
                    <w:pPr>
                      <w:pStyle w:val="19"/>
                      <w:rPr>
                        <w:rStyle w:val="29"/>
                      </w:rPr>
                    </w:pPr>
                    <w:r>
                      <w:fldChar w:fldCharType="begin"/>
                    </w:r>
                    <w:r>
                      <w:rPr>
                        <w:rStyle w:val="29"/>
                      </w:rPr>
                      <w:instrText xml:space="preserve">PAGE  </w:instrText>
                    </w:r>
                    <w:r>
                      <w:fldChar w:fldCharType="separate"/>
                    </w:r>
                    <w:r>
                      <w:rPr>
                        <w:rStyle w:val="29"/>
                      </w:rPr>
                      <w:t>19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6"/>
        <w:tab w:val="clear" w:pos="4153"/>
      </w:tabs>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9"/>
                            <w:rPr>
                              <w:rStyle w:val="29"/>
                            </w:rPr>
                          </w:pPr>
                          <w:r>
                            <w:fldChar w:fldCharType="begin"/>
                          </w:r>
                          <w:r>
                            <w:rPr>
                              <w:rStyle w:val="29"/>
                            </w:rPr>
                            <w:instrText xml:space="preserve">PAGE  </w:instrText>
                          </w:r>
                          <w:r>
                            <w:fldChar w:fldCharType="separate"/>
                          </w:r>
                          <w:r>
                            <w:rPr>
                              <w:rStyle w:val="29"/>
                            </w:rPr>
                            <w:t>28</w:t>
                          </w:r>
                          <w: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C+fvp+wAEAAGcDAAAOAAAAAAAAAAEAIAAAAB4BAABkcnMvZTJvRG9jLnhtbFBLBQYA&#10;AAAABgAGAFkBAABQBQAAAAA=&#10;">
              <v:fill on="f" focussize="0,0"/>
              <v:stroke on="f"/>
              <v:imagedata o:title=""/>
              <o:lock v:ext="edit" aspectratio="f"/>
              <v:textbox inset="0mm,0mm,0mm,0mm" style="mso-fit-shape-to-text:t;">
                <w:txbxContent>
                  <w:p>
                    <w:pPr>
                      <w:pStyle w:val="19"/>
                      <w:rPr>
                        <w:rStyle w:val="29"/>
                      </w:rPr>
                    </w:pPr>
                    <w:r>
                      <w:fldChar w:fldCharType="begin"/>
                    </w:r>
                    <w:r>
                      <w:rPr>
                        <w:rStyle w:val="29"/>
                      </w:rPr>
                      <w:instrText xml:space="preserve">PAGE  </w:instrText>
                    </w:r>
                    <w:r>
                      <w:fldChar w:fldCharType="separate"/>
                    </w:r>
                    <w:r>
                      <w:rPr>
                        <w:rStyle w:val="29"/>
                      </w:rPr>
                      <w:t>28</w:t>
                    </w:r>
                    <w:r>
                      <w:fldChar w:fldCharType="end"/>
                    </w: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rPr>
                              <w:rFonts w:hint="eastAsia"/>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48</w:t>
                          </w:r>
                          <w:r>
                            <w:rPr>
                              <w:rFonts w:hint="eastAsia"/>
                              <w:sz w:val="24"/>
                              <w:szCs w:val="24"/>
                            </w:rPr>
                            <w:fldChar w:fldCharType="end"/>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D83QeEsQEA&#10;AE0DAAAOAAAAAAAAAAEAIAAAAB4BAABkcnMvZTJvRG9jLnhtbFBLBQYAAAAABgAGAFkBAABBBQAA&#10;AAA=&#10;">
              <v:fill on="f" focussize="0,0"/>
              <v:stroke on="f"/>
              <v:imagedata o:title=""/>
              <o:lock v:ext="edit" aspectratio="f"/>
              <v:textbox inset="0mm,0mm,0mm,0mm" style="mso-fit-shape-to-text:t;">
                <w:txbxContent>
                  <w:p>
                    <w:pPr>
                      <w:pStyle w:val="19"/>
                      <w:rPr>
                        <w:rFonts w:hint="eastAsia"/>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48</w:t>
                    </w:r>
                    <w:r>
                      <w:rPr>
                        <w:rFonts w:hint="eastAsia"/>
                        <w:sz w:val="24"/>
                        <w:szCs w:val="24"/>
                      </w:rPr>
                      <w:fldChar w:fldCharType="end"/>
                    </w:r>
                  </w:p>
                </w:txbxContent>
              </v:textbox>
            </v:shape>
          </w:pict>
        </mc:Fallback>
      </mc:AlternateContent>
    </w:r>
    <w:r>
      <mc:AlternateContent>
        <mc:Choice Requires="wps">
          <w:drawing>
            <wp:anchor distT="0" distB="0" distL="114300" distR="114300" simplePos="0" relativeHeight="251656192" behindDoc="0" locked="0" layoutInCell="1" allowOverlap="1">
              <wp:simplePos x="0" y="0"/>
              <wp:positionH relativeFrom="margin">
                <wp:posOffset>4426585</wp:posOffset>
              </wp:positionH>
              <wp:positionV relativeFrom="paragraph">
                <wp:posOffset>0</wp:posOffset>
              </wp:positionV>
              <wp:extent cx="285750" cy="168910"/>
              <wp:effectExtent l="0" t="0" r="0" b="0"/>
              <wp:wrapNone/>
              <wp:docPr id="101" name="文本框 10"/>
              <wp:cNvGraphicFramePr/>
              <a:graphic xmlns:a="http://schemas.openxmlformats.org/drawingml/2006/main">
                <a:graphicData uri="http://schemas.microsoft.com/office/word/2010/wordprocessingShape">
                  <wps:wsp>
                    <wps:cNvSpPr txBox="1"/>
                    <wps:spPr>
                      <a:xfrm flipH="1">
                        <a:off x="0" y="0"/>
                        <a:ext cx="285750" cy="168910"/>
                      </a:xfrm>
                      <a:prstGeom prst="rect">
                        <a:avLst/>
                      </a:prstGeom>
                      <a:noFill/>
                      <a:ln w="9525">
                        <a:noFill/>
                      </a:ln>
                      <a:effectLst/>
                    </wps:spPr>
                    <wps:txbx>
                      <w:txbxContent>
                        <w:p>
                          <w:pPr>
                            <w:pStyle w:val="19"/>
                            <w:rPr>
                              <w:rFonts w:hint="eastAsia"/>
                              <w:sz w:val="24"/>
                              <w:szCs w:val="24"/>
                            </w:rPr>
                          </w:pPr>
                        </w:p>
                      </w:txbxContent>
                    </wps:txbx>
                    <wps:bodyPr wrap="square" lIns="0" tIns="0" rIns="0" bIns="0" upright="0"/>
                  </wps:wsp>
                </a:graphicData>
              </a:graphic>
            </wp:anchor>
          </w:drawing>
        </mc:Choice>
        <mc:Fallback>
          <w:pict>
            <v:shape id="文本框 10" o:spid="_x0000_s1026" o:spt="202" type="#_x0000_t202" style="position:absolute;left:0pt;flip:x;margin-left:348.55pt;margin-top:0pt;height:13.3pt;width:22.5pt;mso-position-horizontal-relative:margin;z-index:251656192;mso-width-relative:page;mso-height-relative:page;" filled="f" stroked="f" coordsize="21600,21600" o:gfxdata="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3r5ofVAAAABwEAAA8AAAAAAAAAAQAgAAAAIgAAAGRycy9kb3ducmV2LnhtbFBLAQIU&#10;ABQAAAAIAIdO4kDisrX4vQEAAFUDAAAOAAAAAAAAAAEAIAAAACQBAABkcnMvZTJvRG9jLnhtbFBL&#10;BQYAAAAABgAGAFkBAABTBQAAAAA=&#10;">
              <v:fill on="f" focussize="0,0"/>
              <v:stroke on="f"/>
              <v:imagedata o:title=""/>
              <o:lock v:ext="edit" aspectratio="f"/>
              <v:textbox inset="0mm,0mm,0mm,0mm">
                <w:txbxContent>
                  <w:p>
                    <w:pPr>
                      <w:pStyle w:val="19"/>
                      <w:rPr>
                        <w:rFonts w:hint="eastAsia"/>
                        <w:sz w:val="24"/>
                        <w:szCs w:val="24"/>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6423FF"/>
    <w:multiLevelType w:val="singleLevel"/>
    <w:tmpl w:val="A16423FF"/>
    <w:lvl w:ilvl="0" w:tentative="0">
      <w:start w:val="2"/>
      <w:numFmt w:val="chineseCounting"/>
      <w:suff w:val="nothing"/>
      <w:lvlText w:val="%1、"/>
      <w:lvlJc w:val="left"/>
      <w:rPr>
        <w:rFonts w:hint="eastAsia"/>
      </w:rPr>
    </w:lvl>
  </w:abstractNum>
  <w:abstractNum w:abstractNumId="1">
    <w:nsid w:val="AA2D9E21"/>
    <w:multiLevelType w:val="singleLevel"/>
    <w:tmpl w:val="AA2D9E21"/>
    <w:lvl w:ilvl="0" w:tentative="0">
      <w:start w:val="4"/>
      <w:numFmt w:val="decimal"/>
      <w:suff w:val="nothing"/>
      <w:lvlText w:val="（%1）"/>
      <w:lvlJc w:val="left"/>
    </w:lvl>
  </w:abstractNum>
  <w:abstractNum w:abstractNumId="2">
    <w:nsid w:val="3CF26883"/>
    <w:multiLevelType w:val="singleLevel"/>
    <w:tmpl w:val="3CF26883"/>
    <w:lvl w:ilvl="0" w:tentative="0">
      <w:start w:val="1"/>
      <w:numFmt w:val="decimal"/>
      <w:suff w:val="nothing"/>
      <w:lvlText w:val="%1、"/>
      <w:lvlJc w:val="left"/>
    </w:lvl>
  </w:abstractNum>
  <w:abstractNum w:abstractNumId="3">
    <w:nsid w:val="52225394"/>
    <w:multiLevelType w:val="singleLevel"/>
    <w:tmpl w:val="52225394"/>
    <w:lvl w:ilvl="0" w:tentative="0">
      <w:start w:val="8"/>
      <w:numFmt w:val="decimal"/>
      <w:suff w:val="nothing"/>
      <w:lvlText w:val="（%1）"/>
      <w:lvlJc w:val="left"/>
    </w:lvl>
  </w:abstractNum>
  <w:abstractNum w:abstractNumId="4">
    <w:nsid w:val="5A584BD4"/>
    <w:multiLevelType w:val="singleLevel"/>
    <w:tmpl w:val="5A584BD4"/>
    <w:lvl w:ilvl="0" w:tentative="0">
      <w:start w:val="1"/>
      <w:numFmt w:val="chineseCounting"/>
      <w:suff w:val="nothing"/>
      <w:lvlText w:val="%1、"/>
      <w:lvlJc w:val="left"/>
    </w:lvl>
  </w:abstractNum>
  <w:abstractNum w:abstractNumId="5">
    <w:nsid w:val="5AEE2FB9"/>
    <w:multiLevelType w:val="multilevel"/>
    <w:tmpl w:val="5AEE2FB9"/>
    <w:lvl w:ilvl="0" w:tentative="0">
      <w:start w:val="1"/>
      <w:numFmt w:val="chineseCountingThousand"/>
      <w:pStyle w:val="87"/>
      <w:lvlText w:val="%1、"/>
      <w:lvlJc w:val="left"/>
      <w:pPr>
        <w:tabs>
          <w:tab w:val="left" w:pos="900"/>
        </w:tabs>
        <w:ind w:left="900" w:hanging="420"/>
      </w:pPr>
    </w:lvl>
    <w:lvl w:ilvl="1" w:tentative="0">
      <w:start w:val="1"/>
      <w:numFmt w:val="decimal"/>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6204C6C7"/>
    <w:multiLevelType w:val="singleLevel"/>
    <w:tmpl w:val="6204C6C7"/>
    <w:lvl w:ilvl="0" w:tentative="0">
      <w:start w:val="8"/>
      <w:numFmt w:val="chineseCounting"/>
      <w:suff w:val="nothing"/>
      <w:lvlText w:val="%1、"/>
      <w:lvlJc w:val="left"/>
      <w:rPr>
        <w:rFonts w:hint="eastAsia"/>
      </w:rPr>
    </w:lvl>
  </w:abstractNum>
  <w:num w:numId="1">
    <w:abstractNumId w:val="5"/>
  </w:num>
  <w:num w:numId="2">
    <w:abstractNumId w:val="3"/>
  </w:num>
  <w:num w:numId="3">
    <w:abstractNumId w:val="1"/>
  </w:num>
  <w:num w:numId="4">
    <w:abstractNumId w:val="0"/>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5"/>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93"/>
    <w:rsid w:val="00002080"/>
    <w:rsid w:val="00005B22"/>
    <w:rsid w:val="00006542"/>
    <w:rsid w:val="00010F5E"/>
    <w:rsid w:val="00014B56"/>
    <w:rsid w:val="00017F29"/>
    <w:rsid w:val="0002152F"/>
    <w:rsid w:val="000254F8"/>
    <w:rsid w:val="00025A53"/>
    <w:rsid w:val="00033BCE"/>
    <w:rsid w:val="000446E6"/>
    <w:rsid w:val="0004498B"/>
    <w:rsid w:val="000476F5"/>
    <w:rsid w:val="0005319D"/>
    <w:rsid w:val="00061247"/>
    <w:rsid w:val="00061712"/>
    <w:rsid w:val="000621F0"/>
    <w:rsid w:val="00064F3E"/>
    <w:rsid w:val="0006641F"/>
    <w:rsid w:val="00071E6F"/>
    <w:rsid w:val="000731D8"/>
    <w:rsid w:val="0007599A"/>
    <w:rsid w:val="0007688E"/>
    <w:rsid w:val="000808EB"/>
    <w:rsid w:val="000A11C3"/>
    <w:rsid w:val="000A46C5"/>
    <w:rsid w:val="000B3EC0"/>
    <w:rsid w:val="000D1520"/>
    <w:rsid w:val="000D202D"/>
    <w:rsid w:val="000D4665"/>
    <w:rsid w:val="000D47C7"/>
    <w:rsid w:val="000E0F85"/>
    <w:rsid w:val="000E5346"/>
    <w:rsid w:val="000E74B1"/>
    <w:rsid w:val="000E7842"/>
    <w:rsid w:val="000F1B33"/>
    <w:rsid w:val="00101C0B"/>
    <w:rsid w:val="00103BC1"/>
    <w:rsid w:val="00104A15"/>
    <w:rsid w:val="00106B68"/>
    <w:rsid w:val="001106AB"/>
    <w:rsid w:val="00110D54"/>
    <w:rsid w:val="00111A60"/>
    <w:rsid w:val="00111FB0"/>
    <w:rsid w:val="0011430C"/>
    <w:rsid w:val="00115156"/>
    <w:rsid w:val="00116A4F"/>
    <w:rsid w:val="00124581"/>
    <w:rsid w:val="001329F2"/>
    <w:rsid w:val="0013437A"/>
    <w:rsid w:val="001513D5"/>
    <w:rsid w:val="00154047"/>
    <w:rsid w:val="00160B4D"/>
    <w:rsid w:val="00164496"/>
    <w:rsid w:val="0017411E"/>
    <w:rsid w:val="00180D00"/>
    <w:rsid w:val="00182714"/>
    <w:rsid w:val="001835A5"/>
    <w:rsid w:val="001840E8"/>
    <w:rsid w:val="00190569"/>
    <w:rsid w:val="0019062C"/>
    <w:rsid w:val="001A5C95"/>
    <w:rsid w:val="001A6550"/>
    <w:rsid w:val="001B3355"/>
    <w:rsid w:val="001B4FBB"/>
    <w:rsid w:val="001C2F26"/>
    <w:rsid w:val="001C72E5"/>
    <w:rsid w:val="001D1762"/>
    <w:rsid w:val="001D1A4F"/>
    <w:rsid w:val="001D371F"/>
    <w:rsid w:val="001E4686"/>
    <w:rsid w:val="001E5479"/>
    <w:rsid w:val="001E5EFC"/>
    <w:rsid w:val="001F32B4"/>
    <w:rsid w:val="001F4CFE"/>
    <w:rsid w:val="00200E4F"/>
    <w:rsid w:val="002025EE"/>
    <w:rsid w:val="0020757D"/>
    <w:rsid w:val="0021327C"/>
    <w:rsid w:val="00214843"/>
    <w:rsid w:val="002149AA"/>
    <w:rsid w:val="002165F8"/>
    <w:rsid w:val="00226FCC"/>
    <w:rsid w:val="00231FCC"/>
    <w:rsid w:val="0023354C"/>
    <w:rsid w:val="00233688"/>
    <w:rsid w:val="002336F2"/>
    <w:rsid w:val="00247242"/>
    <w:rsid w:val="0025340F"/>
    <w:rsid w:val="00253FDC"/>
    <w:rsid w:val="002557FA"/>
    <w:rsid w:val="00255C86"/>
    <w:rsid w:val="00256355"/>
    <w:rsid w:val="00256F37"/>
    <w:rsid w:val="00261D5E"/>
    <w:rsid w:val="00263531"/>
    <w:rsid w:val="002635FB"/>
    <w:rsid w:val="00273B18"/>
    <w:rsid w:val="0028045A"/>
    <w:rsid w:val="00282F91"/>
    <w:rsid w:val="00283CBA"/>
    <w:rsid w:val="002A3A05"/>
    <w:rsid w:val="002A40F4"/>
    <w:rsid w:val="002D6E14"/>
    <w:rsid w:val="002E497F"/>
    <w:rsid w:val="002E5413"/>
    <w:rsid w:val="002E7798"/>
    <w:rsid w:val="002E780A"/>
    <w:rsid w:val="002F3D38"/>
    <w:rsid w:val="002F4358"/>
    <w:rsid w:val="00300527"/>
    <w:rsid w:val="003005AA"/>
    <w:rsid w:val="00302FE2"/>
    <w:rsid w:val="00305449"/>
    <w:rsid w:val="003070FB"/>
    <w:rsid w:val="0031014D"/>
    <w:rsid w:val="00311205"/>
    <w:rsid w:val="003131DC"/>
    <w:rsid w:val="00316B71"/>
    <w:rsid w:val="003251E5"/>
    <w:rsid w:val="00330311"/>
    <w:rsid w:val="00337769"/>
    <w:rsid w:val="003416AE"/>
    <w:rsid w:val="00341954"/>
    <w:rsid w:val="003474A0"/>
    <w:rsid w:val="0035180C"/>
    <w:rsid w:val="00352857"/>
    <w:rsid w:val="0036729D"/>
    <w:rsid w:val="00371570"/>
    <w:rsid w:val="00383CC5"/>
    <w:rsid w:val="003847FF"/>
    <w:rsid w:val="00384910"/>
    <w:rsid w:val="00385940"/>
    <w:rsid w:val="00387305"/>
    <w:rsid w:val="00387CEA"/>
    <w:rsid w:val="00391407"/>
    <w:rsid w:val="00392159"/>
    <w:rsid w:val="00397131"/>
    <w:rsid w:val="003B1073"/>
    <w:rsid w:val="003B3E3B"/>
    <w:rsid w:val="003B78D5"/>
    <w:rsid w:val="003C6C32"/>
    <w:rsid w:val="003D2768"/>
    <w:rsid w:val="003D3DDB"/>
    <w:rsid w:val="003D65B3"/>
    <w:rsid w:val="003E04C1"/>
    <w:rsid w:val="003E0DA7"/>
    <w:rsid w:val="003E405C"/>
    <w:rsid w:val="003F4A70"/>
    <w:rsid w:val="003F50F7"/>
    <w:rsid w:val="003F6F3A"/>
    <w:rsid w:val="00400F76"/>
    <w:rsid w:val="00401801"/>
    <w:rsid w:val="00403180"/>
    <w:rsid w:val="00403529"/>
    <w:rsid w:val="00404CA9"/>
    <w:rsid w:val="00404DE4"/>
    <w:rsid w:val="00406674"/>
    <w:rsid w:val="004070E6"/>
    <w:rsid w:val="0041179C"/>
    <w:rsid w:val="00412C5D"/>
    <w:rsid w:val="0041640D"/>
    <w:rsid w:val="00421B9C"/>
    <w:rsid w:val="00425ACE"/>
    <w:rsid w:val="00430369"/>
    <w:rsid w:val="00434508"/>
    <w:rsid w:val="00436AFC"/>
    <w:rsid w:val="00443549"/>
    <w:rsid w:val="004449AC"/>
    <w:rsid w:val="00445421"/>
    <w:rsid w:val="004459F2"/>
    <w:rsid w:val="00445E1F"/>
    <w:rsid w:val="0045039C"/>
    <w:rsid w:val="004533A7"/>
    <w:rsid w:val="004569C4"/>
    <w:rsid w:val="004660A3"/>
    <w:rsid w:val="00467894"/>
    <w:rsid w:val="00471A0A"/>
    <w:rsid w:val="00472ECB"/>
    <w:rsid w:val="00477D36"/>
    <w:rsid w:val="00486B32"/>
    <w:rsid w:val="00487992"/>
    <w:rsid w:val="00490A87"/>
    <w:rsid w:val="004947C6"/>
    <w:rsid w:val="004958C2"/>
    <w:rsid w:val="004A01FB"/>
    <w:rsid w:val="004A22F9"/>
    <w:rsid w:val="004A3E9D"/>
    <w:rsid w:val="004A62A7"/>
    <w:rsid w:val="004A6C1B"/>
    <w:rsid w:val="004B58CE"/>
    <w:rsid w:val="004C1A14"/>
    <w:rsid w:val="004C2DE6"/>
    <w:rsid w:val="004D2549"/>
    <w:rsid w:val="004D317A"/>
    <w:rsid w:val="004E3ACA"/>
    <w:rsid w:val="004E67FB"/>
    <w:rsid w:val="004F153D"/>
    <w:rsid w:val="00500106"/>
    <w:rsid w:val="00505979"/>
    <w:rsid w:val="00506C8A"/>
    <w:rsid w:val="00515485"/>
    <w:rsid w:val="00517683"/>
    <w:rsid w:val="00525FE8"/>
    <w:rsid w:val="005345C9"/>
    <w:rsid w:val="00551449"/>
    <w:rsid w:val="00561CF2"/>
    <w:rsid w:val="00562D41"/>
    <w:rsid w:val="00564145"/>
    <w:rsid w:val="00572440"/>
    <w:rsid w:val="00574262"/>
    <w:rsid w:val="0057753C"/>
    <w:rsid w:val="00580162"/>
    <w:rsid w:val="005845A7"/>
    <w:rsid w:val="00586794"/>
    <w:rsid w:val="00590F05"/>
    <w:rsid w:val="00596B98"/>
    <w:rsid w:val="005A37D3"/>
    <w:rsid w:val="005C190E"/>
    <w:rsid w:val="005E1942"/>
    <w:rsid w:val="005E4A82"/>
    <w:rsid w:val="005F446E"/>
    <w:rsid w:val="005F6592"/>
    <w:rsid w:val="0060005B"/>
    <w:rsid w:val="0060305A"/>
    <w:rsid w:val="00605018"/>
    <w:rsid w:val="006149E1"/>
    <w:rsid w:val="0062643E"/>
    <w:rsid w:val="006365E1"/>
    <w:rsid w:val="00637C72"/>
    <w:rsid w:val="00637CA3"/>
    <w:rsid w:val="00643F2E"/>
    <w:rsid w:val="006521DA"/>
    <w:rsid w:val="006602DE"/>
    <w:rsid w:val="00663E38"/>
    <w:rsid w:val="00666AEB"/>
    <w:rsid w:val="0066757A"/>
    <w:rsid w:val="00681642"/>
    <w:rsid w:val="0068541D"/>
    <w:rsid w:val="006902D2"/>
    <w:rsid w:val="006B5108"/>
    <w:rsid w:val="006B6DAC"/>
    <w:rsid w:val="006B7056"/>
    <w:rsid w:val="006D6C10"/>
    <w:rsid w:val="006F1EA0"/>
    <w:rsid w:val="00703681"/>
    <w:rsid w:val="00703AB8"/>
    <w:rsid w:val="00705A64"/>
    <w:rsid w:val="00707920"/>
    <w:rsid w:val="007101C7"/>
    <w:rsid w:val="00711552"/>
    <w:rsid w:val="007134E6"/>
    <w:rsid w:val="00714D9E"/>
    <w:rsid w:val="00715209"/>
    <w:rsid w:val="0071533B"/>
    <w:rsid w:val="00716B2F"/>
    <w:rsid w:val="00717E47"/>
    <w:rsid w:val="00720602"/>
    <w:rsid w:val="00720B9B"/>
    <w:rsid w:val="007254C5"/>
    <w:rsid w:val="00732CF6"/>
    <w:rsid w:val="007336E3"/>
    <w:rsid w:val="00734027"/>
    <w:rsid w:val="007374C3"/>
    <w:rsid w:val="00742B48"/>
    <w:rsid w:val="00745112"/>
    <w:rsid w:val="00750972"/>
    <w:rsid w:val="00750FD4"/>
    <w:rsid w:val="007566C4"/>
    <w:rsid w:val="00764F7A"/>
    <w:rsid w:val="00770F17"/>
    <w:rsid w:val="007724AE"/>
    <w:rsid w:val="00774EB4"/>
    <w:rsid w:val="0078091F"/>
    <w:rsid w:val="00783EF9"/>
    <w:rsid w:val="00786963"/>
    <w:rsid w:val="0079041B"/>
    <w:rsid w:val="00790C41"/>
    <w:rsid w:val="007A05D2"/>
    <w:rsid w:val="007B78E8"/>
    <w:rsid w:val="007C762D"/>
    <w:rsid w:val="007D1E9D"/>
    <w:rsid w:val="007D2E10"/>
    <w:rsid w:val="007D69A1"/>
    <w:rsid w:val="007E09DB"/>
    <w:rsid w:val="007E2375"/>
    <w:rsid w:val="007E2B46"/>
    <w:rsid w:val="007E36E6"/>
    <w:rsid w:val="007F5262"/>
    <w:rsid w:val="00802A1F"/>
    <w:rsid w:val="00804B80"/>
    <w:rsid w:val="008052CC"/>
    <w:rsid w:val="00805400"/>
    <w:rsid w:val="00811029"/>
    <w:rsid w:val="0081642B"/>
    <w:rsid w:val="008229B1"/>
    <w:rsid w:val="00825D1C"/>
    <w:rsid w:val="008354BC"/>
    <w:rsid w:val="00840566"/>
    <w:rsid w:val="00840897"/>
    <w:rsid w:val="00844229"/>
    <w:rsid w:val="00845530"/>
    <w:rsid w:val="00852431"/>
    <w:rsid w:val="008533AE"/>
    <w:rsid w:val="00864C74"/>
    <w:rsid w:val="00866D13"/>
    <w:rsid w:val="00866F07"/>
    <w:rsid w:val="00876B13"/>
    <w:rsid w:val="00877D99"/>
    <w:rsid w:val="0088272E"/>
    <w:rsid w:val="00891453"/>
    <w:rsid w:val="008926D8"/>
    <w:rsid w:val="00893358"/>
    <w:rsid w:val="00893A96"/>
    <w:rsid w:val="00895D78"/>
    <w:rsid w:val="0089774A"/>
    <w:rsid w:val="008A097A"/>
    <w:rsid w:val="008B4590"/>
    <w:rsid w:val="008B7085"/>
    <w:rsid w:val="008C4300"/>
    <w:rsid w:val="008C76A6"/>
    <w:rsid w:val="008C7E7D"/>
    <w:rsid w:val="008D3EAC"/>
    <w:rsid w:val="008E497A"/>
    <w:rsid w:val="008F1829"/>
    <w:rsid w:val="008F48EC"/>
    <w:rsid w:val="00901935"/>
    <w:rsid w:val="00904661"/>
    <w:rsid w:val="00905430"/>
    <w:rsid w:val="009106BC"/>
    <w:rsid w:val="009165CA"/>
    <w:rsid w:val="00925CBC"/>
    <w:rsid w:val="00934046"/>
    <w:rsid w:val="0093608F"/>
    <w:rsid w:val="00953BA9"/>
    <w:rsid w:val="0095634A"/>
    <w:rsid w:val="009567A0"/>
    <w:rsid w:val="0096205F"/>
    <w:rsid w:val="0097409A"/>
    <w:rsid w:val="00982176"/>
    <w:rsid w:val="00985FAE"/>
    <w:rsid w:val="009A10A2"/>
    <w:rsid w:val="009A71C5"/>
    <w:rsid w:val="009B20EE"/>
    <w:rsid w:val="009B28E1"/>
    <w:rsid w:val="009B4BEC"/>
    <w:rsid w:val="009B5F62"/>
    <w:rsid w:val="009C268B"/>
    <w:rsid w:val="009C6AC2"/>
    <w:rsid w:val="009E29A1"/>
    <w:rsid w:val="009F3972"/>
    <w:rsid w:val="00A01865"/>
    <w:rsid w:val="00A05A9D"/>
    <w:rsid w:val="00A11DD1"/>
    <w:rsid w:val="00A17189"/>
    <w:rsid w:val="00A220ED"/>
    <w:rsid w:val="00A2735C"/>
    <w:rsid w:val="00A331AD"/>
    <w:rsid w:val="00A36CFB"/>
    <w:rsid w:val="00A36EF3"/>
    <w:rsid w:val="00A407A7"/>
    <w:rsid w:val="00A42140"/>
    <w:rsid w:val="00A42A1A"/>
    <w:rsid w:val="00A50489"/>
    <w:rsid w:val="00A579CF"/>
    <w:rsid w:val="00A64B0D"/>
    <w:rsid w:val="00A67245"/>
    <w:rsid w:val="00A71C8C"/>
    <w:rsid w:val="00A74210"/>
    <w:rsid w:val="00A776A2"/>
    <w:rsid w:val="00A7791C"/>
    <w:rsid w:val="00A84556"/>
    <w:rsid w:val="00A85EDB"/>
    <w:rsid w:val="00A939DC"/>
    <w:rsid w:val="00AA127E"/>
    <w:rsid w:val="00AA1837"/>
    <w:rsid w:val="00AA25FC"/>
    <w:rsid w:val="00AA7803"/>
    <w:rsid w:val="00AB21A7"/>
    <w:rsid w:val="00AB6C57"/>
    <w:rsid w:val="00AC6803"/>
    <w:rsid w:val="00AD17FD"/>
    <w:rsid w:val="00AD3322"/>
    <w:rsid w:val="00AD57C3"/>
    <w:rsid w:val="00AD67BA"/>
    <w:rsid w:val="00AE74F9"/>
    <w:rsid w:val="00AF3988"/>
    <w:rsid w:val="00AF400E"/>
    <w:rsid w:val="00B07082"/>
    <w:rsid w:val="00B12CB9"/>
    <w:rsid w:val="00B1639A"/>
    <w:rsid w:val="00B17876"/>
    <w:rsid w:val="00B30FED"/>
    <w:rsid w:val="00B33CCC"/>
    <w:rsid w:val="00B3715F"/>
    <w:rsid w:val="00B41019"/>
    <w:rsid w:val="00B41F52"/>
    <w:rsid w:val="00B5363A"/>
    <w:rsid w:val="00B548AF"/>
    <w:rsid w:val="00B57616"/>
    <w:rsid w:val="00B64ED8"/>
    <w:rsid w:val="00B7700C"/>
    <w:rsid w:val="00B80F8A"/>
    <w:rsid w:val="00B8230F"/>
    <w:rsid w:val="00BA2702"/>
    <w:rsid w:val="00BA64C7"/>
    <w:rsid w:val="00BA754F"/>
    <w:rsid w:val="00BB294D"/>
    <w:rsid w:val="00BB5B67"/>
    <w:rsid w:val="00BB6B6C"/>
    <w:rsid w:val="00BB7651"/>
    <w:rsid w:val="00BC27BA"/>
    <w:rsid w:val="00BC3A60"/>
    <w:rsid w:val="00BC7DFB"/>
    <w:rsid w:val="00BE6541"/>
    <w:rsid w:val="00BE6DF2"/>
    <w:rsid w:val="00BF47A1"/>
    <w:rsid w:val="00C00EDC"/>
    <w:rsid w:val="00C05ABE"/>
    <w:rsid w:val="00C10A83"/>
    <w:rsid w:val="00C146CD"/>
    <w:rsid w:val="00C15617"/>
    <w:rsid w:val="00C16B93"/>
    <w:rsid w:val="00C20E0C"/>
    <w:rsid w:val="00C21F00"/>
    <w:rsid w:val="00C26F31"/>
    <w:rsid w:val="00C332EE"/>
    <w:rsid w:val="00C34A98"/>
    <w:rsid w:val="00C41A99"/>
    <w:rsid w:val="00C4378F"/>
    <w:rsid w:val="00C45988"/>
    <w:rsid w:val="00C4681F"/>
    <w:rsid w:val="00C46CDB"/>
    <w:rsid w:val="00C47B03"/>
    <w:rsid w:val="00C504B1"/>
    <w:rsid w:val="00C51424"/>
    <w:rsid w:val="00C55A4B"/>
    <w:rsid w:val="00C612AB"/>
    <w:rsid w:val="00C62FED"/>
    <w:rsid w:val="00C64297"/>
    <w:rsid w:val="00C70E3F"/>
    <w:rsid w:val="00C70F43"/>
    <w:rsid w:val="00C73E39"/>
    <w:rsid w:val="00C76258"/>
    <w:rsid w:val="00C82F14"/>
    <w:rsid w:val="00C83F14"/>
    <w:rsid w:val="00C91311"/>
    <w:rsid w:val="00C94145"/>
    <w:rsid w:val="00C9461C"/>
    <w:rsid w:val="00C96028"/>
    <w:rsid w:val="00C9749E"/>
    <w:rsid w:val="00CA1E32"/>
    <w:rsid w:val="00CA3EF7"/>
    <w:rsid w:val="00CB5CD9"/>
    <w:rsid w:val="00CC18A6"/>
    <w:rsid w:val="00CC31E3"/>
    <w:rsid w:val="00CD5D0F"/>
    <w:rsid w:val="00CD75C9"/>
    <w:rsid w:val="00CE2299"/>
    <w:rsid w:val="00CE24E9"/>
    <w:rsid w:val="00CF16DE"/>
    <w:rsid w:val="00CF4868"/>
    <w:rsid w:val="00D00EFE"/>
    <w:rsid w:val="00D01BC9"/>
    <w:rsid w:val="00D03EC2"/>
    <w:rsid w:val="00D060DD"/>
    <w:rsid w:val="00D067A2"/>
    <w:rsid w:val="00D10189"/>
    <w:rsid w:val="00D13082"/>
    <w:rsid w:val="00D13CF7"/>
    <w:rsid w:val="00D17373"/>
    <w:rsid w:val="00D17B90"/>
    <w:rsid w:val="00D24E33"/>
    <w:rsid w:val="00D27EED"/>
    <w:rsid w:val="00D31486"/>
    <w:rsid w:val="00D32BC1"/>
    <w:rsid w:val="00D35F5D"/>
    <w:rsid w:val="00D362D2"/>
    <w:rsid w:val="00D51467"/>
    <w:rsid w:val="00D521F7"/>
    <w:rsid w:val="00D55DCA"/>
    <w:rsid w:val="00D55FB7"/>
    <w:rsid w:val="00D643BE"/>
    <w:rsid w:val="00D6689E"/>
    <w:rsid w:val="00D7693C"/>
    <w:rsid w:val="00D8146E"/>
    <w:rsid w:val="00D93B6D"/>
    <w:rsid w:val="00D96D3D"/>
    <w:rsid w:val="00DA1571"/>
    <w:rsid w:val="00DA33EC"/>
    <w:rsid w:val="00DA3B0C"/>
    <w:rsid w:val="00DB3580"/>
    <w:rsid w:val="00DC45AF"/>
    <w:rsid w:val="00DD04B8"/>
    <w:rsid w:val="00DD4A06"/>
    <w:rsid w:val="00DE08BB"/>
    <w:rsid w:val="00DE3534"/>
    <w:rsid w:val="00DE6257"/>
    <w:rsid w:val="00E06C00"/>
    <w:rsid w:val="00E12206"/>
    <w:rsid w:val="00E159B6"/>
    <w:rsid w:val="00E20EE1"/>
    <w:rsid w:val="00E25BD3"/>
    <w:rsid w:val="00E2650B"/>
    <w:rsid w:val="00E2707B"/>
    <w:rsid w:val="00E31101"/>
    <w:rsid w:val="00E3170B"/>
    <w:rsid w:val="00E36A47"/>
    <w:rsid w:val="00E45158"/>
    <w:rsid w:val="00E46B87"/>
    <w:rsid w:val="00E54B13"/>
    <w:rsid w:val="00E97C43"/>
    <w:rsid w:val="00EA0257"/>
    <w:rsid w:val="00EA4C56"/>
    <w:rsid w:val="00EA4F26"/>
    <w:rsid w:val="00EA515D"/>
    <w:rsid w:val="00EB0F22"/>
    <w:rsid w:val="00ED22DC"/>
    <w:rsid w:val="00ED4CAB"/>
    <w:rsid w:val="00ED60AB"/>
    <w:rsid w:val="00ED7A74"/>
    <w:rsid w:val="00EE50EA"/>
    <w:rsid w:val="00EE5563"/>
    <w:rsid w:val="00EE55A3"/>
    <w:rsid w:val="00EE681B"/>
    <w:rsid w:val="00EF66D5"/>
    <w:rsid w:val="00F01C2D"/>
    <w:rsid w:val="00F0344A"/>
    <w:rsid w:val="00F0477F"/>
    <w:rsid w:val="00F25214"/>
    <w:rsid w:val="00F27DBB"/>
    <w:rsid w:val="00F30A8A"/>
    <w:rsid w:val="00F31506"/>
    <w:rsid w:val="00F346DF"/>
    <w:rsid w:val="00F373AE"/>
    <w:rsid w:val="00F43268"/>
    <w:rsid w:val="00F43686"/>
    <w:rsid w:val="00F45DCA"/>
    <w:rsid w:val="00F464E2"/>
    <w:rsid w:val="00F469D2"/>
    <w:rsid w:val="00F51D5D"/>
    <w:rsid w:val="00F52363"/>
    <w:rsid w:val="00F52ACF"/>
    <w:rsid w:val="00F54E25"/>
    <w:rsid w:val="00F63FF1"/>
    <w:rsid w:val="00F6554E"/>
    <w:rsid w:val="00F74C77"/>
    <w:rsid w:val="00F759DB"/>
    <w:rsid w:val="00F84009"/>
    <w:rsid w:val="00FA062F"/>
    <w:rsid w:val="00FB14AD"/>
    <w:rsid w:val="00FB3CDC"/>
    <w:rsid w:val="00FB5FCE"/>
    <w:rsid w:val="00FC0E67"/>
    <w:rsid w:val="00FD0E64"/>
    <w:rsid w:val="00FD1E9F"/>
    <w:rsid w:val="00FD3A30"/>
    <w:rsid w:val="00FD4DE8"/>
    <w:rsid w:val="00FE19E5"/>
    <w:rsid w:val="00FE4C02"/>
    <w:rsid w:val="01035CA9"/>
    <w:rsid w:val="0118070D"/>
    <w:rsid w:val="01277A0F"/>
    <w:rsid w:val="013320E2"/>
    <w:rsid w:val="015C3C40"/>
    <w:rsid w:val="016B6FF9"/>
    <w:rsid w:val="019B2152"/>
    <w:rsid w:val="01A23C2A"/>
    <w:rsid w:val="01B04D2B"/>
    <w:rsid w:val="01D21820"/>
    <w:rsid w:val="01D85A96"/>
    <w:rsid w:val="01DF10E1"/>
    <w:rsid w:val="023A5260"/>
    <w:rsid w:val="023B071F"/>
    <w:rsid w:val="023B531E"/>
    <w:rsid w:val="023B7FD1"/>
    <w:rsid w:val="0242152A"/>
    <w:rsid w:val="024350BB"/>
    <w:rsid w:val="02472BE4"/>
    <w:rsid w:val="024D4A7C"/>
    <w:rsid w:val="025618B2"/>
    <w:rsid w:val="02DD599D"/>
    <w:rsid w:val="02E7384E"/>
    <w:rsid w:val="03154D47"/>
    <w:rsid w:val="03202304"/>
    <w:rsid w:val="03244AD3"/>
    <w:rsid w:val="032F481C"/>
    <w:rsid w:val="03332AF2"/>
    <w:rsid w:val="03383404"/>
    <w:rsid w:val="033F464E"/>
    <w:rsid w:val="038777CB"/>
    <w:rsid w:val="03A37650"/>
    <w:rsid w:val="03B81355"/>
    <w:rsid w:val="03BB0D5F"/>
    <w:rsid w:val="03DF17C4"/>
    <w:rsid w:val="03E72032"/>
    <w:rsid w:val="03FA5184"/>
    <w:rsid w:val="042B5FD7"/>
    <w:rsid w:val="0459548A"/>
    <w:rsid w:val="046B4F2B"/>
    <w:rsid w:val="047E4A22"/>
    <w:rsid w:val="04921808"/>
    <w:rsid w:val="049265DC"/>
    <w:rsid w:val="049F001A"/>
    <w:rsid w:val="04A93217"/>
    <w:rsid w:val="04B1692F"/>
    <w:rsid w:val="04BD1279"/>
    <w:rsid w:val="04C77BC5"/>
    <w:rsid w:val="04CF44E4"/>
    <w:rsid w:val="04DF0431"/>
    <w:rsid w:val="04DF4E7E"/>
    <w:rsid w:val="04E55DE3"/>
    <w:rsid w:val="04F66F25"/>
    <w:rsid w:val="050216F3"/>
    <w:rsid w:val="0510049A"/>
    <w:rsid w:val="051357C1"/>
    <w:rsid w:val="05185A4E"/>
    <w:rsid w:val="051F6DD6"/>
    <w:rsid w:val="054142F2"/>
    <w:rsid w:val="055B029F"/>
    <w:rsid w:val="058E05FD"/>
    <w:rsid w:val="059819E8"/>
    <w:rsid w:val="059D5DCA"/>
    <w:rsid w:val="05C35E2C"/>
    <w:rsid w:val="05D6401B"/>
    <w:rsid w:val="05F617C5"/>
    <w:rsid w:val="05F70250"/>
    <w:rsid w:val="0615463A"/>
    <w:rsid w:val="062145E3"/>
    <w:rsid w:val="062A33F3"/>
    <w:rsid w:val="06524C85"/>
    <w:rsid w:val="06996244"/>
    <w:rsid w:val="069D4211"/>
    <w:rsid w:val="069F0C43"/>
    <w:rsid w:val="06CC4057"/>
    <w:rsid w:val="06FA5EA5"/>
    <w:rsid w:val="07063733"/>
    <w:rsid w:val="073D51BC"/>
    <w:rsid w:val="07573B57"/>
    <w:rsid w:val="075D0102"/>
    <w:rsid w:val="076E7F93"/>
    <w:rsid w:val="07741EF3"/>
    <w:rsid w:val="07782806"/>
    <w:rsid w:val="0780484E"/>
    <w:rsid w:val="07811C72"/>
    <w:rsid w:val="07AD313C"/>
    <w:rsid w:val="07B2164E"/>
    <w:rsid w:val="07CE675A"/>
    <w:rsid w:val="07D638A4"/>
    <w:rsid w:val="07DD2283"/>
    <w:rsid w:val="08034A4A"/>
    <w:rsid w:val="08046A44"/>
    <w:rsid w:val="08391EC2"/>
    <w:rsid w:val="084808AB"/>
    <w:rsid w:val="085B73BE"/>
    <w:rsid w:val="0874048C"/>
    <w:rsid w:val="087B7B14"/>
    <w:rsid w:val="089C3E82"/>
    <w:rsid w:val="08A57A88"/>
    <w:rsid w:val="08AB1066"/>
    <w:rsid w:val="08BC669B"/>
    <w:rsid w:val="08C63CCB"/>
    <w:rsid w:val="08D15146"/>
    <w:rsid w:val="08D87BE9"/>
    <w:rsid w:val="08F41E50"/>
    <w:rsid w:val="09062688"/>
    <w:rsid w:val="091E42C4"/>
    <w:rsid w:val="09461A42"/>
    <w:rsid w:val="096238D8"/>
    <w:rsid w:val="096A2FA8"/>
    <w:rsid w:val="096B38C1"/>
    <w:rsid w:val="097F0A06"/>
    <w:rsid w:val="09990446"/>
    <w:rsid w:val="099C1C20"/>
    <w:rsid w:val="09B51F84"/>
    <w:rsid w:val="09C742B9"/>
    <w:rsid w:val="09ED5C0F"/>
    <w:rsid w:val="09FF06A5"/>
    <w:rsid w:val="0A0C0278"/>
    <w:rsid w:val="0A193DEA"/>
    <w:rsid w:val="0A2C3B4E"/>
    <w:rsid w:val="0A6B12A2"/>
    <w:rsid w:val="0A725A26"/>
    <w:rsid w:val="0A7F1287"/>
    <w:rsid w:val="0A826987"/>
    <w:rsid w:val="0A885562"/>
    <w:rsid w:val="0AA45025"/>
    <w:rsid w:val="0ABA2F59"/>
    <w:rsid w:val="0AC130E2"/>
    <w:rsid w:val="0AC55615"/>
    <w:rsid w:val="0ACD17AF"/>
    <w:rsid w:val="0AD154F3"/>
    <w:rsid w:val="0AFD28A5"/>
    <w:rsid w:val="0B0C3E51"/>
    <w:rsid w:val="0B0E52F5"/>
    <w:rsid w:val="0B1D3CA7"/>
    <w:rsid w:val="0B211843"/>
    <w:rsid w:val="0B227C1A"/>
    <w:rsid w:val="0B333DA6"/>
    <w:rsid w:val="0B4712F5"/>
    <w:rsid w:val="0B5A6D4F"/>
    <w:rsid w:val="0B6A0FCF"/>
    <w:rsid w:val="0B8F26DD"/>
    <w:rsid w:val="0B9C265B"/>
    <w:rsid w:val="0BB37E6B"/>
    <w:rsid w:val="0BBC0894"/>
    <w:rsid w:val="0BE16841"/>
    <w:rsid w:val="0BE24AF4"/>
    <w:rsid w:val="0BE260F8"/>
    <w:rsid w:val="0BE6402D"/>
    <w:rsid w:val="0C0310E7"/>
    <w:rsid w:val="0C0C5669"/>
    <w:rsid w:val="0C591B59"/>
    <w:rsid w:val="0C643391"/>
    <w:rsid w:val="0C676F28"/>
    <w:rsid w:val="0C750997"/>
    <w:rsid w:val="0CBE05B1"/>
    <w:rsid w:val="0CD56BF5"/>
    <w:rsid w:val="0CE279DB"/>
    <w:rsid w:val="0D05428C"/>
    <w:rsid w:val="0D107B9E"/>
    <w:rsid w:val="0D1E2CC5"/>
    <w:rsid w:val="0D3F2FBD"/>
    <w:rsid w:val="0D4A3F9D"/>
    <w:rsid w:val="0D500EAF"/>
    <w:rsid w:val="0D5C39D0"/>
    <w:rsid w:val="0D7A6175"/>
    <w:rsid w:val="0D897085"/>
    <w:rsid w:val="0D973BD6"/>
    <w:rsid w:val="0D993AA8"/>
    <w:rsid w:val="0DBA3B86"/>
    <w:rsid w:val="0DCF331D"/>
    <w:rsid w:val="0DDF3859"/>
    <w:rsid w:val="0DE83C36"/>
    <w:rsid w:val="0DF01AB4"/>
    <w:rsid w:val="0DF40031"/>
    <w:rsid w:val="0DF845C2"/>
    <w:rsid w:val="0E140A7E"/>
    <w:rsid w:val="0E216C7A"/>
    <w:rsid w:val="0E2E1CE4"/>
    <w:rsid w:val="0E514B85"/>
    <w:rsid w:val="0E581D1C"/>
    <w:rsid w:val="0E702063"/>
    <w:rsid w:val="0E795012"/>
    <w:rsid w:val="0E83156A"/>
    <w:rsid w:val="0E8F0AE1"/>
    <w:rsid w:val="0EC90D37"/>
    <w:rsid w:val="0ECA3747"/>
    <w:rsid w:val="0ECE130C"/>
    <w:rsid w:val="0EF0143D"/>
    <w:rsid w:val="0F000D5F"/>
    <w:rsid w:val="0F192734"/>
    <w:rsid w:val="0F3C31E8"/>
    <w:rsid w:val="0F7051DC"/>
    <w:rsid w:val="0F87722D"/>
    <w:rsid w:val="0F9B0138"/>
    <w:rsid w:val="0F9B264A"/>
    <w:rsid w:val="0FA24D5A"/>
    <w:rsid w:val="0FCA062F"/>
    <w:rsid w:val="0FCE2DBD"/>
    <w:rsid w:val="0FD3219A"/>
    <w:rsid w:val="0FDB2145"/>
    <w:rsid w:val="10077CB3"/>
    <w:rsid w:val="101636C4"/>
    <w:rsid w:val="101F4D0B"/>
    <w:rsid w:val="10407370"/>
    <w:rsid w:val="10453E50"/>
    <w:rsid w:val="10694774"/>
    <w:rsid w:val="10756952"/>
    <w:rsid w:val="10786BD3"/>
    <w:rsid w:val="10880864"/>
    <w:rsid w:val="10B05338"/>
    <w:rsid w:val="10B839E4"/>
    <w:rsid w:val="10C06D57"/>
    <w:rsid w:val="10C61B39"/>
    <w:rsid w:val="10D85B55"/>
    <w:rsid w:val="10E62C28"/>
    <w:rsid w:val="10F836B9"/>
    <w:rsid w:val="11001F2F"/>
    <w:rsid w:val="11284D63"/>
    <w:rsid w:val="112D7CAF"/>
    <w:rsid w:val="113D052F"/>
    <w:rsid w:val="113E1001"/>
    <w:rsid w:val="11594C7D"/>
    <w:rsid w:val="11660B9B"/>
    <w:rsid w:val="11960ACE"/>
    <w:rsid w:val="11B33BD0"/>
    <w:rsid w:val="11C07920"/>
    <w:rsid w:val="11E430F9"/>
    <w:rsid w:val="11E461A8"/>
    <w:rsid w:val="11EA6F01"/>
    <w:rsid w:val="11EE3361"/>
    <w:rsid w:val="12114B5A"/>
    <w:rsid w:val="12114E05"/>
    <w:rsid w:val="12276E51"/>
    <w:rsid w:val="124A5054"/>
    <w:rsid w:val="1264416D"/>
    <w:rsid w:val="12B37474"/>
    <w:rsid w:val="12B51117"/>
    <w:rsid w:val="12D87E2E"/>
    <w:rsid w:val="12E436DD"/>
    <w:rsid w:val="12E70646"/>
    <w:rsid w:val="12EE6461"/>
    <w:rsid w:val="13092169"/>
    <w:rsid w:val="13206344"/>
    <w:rsid w:val="132721FB"/>
    <w:rsid w:val="135C7EE5"/>
    <w:rsid w:val="135F64E6"/>
    <w:rsid w:val="13681DBE"/>
    <w:rsid w:val="1368429F"/>
    <w:rsid w:val="137B3377"/>
    <w:rsid w:val="1384428B"/>
    <w:rsid w:val="13932E98"/>
    <w:rsid w:val="13965C41"/>
    <w:rsid w:val="13A25101"/>
    <w:rsid w:val="13E53B13"/>
    <w:rsid w:val="13FF62B7"/>
    <w:rsid w:val="14070759"/>
    <w:rsid w:val="142C2118"/>
    <w:rsid w:val="144568C1"/>
    <w:rsid w:val="14581599"/>
    <w:rsid w:val="1478113E"/>
    <w:rsid w:val="149342A5"/>
    <w:rsid w:val="14A03F70"/>
    <w:rsid w:val="14A927A1"/>
    <w:rsid w:val="14C35B7A"/>
    <w:rsid w:val="14C55FEF"/>
    <w:rsid w:val="14D40C61"/>
    <w:rsid w:val="14E1282D"/>
    <w:rsid w:val="14E31E78"/>
    <w:rsid w:val="14ED55F6"/>
    <w:rsid w:val="14F24240"/>
    <w:rsid w:val="14F7332D"/>
    <w:rsid w:val="150B4E9D"/>
    <w:rsid w:val="150D173F"/>
    <w:rsid w:val="152F069C"/>
    <w:rsid w:val="15304234"/>
    <w:rsid w:val="154552B1"/>
    <w:rsid w:val="15671694"/>
    <w:rsid w:val="1572392F"/>
    <w:rsid w:val="158473F0"/>
    <w:rsid w:val="158806C6"/>
    <w:rsid w:val="159C3EB9"/>
    <w:rsid w:val="159E3464"/>
    <w:rsid w:val="15A571D3"/>
    <w:rsid w:val="15B6099F"/>
    <w:rsid w:val="15DB0991"/>
    <w:rsid w:val="15E026F9"/>
    <w:rsid w:val="15E8751C"/>
    <w:rsid w:val="15F91AD0"/>
    <w:rsid w:val="16330581"/>
    <w:rsid w:val="163F6186"/>
    <w:rsid w:val="16436AF0"/>
    <w:rsid w:val="1650141C"/>
    <w:rsid w:val="1664567F"/>
    <w:rsid w:val="16904479"/>
    <w:rsid w:val="16954458"/>
    <w:rsid w:val="16B86F9F"/>
    <w:rsid w:val="16C66369"/>
    <w:rsid w:val="16D37E62"/>
    <w:rsid w:val="16F90B32"/>
    <w:rsid w:val="172765E7"/>
    <w:rsid w:val="1729616C"/>
    <w:rsid w:val="17336B99"/>
    <w:rsid w:val="173F63A5"/>
    <w:rsid w:val="174067C2"/>
    <w:rsid w:val="174925AF"/>
    <w:rsid w:val="174D309C"/>
    <w:rsid w:val="17601CB8"/>
    <w:rsid w:val="17A82A94"/>
    <w:rsid w:val="17B9033C"/>
    <w:rsid w:val="17BB0304"/>
    <w:rsid w:val="17C7058B"/>
    <w:rsid w:val="17D727F1"/>
    <w:rsid w:val="182E1BEC"/>
    <w:rsid w:val="183809F3"/>
    <w:rsid w:val="184F5106"/>
    <w:rsid w:val="18582705"/>
    <w:rsid w:val="18712AF5"/>
    <w:rsid w:val="187A309D"/>
    <w:rsid w:val="188D54BC"/>
    <w:rsid w:val="18C51FA5"/>
    <w:rsid w:val="18C76258"/>
    <w:rsid w:val="190B269E"/>
    <w:rsid w:val="19333589"/>
    <w:rsid w:val="194B3002"/>
    <w:rsid w:val="19533715"/>
    <w:rsid w:val="19555D73"/>
    <w:rsid w:val="19720A5C"/>
    <w:rsid w:val="1982409F"/>
    <w:rsid w:val="19952ACD"/>
    <w:rsid w:val="199649F8"/>
    <w:rsid w:val="19992D4C"/>
    <w:rsid w:val="19A27D52"/>
    <w:rsid w:val="19AA6927"/>
    <w:rsid w:val="1A107A4A"/>
    <w:rsid w:val="1A18208B"/>
    <w:rsid w:val="1A1A0D4F"/>
    <w:rsid w:val="1A1D3B8E"/>
    <w:rsid w:val="1A1E32B8"/>
    <w:rsid w:val="1A3615E0"/>
    <w:rsid w:val="1A4C4897"/>
    <w:rsid w:val="1A50545C"/>
    <w:rsid w:val="1A651B91"/>
    <w:rsid w:val="1A671AB8"/>
    <w:rsid w:val="1A82661B"/>
    <w:rsid w:val="1AB32530"/>
    <w:rsid w:val="1AB839D8"/>
    <w:rsid w:val="1AC644D6"/>
    <w:rsid w:val="1AD062C8"/>
    <w:rsid w:val="1AF02C67"/>
    <w:rsid w:val="1AF75DB4"/>
    <w:rsid w:val="1AF853E7"/>
    <w:rsid w:val="1B241BE1"/>
    <w:rsid w:val="1B286B61"/>
    <w:rsid w:val="1B315E51"/>
    <w:rsid w:val="1B622139"/>
    <w:rsid w:val="1B7A6823"/>
    <w:rsid w:val="1BA76A40"/>
    <w:rsid w:val="1BC830A2"/>
    <w:rsid w:val="1BCB164A"/>
    <w:rsid w:val="1BDD715A"/>
    <w:rsid w:val="1BEF6DAC"/>
    <w:rsid w:val="1C195195"/>
    <w:rsid w:val="1C212086"/>
    <w:rsid w:val="1C2537AF"/>
    <w:rsid w:val="1C4C2AA6"/>
    <w:rsid w:val="1C544646"/>
    <w:rsid w:val="1C592C5B"/>
    <w:rsid w:val="1C615FF4"/>
    <w:rsid w:val="1C95751E"/>
    <w:rsid w:val="1CAA22C0"/>
    <w:rsid w:val="1CBE187C"/>
    <w:rsid w:val="1CBF4813"/>
    <w:rsid w:val="1CF3651A"/>
    <w:rsid w:val="1D126918"/>
    <w:rsid w:val="1D911FED"/>
    <w:rsid w:val="1D925CE0"/>
    <w:rsid w:val="1DCD301A"/>
    <w:rsid w:val="1DE0733D"/>
    <w:rsid w:val="1DE92913"/>
    <w:rsid w:val="1DFA73E1"/>
    <w:rsid w:val="1E066E21"/>
    <w:rsid w:val="1E3173C7"/>
    <w:rsid w:val="1E4622AB"/>
    <w:rsid w:val="1E4804E9"/>
    <w:rsid w:val="1E5761D1"/>
    <w:rsid w:val="1E5875D2"/>
    <w:rsid w:val="1E6A3B5F"/>
    <w:rsid w:val="1EA947EC"/>
    <w:rsid w:val="1EBE6B3B"/>
    <w:rsid w:val="1ECD0073"/>
    <w:rsid w:val="1F0E011A"/>
    <w:rsid w:val="1F3E19B3"/>
    <w:rsid w:val="1F657E59"/>
    <w:rsid w:val="1FA2161C"/>
    <w:rsid w:val="1FBA7A87"/>
    <w:rsid w:val="1FC4418D"/>
    <w:rsid w:val="1FCF12AF"/>
    <w:rsid w:val="1FD11DF1"/>
    <w:rsid w:val="1FDE62A6"/>
    <w:rsid w:val="20012D19"/>
    <w:rsid w:val="20035B92"/>
    <w:rsid w:val="20053144"/>
    <w:rsid w:val="201065EE"/>
    <w:rsid w:val="20172CB6"/>
    <w:rsid w:val="202D1685"/>
    <w:rsid w:val="2063797A"/>
    <w:rsid w:val="208B6337"/>
    <w:rsid w:val="20AC31EE"/>
    <w:rsid w:val="20B224E1"/>
    <w:rsid w:val="20BB7410"/>
    <w:rsid w:val="20BC103F"/>
    <w:rsid w:val="20E26D41"/>
    <w:rsid w:val="20E56644"/>
    <w:rsid w:val="20E759B7"/>
    <w:rsid w:val="20F749C5"/>
    <w:rsid w:val="21176532"/>
    <w:rsid w:val="2121485A"/>
    <w:rsid w:val="21297E99"/>
    <w:rsid w:val="213408C0"/>
    <w:rsid w:val="21347F78"/>
    <w:rsid w:val="21436DA1"/>
    <w:rsid w:val="21467A95"/>
    <w:rsid w:val="214E74F0"/>
    <w:rsid w:val="21541349"/>
    <w:rsid w:val="21672FBB"/>
    <w:rsid w:val="21891546"/>
    <w:rsid w:val="219C3D53"/>
    <w:rsid w:val="219D3E65"/>
    <w:rsid w:val="21A63690"/>
    <w:rsid w:val="21CF4E5C"/>
    <w:rsid w:val="21E01B40"/>
    <w:rsid w:val="21E97830"/>
    <w:rsid w:val="21F5408E"/>
    <w:rsid w:val="21F96D10"/>
    <w:rsid w:val="222B2E69"/>
    <w:rsid w:val="22321F10"/>
    <w:rsid w:val="226C5CEB"/>
    <w:rsid w:val="227A76B9"/>
    <w:rsid w:val="2280393E"/>
    <w:rsid w:val="228466D9"/>
    <w:rsid w:val="2293609B"/>
    <w:rsid w:val="2299173A"/>
    <w:rsid w:val="22B6111B"/>
    <w:rsid w:val="22CA1F6B"/>
    <w:rsid w:val="22D035C9"/>
    <w:rsid w:val="22D0662D"/>
    <w:rsid w:val="22D673A9"/>
    <w:rsid w:val="2309065B"/>
    <w:rsid w:val="231E58AD"/>
    <w:rsid w:val="232C473E"/>
    <w:rsid w:val="23316F5F"/>
    <w:rsid w:val="23431DD4"/>
    <w:rsid w:val="23743846"/>
    <w:rsid w:val="23810AAD"/>
    <w:rsid w:val="239930E2"/>
    <w:rsid w:val="23B6062D"/>
    <w:rsid w:val="23DF48E5"/>
    <w:rsid w:val="23F41F0E"/>
    <w:rsid w:val="23F865FB"/>
    <w:rsid w:val="241132AD"/>
    <w:rsid w:val="243A383E"/>
    <w:rsid w:val="244825DE"/>
    <w:rsid w:val="24504844"/>
    <w:rsid w:val="245D4C24"/>
    <w:rsid w:val="245E3EEF"/>
    <w:rsid w:val="24913D67"/>
    <w:rsid w:val="24974C67"/>
    <w:rsid w:val="24AA3276"/>
    <w:rsid w:val="24BA017B"/>
    <w:rsid w:val="24BB3140"/>
    <w:rsid w:val="24D360AA"/>
    <w:rsid w:val="24D64DB5"/>
    <w:rsid w:val="24D73199"/>
    <w:rsid w:val="24D8326D"/>
    <w:rsid w:val="24E51CAA"/>
    <w:rsid w:val="24E92876"/>
    <w:rsid w:val="25196B6F"/>
    <w:rsid w:val="252B18C1"/>
    <w:rsid w:val="253C4F8B"/>
    <w:rsid w:val="257E7E49"/>
    <w:rsid w:val="25830286"/>
    <w:rsid w:val="25A24AF5"/>
    <w:rsid w:val="25BB15E2"/>
    <w:rsid w:val="25C51B35"/>
    <w:rsid w:val="25CE3807"/>
    <w:rsid w:val="25DA5177"/>
    <w:rsid w:val="25E501DB"/>
    <w:rsid w:val="26002486"/>
    <w:rsid w:val="260704FC"/>
    <w:rsid w:val="2608313D"/>
    <w:rsid w:val="260D0C0D"/>
    <w:rsid w:val="263A62D6"/>
    <w:rsid w:val="265778CB"/>
    <w:rsid w:val="266E5BE7"/>
    <w:rsid w:val="267173F6"/>
    <w:rsid w:val="26840A9D"/>
    <w:rsid w:val="26A13D64"/>
    <w:rsid w:val="26D62E8B"/>
    <w:rsid w:val="26D81BB2"/>
    <w:rsid w:val="26E50FB1"/>
    <w:rsid w:val="26E6203D"/>
    <w:rsid w:val="26E63B79"/>
    <w:rsid w:val="27173DE9"/>
    <w:rsid w:val="27177BEE"/>
    <w:rsid w:val="273C283E"/>
    <w:rsid w:val="2742465D"/>
    <w:rsid w:val="27515798"/>
    <w:rsid w:val="276E648A"/>
    <w:rsid w:val="27724FAA"/>
    <w:rsid w:val="277338B6"/>
    <w:rsid w:val="27741363"/>
    <w:rsid w:val="279249E2"/>
    <w:rsid w:val="27F1165F"/>
    <w:rsid w:val="27F867C4"/>
    <w:rsid w:val="283412F9"/>
    <w:rsid w:val="284012C9"/>
    <w:rsid w:val="28492112"/>
    <w:rsid w:val="284F7BB8"/>
    <w:rsid w:val="28617C30"/>
    <w:rsid w:val="28776898"/>
    <w:rsid w:val="28782EF9"/>
    <w:rsid w:val="287E43C7"/>
    <w:rsid w:val="288C5C1D"/>
    <w:rsid w:val="2891720E"/>
    <w:rsid w:val="28D7459D"/>
    <w:rsid w:val="28E3041A"/>
    <w:rsid w:val="28E72DCE"/>
    <w:rsid w:val="28F37F45"/>
    <w:rsid w:val="28F64522"/>
    <w:rsid w:val="28FA116E"/>
    <w:rsid w:val="29136A62"/>
    <w:rsid w:val="29154F1B"/>
    <w:rsid w:val="291C1136"/>
    <w:rsid w:val="29213E37"/>
    <w:rsid w:val="29411350"/>
    <w:rsid w:val="29482A04"/>
    <w:rsid w:val="29637C13"/>
    <w:rsid w:val="296D1D84"/>
    <w:rsid w:val="297F4E1D"/>
    <w:rsid w:val="29811790"/>
    <w:rsid w:val="298A66BB"/>
    <w:rsid w:val="29A65076"/>
    <w:rsid w:val="29A71BC5"/>
    <w:rsid w:val="29C50BAD"/>
    <w:rsid w:val="29CD7331"/>
    <w:rsid w:val="29CE73A0"/>
    <w:rsid w:val="29D40B66"/>
    <w:rsid w:val="29F35397"/>
    <w:rsid w:val="29FD7110"/>
    <w:rsid w:val="2A182612"/>
    <w:rsid w:val="2A236557"/>
    <w:rsid w:val="2A360922"/>
    <w:rsid w:val="2A361B55"/>
    <w:rsid w:val="2A443393"/>
    <w:rsid w:val="2A4A3133"/>
    <w:rsid w:val="2A81752D"/>
    <w:rsid w:val="2A834AE0"/>
    <w:rsid w:val="2A895D17"/>
    <w:rsid w:val="2A9F547B"/>
    <w:rsid w:val="2AA66D64"/>
    <w:rsid w:val="2AB41C0B"/>
    <w:rsid w:val="2ABC48DB"/>
    <w:rsid w:val="2AD254AF"/>
    <w:rsid w:val="2ADE2FC8"/>
    <w:rsid w:val="2AE24A4B"/>
    <w:rsid w:val="2AEB48C6"/>
    <w:rsid w:val="2AF77693"/>
    <w:rsid w:val="2B024D48"/>
    <w:rsid w:val="2B0B7481"/>
    <w:rsid w:val="2B1B5153"/>
    <w:rsid w:val="2B5771C3"/>
    <w:rsid w:val="2B7B44D9"/>
    <w:rsid w:val="2B8D3F49"/>
    <w:rsid w:val="2BA87B48"/>
    <w:rsid w:val="2BAA3280"/>
    <w:rsid w:val="2BAC73FF"/>
    <w:rsid w:val="2BB72B34"/>
    <w:rsid w:val="2BBA622C"/>
    <w:rsid w:val="2BC137C5"/>
    <w:rsid w:val="2BC7725D"/>
    <w:rsid w:val="2BCC15C2"/>
    <w:rsid w:val="2BCF502F"/>
    <w:rsid w:val="2C0143BD"/>
    <w:rsid w:val="2C11683E"/>
    <w:rsid w:val="2C1A6ED3"/>
    <w:rsid w:val="2C2A3C62"/>
    <w:rsid w:val="2C3413A9"/>
    <w:rsid w:val="2C3E5B01"/>
    <w:rsid w:val="2C4B30A0"/>
    <w:rsid w:val="2C4C03DD"/>
    <w:rsid w:val="2C606144"/>
    <w:rsid w:val="2C7877E2"/>
    <w:rsid w:val="2CB77A75"/>
    <w:rsid w:val="2CFC2FC3"/>
    <w:rsid w:val="2D0B4998"/>
    <w:rsid w:val="2D10500C"/>
    <w:rsid w:val="2D14458B"/>
    <w:rsid w:val="2D185BE6"/>
    <w:rsid w:val="2D2A1E21"/>
    <w:rsid w:val="2D463A88"/>
    <w:rsid w:val="2D483064"/>
    <w:rsid w:val="2D4F0D38"/>
    <w:rsid w:val="2D7C3D3C"/>
    <w:rsid w:val="2D931A08"/>
    <w:rsid w:val="2DAB4E6B"/>
    <w:rsid w:val="2DAD55E8"/>
    <w:rsid w:val="2DB10688"/>
    <w:rsid w:val="2DC10439"/>
    <w:rsid w:val="2DD0042C"/>
    <w:rsid w:val="2DD4388F"/>
    <w:rsid w:val="2DD7120E"/>
    <w:rsid w:val="2DD73EDF"/>
    <w:rsid w:val="2DE44345"/>
    <w:rsid w:val="2DEC29B0"/>
    <w:rsid w:val="2E024AA9"/>
    <w:rsid w:val="2E0849D5"/>
    <w:rsid w:val="2E161B26"/>
    <w:rsid w:val="2E337468"/>
    <w:rsid w:val="2E623D9A"/>
    <w:rsid w:val="2E666601"/>
    <w:rsid w:val="2E7F6D03"/>
    <w:rsid w:val="2EB95470"/>
    <w:rsid w:val="2EB95DE6"/>
    <w:rsid w:val="2EE87395"/>
    <w:rsid w:val="2F0B1753"/>
    <w:rsid w:val="2F2D7C04"/>
    <w:rsid w:val="2F342675"/>
    <w:rsid w:val="2F3B1F59"/>
    <w:rsid w:val="2F5903B1"/>
    <w:rsid w:val="2F6E6F56"/>
    <w:rsid w:val="2F7552BB"/>
    <w:rsid w:val="2F871273"/>
    <w:rsid w:val="2F973BB3"/>
    <w:rsid w:val="2FB07F1C"/>
    <w:rsid w:val="2FBE4109"/>
    <w:rsid w:val="2FD41C74"/>
    <w:rsid w:val="2FDE59CB"/>
    <w:rsid w:val="2FEC4F25"/>
    <w:rsid w:val="2FEE6B03"/>
    <w:rsid w:val="3009074E"/>
    <w:rsid w:val="302A6A9C"/>
    <w:rsid w:val="303256F9"/>
    <w:rsid w:val="3043786F"/>
    <w:rsid w:val="304B5105"/>
    <w:rsid w:val="305B12AD"/>
    <w:rsid w:val="305F1F4D"/>
    <w:rsid w:val="30630146"/>
    <w:rsid w:val="30666AB6"/>
    <w:rsid w:val="30A84A1E"/>
    <w:rsid w:val="30B54EBF"/>
    <w:rsid w:val="30CA7244"/>
    <w:rsid w:val="30E213C2"/>
    <w:rsid w:val="311863B9"/>
    <w:rsid w:val="311B6AA2"/>
    <w:rsid w:val="31336B19"/>
    <w:rsid w:val="31337AD3"/>
    <w:rsid w:val="31515973"/>
    <w:rsid w:val="3177162E"/>
    <w:rsid w:val="318F56D8"/>
    <w:rsid w:val="31987F8C"/>
    <w:rsid w:val="31AE6817"/>
    <w:rsid w:val="31B47F3B"/>
    <w:rsid w:val="31C0152D"/>
    <w:rsid w:val="31D20BD0"/>
    <w:rsid w:val="31F13FD0"/>
    <w:rsid w:val="32040734"/>
    <w:rsid w:val="32163EB0"/>
    <w:rsid w:val="3232633F"/>
    <w:rsid w:val="323E38CA"/>
    <w:rsid w:val="324B78C5"/>
    <w:rsid w:val="325721C6"/>
    <w:rsid w:val="326D20FE"/>
    <w:rsid w:val="3272721F"/>
    <w:rsid w:val="32934BA4"/>
    <w:rsid w:val="32BA0812"/>
    <w:rsid w:val="32BC2409"/>
    <w:rsid w:val="32BF2CE2"/>
    <w:rsid w:val="32C15CC7"/>
    <w:rsid w:val="32C75DFA"/>
    <w:rsid w:val="330314B1"/>
    <w:rsid w:val="330F4A0F"/>
    <w:rsid w:val="33402354"/>
    <w:rsid w:val="335634A9"/>
    <w:rsid w:val="335B32B8"/>
    <w:rsid w:val="33A045A7"/>
    <w:rsid w:val="33B309C0"/>
    <w:rsid w:val="33C9336E"/>
    <w:rsid w:val="33EC12E5"/>
    <w:rsid w:val="33F60E9D"/>
    <w:rsid w:val="33FF5AC2"/>
    <w:rsid w:val="3420184D"/>
    <w:rsid w:val="343B034D"/>
    <w:rsid w:val="34572733"/>
    <w:rsid w:val="346436BC"/>
    <w:rsid w:val="346A040D"/>
    <w:rsid w:val="346A77B9"/>
    <w:rsid w:val="34751BA4"/>
    <w:rsid w:val="347B3BBD"/>
    <w:rsid w:val="348C4C5D"/>
    <w:rsid w:val="349531F8"/>
    <w:rsid w:val="349F4400"/>
    <w:rsid w:val="34A45154"/>
    <w:rsid w:val="34A67958"/>
    <w:rsid w:val="34BF5B6A"/>
    <w:rsid w:val="34CA2DFB"/>
    <w:rsid w:val="34E47344"/>
    <w:rsid w:val="34F12A70"/>
    <w:rsid w:val="34FD4249"/>
    <w:rsid w:val="351807EB"/>
    <w:rsid w:val="353173CA"/>
    <w:rsid w:val="35325404"/>
    <w:rsid w:val="353D7F5B"/>
    <w:rsid w:val="353E0A9F"/>
    <w:rsid w:val="354664CD"/>
    <w:rsid w:val="355A381B"/>
    <w:rsid w:val="355C45B6"/>
    <w:rsid w:val="355F3540"/>
    <w:rsid w:val="35784BFF"/>
    <w:rsid w:val="35946E71"/>
    <w:rsid w:val="35993830"/>
    <w:rsid w:val="359A2A6C"/>
    <w:rsid w:val="35A67891"/>
    <w:rsid w:val="35AB6425"/>
    <w:rsid w:val="35CB78DE"/>
    <w:rsid w:val="35D73003"/>
    <w:rsid w:val="35E30E6D"/>
    <w:rsid w:val="35F5452B"/>
    <w:rsid w:val="36063854"/>
    <w:rsid w:val="3607687C"/>
    <w:rsid w:val="36134010"/>
    <w:rsid w:val="361B6380"/>
    <w:rsid w:val="362F5241"/>
    <w:rsid w:val="36656B00"/>
    <w:rsid w:val="366E6B78"/>
    <w:rsid w:val="368E2467"/>
    <w:rsid w:val="36A407AC"/>
    <w:rsid w:val="36C16781"/>
    <w:rsid w:val="36C35507"/>
    <w:rsid w:val="36D204A4"/>
    <w:rsid w:val="37032589"/>
    <w:rsid w:val="37066E71"/>
    <w:rsid w:val="37131D7B"/>
    <w:rsid w:val="371331FB"/>
    <w:rsid w:val="37144272"/>
    <w:rsid w:val="37197DF7"/>
    <w:rsid w:val="37320F16"/>
    <w:rsid w:val="37554C1A"/>
    <w:rsid w:val="378375B5"/>
    <w:rsid w:val="37A2130F"/>
    <w:rsid w:val="37C61985"/>
    <w:rsid w:val="37E71769"/>
    <w:rsid w:val="37EC0552"/>
    <w:rsid w:val="380833FD"/>
    <w:rsid w:val="381521F8"/>
    <w:rsid w:val="3818260A"/>
    <w:rsid w:val="38187ADE"/>
    <w:rsid w:val="38342A9F"/>
    <w:rsid w:val="38374356"/>
    <w:rsid w:val="383C4B25"/>
    <w:rsid w:val="385F0246"/>
    <w:rsid w:val="389966C0"/>
    <w:rsid w:val="3899689C"/>
    <w:rsid w:val="38A47376"/>
    <w:rsid w:val="38D417F0"/>
    <w:rsid w:val="38F30347"/>
    <w:rsid w:val="3900101E"/>
    <w:rsid w:val="39013EA8"/>
    <w:rsid w:val="391B60E9"/>
    <w:rsid w:val="392243B5"/>
    <w:rsid w:val="39277F3D"/>
    <w:rsid w:val="39567311"/>
    <w:rsid w:val="395804CB"/>
    <w:rsid w:val="39760A11"/>
    <w:rsid w:val="39816DD8"/>
    <w:rsid w:val="39840777"/>
    <w:rsid w:val="39983A28"/>
    <w:rsid w:val="39A82D78"/>
    <w:rsid w:val="39B6648C"/>
    <w:rsid w:val="39C11BB3"/>
    <w:rsid w:val="39D04F06"/>
    <w:rsid w:val="39D607F9"/>
    <w:rsid w:val="39E5188A"/>
    <w:rsid w:val="39EA7CDE"/>
    <w:rsid w:val="39EA7E96"/>
    <w:rsid w:val="3A343CCF"/>
    <w:rsid w:val="3A5D4B82"/>
    <w:rsid w:val="3A8253FD"/>
    <w:rsid w:val="3AF335E2"/>
    <w:rsid w:val="3B12005C"/>
    <w:rsid w:val="3B160ABB"/>
    <w:rsid w:val="3B2613F5"/>
    <w:rsid w:val="3B4B0AFF"/>
    <w:rsid w:val="3B4B28BC"/>
    <w:rsid w:val="3B6C5255"/>
    <w:rsid w:val="3BA14A2B"/>
    <w:rsid w:val="3BA94441"/>
    <w:rsid w:val="3BC0465E"/>
    <w:rsid w:val="3BC47628"/>
    <w:rsid w:val="3BC719BC"/>
    <w:rsid w:val="3BE05B9B"/>
    <w:rsid w:val="3BE14CD1"/>
    <w:rsid w:val="3BE23421"/>
    <w:rsid w:val="3C0B0998"/>
    <w:rsid w:val="3C1368FA"/>
    <w:rsid w:val="3C381D14"/>
    <w:rsid w:val="3C3F0409"/>
    <w:rsid w:val="3C434421"/>
    <w:rsid w:val="3C4E54BE"/>
    <w:rsid w:val="3C5F5E2A"/>
    <w:rsid w:val="3C6446E6"/>
    <w:rsid w:val="3C6B4D76"/>
    <w:rsid w:val="3C7D5112"/>
    <w:rsid w:val="3C7F0296"/>
    <w:rsid w:val="3CCB3FF8"/>
    <w:rsid w:val="3CEE2B7B"/>
    <w:rsid w:val="3CF434F0"/>
    <w:rsid w:val="3D09153F"/>
    <w:rsid w:val="3D123B7F"/>
    <w:rsid w:val="3D3D6C39"/>
    <w:rsid w:val="3D3F53DE"/>
    <w:rsid w:val="3D9571F8"/>
    <w:rsid w:val="3DB81D97"/>
    <w:rsid w:val="3DBC1CFD"/>
    <w:rsid w:val="3DBC4352"/>
    <w:rsid w:val="3DBD4B8C"/>
    <w:rsid w:val="3DCC2047"/>
    <w:rsid w:val="3DE74A29"/>
    <w:rsid w:val="3DEB2C42"/>
    <w:rsid w:val="3E0F6EE3"/>
    <w:rsid w:val="3E1429E8"/>
    <w:rsid w:val="3E2F1D3A"/>
    <w:rsid w:val="3E3664CD"/>
    <w:rsid w:val="3E3C78D2"/>
    <w:rsid w:val="3E4E4ECC"/>
    <w:rsid w:val="3E582E10"/>
    <w:rsid w:val="3E6D46DB"/>
    <w:rsid w:val="3E7D4357"/>
    <w:rsid w:val="3E9123E8"/>
    <w:rsid w:val="3E914F63"/>
    <w:rsid w:val="3EAA7F9A"/>
    <w:rsid w:val="3EB229CE"/>
    <w:rsid w:val="3EB74BDE"/>
    <w:rsid w:val="3EBE1D28"/>
    <w:rsid w:val="3EC66E2C"/>
    <w:rsid w:val="3ED844DE"/>
    <w:rsid w:val="3EDE4B5A"/>
    <w:rsid w:val="3EE16B0C"/>
    <w:rsid w:val="3EFE0C56"/>
    <w:rsid w:val="3F1B484B"/>
    <w:rsid w:val="3F7901B3"/>
    <w:rsid w:val="3F7E6471"/>
    <w:rsid w:val="3FB930B0"/>
    <w:rsid w:val="3FC40E07"/>
    <w:rsid w:val="3FC45925"/>
    <w:rsid w:val="3FC9610B"/>
    <w:rsid w:val="3FF926C2"/>
    <w:rsid w:val="400F386B"/>
    <w:rsid w:val="401210C8"/>
    <w:rsid w:val="40131DB1"/>
    <w:rsid w:val="40173D9E"/>
    <w:rsid w:val="401F1D86"/>
    <w:rsid w:val="40266C4A"/>
    <w:rsid w:val="4036450C"/>
    <w:rsid w:val="407D0386"/>
    <w:rsid w:val="40852C3D"/>
    <w:rsid w:val="40853E36"/>
    <w:rsid w:val="40B43358"/>
    <w:rsid w:val="40C7513B"/>
    <w:rsid w:val="40F828B3"/>
    <w:rsid w:val="41071932"/>
    <w:rsid w:val="41124ABD"/>
    <w:rsid w:val="411A4A17"/>
    <w:rsid w:val="411D46A4"/>
    <w:rsid w:val="413468E1"/>
    <w:rsid w:val="41732BF2"/>
    <w:rsid w:val="41787A0C"/>
    <w:rsid w:val="4179327D"/>
    <w:rsid w:val="41900E19"/>
    <w:rsid w:val="41A078B7"/>
    <w:rsid w:val="41A52740"/>
    <w:rsid w:val="42177237"/>
    <w:rsid w:val="422A293A"/>
    <w:rsid w:val="42355CDF"/>
    <w:rsid w:val="424A1ECD"/>
    <w:rsid w:val="425B037E"/>
    <w:rsid w:val="426B215E"/>
    <w:rsid w:val="42710CBE"/>
    <w:rsid w:val="4271128D"/>
    <w:rsid w:val="427E4554"/>
    <w:rsid w:val="42C7772B"/>
    <w:rsid w:val="42F97F84"/>
    <w:rsid w:val="43004F01"/>
    <w:rsid w:val="43173CF4"/>
    <w:rsid w:val="431F55F1"/>
    <w:rsid w:val="43217569"/>
    <w:rsid w:val="436948AE"/>
    <w:rsid w:val="43787160"/>
    <w:rsid w:val="437B1677"/>
    <w:rsid w:val="43882BF8"/>
    <w:rsid w:val="43906DD2"/>
    <w:rsid w:val="43A2543C"/>
    <w:rsid w:val="43AA229E"/>
    <w:rsid w:val="43B4164D"/>
    <w:rsid w:val="43BD387E"/>
    <w:rsid w:val="43C37489"/>
    <w:rsid w:val="43D7506A"/>
    <w:rsid w:val="43D80E82"/>
    <w:rsid w:val="43DC05C6"/>
    <w:rsid w:val="44070442"/>
    <w:rsid w:val="440F7A44"/>
    <w:rsid w:val="441F3B1D"/>
    <w:rsid w:val="442225B6"/>
    <w:rsid w:val="44326275"/>
    <w:rsid w:val="443D1CB6"/>
    <w:rsid w:val="44433A96"/>
    <w:rsid w:val="44747C66"/>
    <w:rsid w:val="447E22CA"/>
    <w:rsid w:val="44A75F6A"/>
    <w:rsid w:val="44D35BC9"/>
    <w:rsid w:val="44DB4CA3"/>
    <w:rsid w:val="4506147A"/>
    <w:rsid w:val="450C1B20"/>
    <w:rsid w:val="45105979"/>
    <w:rsid w:val="4515217C"/>
    <w:rsid w:val="453A3316"/>
    <w:rsid w:val="453F2BB9"/>
    <w:rsid w:val="45423949"/>
    <w:rsid w:val="454D6F7C"/>
    <w:rsid w:val="455D1158"/>
    <w:rsid w:val="456B38BF"/>
    <w:rsid w:val="456D7052"/>
    <w:rsid w:val="45771B4E"/>
    <w:rsid w:val="45926B77"/>
    <w:rsid w:val="459504AB"/>
    <w:rsid w:val="459A3632"/>
    <w:rsid w:val="45A61BA6"/>
    <w:rsid w:val="45AE7636"/>
    <w:rsid w:val="45B626A1"/>
    <w:rsid w:val="45C065A6"/>
    <w:rsid w:val="45D320F4"/>
    <w:rsid w:val="45E70865"/>
    <w:rsid w:val="45E8372A"/>
    <w:rsid w:val="45FF5349"/>
    <w:rsid w:val="4606716D"/>
    <w:rsid w:val="461239FC"/>
    <w:rsid w:val="463B61B0"/>
    <w:rsid w:val="463E0945"/>
    <w:rsid w:val="464204F7"/>
    <w:rsid w:val="46430A49"/>
    <w:rsid w:val="46453E62"/>
    <w:rsid w:val="46503F59"/>
    <w:rsid w:val="465D2D02"/>
    <w:rsid w:val="46783354"/>
    <w:rsid w:val="46A62019"/>
    <w:rsid w:val="46DF3E77"/>
    <w:rsid w:val="46F275F6"/>
    <w:rsid w:val="46F4596B"/>
    <w:rsid w:val="46F624D5"/>
    <w:rsid w:val="470D662B"/>
    <w:rsid w:val="4720590F"/>
    <w:rsid w:val="472A0146"/>
    <w:rsid w:val="47314F6E"/>
    <w:rsid w:val="474312F9"/>
    <w:rsid w:val="476F69A8"/>
    <w:rsid w:val="478F175C"/>
    <w:rsid w:val="47970790"/>
    <w:rsid w:val="47995D5D"/>
    <w:rsid w:val="47CB0210"/>
    <w:rsid w:val="47CE2FF8"/>
    <w:rsid w:val="47D155B7"/>
    <w:rsid w:val="47E21B05"/>
    <w:rsid w:val="47F857B7"/>
    <w:rsid w:val="47FB6336"/>
    <w:rsid w:val="48107DB1"/>
    <w:rsid w:val="481C79DE"/>
    <w:rsid w:val="482302BA"/>
    <w:rsid w:val="483A3A02"/>
    <w:rsid w:val="48636800"/>
    <w:rsid w:val="48727B6D"/>
    <w:rsid w:val="48AB1998"/>
    <w:rsid w:val="48AE6B06"/>
    <w:rsid w:val="48C16378"/>
    <w:rsid w:val="48D05F75"/>
    <w:rsid w:val="48DF2250"/>
    <w:rsid w:val="49094C03"/>
    <w:rsid w:val="490D1473"/>
    <w:rsid w:val="490D77C2"/>
    <w:rsid w:val="49136A11"/>
    <w:rsid w:val="492D6186"/>
    <w:rsid w:val="49300A8F"/>
    <w:rsid w:val="493C09B5"/>
    <w:rsid w:val="49435EF2"/>
    <w:rsid w:val="49555415"/>
    <w:rsid w:val="495B3630"/>
    <w:rsid w:val="496F3152"/>
    <w:rsid w:val="49745423"/>
    <w:rsid w:val="49935434"/>
    <w:rsid w:val="499B418F"/>
    <w:rsid w:val="49C92374"/>
    <w:rsid w:val="49EA4EE8"/>
    <w:rsid w:val="49F102DB"/>
    <w:rsid w:val="49F776F7"/>
    <w:rsid w:val="4A0621EA"/>
    <w:rsid w:val="4A0E3DF1"/>
    <w:rsid w:val="4A1259DD"/>
    <w:rsid w:val="4A13311F"/>
    <w:rsid w:val="4A470436"/>
    <w:rsid w:val="4A58702F"/>
    <w:rsid w:val="4A6E3CF2"/>
    <w:rsid w:val="4A853B1D"/>
    <w:rsid w:val="4A862D2C"/>
    <w:rsid w:val="4A8A232D"/>
    <w:rsid w:val="4A8D5888"/>
    <w:rsid w:val="4AB73246"/>
    <w:rsid w:val="4AC31853"/>
    <w:rsid w:val="4ACB764A"/>
    <w:rsid w:val="4AE2269D"/>
    <w:rsid w:val="4AF96454"/>
    <w:rsid w:val="4B0F555A"/>
    <w:rsid w:val="4B2B2898"/>
    <w:rsid w:val="4B2B32D3"/>
    <w:rsid w:val="4B3311C7"/>
    <w:rsid w:val="4B5D44C0"/>
    <w:rsid w:val="4B603557"/>
    <w:rsid w:val="4B6444F2"/>
    <w:rsid w:val="4B6A2854"/>
    <w:rsid w:val="4B6B3F9D"/>
    <w:rsid w:val="4B6F6BC7"/>
    <w:rsid w:val="4B8F28DC"/>
    <w:rsid w:val="4BA73829"/>
    <w:rsid w:val="4BA86E68"/>
    <w:rsid w:val="4BDC56E6"/>
    <w:rsid w:val="4BFA5897"/>
    <w:rsid w:val="4BFE5E60"/>
    <w:rsid w:val="4C030FCA"/>
    <w:rsid w:val="4C2462CB"/>
    <w:rsid w:val="4C362F06"/>
    <w:rsid w:val="4C3D3421"/>
    <w:rsid w:val="4C4217F5"/>
    <w:rsid w:val="4C603EEF"/>
    <w:rsid w:val="4C7A18F2"/>
    <w:rsid w:val="4CA771DF"/>
    <w:rsid w:val="4CC0107D"/>
    <w:rsid w:val="4CC63773"/>
    <w:rsid w:val="4CD67F0C"/>
    <w:rsid w:val="4D065CC8"/>
    <w:rsid w:val="4D2F339A"/>
    <w:rsid w:val="4D403DEA"/>
    <w:rsid w:val="4D427116"/>
    <w:rsid w:val="4D4755EF"/>
    <w:rsid w:val="4D706B3C"/>
    <w:rsid w:val="4D8F7BC8"/>
    <w:rsid w:val="4D967B59"/>
    <w:rsid w:val="4DC279AD"/>
    <w:rsid w:val="4DDC70B6"/>
    <w:rsid w:val="4DDD386D"/>
    <w:rsid w:val="4DEA4E9B"/>
    <w:rsid w:val="4E0A5452"/>
    <w:rsid w:val="4E2E4894"/>
    <w:rsid w:val="4E33769B"/>
    <w:rsid w:val="4E3E692A"/>
    <w:rsid w:val="4E5319A9"/>
    <w:rsid w:val="4E7532B5"/>
    <w:rsid w:val="4EA74EA1"/>
    <w:rsid w:val="4EAC56ED"/>
    <w:rsid w:val="4EC33889"/>
    <w:rsid w:val="4EC77ACA"/>
    <w:rsid w:val="4ED53F80"/>
    <w:rsid w:val="4ED9272C"/>
    <w:rsid w:val="4EF3158F"/>
    <w:rsid w:val="4F484655"/>
    <w:rsid w:val="4F6C4273"/>
    <w:rsid w:val="4F7F22C8"/>
    <w:rsid w:val="4F874FB8"/>
    <w:rsid w:val="4FBC20D7"/>
    <w:rsid w:val="4FC961DE"/>
    <w:rsid w:val="4FCA03C3"/>
    <w:rsid w:val="4FD4378D"/>
    <w:rsid w:val="4FE33ECB"/>
    <w:rsid w:val="500002D0"/>
    <w:rsid w:val="5004068E"/>
    <w:rsid w:val="500B3923"/>
    <w:rsid w:val="50443DA3"/>
    <w:rsid w:val="50787BBB"/>
    <w:rsid w:val="507F1EFB"/>
    <w:rsid w:val="50844F5B"/>
    <w:rsid w:val="50A8184A"/>
    <w:rsid w:val="50C025FA"/>
    <w:rsid w:val="50C83AC2"/>
    <w:rsid w:val="50CF4559"/>
    <w:rsid w:val="50D354E7"/>
    <w:rsid w:val="50DB2F57"/>
    <w:rsid w:val="50DF55AF"/>
    <w:rsid w:val="50EA0456"/>
    <w:rsid w:val="50EC7864"/>
    <w:rsid w:val="50FE2E40"/>
    <w:rsid w:val="51206251"/>
    <w:rsid w:val="51223E40"/>
    <w:rsid w:val="51250970"/>
    <w:rsid w:val="512B5626"/>
    <w:rsid w:val="513C0712"/>
    <w:rsid w:val="513E11CA"/>
    <w:rsid w:val="5144681C"/>
    <w:rsid w:val="51723BF1"/>
    <w:rsid w:val="517365AE"/>
    <w:rsid w:val="517A53DA"/>
    <w:rsid w:val="519A5CB0"/>
    <w:rsid w:val="519C52C3"/>
    <w:rsid w:val="51AE4DCB"/>
    <w:rsid w:val="51B95271"/>
    <w:rsid w:val="51E800D8"/>
    <w:rsid w:val="51E91CDA"/>
    <w:rsid w:val="51FB4624"/>
    <w:rsid w:val="520254BA"/>
    <w:rsid w:val="52255045"/>
    <w:rsid w:val="523B67C3"/>
    <w:rsid w:val="527B10D7"/>
    <w:rsid w:val="527E1D34"/>
    <w:rsid w:val="52817D45"/>
    <w:rsid w:val="529978FA"/>
    <w:rsid w:val="52A02DFD"/>
    <w:rsid w:val="52A20112"/>
    <w:rsid w:val="52A35760"/>
    <w:rsid w:val="52B56E49"/>
    <w:rsid w:val="52BB38E0"/>
    <w:rsid w:val="52E16246"/>
    <w:rsid w:val="52F35F6B"/>
    <w:rsid w:val="53017782"/>
    <w:rsid w:val="5309522E"/>
    <w:rsid w:val="530E2D0E"/>
    <w:rsid w:val="53261B2B"/>
    <w:rsid w:val="53550EF5"/>
    <w:rsid w:val="535D776D"/>
    <w:rsid w:val="53885EAF"/>
    <w:rsid w:val="53AE192C"/>
    <w:rsid w:val="53C80896"/>
    <w:rsid w:val="53F61076"/>
    <w:rsid w:val="53F81ADB"/>
    <w:rsid w:val="53FC7169"/>
    <w:rsid w:val="541B4F91"/>
    <w:rsid w:val="543B6295"/>
    <w:rsid w:val="54585046"/>
    <w:rsid w:val="545F7CD9"/>
    <w:rsid w:val="54BE2AFD"/>
    <w:rsid w:val="54C43467"/>
    <w:rsid w:val="54DF7BAF"/>
    <w:rsid w:val="54F662CF"/>
    <w:rsid w:val="5501779A"/>
    <w:rsid w:val="55113963"/>
    <w:rsid w:val="551F7730"/>
    <w:rsid w:val="55781738"/>
    <w:rsid w:val="557F5EFD"/>
    <w:rsid w:val="558841A3"/>
    <w:rsid w:val="558B33C5"/>
    <w:rsid w:val="55935114"/>
    <w:rsid w:val="55935513"/>
    <w:rsid w:val="55970604"/>
    <w:rsid w:val="55A1132F"/>
    <w:rsid w:val="55D152E2"/>
    <w:rsid w:val="55D5693F"/>
    <w:rsid w:val="55DA3895"/>
    <w:rsid w:val="55E0617B"/>
    <w:rsid w:val="55FD3CF3"/>
    <w:rsid w:val="561D4751"/>
    <w:rsid w:val="56D02268"/>
    <w:rsid w:val="56D13F23"/>
    <w:rsid w:val="56D44AD9"/>
    <w:rsid w:val="56E26C89"/>
    <w:rsid w:val="56F203A7"/>
    <w:rsid w:val="573A0B5E"/>
    <w:rsid w:val="573B0B20"/>
    <w:rsid w:val="574F0097"/>
    <w:rsid w:val="57565E16"/>
    <w:rsid w:val="576E26E4"/>
    <w:rsid w:val="578514DC"/>
    <w:rsid w:val="57B751E1"/>
    <w:rsid w:val="57C8214C"/>
    <w:rsid w:val="57D174FA"/>
    <w:rsid w:val="57E01717"/>
    <w:rsid w:val="57E60ED4"/>
    <w:rsid w:val="57F318FB"/>
    <w:rsid w:val="58232F2C"/>
    <w:rsid w:val="582A190F"/>
    <w:rsid w:val="583A0823"/>
    <w:rsid w:val="58413057"/>
    <w:rsid w:val="585178EE"/>
    <w:rsid w:val="58712C0A"/>
    <w:rsid w:val="58792E6E"/>
    <w:rsid w:val="588D13E5"/>
    <w:rsid w:val="58985D78"/>
    <w:rsid w:val="58F24F77"/>
    <w:rsid w:val="59171B27"/>
    <w:rsid w:val="59183EF2"/>
    <w:rsid w:val="591D088A"/>
    <w:rsid w:val="592F2C94"/>
    <w:rsid w:val="593372BD"/>
    <w:rsid w:val="593D6761"/>
    <w:rsid w:val="594C599C"/>
    <w:rsid w:val="59627380"/>
    <w:rsid w:val="599F45E2"/>
    <w:rsid w:val="59C7374A"/>
    <w:rsid w:val="59D97E59"/>
    <w:rsid w:val="59EE278B"/>
    <w:rsid w:val="5A0A7050"/>
    <w:rsid w:val="5A405B9E"/>
    <w:rsid w:val="5A461D2D"/>
    <w:rsid w:val="5A7F4DD5"/>
    <w:rsid w:val="5A950DF1"/>
    <w:rsid w:val="5A9560CF"/>
    <w:rsid w:val="5AB94C0A"/>
    <w:rsid w:val="5AC736BB"/>
    <w:rsid w:val="5AD05B02"/>
    <w:rsid w:val="5AD42BE8"/>
    <w:rsid w:val="5B3F2C25"/>
    <w:rsid w:val="5B464586"/>
    <w:rsid w:val="5B465B3C"/>
    <w:rsid w:val="5B826523"/>
    <w:rsid w:val="5B8A1174"/>
    <w:rsid w:val="5BA95820"/>
    <w:rsid w:val="5BAB12B5"/>
    <w:rsid w:val="5C240800"/>
    <w:rsid w:val="5C2E4036"/>
    <w:rsid w:val="5C4A4DF6"/>
    <w:rsid w:val="5C5D569D"/>
    <w:rsid w:val="5C711F10"/>
    <w:rsid w:val="5C7416F8"/>
    <w:rsid w:val="5C7C4785"/>
    <w:rsid w:val="5CA47F58"/>
    <w:rsid w:val="5CE32E02"/>
    <w:rsid w:val="5D012000"/>
    <w:rsid w:val="5D023E17"/>
    <w:rsid w:val="5D05059E"/>
    <w:rsid w:val="5D0D7376"/>
    <w:rsid w:val="5D2E11A1"/>
    <w:rsid w:val="5D365B88"/>
    <w:rsid w:val="5D3C6A6C"/>
    <w:rsid w:val="5D6428D0"/>
    <w:rsid w:val="5D6B6C67"/>
    <w:rsid w:val="5D894E64"/>
    <w:rsid w:val="5D8D5D4E"/>
    <w:rsid w:val="5D9A4A7D"/>
    <w:rsid w:val="5DC410F7"/>
    <w:rsid w:val="5DCB7139"/>
    <w:rsid w:val="5DDE2D73"/>
    <w:rsid w:val="5E007771"/>
    <w:rsid w:val="5E022B12"/>
    <w:rsid w:val="5E1A0575"/>
    <w:rsid w:val="5E1F7AE8"/>
    <w:rsid w:val="5E2219A4"/>
    <w:rsid w:val="5E231BE4"/>
    <w:rsid w:val="5E31025F"/>
    <w:rsid w:val="5E3F74CC"/>
    <w:rsid w:val="5E872E02"/>
    <w:rsid w:val="5EAB39E8"/>
    <w:rsid w:val="5EB241FA"/>
    <w:rsid w:val="5ED95304"/>
    <w:rsid w:val="5EDF7F30"/>
    <w:rsid w:val="5F192424"/>
    <w:rsid w:val="5F4E4097"/>
    <w:rsid w:val="5F757E5F"/>
    <w:rsid w:val="5F811A50"/>
    <w:rsid w:val="5FB85FDB"/>
    <w:rsid w:val="5FDC7C4C"/>
    <w:rsid w:val="5FE93374"/>
    <w:rsid w:val="600D17E8"/>
    <w:rsid w:val="600F678F"/>
    <w:rsid w:val="60166DE1"/>
    <w:rsid w:val="60174D87"/>
    <w:rsid w:val="602A56D6"/>
    <w:rsid w:val="602F32A2"/>
    <w:rsid w:val="6030414F"/>
    <w:rsid w:val="60444ECC"/>
    <w:rsid w:val="60503E04"/>
    <w:rsid w:val="606072B7"/>
    <w:rsid w:val="608A3872"/>
    <w:rsid w:val="608B61F8"/>
    <w:rsid w:val="60B5414E"/>
    <w:rsid w:val="60C11108"/>
    <w:rsid w:val="60CA70ED"/>
    <w:rsid w:val="60ED3035"/>
    <w:rsid w:val="60F653F3"/>
    <w:rsid w:val="60FF3C3A"/>
    <w:rsid w:val="610D2EBF"/>
    <w:rsid w:val="612017A5"/>
    <w:rsid w:val="6121767D"/>
    <w:rsid w:val="612A0971"/>
    <w:rsid w:val="61313B74"/>
    <w:rsid w:val="61317938"/>
    <w:rsid w:val="6139352D"/>
    <w:rsid w:val="61442575"/>
    <w:rsid w:val="615964D2"/>
    <w:rsid w:val="615D0A26"/>
    <w:rsid w:val="61606758"/>
    <w:rsid w:val="61663299"/>
    <w:rsid w:val="6169654E"/>
    <w:rsid w:val="61A33A9C"/>
    <w:rsid w:val="61AE79BE"/>
    <w:rsid w:val="61ED10FD"/>
    <w:rsid w:val="61F0786C"/>
    <w:rsid w:val="62015367"/>
    <w:rsid w:val="620673DA"/>
    <w:rsid w:val="621D443D"/>
    <w:rsid w:val="622610DB"/>
    <w:rsid w:val="62391C7A"/>
    <w:rsid w:val="627452C3"/>
    <w:rsid w:val="627A4E22"/>
    <w:rsid w:val="627F072A"/>
    <w:rsid w:val="62916666"/>
    <w:rsid w:val="62AD6CDF"/>
    <w:rsid w:val="62BA2E33"/>
    <w:rsid w:val="62C143AF"/>
    <w:rsid w:val="62CF3C37"/>
    <w:rsid w:val="62EA7043"/>
    <w:rsid w:val="62FF4498"/>
    <w:rsid w:val="63032A85"/>
    <w:rsid w:val="63143EA4"/>
    <w:rsid w:val="631C6632"/>
    <w:rsid w:val="63347EDC"/>
    <w:rsid w:val="636B59B7"/>
    <w:rsid w:val="636C2D1D"/>
    <w:rsid w:val="638110BE"/>
    <w:rsid w:val="639C22F2"/>
    <w:rsid w:val="63B253B7"/>
    <w:rsid w:val="63BA56AC"/>
    <w:rsid w:val="63C33F5F"/>
    <w:rsid w:val="63CC48FE"/>
    <w:rsid w:val="63D07DC2"/>
    <w:rsid w:val="63D700F0"/>
    <w:rsid w:val="63E10A0B"/>
    <w:rsid w:val="63E6612A"/>
    <w:rsid w:val="63EE5D54"/>
    <w:rsid w:val="640F2D85"/>
    <w:rsid w:val="64240AFF"/>
    <w:rsid w:val="643F4B66"/>
    <w:rsid w:val="64455A8F"/>
    <w:rsid w:val="64532409"/>
    <w:rsid w:val="646B129D"/>
    <w:rsid w:val="647426BC"/>
    <w:rsid w:val="64B14279"/>
    <w:rsid w:val="64B528D6"/>
    <w:rsid w:val="64C0086A"/>
    <w:rsid w:val="64C82971"/>
    <w:rsid w:val="64E52895"/>
    <w:rsid w:val="65043AD2"/>
    <w:rsid w:val="650A3B7E"/>
    <w:rsid w:val="6516057D"/>
    <w:rsid w:val="65177CEC"/>
    <w:rsid w:val="651C562F"/>
    <w:rsid w:val="65365A2E"/>
    <w:rsid w:val="65380FB4"/>
    <w:rsid w:val="65557F97"/>
    <w:rsid w:val="656428E8"/>
    <w:rsid w:val="657C55B9"/>
    <w:rsid w:val="657F5268"/>
    <w:rsid w:val="65843FAD"/>
    <w:rsid w:val="65854B84"/>
    <w:rsid w:val="65854E37"/>
    <w:rsid w:val="65883B3D"/>
    <w:rsid w:val="658C7294"/>
    <w:rsid w:val="65A07187"/>
    <w:rsid w:val="65E810B1"/>
    <w:rsid w:val="65FF2520"/>
    <w:rsid w:val="66040FEB"/>
    <w:rsid w:val="66057724"/>
    <w:rsid w:val="662D07AF"/>
    <w:rsid w:val="6644518C"/>
    <w:rsid w:val="6656399E"/>
    <w:rsid w:val="666234DE"/>
    <w:rsid w:val="666A06EC"/>
    <w:rsid w:val="666D153A"/>
    <w:rsid w:val="668D4CCA"/>
    <w:rsid w:val="668F61A8"/>
    <w:rsid w:val="66A12E53"/>
    <w:rsid w:val="66A84A8B"/>
    <w:rsid w:val="66EC4114"/>
    <w:rsid w:val="670513FC"/>
    <w:rsid w:val="67074348"/>
    <w:rsid w:val="670D67B8"/>
    <w:rsid w:val="6717756B"/>
    <w:rsid w:val="67450491"/>
    <w:rsid w:val="674651A0"/>
    <w:rsid w:val="676F3825"/>
    <w:rsid w:val="677577EE"/>
    <w:rsid w:val="67850327"/>
    <w:rsid w:val="67865637"/>
    <w:rsid w:val="679A0AFC"/>
    <w:rsid w:val="67AA3507"/>
    <w:rsid w:val="67AA4FE0"/>
    <w:rsid w:val="67CD5111"/>
    <w:rsid w:val="67D324F7"/>
    <w:rsid w:val="67DF1D74"/>
    <w:rsid w:val="67EC20F2"/>
    <w:rsid w:val="67F02EDD"/>
    <w:rsid w:val="68095ABE"/>
    <w:rsid w:val="681D333C"/>
    <w:rsid w:val="683844F6"/>
    <w:rsid w:val="68501A4E"/>
    <w:rsid w:val="68566942"/>
    <w:rsid w:val="685D3A9F"/>
    <w:rsid w:val="686803C6"/>
    <w:rsid w:val="68681ADF"/>
    <w:rsid w:val="688550EA"/>
    <w:rsid w:val="68943815"/>
    <w:rsid w:val="68AB623D"/>
    <w:rsid w:val="68B239E7"/>
    <w:rsid w:val="68C668C8"/>
    <w:rsid w:val="68E513FB"/>
    <w:rsid w:val="69300095"/>
    <w:rsid w:val="699F73F5"/>
    <w:rsid w:val="69C97530"/>
    <w:rsid w:val="69D11FEB"/>
    <w:rsid w:val="69ED4C47"/>
    <w:rsid w:val="69ED6604"/>
    <w:rsid w:val="69EF36AF"/>
    <w:rsid w:val="69FE6477"/>
    <w:rsid w:val="6A1605E1"/>
    <w:rsid w:val="6A1B3EA8"/>
    <w:rsid w:val="6A1E0C37"/>
    <w:rsid w:val="6A41621B"/>
    <w:rsid w:val="6A441A01"/>
    <w:rsid w:val="6A535CA6"/>
    <w:rsid w:val="6A57788A"/>
    <w:rsid w:val="6A736642"/>
    <w:rsid w:val="6A7A095B"/>
    <w:rsid w:val="6A8B6237"/>
    <w:rsid w:val="6A903E69"/>
    <w:rsid w:val="6A967A3B"/>
    <w:rsid w:val="6AB047D5"/>
    <w:rsid w:val="6AB34D83"/>
    <w:rsid w:val="6ABB1424"/>
    <w:rsid w:val="6ABE0E5E"/>
    <w:rsid w:val="6AC76023"/>
    <w:rsid w:val="6AD2650D"/>
    <w:rsid w:val="6ADB0E0B"/>
    <w:rsid w:val="6AEC250C"/>
    <w:rsid w:val="6AEC67DE"/>
    <w:rsid w:val="6AF96A24"/>
    <w:rsid w:val="6B1B693F"/>
    <w:rsid w:val="6B1F4E32"/>
    <w:rsid w:val="6B3C4AEF"/>
    <w:rsid w:val="6B40265B"/>
    <w:rsid w:val="6B4F1B06"/>
    <w:rsid w:val="6B607F53"/>
    <w:rsid w:val="6B766A59"/>
    <w:rsid w:val="6B850547"/>
    <w:rsid w:val="6B8B2CEA"/>
    <w:rsid w:val="6B957A86"/>
    <w:rsid w:val="6B967365"/>
    <w:rsid w:val="6BC840F9"/>
    <w:rsid w:val="6BCF278F"/>
    <w:rsid w:val="6BD34582"/>
    <w:rsid w:val="6BDB0DA6"/>
    <w:rsid w:val="6BE513E0"/>
    <w:rsid w:val="6BE60D35"/>
    <w:rsid w:val="6C253301"/>
    <w:rsid w:val="6C366C74"/>
    <w:rsid w:val="6C7D56CA"/>
    <w:rsid w:val="6C855992"/>
    <w:rsid w:val="6CA74111"/>
    <w:rsid w:val="6CB83733"/>
    <w:rsid w:val="6CD90D4A"/>
    <w:rsid w:val="6CF70A80"/>
    <w:rsid w:val="6D1C3206"/>
    <w:rsid w:val="6D31724A"/>
    <w:rsid w:val="6D3F5359"/>
    <w:rsid w:val="6D4136F6"/>
    <w:rsid w:val="6D4657DB"/>
    <w:rsid w:val="6D641367"/>
    <w:rsid w:val="6D83251A"/>
    <w:rsid w:val="6D9C3AEA"/>
    <w:rsid w:val="6DA8410E"/>
    <w:rsid w:val="6DBF2B83"/>
    <w:rsid w:val="6DC949DA"/>
    <w:rsid w:val="6DD72664"/>
    <w:rsid w:val="6DDC393A"/>
    <w:rsid w:val="6DE74642"/>
    <w:rsid w:val="6DFC5A78"/>
    <w:rsid w:val="6DFD1AD2"/>
    <w:rsid w:val="6DFE46C5"/>
    <w:rsid w:val="6E0F3B32"/>
    <w:rsid w:val="6E1C4A4E"/>
    <w:rsid w:val="6E3B1FD2"/>
    <w:rsid w:val="6E486F1C"/>
    <w:rsid w:val="6E4E5158"/>
    <w:rsid w:val="6E69648E"/>
    <w:rsid w:val="6E75747B"/>
    <w:rsid w:val="6E8E4711"/>
    <w:rsid w:val="6EB15A77"/>
    <w:rsid w:val="6EC7020C"/>
    <w:rsid w:val="6EF03C87"/>
    <w:rsid w:val="6EF609E4"/>
    <w:rsid w:val="6F3452A9"/>
    <w:rsid w:val="6F443FE2"/>
    <w:rsid w:val="6F4E58B6"/>
    <w:rsid w:val="6F606132"/>
    <w:rsid w:val="6F784AA4"/>
    <w:rsid w:val="6FAE7268"/>
    <w:rsid w:val="6FB600D2"/>
    <w:rsid w:val="6FEA253A"/>
    <w:rsid w:val="6FFC1492"/>
    <w:rsid w:val="6FFD0A4D"/>
    <w:rsid w:val="7000528D"/>
    <w:rsid w:val="70316D0E"/>
    <w:rsid w:val="70407CD6"/>
    <w:rsid w:val="70446E49"/>
    <w:rsid w:val="704A3A6A"/>
    <w:rsid w:val="704D59A3"/>
    <w:rsid w:val="7066621E"/>
    <w:rsid w:val="70883470"/>
    <w:rsid w:val="70AE32F9"/>
    <w:rsid w:val="70B944C1"/>
    <w:rsid w:val="70C17F8F"/>
    <w:rsid w:val="70C22A81"/>
    <w:rsid w:val="70C33648"/>
    <w:rsid w:val="70E55E5C"/>
    <w:rsid w:val="70FE6200"/>
    <w:rsid w:val="71215954"/>
    <w:rsid w:val="71334D42"/>
    <w:rsid w:val="71454D94"/>
    <w:rsid w:val="714C14E1"/>
    <w:rsid w:val="714C32BF"/>
    <w:rsid w:val="715D2ADD"/>
    <w:rsid w:val="716F1963"/>
    <w:rsid w:val="718469FB"/>
    <w:rsid w:val="718F4BB2"/>
    <w:rsid w:val="719E6F3C"/>
    <w:rsid w:val="71AE0270"/>
    <w:rsid w:val="71AF45BC"/>
    <w:rsid w:val="71B576FF"/>
    <w:rsid w:val="71B62B58"/>
    <w:rsid w:val="71BC19EE"/>
    <w:rsid w:val="71D9140A"/>
    <w:rsid w:val="71D94899"/>
    <w:rsid w:val="71E26F8C"/>
    <w:rsid w:val="72197706"/>
    <w:rsid w:val="723223B4"/>
    <w:rsid w:val="72344736"/>
    <w:rsid w:val="724849E5"/>
    <w:rsid w:val="72523FF1"/>
    <w:rsid w:val="72685160"/>
    <w:rsid w:val="726C4864"/>
    <w:rsid w:val="72A5708A"/>
    <w:rsid w:val="72C05685"/>
    <w:rsid w:val="72D41F08"/>
    <w:rsid w:val="72D65A1C"/>
    <w:rsid w:val="72E47408"/>
    <w:rsid w:val="72E80ABF"/>
    <w:rsid w:val="73096556"/>
    <w:rsid w:val="733314C0"/>
    <w:rsid w:val="73520181"/>
    <w:rsid w:val="73687140"/>
    <w:rsid w:val="736B0639"/>
    <w:rsid w:val="7371702B"/>
    <w:rsid w:val="737514EF"/>
    <w:rsid w:val="73816669"/>
    <w:rsid w:val="73970124"/>
    <w:rsid w:val="73A67131"/>
    <w:rsid w:val="73B53D01"/>
    <w:rsid w:val="73B6450D"/>
    <w:rsid w:val="73BA4AE8"/>
    <w:rsid w:val="73E72560"/>
    <w:rsid w:val="73F47982"/>
    <w:rsid w:val="743201AE"/>
    <w:rsid w:val="746B0189"/>
    <w:rsid w:val="746D381A"/>
    <w:rsid w:val="749016E7"/>
    <w:rsid w:val="74CE4B3A"/>
    <w:rsid w:val="74E221CD"/>
    <w:rsid w:val="74E71E5A"/>
    <w:rsid w:val="750C2791"/>
    <w:rsid w:val="75262590"/>
    <w:rsid w:val="752B7140"/>
    <w:rsid w:val="75302A07"/>
    <w:rsid w:val="75317E6E"/>
    <w:rsid w:val="753E35B8"/>
    <w:rsid w:val="756D385E"/>
    <w:rsid w:val="75776365"/>
    <w:rsid w:val="757857A5"/>
    <w:rsid w:val="7597411E"/>
    <w:rsid w:val="759A4B0B"/>
    <w:rsid w:val="75A0624A"/>
    <w:rsid w:val="75B87B1D"/>
    <w:rsid w:val="75E751A1"/>
    <w:rsid w:val="75F34FFC"/>
    <w:rsid w:val="76142142"/>
    <w:rsid w:val="761A007A"/>
    <w:rsid w:val="7643163C"/>
    <w:rsid w:val="766C11CC"/>
    <w:rsid w:val="767D797D"/>
    <w:rsid w:val="768A12E9"/>
    <w:rsid w:val="7690619D"/>
    <w:rsid w:val="76A24306"/>
    <w:rsid w:val="76AC6E13"/>
    <w:rsid w:val="76CD017B"/>
    <w:rsid w:val="76D7401B"/>
    <w:rsid w:val="76EA2741"/>
    <w:rsid w:val="77065503"/>
    <w:rsid w:val="77323E68"/>
    <w:rsid w:val="77467CFB"/>
    <w:rsid w:val="774E32C0"/>
    <w:rsid w:val="77C92FBA"/>
    <w:rsid w:val="77CF766F"/>
    <w:rsid w:val="7802152E"/>
    <w:rsid w:val="78131028"/>
    <w:rsid w:val="78155655"/>
    <w:rsid w:val="78362B28"/>
    <w:rsid w:val="784313A2"/>
    <w:rsid w:val="785A6123"/>
    <w:rsid w:val="785F1270"/>
    <w:rsid w:val="786B4F49"/>
    <w:rsid w:val="78A508E7"/>
    <w:rsid w:val="78AB59DA"/>
    <w:rsid w:val="78CE0FA6"/>
    <w:rsid w:val="78D14D1D"/>
    <w:rsid w:val="78E21A3F"/>
    <w:rsid w:val="78F23F93"/>
    <w:rsid w:val="790254F2"/>
    <w:rsid w:val="79062F79"/>
    <w:rsid w:val="79100E58"/>
    <w:rsid w:val="791F6424"/>
    <w:rsid w:val="7924441D"/>
    <w:rsid w:val="79250F46"/>
    <w:rsid w:val="793259CC"/>
    <w:rsid w:val="794C0772"/>
    <w:rsid w:val="79592F2E"/>
    <w:rsid w:val="795E4570"/>
    <w:rsid w:val="797C16C6"/>
    <w:rsid w:val="79A77EB1"/>
    <w:rsid w:val="79BF5D47"/>
    <w:rsid w:val="79BF6574"/>
    <w:rsid w:val="79D2637B"/>
    <w:rsid w:val="79F92BB6"/>
    <w:rsid w:val="7A1511E0"/>
    <w:rsid w:val="7A313D01"/>
    <w:rsid w:val="7A366EF0"/>
    <w:rsid w:val="7A390DFD"/>
    <w:rsid w:val="7A431CCA"/>
    <w:rsid w:val="7A4C7037"/>
    <w:rsid w:val="7A8F1118"/>
    <w:rsid w:val="7A985442"/>
    <w:rsid w:val="7A9C1115"/>
    <w:rsid w:val="7AAC5A6D"/>
    <w:rsid w:val="7AB86595"/>
    <w:rsid w:val="7AE75F56"/>
    <w:rsid w:val="7B216A82"/>
    <w:rsid w:val="7B2813A3"/>
    <w:rsid w:val="7B2C214F"/>
    <w:rsid w:val="7B302D4B"/>
    <w:rsid w:val="7B464705"/>
    <w:rsid w:val="7B4E6B30"/>
    <w:rsid w:val="7B5D5F1B"/>
    <w:rsid w:val="7B626FF1"/>
    <w:rsid w:val="7B670D22"/>
    <w:rsid w:val="7B6D0BF1"/>
    <w:rsid w:val="7B7856AF"/>
    <w:rsid w:val="7B91139B"/>
    <w:rsid w:val="7BAE5B2A"/>
    <w:rsid w:val="7BB6110A"/>
    <w:rsid w:val="7BE75BC4"/>
    <w:rsid w:val="7BF34AA6"/>
    <w:rsid w:val="7C153081"/>
    <w:rsid w:val="7C3879E4"/>
    <w:rsid w:val="7C4D0634"/>
    <w:rsid w:val="7C544B75"/>
    <w:rsid w:val="7C5F58C4"/>
    <w:rsid w:val="7CCF1E65"/>
    <w:rsid w:val="7CF3498A"/>
    <w:rsid w:val="7CFF18F3"/>
    <w:rsid w:val="7D2F4DE2"/>
    <w:rsid w:val="7D3C503D"/>
    <w:rsid w:val="7D627C94"/>
    <w:rsid w:val="7D8972CB"/>
    <w:rsid w:val="7D8C20B4"/>
    <w:rsid w:val="7D936FD2"/>
    <w:rsid w:val="7D99216E"/>
    <w:rsid w:val="7D9D2E23"/>
    <w:rsid w:val="7D9E67B0"/>
    <w:rsid w:val="7DA13F27"/>
    <w:rsid w:val="7DA65EF6"/>
    <w:rsid w:val="7DAB56FC"/>
    <w:rsid w:val="7DB1620C"/>
    <w:rsid w:val="7DBA2BDA"/>
    <w:rsid w:val="7DBC2F11"/>
    <w:rsid w:val="7DC41FDC"/>
    <w:rsid w:val="7DC505F9"/>
    <w:rsid w:val="7DC50665"/>
    <w:rsid w:val="7E142BE3"/>
    <w:rsid w:val="7E1E20E2"/>
    <w:rsid w:val="7E1F2B41"/>
    <w:rsid w:val="7E3F7B0C"/>
    <w:rsid w:val="7E5635AC"/>
    <w:rsid w:val="7E676548"/>
    <w:rsid w:val="7EAD7372"/>
    <w:rsid w:val="7EBD70E1"/>
    <w:rsid w:val="7ED32FFC"/>
    <w:rsid w:val="7EE57A87"/>
    <w:rsid w:val="7EF06504"/>
    <w:rsid w:val="7F1149F2"/>
    <w:rsid w:val="7F1C7D7F"/>
    <w:rsid w:val="7F353041"/>
    <w:rsid w:val="7F375C2B"/>
    <w:rsid w:val="7F3B5F19"/>
    <w:rsid w:val="7F454D59"/>
    <w:rsid w:val="7F4B61F0"/>
    <w:rsid w:val="7F6958C9"/>
    <w:rsid w:val="7F712D73"/>
    <w:rsid w:val="7F751532"/>
    <w:rsid w:val="7F8B17EC"/>
    <w:rsid w:val="7F974F96"/>
    <w:rsid w:val="7F9C25B8"/>
    <w:rsid w:val="7F9C70B0"/>
    <w:rsid w:val="7FA45AFD"/>
    <w:rsid w:val="7FAB5B90"/>
    <w:rsid w:val="7FB21583"/>
    <w:rsid w:val="7FBA2B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block"/>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spacing w:line="360" w:lineRule="auto"/>
      <w:ind w:firstLine="200" w:firstLineChars="200"/>
      <w:outlineLvl w:val="2"/>
    </w:pPr>
    <w:rPr>
      <w:b/>
      <w:sz w:val="28"/>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6">
    <w:name w:val="Default Paragraph Font"/>
    <w:link w:val="27"/>
    <w:semiHidden/>
    <w:qFormat/>
    <w:uiPriority w:val="0"/>
    <w:rPr>
      <w:sz w:val="24"/>
      <w:szCs w:val="24"/>
    </w:rPr>
  </w:style>
  <w:style w:type="table" w:default="1" w:styleId="39">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annotation subject"/>
    <w:basedOn w:val="8"/>
    <w:next w:val="8"/>
    <w:semiHidden/>
    <w:qFormat/>
    <w:uiPriority w:val="0"/>
    <w:rPr>
      <w:b/>
      <w:bCs/>
    </w:rPr>
  </w:style>
  <w:style w:type="paragraph" w:styleId="8">
    <w:name w:val="annotation text"/>
    <w:basedOn w:val="1"/>
    <w:semiHidden/>
    <w:qFormat/>
    <w:uiPriority w:val="0"/>
    <w:pPr>
      <w:jc w:val="left"/>
    </w:pPr>
  </w:style>
  <w:style w:type="paragraph" w:styleId="9">
    <w:name w:val="Body Text First Indent"/>
    <w:basedOn w:val="10"/>
    <w:qFormat/>
    <w:uiPriority w:val="0"/>
    <w:pPr>
      <w:spacing w:after="120" w:line="240" w:lineRule="auto"/>
      <w:ind w:firstLine="420" w:firstLineChars="100"/>
    </w:pPr>
    <w:rPr>
      <w:rFonts w:ascii="Times New Roman"/>
      <w:sz w:val="21"/>
    </w:rPr>
  </w:style>
  <w:style w:type="paragraph" w:styleId="10">
    <w:name w:val="Body Text"/>
    <w:basedOn w:val="1"/>
    <w:next w:val="1"/>
    <w:qFormat/>
    <w:uiPriority w:val="0"/>
    <w:pPr>
      <w:spacing w:line="400" w:lineRule="exact"/>
    </w:pPr>
    <w:rPr>
      <w:rFonts w:ascii="宋体"/>
      <w:sz w:val="24"/>
    </w:rPr>
  </w:style>
  <w:style w:type="paragraph" w:styleId="11">
    <w:name w:val="Normal Indent"/>
    <w:basedOn w:val="1"/>
    <w:next w:val="6"/>
    <w:qFormat/>
    <w:uiPriority w:val="0"/>
    <w:pPr>
      <w:ind w:firstLine="420" w:firstLineChars="200"/>
    </w:pPr>
  </w:style>
  <w:style w:type="paragraph" w:styleId="12">
    <w:name w:val="caption"/>
    <w:basedOn w:val="1"/>
    <w:next w:val="1"/>
    <w:qFormat/>
    <w:uiPriority w:val="0"/>
    <w:rPr>
      <w:rFonts w:ascii="Arial" w:hAnsi="Arial" w:eastAsia="黑体" w:cs="Arial"/>
      <w:sz w:val="20"/>
    </w:rPr>
  </w:style>
  <w:style w:type="paragraph" w:styleId="13">
    <w:name w:val="Body Text Indent"/>
    <w:basedOn w:val="1"/>
    <w:next w:val="14"/>
    <w:link w:val="50"/>
    <w:qFormat/>
    <w:uiPriority w:val="0"/>
    <w:pPr>
      <w:spacing w:before="240" w:line="360" w:lineRule="auto"/>
      <w:ind w:firstLine="482"/>
    </w:pPr>
    <w:rPr>
      <w:rFonts w:ascii="宋体"/>
      <w:sz w:val="24"/>
    </w:rPr>
  </w:style>
  <w:style w:type="paragraph" w:customStyle="1" w:styleId="14">
    <w:name w:val="样式 正文文本缩进 + 行距: 1.5 倍行距"/>
    <w:basedOn w:val="13"/>
    <w:qFormat/>
    <w:uiPriority w:val="0"/>
    <w:pPr>
      <w:spacing w:before="0" w:after="120"/>
      <w:ind w:left="90" w:leftChars="32" w:firstLine="560" w:firstLineChars="200"/>
    </w:pPr>
    <w:rPr>
      <w:rFonts w:ascii="Times New Roman" w:cs="宋体"/>
    </w:rPr>
  </w:style>
  <w:style w:type="paragraph" w:styleId="15">
    <w:name w:val="Plain Text"/>
    <w:basedOn w:val="1"/>
    <w:link w:val="52"/>
    <w:qFormat/>
    <w:uiPriority w:val="0"/>
    <w:rPr>
      <w:rFonts w:ascii="宋体" w:hAnsi="Courier New" w:cs="Courier New"/>
      <w:szCs w:val="21"/>
    </w:rPr>
  </w:style>
  <w:style w:type="paragraph" w:styleId="16">
    <w:name w:val="Date"/>
    <w:basedOn w:val="1"/>
    <w:next w:val="1"/>
    <w:qFormat/>
    <w:uiPriority w:val="0"/>
    <w:rPr>
      <w:sz w:val="28"/>
    </w:rPr>
  </w:style>
  <w:style w:type="paragraph" w:styleId="17">
    <w:name w:val="Body Text Indent 2"/>
    <w:basedOn w:val="1"/>
    <w:link w:val="53"/>
    <w:qFormat/>
    <w:uiPriority w:val="0"/>
    <w:pPr>
      <w:spacing w:line="360" w:lineRule="auto"/>
      <w:ind w:left="720" w:hanging="720"/>
    </w:pPr>
    <w:rPr>
      <w:rFonts w:ascii="宋体"/>
      <w:sz w:val="24"/>
    </w:rPr>
  </w:style>
  <w:style w:type="paragraph" w:styleId="18">
    <w:name w:val="Balloon Text"/>
    <w:basedOn w:val="1"/>
    <w:semiHidden/>
    <w:qFormat/>
    <w:uiPriority w:val="0"/>
    <w:rPr>
      <w:sz w:val="18"/>
      <w:szCs w:val="18"/>
    </w:rPr>
  </w:style>
  <w:style w:type="paragraph" w:styleId="19">
    <w:name w:val="footer"/>
    <w:basedOn w:val="1"/>
    <w:qFormat/>
    <w:uiPriority w:val="0"/>
    <w:pPr>
      <w:tabs>
        <w:tab w:val="center" w:pos="4153"/>
        <w:tab w:val="right" w:pos="8306"/>
      </w:tabs>
      <w:snapToGrid w:val="0"/>
      <w:jc w:val="left"/>
    </w:pPr>
    <w:rPr>
      <w:sz w:val="18"/>
      <w:szCs w:val="18"/>
    </w:rPr>
  </w:style>
  <w:style w:type="paragraph" w:styleId="20">
    <w:name w:val="Body Text First Indent 2"/>
    <w:basedOn w:val="13"/>
    <w:next w:val="1"/>
    <w:qFormat/>
    <w:uiPriority w:val="0"/>
    <w:pPr>
      <w:spacing w:after="120" w:line="240" w:lineRule="auto"/>
      <w:ind w:left="420" w:leftChars="200" w:firstLine="420"/>
    </w:pPr>
    <w:rPr>
      <w:rFonts w:ascii="Times New Roman"/>
      <w:sz w:val="21"/>
    </w:rPr>
  </w:style>
  <w:style w:type="paragraph" w:styleId="2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2">
    <w:name w:val="Body Text Indent 3"/>
    <w:basedOn w:val="1"/>
    <w:qFormat/>
    <w:uiPriority w:val="0"/>
    <w:pPr>
      <w:spacing w:after="120"/>
      <w:ind w:left="420" w:leftChars="200"/>
    </w:pPr>
    <w:rPr>
      <w:sz w:val="16"/>
      <w:szCs w:val="16"/>
    </w:rPr>
  </w:style>
  <w:style w:type="paragraph" w:styleId="23">
    <w:name w:val="toc 2"/>
    <w:basedOn w:val="1"/>
    <w:next w:val="1"/>
    <w:qFormat/>
    <w:uiPriority w:val="0"/>
    <w:pPr>
      <w:ind w:left="420" w:leftChars="200"/>
    </w:p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5">
    <w:name w:val="Normal (Web)"/>
    <w:basedOn w:val="1"/>
    <w:qFormat/>
    <w:uiPriority w:val="0"/>
    <w:pPr>
      <w:widowControl/>
      <w:spacing w:before="100" w:beforeAutospacing="1" w:after="100" w:afterAutospacing="1"/>
      <w:jc w:val="left"/>
    </w:pPr>
    <w:rPr>
      <w:rFonts w:ascii="宋体" w:hAnsi="宋体"/>
      <w:color w:val="000000"/>
      <w:kern w:val="0"/>
      <w:sz w:val="24"/>
      <w:szCs w:val="24"/>
    </w:rPr>
  </w:style>
  <w:style w:type="paragraph" w:customStyle="1" w:styleId="27">
    <w:name w:val="默认段落字体 Para Char Char Char Char"/>
    <w:basedOn w:val="1"/>
    <w:link w:val="26"/>
    <w:qFormat/>
    <w:uiPriority w:val="0"/>
    <w:rPr>
      <w:sz w:val="24"/>
      <w:szCs w:val="24"/>
    </w:rPr>
  </w:style>
  <w:style w:type="character" w:styleId="28">
    <w:name w:val="Strong"/>
    <w:qFormat/>
    <w:uiPriority w:val="0"/>
    <w:rPr>
      <w:b/>
      <w:bCs/>
      <w:sz w:val="24"/>
      <w:szCs w:val="24"/>
    </w:rPr>
  </w:style>
  <w:style w:type="character" w:styleId="29">
    <w:name w:val="page number"/>
    <w:basedOn w:val="26"/>
    <w:qFormat/>
    <w:uiPriority w:val="0"/>
  </w:style>
  <w:style w:type="character" w:styleId="30">
    <w:name w:val="FollowedHyperlink"/>
    <w:basedOn w:val="26"/>
    <w:qFormat/>
    <w:uiPriority w:val="0"/>
    <w:rPr>
      <w:color w:val="000000"/>
      <w:u w:val="none"/>
    </w:rPr>
  </w:style>
  <w:style w:type="character" w:styleId="31">
    <w:name w:val="Emphasis"/>
    <w:qFormat/>
    <w:uiPriority w:val="0"/>
    <w:rPr>
      <w:i/>
      <w:sz w:val="24"/>
      <w:szCs w:val="24"/>
    </w:rPr>
  </w:style>
  <w:style w:type="character" w:styleId="32">
    <w:name w:val="HTML Definition"/>
    <w:basedOn w:val="26"/>
    <w:qFormat/>
    <w:uiPriority w:val="0"/>
  </w:style>
  <w:style w:type="character" w:styleId="33">
    <w:name w:val="HTML Acronym"/>
    <w:basedOn w:val="26"/>
    <w:qFormat/>
    <w:uiPriority w:val="0"/>
  </w:style>
  <w:style w:type="character" w:styleId="34">
    <w:name w:val="HTML Variable"/>
    <w:basedOn w:val="26"/>
    <w:qFormat/>
    <w:uiPriority w:val="0"/>
  </w:style>
  <w:style w:type="character" w:styleId="35">
    <w:name w:val="Hyperlink"/>
    <w:basedOn w:val="26"/>
    <w:qFormat/>
    <w:uiPriority w:val="0"/>
    <w:rPr>
      <w:color w:val="0000FF"/>
      <w:sz w:val="24"/>
      <w:szCs w:val="24"/>
      <w:u w:val="single"/>
    </w:rPr>
  </w:style>
  <w:style w:type="character" w:styleId="36">
    <w:name w:val="HTML Code"/>
    <w:basedOn w:val="26"/>
    <w:qFormat/>
    <w:uiPriority w:val="0"/>
    <w:rPr>
      <w:rFonts w:ascii="Courier New" w:hAnsi="Courier New"/>
      <w:sz w:val="20"/>
    </w:rPr>
  </w:style>
  <w:style w:type="character" w:styleId="37">
    <w:name w:val="annotation reference"/>
    <w:semiHidden/>
    <w:qFormat/>
    <w:uiPriority w:val="0"/>
    <w:rPr>
      <w:sz w:val="21"/>
      <w:szCs w:val="21"/>
    </w:rPr>
  </w:style>
  <w:style w:type="character" w:styleId="38">
    <w:name w:val="HTML Cite"/>
    <w:basedOn w:val="26"/>
    <w:qFormat/>
    <w:uiPriority w:val="0"/>
  </w:style>
  <w:style w:type="table" w:styleId="40">
    <w:name w:val="Table Grid"/>
    <w:basedOn w:val="39"/>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paragraph" w:customStyle="1" w:styleId="41">
    <w:name w:val="样式 样式 样式 样式 小四 左 首行缩进:  2 字符 + 首行缩进:  2 字符 Char + 右  0 字符1 + 首行缩...3"/>
    <w:basedOn w:val="1"/>
    <w:qFormat/>
    <w:uiPriority w:val="99"/>
    <w:pPr>
      <w:adjustRightInd w:val="0"/>
      <w:spacing w:line="360" w:lineRule="auto"/>
      <w:ind w:firstLine="480" w:firstLineChars="200"/>
      <w:jc w:val="left"/>
      <w:textAlignment w:val="baseline"/>
    </w:pPr>
    <w:rPr>
      <w:rFonts w:cs="宋体"/>
      <w:sz w:val="24"/>
      <w:szCs w:val="20"/>
    </w:rPr>
  </w:style>
  <w:style w:type="paragraph" w:customStyle="1" w:styleId="42">
    <w:name w:val="样式 标题 1一级标题 + 段前: 0.5 行 段后: 0.5 行"/>
    <w:basedOn w:val="3"/>
    <w:qFormat/>
    <w:uiPriority w:val="99"/>
    <w:pPr>
      <w:spacing w:line="320" w:lineRule="exact"/>
      <w:outlineLvl w:val="9"/>
    </w:pPr>
    <w:rPr>
      <w:spacing w:val="-6"/>
      <w:sz w:val="21"/>
      <w:szCs w:val="21"/>
    </w:rPr>
  </w:style>
  <w:style w:type="paragraph" w:customStyle="1" w:styleId="43">
    <w:name w:val="Default"/>
    <w:next w:val="44"/>
    <w:qFormat/>
    <w:uiPriority w:val="99"/>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44">
    <w:name w:val="样式35"/>
    <w:basedOn w:val="1"/>
    <w:next w:val="1"/>
    <w:qFormat/>
    <w:uiPriority w:val="0"/>
    <w:pPr>
      <w:spacing w:line="312" w:lineRule="auto"/>
      <w:ind w:firstLine="567"/>
    </w:pPr>
    <w:rPr>
      <w:rFonts w:ascii="宋体"/>
      <w:sz w:val="28"/>
    </w:rPr>
  </w:style>
  <w:style w:type="character" w:customStyle="1" w:styleId="45">
    <w:name w:val="unnamed11"/>
    <w:qFormat/>
    <w:uiPriority w:val="0"/>
    <w:rPr>
      <w:sz w:val="18"/>
      <w:szCs w:val="18"/>
    </w:rPr>
  </w:style>
  <w:style w:type="character" w:customStyle="1" w:styleId="46">
    <w:name w:val="正1 Char"/>
    <w:link w:val="47"/>
    <w:qFormat/>
    <w:uiPriority w:val="0"/>
    <w:rPr>
      <w:rFonts w:eastAsia="楷体_GB2312"/>
      <w:kern w:val="2"/>
      <w:sz w:val="24"/>
      <w:szCs w:val="24"/>
      <w:lang w:val="en-US" w:eastAsia="zh-CN" w:bidi="ar-SA"/>
    </w:rPr>
  </w:style>
  <w:style w:type="paragraph" w:customStyle="1" w:styleId="47">
    <w:name w:val="正1"/>
    <w:basedOn w:val="1"/>
    <w:link w:val="46"/>
    <w:qFormat/>
    <w:uiPriority w:val="0"/>
    <w:pPr>
      <w:spacing w:line="360" w:lineRule="auto"/>
      <w:ind w:firstLine="200" w:firstLineChars="200"/>
      <w:jc w:val="left"/>
    </w:pPr>
    <w:rPr>
      <w:rFonts w:eastAsia="楷体_GB2312"/>
      <w:sz w:val="24"/>
      <w:szCs w:val="24"/>
    </w:rPr>
  </w:style>
  <w:style w:type="character" w:customStyle="1" w:styleId="48">
    <w:name w:val="纯文本 Char"/>
    <w:qFormat/>
    <w:uiPriority w:val="0"/>
    <w:rPr>
      <w:rFonts w:ascii="宋体" w:hAnsi="Courier New" w:eastAsia="宋体"/>
      <w:kern w:val="2"/>
      <w:sz w:val="21"/>
      <w:szCs w:val="24"/>
      <w:lang w:val="en-US" w:eastAsia="zh-CN" w:bidi="ar-SA"/>
    </w:rPr>
  </w:style>
  <w:style w:type="character" w:customStyle="1" w:styleId="49">
    <w:name w:val="f12_0000_1"/>
    <w:basedOn w:val="26"/>
    <w:qFormat/>
    <w:uiPriority w:val="0"/>
  </w:style>
  <w:style w:type="character" w:customStyle="1" w:styleId="50">
    <w:name w:val="正文文本缩进 Char"/>
    <w:link w:val="13"/>
    <w:qFormat/>
    <w:uiPriority w:val="0"/>
    <w:rPr>
      <w:rFonts w:ascii="宋体"/>
      <w:kern w:val="2"/>
      <w:sz w:val="24"/>
      <w:szCs w:val="24"/>
    </w:rPr>
  </w:style>
  <w:style w:type="character" w:customStyle="1" w:styleId="51">
    <w:name w:val="样式 宋体 四号"/>
    <w:qFormat/>
    <w:uiPriority w:val="0"/>
    <w:rPr>
      <w:rFonts w:ascii="宋体" w:hAnsi="宋体" w:eastAsia="仿宋_GB2312"/>
      <w:sz w:val="30"/>
      <w:szCs w:val="24"/>
    </w:rPr>
  </w:style>
  <w:style w:type="character" w:customStyle="1" w:styleId="52">
    <w:name w:val="纯文本 Char1"/>
    <w:link w:val="15"/>
    <w:qFormat/>
    <w:uiPriority w:val="0"/>
    <w:rPr>
      <w:rFonts w:ascii="宋体" w:hAnsi="Courier New" w:eastAsia="宋体" w:cs="Courier New"/>
      <w:kern w:val="2"/>
      <w:sz w:val="21"/>
      <w:szCs w:val="21"/>
      <w:lang w:val="en-US" w:eastAsia="zh-CN" w:bidi="ar-SA"/>
    </w:rPr>
  </w:style>
  <w:style w:type="character" w:customStyle="1" w:styleId="53">
    <w:name w:val="正文文本缩进 2 Char"/>
    <w:link w:val="17"/>
    <w:qFormat/>
    <w:uiPriority w:val="0"/>
    <w:rPr>
      <w:rFonts w:ascii="宋体"/>
      <w:kern w:val="2"/>
      <w:sz w:val="24"/>
      <w:szCs w:val="24"/>
    </w:rPr>
  </w:style>
  <w:style w:type="character" w:customStyle="1" w:styleId="54">
    <w:name w:val="col1"/>
    <w:basedOn w:val="26"/>
    <w:qFormat/>
    <w:uiPriority w:val="0"/>
  </w:style>
  <w:style w:type="character" w:customStyle="1" w:styleId="55">
    <w:name w:val="style71"/>
    <w:qFormat/>
    <w:uiPriority w:val="0"/>
    <w:rPr>
      <w:b/>
      <w:bCs/>
      <w:sz w:val="21"/>
      <w:szCs w:val="21"/>
    </w:rPr>
  </w:style>
  <w:style w:type="character" w:customStyle="1" w:styleId="56">
    <w:name w:val="ask-title"/>
    <w:basedOn w:val="26"/>
    <w:qFormat/>
    <w:uiPriority w:val="0"/>
  </w:style>
  <w:style w:type="character" w:customStyle="1" w:styleId="57">
    <w:name w:val="正文文本_"/>
    <w:link w:val="58"/>
    <w:unhideWhenUsed/>
    <w:qFormat/>
    <w:uiPriority w:val="0"/>
    <w:rPr>
      <w:rFonts w:ascii="宋体" w:hAnsi="宋体" w:eastAsia="Times New Roman"/>
      <w:kern w:val="0"/>
      <w:sz w:val="23"/>
      <w:szCs w:val="20"/>
    </w:rPr>
  </w:style>
  <w:style w:type="paragraph" w:customStyle="1" w:styleId="58">
    <w:name w:val="正文文本1"/>
    <w:basedOn w:val="1"/>
    <w:link w:val="57"/>
    <w:unhideWhenUsed/>
    <w:qFormat/>
    <w:uiPriority w:val="0"/>
    <w:pPr>
      <w:shd w:val="clear" w:color="auto" w:fill="FFFFFF"/>
      <w:spacing w:line="468" w:lineRule="exact"/>
      <w:ind w:hanging="500"/>
      <w:jc w:val="distribute"/>
    </w:pPr>
    <w:rPr>
      <w:rFonts w:ascii="宋体" w:hAnsi="宋体" w:eastAsia="Times New Roman"/>
      <w:kern w:val="0"/>
      <w:sz w:val="23"/>
    </w:rPr>
  </w:style>
  <w:style w:type="paragraph" w:customStyle="1" w:styleId="59">
    <w:name w:val="简单回函地址"/>
    <w:basedOn w:val="1"/>
    <w:qFormat/>
    <w:uiPriority w:val="0"/>
    <w:rPr>
      <w:rFonts w:hint="eastAsia" w:ascii="宋体" w:hAnsi="Courier New"/>
      <w:kern w:val="0"/>
    </w:rPr>
  </w:style>
  <w:style w:type="paragraph" w:customStyle="1" w:styleId="60">
    <w:name w:val="四级标题1.1.1.1"/>
    <w:basedOn w:val="1"/>
    <w:next w:val="1"/>
    <w:qFormat/>
    <w:uiPriority w:val="0"/>
    <w:pPr>
      <w:keepNext/>
      <w:keepLines/>
      <w:widowControl/>
      <w:adjustRightInd w:val="0"/>
      <w:spacing w:before="40" w:after="40" w:line="360" w:lineRule="auto"/>
      <w:ind w:firstLine="200" w:firstLineChars="200"/>
      <w:outlineLvl w:val="3"/>
    </w:pPr>
    <w:rPr>
      <w:rFonts w:eastAsia="仿宋_GB2312" w:cs="宋体"/>
      <w:b/>
      <w:kern w:val="0"/>
      <w:sz w:val="24"/>
      <w:szCs w:val="28"/>
    </w:rPr>
  </w:style>
  <w:style w:type="paragraph" w:customStyle="1" w:styleId="61">
    <w:name w:val="Table Paragraph"/>
    <w:basedOn w:val="1"/>
    <w:qFormat/>
    <w:uiPriority w:val="1"/>
    <w:rPr>
      <w:rFonts w:ascii="Calibri" w:hAnsi="Calibri"/>
      <w:sz w:val="22"/>
      <w:szCs w:val="22"/>
      <w:lang w:eastAsia="en-US"/>
    </w:rPr>
  </w:style>
  <w:style w:type="paragraph" w:customStyle="1" w:styleId="62">
    <w:name w:val="二级标题"/>
    <w:basedOn w:val="1"/>
    <w:qFormat/>
    <w:uiPriority w:val="0"/>
    <w:pPr>
      <w:adjustRightInd w:val="0"/>
      <w:spacing w:before="120" w:after="120" w:line="400" w:lineRule="atLeast"/>
      <w:textAlignment w:val="baseline"/>
    </w:pPr>
    <w:rPr>
      <w:rFonts w:eastAsia="黑体"/>
      <w:kern w:val="0"/>
      <w:sz w:val="28"/>
    </w:rPr>
  </w:style>
  <w:style w:type="paragraph" w:customStyle="1" w:styleId="63">
    <w:name w:val="正文 New New New New New New New New New New New New New New New New"/>
    <w:qFormat/>
    <w:uiPriority w:val="0"/>
    <w:pPr>
      <w:widowControl w:val="0"/>
      <w:jc w:val="both"/>
    </w:pPr>
    <w:rPr>
      <w:rFonts w:ascii="Calibri" w:hAnsi="Calibri" w:eastAsia="Calibri" w:cs="Times New Roman"/>
      <w:kern w:val="2"/>
      <w:sz w:val="21"/>
      <w:szCs w:val="24"/>
      <w:lang w:val="en-US" w:eastAsia="zh-CN" w:bidi="ar-SA"/>
    </w:rPr>
  </w:style>
  <w:style w:type="paragraph" w:customStyle="1" w:styleId="64">
    <w:name w:val="Body Text 22"/>
    <w:basedOn w:val="1"/>
    <w:qFormat/>
    <w:uiPriority w:val="0"/>
    <w:pPr>
      <w:adjustRightInd w:val="0"/>
      <w:spacing w:line="440" w:lineRule="atLeast"/>
      <w:ind w:firstLine="480"/>
      <w:textAlignment w:val="baseline"/>
    </w:pPr>
    <w:rPr>
      <w:rFonts w:eastAsia="仿宋_GB2312"/>
      <w:sz w:val="24"/>
    </w:rPr>
  </w:style>
  <w:style w:type="paragraph" w:customStyle="1" w:styleId="65">
    <w:name w:val="表格填充1"/>
    <w:basedOn w:val="1"/>
    <w:qFormat/>
    <w:uiPriority w:val="0"/>
    <w:pPr>
      <w:jc w:val="center"/>
    </w:pPr>
    <w:rPr>
      <w:sz w:val="30"/>
      <w:szCs w:val="18"/>
    </w:rPr>
  </w:style>
  <w:style w:type="paragraph" w:customStyle="1" w:styleId="66">
    <w:name w:val="样式8"/>
    <w:basedOn w:val="67"/>
    <w:qFormat/>
    <w:uiPriority w:val="0"/>
    <w:pPr>
      <w:spacing w:line="360" w:lineRule="auto"/>
    </w:pPr>
  </w:style>
  <w:style w:type="paragraph" w:customStyle="1" w:styleId="67">
    <w:name w:val="样式7"/>
    <w:basedOn w:val="1"/>
    <w:qFormat/>
    <w:uiPriority w:val="0"/>
    <w:pPr>
      <w:autoSpaceDE w:val="0"/>
      <w:autoSpaceDN w:val="0"/>
      <w:snapToGrid w:val="0"/>
      <w:spacing w:line="480" w:lineRule="exact"/>
      <w:ind w:firstLine="200" w:firstLineChars="200"/>
    </w:pPr>
    <w:rPr>
      <w:kern w:val="0"/>
      <w:sz w:val="24"/>
    </w:rPr>
  </w:style>
  <w:style w:type="paragraph" w:customStyle="1" w:styleId="68">
    <w:name w:val="1正文"/>
    <w:basedOn w:val="1"/>
    <w:qFormat/>
    <w:uiPriority w:val="0"/>
    <w:pPr>
      <w:widowControl/>
      <w:spacing w:line="360" w:lineRule="auto"/>
      <w:ind w:firstLine="200" w:firstLineChars="200"/>
    </w:pPr>
    <w:rPr>
      <w:kern w:val="0"/>
    </w:rPr>
  </w:style>
  <w:style w:type="paragraph" w:customStyle="1" w:styleId="69">
    <w:name w:val="正文(首行缩进)"/>
    <w:next w:val="1"/>
    <w:qFormat/>
    <w:uiPriority w:val="0"/>
    <w:pPr>
      <w:widowControl w:val="0"/>
      <w:adjustRightInd w:val="0"/>
      <w:snapToGrid w:val="0"/>
      <w:spacing w:line="360" w:lineRule="auto"/>
      <w:ind w:firstLine="200" w:firstLineChars="200"/>
      <w:jc w:val="both"/>
      <w:textAlignment w:val="baseline"/>
    </w:pPr>
    <w:rPr>
      <w:rFonts w:ascii="Times New Roman" w:hAnsi="Times New Roman" w:eastAsia="宋体" w:cs="Times New Roman"/>
      <w:snapToGrid w:val="0"/>
      <w:sz w:val="24"/>
      <w:szCs w:val="24"/>
      <w:lang w:val="en-US" w:eastAsia="zh-CN" w:bidi="ar-SA"/>
    </w:rPr>
  </w:style>
  <w:style w:type="paragraph" w:customStyle="1" w:styleId="70">
    <w:name w:val="正文01"/>
    <w:basedOn w:val="1"/>
    <w:qFormat/>
    <w:uiPriority w:val="0"/>
    <w:pPr>
      <w:snapToGrid w:val="0"/>
      <w:spacing w:before="60" w:line="460" w:lineRule="exact"/>
      <w:ind w:firstLine="200" w:firstLineChars="200"/>
    </w:pPr>
    <w:rPr>
      <w:kern w:val="0"/>
      <w:sz w:val="24"/>
    </w:rPr>
  </w:style>
  <w:style w:type="paragraph" w:customStyle="1" w:styleId="71">
    <w:name w:val="表"/>
    <w:basedOn w:val="10"/>
    <w:qFormat/>
    <w:uiPriority w:val="0"/>
    <w:pPr>
      <w:adjustRightInd w:val="0"/>
      <w:snapToGrid w:val="0"/>
      <w:spacing w:line="240" w:lineRule="auto"/>
      <w:jc w:val="center"/>
    </w:pPr>
    <w:rPr>
      <w:rFonts w:ascii="Times New Roman"/>
      <w:kern w:val="0"/>
      <w:sz w:val="21"/>
      <w:szCs w:val="24"/>
    </w:rPr>
  </w:style>
  <w:style w:type="paragraph" w:customStyle="1" w:styleId="72">
    <w:name w:val=" Char Char Char Char Char Char"/>
    <w:basedOn w:val="1"/>
    <w:qFormat/>
    <w:uiPriority w:val="0"/>
    <w:rPr>
      <w:sz w:val="24"/>
      <w:szCs w:val="24"/>
    </w:rPr>
  </w:style>
  <w:style w:type="paragraph" w:customStyle="1" w:styleId="73">
    <w:name w:val="Char1"/>
    <w:basedOn w:val="1"/>
    <w:qFormat/>
    <w:uiPriority w:val="0"/>
    <w:pPr>
      <w:snapToGrid w:val="0"/>
      <w:spacing w:line="360" w:lineRule="auto"/>
      <w:ind w:firstLine="529" w:firstLineChars="200"/>
    </w:pPr>
    <w:rPr>
      <w:rFonts w:ascii="宋体" w:hAnsi="宋体"/>
      <w:b/>
      <w:szCs w:val="24"/>
    </w:rPr>
  </w:style>
  <w:style w:type="paragraph" w:customStyle="1" w:styleId="74">
    <w:name w:val=" Char Char Char"/>
    <w:basedOn w:val="1"/>
    <w:qFormat/>
    <w:uiPriority w:val="0"/>
    <w:rPr>
      <w:sz w:val="24"/>
      <w:szCs w:val="24"/>
    </w:rPr>
  </w:style>
  <w:style w:type="paragraph" w:customStyle="1" w:styleId="75">
    <w:name w:val="xl22"/>
    <w:basedOn w:val="1"/>
    <w:qFormat/>
    <w:uiPriority w:val="0"/>
    <w:pPr>
      <w:widowControl/>
      <w:spacing w:before="100" w:after="100"/>
      <w:jc w:val="center"/>
    </w:pPr>
    <w:rPr>
      <w:kern w:val="0"/>
      <w:sz w:val="24"/>
      <w:szCs w:val="24"/>
    </w:rPr>
  </w:style>
  <w:style w:type="paragraph" w:customStyle="1" w:styleId="76">
    <w:name w:val="标准"/>
    <w:basedOn w:val="1"/>
    <w:qFormat/>
    <w:uiPriority w:val="0"/>
    <w:pPr>
      <w:adjustRightInd w:val="0"/>
      <w:spacing w:line="312" w:lineRule="atLeast"/>
      <w:jc w:val="center"/>
    </w:pPr>
    <w:rPr>
      <w:kern w:val="0"/>
    </w:rPr>
  </w:style>
  <w:style w:type="paragraph" w:customStyle="1" w:styleId="77">
    <w:name w:val="报告书表格"/>
    <w:basedOn w:val="1"/>
    <w:qFormat/>
    <w:uiPriority w:val="0"/>
    <w:pPr>
      <w:adjustRightInd w:val="0"/>
      <w:spacing w:before="60" w:after="60" w:line="240" w:lineRule="atLeast"/>
      <w:jc w:val="center"/>
      <w:textAlignment w:val="baseline"/>
    </w:pPr>
    <w:rPr>
      <w:kern w:val="0"/>
    </w:rPr>
  </w:style>
  <w:style w:type="paragraph" w:customStyle="1" w:styleId="78">
    <w:name w:val="HP正文"/>
    <w:basedOn w:val="1"/>
    <w:qFormat/>
    <w:uiPriority w:val="0"/>
    <w:pPr>
      <w:spacing w:line="360" w:lineRule="auto"/>
      <w:ind w:firstLine="480" w:firstLineChars="200"/>
    </w:pPr>
    <w:rPr>
      <w:sz w:val="24"/>
    </w:rPr>
  </w:style>
  <w:style w:type="paragraph" w:customStyle="1" w:styleId="79">
    <w:name w:val="WPS Plain"/>
    <w:qFormat/>
    <w:uiPriority w:val="0"/>
    <w:rPr>
      <w:rFonts w:ascii="Times New Roman" w:hAnsi="Times New Roman" w:eastAsia="宋体" w:cs="Times New Roman"/>
      <w:lang w:val="en-US" w:eastAsia="zh-CN" w:bidi="ar-SA"/>
    </w:rPr>
  </w:style>
  <w:style w:type="paragraph" w:customStyle="1" w:styleId="80">
    <w:name w:val="报告表正文"/>
    <w:basedOn w:val="1"/>
    <w:qFormat/>
    <w:uiPriority w:val="99"/>
    <w:pPr>
      <w:adjustRightInd w:val="0"/>
      <w:spacing w:line="312" w:lineRule="auto"/>
      <w:ind w:left="113" w:right="113" w:firstLine="482"/>
      <w:jc w:val="left"/>
      <w:textAlignment w:val="baseline"/>
    </w:pPr>
    <w:rPr>
      <w:kern w:val="0"/>
      <w:sz w:val="24"/>
    </w:rPr>
  </w:style>
  <w:style w:type="paragraph" w:customStyle="1" w:styleId="81">
    <w:name w:val="正文 首行缩进:  2 字符"/>
    <w:basedOn w:val="1"/>
    <w:qFormat/>
    <w:uiPriority w:val="0"/>
    <w:pPr>
      <w:adjustRightInd w:val="0"/>
      <w:snapToGrid w:val="0"/>
      <w:spacing w:line="500" w:lineRule="exact"/>
      <w:ind w:firstLine="200" w:firstLineChars="200"/>
      <w:jc w:val="left"/>
    </w:pPr>
    <w:rPr>
      <w:rFonts w:cs="宋体"/>
    </w:rPr>
  </w:style>
  <w:style w:type="paragraph" w:customStyle="1" w:styleId="82">
    <w:name w:val="表格内文字"/>
    <w:basedOn w:val="1"/>
    <w:qFormat/>
    <w:uiPriority w:val="0"/>
    <w:pPr>
      <w:tabs>
        <w:tab w:val="left" w:pos="0"/>
      </w:tabs>
      <w:adjustRightInd w:val="0"/>
      <w:snapToGrid w:val="0"/>
      <w:jc w:val="center"/>
    </w:pPr>
    <w:rPr>
      <w:rFonts w:eastAsia="仿宋_GB2312"/>
      <w:sz w:val="24"/>
    </w:rPr>
  </w:style>
  <w:style w:type="paragraph" w:customStyle="1" w:styleId="83">
    <w:name w:val=" Char Char Char Char Char Char Char Char Char Char Char Char Char Char Char Char1"/>
    <w:basedOn w:val="1"/>
    <w:qFormat/>
    <w:uiPriority w:val="0"/>
    <w:rPr>
      <w:szCs w:val="24"/>
    </w:rPr>
  </w:style>
  <w:style w:type="paragraph" w:styleId="84">
    <w:name w:val="List Paragraph"/>
    <w:basedOn w:val="1"/>
    <w:qFormat/>
    <w:uiPriority w:val="34"/>
    <w:pPr>
      <w:ind w:firstLine="420" w:firstLineChars="200"/>
    </w:pPr>
  </w:style>
  <w:style w:type="paragraph" w:customStyle="1" w:styleId="85">
    <w:name w:val="样式1"/>
    <w:basedOn w:val="15"/>
    <w:qFormat/>
    <w:uiPriority w:val="0"/>
    <w:pPr>
      <w:spacing w:line="300" w:lineRule="auto"/>
      <w:ind w:firstLine="200" w:firstLineChars="200"/>
    </w:pPr>
    <w:rPr>
      <w:rFonts w:ascii="Times New Roman" w:hAnsi="Times New Roman" w:eastAsia="仿宋_GB2312" w:cs="Times New Roman"/>
      <w:color w:val="000000"/>
      <w:kern w:val="30"/>
      <w:sz w:val="30"/>
      <w:szCs w:val="30"/>
    </w:rPr>
  </w:style>
  <w:style w:type="paragraph" w:customStyle="1" w:styleId="86">
    <w:name w:val="样式3"/>
    <w:basedOn w:val="1"/>
    <w:qFormat/>
    <w:uiPriority w:val="99"/>
    <w:pPr>
      <w:tabs>
        <w:tab w:val="left" w:pos="6780"/>
      </w:tabs>
      <w:snapToGrid w:val="0"/>
      <w:spacing w:line="360" w:lineRule="auto"/>
      <w:ind w:left="105" w:leftChars="50" w:right="105" w:rightChars="50" w:firstLine="480" w:firstLineChars="200"/>
    </w:pPr>
    <w:rPr>
      <w:sz w:val="24"/>
      <w:lang w:val="zh-CN"/>
    </w:rPr>
  </w:style>
  <w:style w:type="paragraph" w:customStyle="1" w:styleId="87">
    <w:name w:val="样式 黑体 四号 左 行距: 固定值 33 磅"/>
    <w:basedOn w:val="1"/>
    <w:qFormat/>
    <w:uiPriority w:val="0"/>
    <w:pPr>
      <w:numPr>
        <w:ilvl w:val="0"/>
        <w:numId w:val="1"/>
      </w:numPr>
      <w:spacing w:line="360" w:lineRule="auto"/>
      <w:ind w:left="0" w:firstLine="0"/>
    </w:pPr>
    <w:rPr>
      <w:b/>
      <w:color w:val="000000"/>
      <w:sz w:val="24"/>
    </w:rPr>
  </w:style>
  <w:style w:type="paragraph" w:customStyle="1" w:styleId="88">
    <w:name w:val="默认段落字体 Para Char Char Char1 Char Char Char Char Char Char Char Char Char Char"/>
    <w:basedOn w:val="1"/>
    <w:qFormat/>
    <w:uiPriority w:val="0"/>
    <w:rPr>
      <w:sz w:val="24"/>
      <w:szCs w:val="24"/>
    </w:rPr>
  </w:style>
  <w:style w:type="paragraph" w:customStyle="1" w:styleId="89">
    <w:name w:val="CM3"/>
    <w:basedOn w:val="43"/>
    <w:next w:val="43"/>
    <w:qFormat/>
    <w:uiPriority w:val="0"/>
    <w:pPr>
      <w:spacing w:line="603" w:lineRule="atLeast"/>
    </w:pPr>
    <w:rPr>
      <w:rFonts w:ascii="楷体_GB2312" w:eastAsia="楷体_GB2312" w:cs="楷体_GB2312"/>
      <w:color w:val="auto"/>
    </w:rPr>
  </w:style>
  <w:style w:type="paragraph" w:customStyle="1" w:styleId="90">
    <w:name w:val="_Style 2"/>
    <w:basedOn w:val="1"/>
    <w:qFormat/>
    <w:uiPriority w:val="34"/>
    <w:pPr>
      <w:ind w:firstLine="420" w:firstLineChars="200"/>
    </w:pPr>
  </w:style>
  <w:style w:type="paragraph" w:customStyle="1" w:styleId="91">
    <w:name w:val=" Char Char Char Char"/>
    <w:basedOn w:val="1"/>
    <w:qFormat/>
    <w:uiPriority w:val="0"/>
    <w:rPr>
      <w:szCs w:val="24"/>
    </w:rPr>
  </w:style>
  <w:style w:type="paragraph" w:customStyle="1" w:styleId="92">
    <w:name w:val="Char Char Char"/>
    <w:basedOn w:val="1"/>
    <w:qFormat/>
    <w:uiPriority w:val="0"/>
    <w:rPr>
      <w:sz w:val="24"/>
      <w:szCs w:val="24"/>
    </w:rPr>
  </w:style>
  <w:style w:type="paragraph" w:customStyle="1" w:styleId="93">
    <w:name w:val="样式 样式 创艺简中圆 (符号) 宋体 行距: 2 倍行距 + 首行缩进:  2 字符"/>
    <w:basedOn w:val="1"/>
    <w:qFormat/>
    <w:uiPriority w:val="0"/>
    <w:pPr>
      <w:spacing w:line="360" w:lineRule="auto"/>
      <w:ind w:firstLine="476" w:firstLineChars="200"/>
      <w:jc w:val="left"/>
    </w:pPr>
    <w:rPr>
      <w:rFonts w:ascii="宋体" w:hAnsi="宋体"/>
      <w:spacing w:val="9"/>
      <w:sz w:val="22"/>
    </w:rPr>
  </w:style>
  <w:style w:type="paragraph" w:customStyle="1" w:styleId="94">
    <w:name w:val="样式 宋体 四号 行距: 固定值 33 磅3"/>
    <w:basedOn w:val="1"/>
    <w:qFormat/>
    <w:uiPriority w:val="0"/>
    <w:pPr>
      <w:spacing w:line="360" w:lineRule="auto"/>
      <w:ind w:firstLine="480" w:firstLineChars="200"/>
    </w:pPr>
    <w:rPr>
      <w:sz w:val="24"/>
      <w:szCs w:val="24"/>
    </w:rPr>
  </w:style>
  <w:style w:type="paragraph" w:customStyle="1" w:styleId="95">
    <w:name w:val="列出段落1"/>
    <w:basedOn w:val="1"/>
    <w:qFormat/>
    <w:uiPriority w:val="0"/>
    <w:pPr>
      <w:ind w:firstLine="200" w:firstLineChars="200"/>
    </w:pPr>
    <w:rPr>
      <w:rFonts w:ascii="Calibri" w:hAnsi="Calibri"/>
      <w:szCs w:val="22"/>
    </w:rPr>
  </w:style>
  <w:style w:type="paragraph" w:customStyle="1" w:styleId="96">
    <w:name w:val="列出段落11"/>
    <w:basedOn w:val="1"/>
    <w:qFormat/>
    <w:uiPriority w:val="99"/>
    <w:pPr>
      <w:ind w:firstLine="420" w:firstLineChars="200"/>
    </w:pPr>
    <w:rPr>
      <w:rFonts w:ascii="Calibri" w:hAnsi="Calibri"/>
      <w:szCs w:val="22"/>
    </w:rPr>
  </w:style>
  <w:style w:type="paragraph" w:customStyle="1" w:styleId="97">
    <w:name w:val="列出段落2"/>
    <w:basedOn w:val="1"/>
    <w:unhideWhenUsed/>
    <w:qFormat/>
    <w:uiPriority w:val="99"/>
    <w:pPr>
      <w:ind w:firstLine="420" w:firstLineChars="200"/>
    </w:pPr>
  </w:style>
  <w:style w:type="paragraph" w:customStyle="1" w:styleId="98">
    <w:name w:val="正文小四"/>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99">
    <w:name w:val="表文"/>
    <w:basedOn w:val="10"/>
    <w:next w:val="11"/>
    <w:qFormat/>
    <w:uiPriority w:val="0"/>
    <w:pPr>
      <w:spacing w:line="240" w:lineRule="auto"/>
      <w:jc w:val="center"/>
    </w:pPr>
    <w:rPr>
      <w:rFonts w:ascii="Times New Roman"/>
    </w:rPr>
  </w:style>
  <w:style w:type="paragraph" w:customStyle="1" w:styleId="100">
    <w:name w:val="li_正文"/>
    <w:basedOn w:val="1"/>
    <w:qFormat/>
    <w:uiPriority w:val="0"/>
    <w:pPr>
      <w:ind w:firstLine="200" w:firstLineChars="200"/>
      <w:jc w:val="left"/>
    </w:pPr>
    <w:rPr>
      <w:sz w:val="28"/>
      <w:szCs w:val="28"/>
    </w:rPr>
  </w:style>
  <w:style w:type="paragraph" w:customStyle="1" w:styleId="101">
    <w:name w:val="正文首行缩进1"/>
    <w:basedOn w:val="10"/>
    <w:qFormat/>
    <w:uiPriority w:val="0"/>
    <w:pPr>
      <w:spacing w:line="240" w:lineRule="auto"/>
      <w:ind w:firstLine="420" w:firstLineChars="100"/>
      <w:jc w:val="both"/>
    </w:pPr>
    <w:rPr>
      <w:kern w:val="0"/>
      <w:sz w:val="20"/>
    </w:rPr>
  </w:style>
  <w:style w:type="paragraph" w:customStyle="1" w:styleId="102">
    <w:name w:val="样式5"/>
    <w:basedOn w:val="1"/>
    <w:qFormat/>
    <w:uiPriority w:val="0"/>
    <w:pPr>
      <w:tabs>
        <w:tab w:val="left" w:pos="7380"/>
      </w:tabs>
      <w:snapToGrid w:val="0"/>
      <w:spacing w:line="360" w:lineRule="auto"/>
      <w:ind w:firstLine="480" w:firstLineChars="200"/>
      <w:jc w:val="left"/>
    </w:pPr>
    <w:rPr>
      <w:rFonts w:ascii="宋体" w:hAnsi="宋体"/>
      <w:sz w:val="24"/>
    </w:rPr>
  </w:style>
  <w:style w:type="character" w:customStyle="1" w:styleId="103">
    <w:name w:val="lable"/>
    <w:basedOn w:val="26"/>
    <w:qFormat/>
    <w:uiPriority w:val="0"/>
    <w:rPr>
      <w:sz w:val="19"/>
      <w:szCs w:val="19"/>
    </w:rPr>
  </w:style>
  <w:style w:type="character" w:customStyle="1" w:styleId="104">
    <w:name w:val="bsharetext"/>
    <w:basedOn w:val="26"/>
    <w:qFormat/>
    <w:uiPriority w:val="0"/>
  </w:style>
  <w:style w:type="character" w:customStyle="1" w:styleId="105">
    <w:name w:val="radio-btn"/>
    <w:basedOn w:val="26"/>
    <w:qFormat/>
    <w:uiPriority w:val="0"/>
    <w:rPr>
      <w:sz w:val="19"/>
      <w:szCs w:val="19"/>
    </w:rPr>
  </w:style>
  <w:style w:type="character" w:customStyle="1" w:styleId="106">
    <w:name w:val="radio-btn1"/>
    <w:basedOn w:val="26"/>
    <w:qFormat/>
    <w:uiPriority w:val="0"/>
    <w:rPr>
      <w:sz w:val="16"/>
      <w:szCs w:val="16"/>
    </w:rPr>
  </w:style>
  <w:style w:type="character" w:customStyle="1" w:styleId="107">
    <w:name w:val="radio-btn2"/>
    <w:basedOn w:val="26"/>
    <w:qFormat/>
    <w:uiPriority w:val="0"/>
    <w:rPr>
      <w:sz w:val="19"/>
      <w:szCs w:val="19"/>
    </w:rPr>
  </w:style>
  <w:style w:type="character" w:customStyle="1" w:styleId="108">
    <w:name w:val="lishishuju"/>
    <w:basedOn w:val="26"/>
    <w:qFormat/>
    <w:uiPriority w:val="0"/>
    <w:rPr>
      <w:b/>
      <w:color w:val="000052"/>
      <w:sz w:val="19"/>
      <w:szCs w:val="19"/>
      <w:bdr w:val="single" w:color="E3E3E3" w:sz="4" w:space="0"/>
    </w:rPr>
  </w:style>
  <w:style w:type="character" w:customStyle="1" w:styleId="109">
    <w:name w:val="cur1"/>
    <w:basedOn w:val="26"/>
    <w:qFormat/>
    <w:uiPriority w:val="0"/>
    <w:rPr>
      <w:color w:val="FFFFFF"/>
      <w:shd w:val="clear" w:fill="2F6B98"/>
    </w:rPr>
  </w:style>
  <w:style w:type="character" w:customStyle="1" w:styleId="110">
    <w:name w:val="znspantitle"/>
    <w:basedOn w:val="26"/>
    <w:qFormat/>
    <w:uiPriority w:val="0"/>
    <w:rPr>
      <w:b/>
      <w:color w:val="333333"/>
    </w:rPr>
  </w:style>
  <w:style w:type="paragraph" w:customStyle="1" w:styleId="111">
    <w:name w:val="报告正文"/>
    <w:qFormat/>
    <w:uiPriority w:val="0"/>
    <w:pPr>
      <w:spacing w:line="360" w:lineRule="auto"/>
      <w:ind w:firstLine="200" w:firstLineChars="200"/>
      <w:jc w:val="both"/>
    </w:pPr>
    <w:rPr>
      <w:rFonts w:ascii="Calibri" w:hAnsi="Calibri" w:eastAsia="宋体" w:cs="Times New Roman"/>
      <w:bCs/>
      <w:kern w:val="44"/>
      <w:sz w:val="24"/>
      <w:szCs w:val="44"/>
      <w:lang w:val="en-US" w:eastAsia="zh-CN" w:bidi="ar-SA"/>
    </w:rPr>
  </w:style>
  <w:style w:type="character" w:customStyle="1" w:styleId="112">
    <w:name w:val="checkbox2"/>
    <w:basedOn w:val="26"/>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50</Pages>
  <Words>28809</Words>
  <Characters>32174</Characters>
  <Lines>281</Lines>
  <Paragraphs>79</Paragraphs>
  <TotalTime>0</TotalTime>
  <ScaleCrop>false</ScaleCrop>
  <LinksUpToDate>false</LinksUpToDate>
  <CharactersWithSpaces>32965</CharactersWithSpaces>
  <Application>WPS Office_10.8.2.6948_F1E327BC-269C-435d-A152-05C5408002CA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2019-09-02T08:09:00Z</dcterms:created>
  <dc:creator>sc</dc:creator>
  <cp:lastModifiedBy>天地人</cp:lastModifiedBy>
  <cp:lastPrinted>2020-07-22T01:45:00Z</cp:lastPrinted>
  <dcterms:modified xsi:type="dcterms:W3CDTF">2020-11-19T01:51:06Z</dcterms:modified>
  <dc:title>建设项目环境影响报告表</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ies>
</file>