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宋体"/>
          <w:kern w:val="21"/>
          <w:vertAlign w:val="baseline"/>
        </w:rPr>
      </w:pPr>
    </w:p>
    <w:p>
      <w:pPr>
        <w:jc w:val="center"/>
        <w:rPr>
          <w:rFonts w:hint="eastAsia" w:ascii="宋体" w:hAnsi="宋体" w:eastAsia="方正小标宋简体" w:cs="方正小标宋简体"/>
          <w:kern w:val="21"/>
          <w:sz w:val="36"/>
          <w:szCs w:val="36"/>
          <w:lang w:val="en-US" w:eastAsia="zh-CN"/>
        </w:rPr>
      </w:pPr>
      <w:r>
        <w:rPr>
          <w:rFonts w:hint="eastAsia" w:ascii="宋体" w:hAnsi="宋体" w:eastAsia="方正小标宋简体" w:cs="方正小标宋简体"/>
          <w:kern w:val="21"/>
          <w:sz w:val="36"/>
          <w:szCs w:val="36"/>
          <w:lang w:eastAsia="zh-CN"/>
        </w:rPr>
        <w:t>市生态环境局</w:t>
      </w:r>
      <w:r>
        <w:rPr>
          <w:rFonts w:hint="eastAsia" w:ascii="宋体" w:hAnsi="宋体" w:eastAsia="方正小标宋简体" w:cs="方正小标宋简体"/>
          <w:kern w:val="21"/>
          <w:sz w:val="36"/>
          <w:szCs w:val="36"/>
          <w:lang w:val="en-US" w:eastAsia="zh-CN"/>
        </w:rPr>
        <w:t>2020年政务公开重点工作及责任分工方案</w:t>
      </w:r>
    </w:p>
    <w:tbl>
      <w:tblPr>
        <w:tblStyle w:val="4"/>
        <w:tblW w:w="14702" w:type="dxa"/>
        <w:tblInd w:w="0" w:type="dxa"/>
        <w:shd w:val="clear" w:color="auto" w:fill="auto"/>
        <w:tblLayout w:type="fixed"/>
        <w:tblCellMar>
          <w:top w:w="0" w:type="dxa"/>
          <w:left w:w="0" w:type="dxa"/>
          <w:bottom w:w="0" w:type="dxa"/>
          <w:right w:w="0" w:type="dxa"/>
        </w:tblCellMar>
      </w:tblPr>
      <w:tblGrid>
        <w:gridCol w:w="1312"/>
        <w:gridCol w:w="1190"/>
        <w:gridCol w:w="1319"/>
        <w:gridCol w:w="8182"/>
        <w:gridCol w:w="2699"/>
      </w:tblGrid>
      <w:tr>
        <w:tblPrEx>
          <w:shd w:val="clear" w:color="auto" w:fill="auto"/>
          <w:tblCellMar>
            <w:top w:w="0" w:type="dxa"/>
            <w:left w:w="0" w:type="dxa"/>
            <w:bottom w:w="0" w:type="dxa"/>
            <w:right w:w="0" w:type="dxa"/>
          </w:tblCellMar>
        </w:tblPrEx>
        <w:trPr>
          <w:trHeight w:val="90" w:hRule="atLeast"/>
        </w:trPr>
        <w:tc>
          <w:tcPr>
            <w:tcW w:w="131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ascii="宋体" w:hAnsi="宋体" w:eastAsia="黑体" w:cs="黑体"/>
                <w:i w:val="0"/>
                <w:color w:val="auto"/>
                <w:kern w:val="21"/>
                <w:sz w:val="22"/>
                <w:szCs w:val="22"/>
                <w:u w:val="none"/>
              </w:rPr>
            </w:pPr>
            <w:r>
              <w:rPr>
                <w:rFonts w:hint="eastAsia" w:ascii="宋体" w:hAnsi="宋体" w:eastAsia="黑体" w:cs="黑体"/>
                <w:i w:val="0"/>
                <w:color w:val="auto"/>
                <w:kern w:val="21"/>
                <w:sz w:val="22"/>
                <w:szCs w:val="22"/>
                <w:u w:val="none"/>
                <w:lang w:val="en-US" w:eastAsia="zh-CN" w:bidi="ar"/>
              </w:rPr>
              <w:t>工作任务</w:t>
            </w:r>
          </w:p>
        </w:tc>
        <w:tc>
          <w:tcPr>
            <w:tcW w:w="2509"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黑体" w:cs="黑体"/>
                <w:i w:val="0"/>
                <w:color w:val="auto"/>
                <w:kern w:val="21"/>
                <w:sz w:val="22"/>
                <w:szCs w:val="22"/>
                <w:u w:val="none"/>
              </w:rPr>
            </w:pPr>
            <w:r>
              <w:rPr>
                <w:rFonts w:hint="eastAsia" w:ascii="宋体" w:hAnsi="宋体" w:eastAsia="黑体" w:cs="黑体"/>
                <w:i w:val="0"/>
                <w:color w:val="auto"/>
                <w:kern w:val="21"/>
                <w:sz w:val="22"/>
                <w:szCs w:val="22"/>
                <w:u w:val="none"/>
                <w:lang w:val="en-US" w:eastAsia="zh-CN" w:bidi="ar"/>
              </w:rPr>
              <w:t>公开事项</w:t>
            </w:r>
          </w:p>
        </w:tc>
        <w:tc>
          <w:tcPr>
            <w:tcW w:w="818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黑体" w:cs="黑体"/>
                <w:i w:val="0"/>
                <w:color w:val="auto"/>
                <w:kern w:val="21"/>
                <w:sz w:val="22"/>
                <w:szCs w:val="22"/>
                <w:u w:val="none"/>
              </w:rPr>
            </w:pPr>
            <w:r>
              <w:rPr>
                <w:rFonts w:hint="eastAsia" w:ascii="宋体" w:hAnsi="宋体" w:eastAsia="黑体" w:cs="黑体"/>
                <w:i w:val="0"/>
                <w:color w:val="auto"/>
                <w:kern w:val="21"/>
                <w:sz w:val="22"/>
                <w:szCs w:val="22"/>
                <w:u w:val="none"/>
                <w:lang w:val="en-US" w:eastAsia="zh-CN" w:bidi="ar"/>
              </w:rPr>
              <w:t>具体要求</w:t>
            </w:r>
          </w:p>
        </w:tc>
        <w:tc>
          <w:tcPr>
            <w:tcW w:w="2699"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黑体" w:cs="黑体"/>
                <w:i w:val="0"/>
                <w:color w:val="auto"/>
                <w:kern w:val="21"/>
                <w:sz w:val="22"/>
                <w:szCs w:val="22"/>
                <w:u w:val="none"/>
              </w:rPr>
            </w:pPr>
            <w:r>
              <w:rPr>
                <w:rFonts w:hint="eastAsia" w:ascii="宋体" w:hAnsi="宋体" w:eastAsia="黑体" w:cs="黑体"/>
                <w:i w:val="0"/>
                <w:color w:val="auto"/>
                <w:kern w:val="21"/>
                <w:sz w:val="22"/>
                <w:szCs w:val="22"/>
                <w:u w:val="none"/>
                <w:lang w:val="en-US" w:eastAsia="zh-CN" w:bidi="ar"/>
              </w:rPr>
              <w:t>责任科室、单位</w:t>
            </w:r>
          </w:p>
        </w:tc>
      </w:tr>
      <w:tr>
        <w:tblPrEx>
          <w:shd w:val="clear" w:color="auto" w:fill="auto"/>
          <w:tblCellMar>
            <w:top w:w="0" w:type="dxa"/>
            <w:left w:w="0" w:type="dxa"/>
            <w:bottom w:w="0" w:type="dxa"/>
            <w:right w:w="0" w:type="dxa"/>
          </w:tblCellMar>
        </w:tblPrEx>
        <w:trPr>
          <w:trHeight w:val="288"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三大攻坚战</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污染防治</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按月发布全市环境空气质</w:t>
            </w:r>
            <w:r>
              <w:rPr>
                <w:rStyle w:val="6"/>
                <w:rFonts w:hint="eastAsia" w:ascii="宋体" w:hAnsi="宋体" w:eastAsia="宋体" w:cs="宋体"/>
                <w:color w:val="auto"/>
                <w:kern w:val="21"/>
                <w:sz w:val="24"/>
                <w:szCs w:val="24"/>
                <w:lang w:val="en-US" w:eastAsia="zh-CN" w:bidi="ar"/>
              </w:rPr>
              <w:t>量状况及各区市、开发区排名信</w:t>
            </w:r>
            <w:r>
              <w:rPr>
                <w:rStyle w:val="7"/>
                <w:rFonts w:hint="eastAsia" w:ascii="宋体" w:hAnsi="宋体" w:eastAsia="宋体" w:cs="宋体"/>
                <w:color w:val="auto"/>
                <w:kern w:val="21"/>
                <w:sz w:val="24"/>
                <w:szCs w:val="24"/>
                <w:lang w:val="en-US" w:eastAsia="zh-CN" w:bidi="ar"/>
              </w:rPr>
              <w:t>息</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市区环境监控中心</w:t>
            </w:r>
          </w:p>
        </w:tc>
      </w:tr>
      <w:tr>
        <w:tblPrEx>
          <w:shd w:val="clear" w:color="auto" w:fill="auto"/>
          <w:tblCellMar>
            <w:top w:w="0" w:type="dxa"/>
            <w:left w:w="0" w:type="dxa"/>
            <w:bottom w:w="0" w:type="dxa"/>
            <w:right w:w="0" w:type="dxa"/>
          </w:tblCellMar>
        </w:tblPrEx>
        <w:trPr>
          <w:trHeight w:val="362"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按季度公开饮用水水源水质状况</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山东省威海生态环境监测中心</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公开环境影响评价文件受理情况、拟作出的审批意见、审批决定等建设项目环境影响评价审批信息</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污染物排放总量控制科</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公开竣工环境保护验收申请受理情况、拟作出的验收意见、验收决定等建设项目竣工环保验收信息</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污染物排放总量控制科</w:t>
            </w:r>
          </w:p>
        </w:tc>
      </w:tr>
      <w:tr>
        <w:tblPrEx>
          <w:shd w:val="clear" w:color="auto" w:fill="auto"/>
          <w:tblCellMar>
            <w:top w:w="0" w:type="dxa"/>
            <w:left w:w="0" w:type="dxa"/>
            <w:bottom w:w="0" w:type="dxa"/>
            <w:right w:w="0" w:type="dxa"/>
          </w:tblCellMar>
        </w:tblPrEx>
        <w:trPr>
          <w:trHeight w:val="312"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2020年重点任务公开承诺事项</w:t>
            </w:r>
          </w:p>
        </w:tc>
        <w:tc>
          <w:tcPr>
            <w:tcW w:w="818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公开工作进展、取得成效、后续举措和落实情况</w:t>
            </w:r>
          </w:p>
        </w:tc>
        <w:tc>
          <w:tcPr>
            <w:tcW w:w="269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312"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6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r>
      <w:tr>
        <w:tblPrEx>
          <w:shd w:val="clear" w:color="auto" w:fill="auto"/>
          <w:tblCellMar>
            <w:top w:w="0" w:type="dxa"/>
            <w:left w:w="0" w:type="dxa"/>
            <w:bottom w:w="0" w:type="dxa"/>
            <w:right w:w="0" w:type="dxa"/>
          </w:tblCellMar>
        </w:tblPrEx>
        <w:trPr>
          <w:trHeight w:val="312"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重点领域</w:t>
            </w: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财政预决算</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预决算公开</w:t>
            </w:r>
          </w:p>
        </w:tc>
        <w:tc>
          <w:tcPr>
            <w:tcW w:w="818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设立统一的财政预决算信息公开平台或专栏，并对内容进行分类；及时公开预决算说明，预决算表格，全部细化到支出功能分类的项级科目，财政拨款安排的基本支出预决算细化到经济分类款级科目</w:t>
            </w:r>
          </w:p>
        </w:tc>
        <w:tc>
          <w:tcPr>
            <w:tcW w:w="269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财务审计科</w:t>
            </w:r>
          </w:p>
        </w:tc>
      </w:tr>
      <w:tr>
        <w:tblPrEx>
          <w:shd w:val="clear" w:color="auto" w:fill="auto"/>
          <w:tblCellMar>
            <w:top w:w="0" w:type="dxa"/>
            <w:left w:w="0" w:type="dxa"/>
            <w:bottom w:w="0" w:type="dxa"/>
            <w:right w:w="0" w:type="dxa"/>
          </w:tblCellMar>
        </w:tblPrEx>
        <w:trPr>
          <w:trHeight w:val="740"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6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r>
      <w:tr>
        <w:tblPrEx>
          <w:shd w:val="clear" w:color="auto" w:fill="auto"/>
          <w:tblCellMar>
            <w:top w:w="0" w:type="dxa"/>
            <w:left w:w="0" w:type="dxa"/>
            <w:bottom w:w="0" w:type="dxa"/>
            <w:right w:w="0" w:type="dxa"/>
          </w:tblCellMar>
        </w:tblPrEx>
        <w:trPr>
          <w:trHeight w:val="122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财政预决算</w:t>
            </w: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lang w:val="en-US" w:eastAsia="zh-CN" w:bidi="ar"/>
              </w:rPr>
            </w:pPr>
            <w:r>
              <w:rPr>
                <w:rFonts w:hint="eastAsia" w:ascii="宋体" w:hAnsi="宋体" w:eastAsia="宋体" w:cs="宋体"/>
                <w:i w:val="0"/>
                <w:color w:val="auto"/>
                <w:kern w:val="21"/>
                <w:sz w:val="24"/>
                <w:szCs w:val="24"/>
                <w:u w:val="none"/>
                <w:lang w:val="en-US" w:eastAsia="zh-CN" w:bidi="ar"/>
              </w:rPr>
              <w:t>“三公”</w:t>
            </w:r>
          </w:p>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经费预决算</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公开本部门“三公”经费预决算信息，说明“三公”经费增减原因，因公出国（境）费、公务车购置费、公务用车运行费，公务接待费；决算要细化说明因公出国（境）经费、组团数、人数，公务用车经费、购置数、保有量，公务接待经费、批次、人数等信息</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财务审计科</w:t>
            </w:r>
          </w:p>
        </w:tc>
      </w:tr>
      <w:tr>
        <w:tblPrEx>
          <w:shd w:val="clear" w:color="auto" w:fill="auto"/>
          <w:tblCellMar>
            <w:top w:w="0" w:type="dxa"/>
            <w:left w:w="0" w:type="dxa"/>
            <w:bottom w:w="0" w:type="dxa"/>
            <w:right w:w="0" w:type="dxa"/>
          </w:tblCellMar>
        </w:tblPrEx>
        <w:trPr>
          <w:trHeight w:val="288"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重点项目</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公开本部门重点项目文本、绩效目标和绩效评价结果</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财务审计科</w:t>
            </w:r>
          </w:p>
        </w:tc>
      </w:tr>
      <w:tr>
        <w:tblPrEx>
          <w:shd w:val="clear" w:color="auto" w:fill="auto"/>
          <w:tblCellMar>
            <w:top w:w="0" w:type="dxa"/>
            <w:left w:w="0" w:type="dxa"/>
            <w:bottom w:w="0" w:type="dxa"/>
            <w:right w:w="0" w:type="dxa"/>
          </w:tblCellMar>
        </w:tblPrEx>
        <w:trPr>
          <w:trHeight w:val="457"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“六稳”“六保”信息公开</w:t>
            </w:r>
          </w:p>
        </w:tc>
        <w:tc>
          <w:tcPr>
            <w:tcW w:w="250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发布政策措施</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全面阐释“六稳”工作政策举措及其效果，实时发布“六保”工作政策信息</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各科室、直属单位</w:t>
            </w:r>
          </w:p>
        </w:tc>
      </w:tr>
      <w:tr>
        <w:tblPrEx>
          <w:shd w:val="clear" w:color="auto" w:fill="auto"/>
          <w:tblCellMar>
            <w:top w:w="0" w:type="dxa"/>
            <w:left w:w="0" w:type="dxa"/>
            <w:bottom w:w="0" w:type="dxa"/>
            <w:right w:w="0" w:type="dxa"/>
          </w:tblCellMar>
        </w:tblPrEx>
        <w:trPr>
          <w:trHeight w:val="90"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解读回应</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坚持解读材料与政策文件“同步组织、同步审签、同步部署”，加强对政策背景、决策依据、出台目的、重要举措的解读，帮助企业群众用好用足政策，主要负责人带头解读政策每年不少于</w:t>
            </w:r>
            <w:r>
              <w:rPr>
                <w:rStyle w:val="8"/>
                <w:rFonts w:hint="eastAsia" w:ascii="宋体" w:hAnsi="宋体" w:eastAsia="宋体" w:cs="宋体"/>
                <w:color w:val="auto"/>
                <w:kern w:val="21"/>
                <w:sz w:val="24"/>
                <w:szCs w:val="24"/>
                <w:lang w:val="en-US" w:eastAsia="zh-CN" w:bidi="ar"/>
              </w:rPr>
              <w:t>1</w:t>
            </w:r>
            <w:r>
              <w:rPr>
                <w:rStyle w:val="6"/>
                <w:rFonts w:hint="eastAsia" w:ascii="宋体" w:hAnsi="宋体" w:eastAsia="宋体" w:cs="宋体"/>
                <w:color w:val="auto"/>
                <w:kern w:val="21"/>
                <w:sz w:val="24"/>
                <w:szCs w:val="24"/>
                <w:lang w:val="en-US" w:eastAsia="zh-CN" w:bidi="ar"/>
              </w:rPr>
              <w:t>次</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各科室、直属单位</w:t>
            </w:r>
          </w:p>
        </w:tc>
      </w:tr>
      <w:tr>
        <w:tblPrEx>
          <w:shd w:val="clear" w:color="auto" w:fill="auto"/>
          <w:tblCellMar>
            <w:top w:w="0" w:type="dxa"/>
            <w:left w:w="0" w:type="dxa"/>
            <w:bottom w:w="0" w:type="dxa"/>
            <w:right w:w="0" w:type="dxa"/>
          </w:tblCellMar>
        </w:tblPrEx>
        <w:trPr>
          <w:trHeight w:val="90"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落实政务舆情回应责任，增强回应的主动性、针对性、有效性，保持正确舆论导向，对经济社会发展热点、群众办事堵点痛点，要敢于直面问题，及时发出权威声音，主动回应社会关切，推动问题解决</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环境宣教中心牵头，各科室、直属单位配合</w:t>
            </w:r>
          </w:p>
        </w:tc>
      </w:tr>
      <w:tr>
        <w:tblPrEx>
          <w:shd w:val="clear" w:color="auto" w:fill="auto"/>
          <w:tblCellMar>
            <w:top w:w="0" w:type="dxa"/>
            <w:left w:w="0" w:type="dxa"/>
            <w:bottom w:w="0" w:type="dxa"/>
            <w:right w:w="0" w:type="dxa"/>
          </w:tblCellMar>
        </w:tblPrEx>
        <w:trPr>
          <w:trHeight w:val="1152"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决策公开</w:t>
            </w: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重大行政决策公开</w:t>
            </w: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意见征集</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发布决策依据、决策草案，并提供意见反馈渠道，广泛征求公众意见，公开征求意见一般不少于</w:t>
            </w:r>
            <w:r>
              <w:rPr>
                <w:rStyle w:val="9"/>
                <w:rFonts w:hint="eastAsia" w:ascii="宋体" w:hAnsi="宋体" w:eastAsia="宋体" w:cs="宋体"/>
                <w:color w:val="auto"/>
                <w:kern w:val="21"/>
                <w:sz w:val="24"/>
                <w:szCs w:val="24"/>
                <w:lang w:val="en-US" w:eastAsia="zh-CN" w:bidi="ar"/>
              </w:rPr>
              <w:t>30</w:t>
            </w:r>
            <w:r>
              <w:rPr>
                <w:rStyle w:val="7"/>
                <w:rFonts w:hint="eastAsia" w:ascii="宋体" w:hAnsi="宋体" w:eastAsia="宋体" w:cs="宋体"/>
                <w:color w:val="auto"/>
                <w:kern w:val="21"/>
                <w:sz w:val="24"/>
                <w:szCs w:val="24"/>
                <w:lang w:val="en-US" w:eastAsia="zh-CN" w:bidi="ar"/>
              </w:rPr>
              <w:t>日，制定与企业生产经营密切相关的地方性法规文件，充分听取企业家、行业协会商会意见；需要听证的，按要求召开听证会</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各科室、直属单位</w:t>
            </w:r>
          </w:p>
        </w:tc>
      </w:tr>
      <w:tr>
        <w:tblPrEx>
          <w:shd w:val="clear" w:color="auto" w:fill="auto"/>
          <w:tblCellMar>
            <w:top w:w="0" w:type="dxa"/>
            <w:left w:w="0" w:type="dxa"/>
            <w:bottom w:w="0" w:type="dxa"/>
            <w:right w:w="0" w:type="dxa"/>
          </w:tblCellMar>
        </w:tblPrEx>
        <w:trPr>
          <w:trHeight w:val="288"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结果反馈</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及时反馈意见收集情况、意见采纳情况和未予采纳的理由</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各科室、直属单位</w:t>
            </w:r>
          </w:p>
        </w:tc>
      </w:tr>
      <w:tr>
        <w:tblPrEx>
          <w:shd w:val="clear" w:color="auto" w:fill="auto"/>
          <w:tblCellMar>
            <w:top w:w="0" w:type="dxa"/>
            <w:left w:w="0" w:type="dxa"/>
            <w:bottom w:w="0" w:type="dxa"/>
            <w:right w:w="0" w:type="dxa"/>
          </w:tblCellMar>
        </w:tblPrEx>
        <w:trPr>
          <w:trHeight w:val="359"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会议公开</w:t>
            </w: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会议议题</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常态化公开部门办公会议议题，并邀请利益相关方等列席</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185"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议定事项</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及时公开会议议定事项并解读</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扩大社会参与和监督</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开展政府开放日、网络问政、电视问政等多形式的公众参与和监督活动</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政策文件</w:t>
            </w: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栏目建设</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设置政策文件专门栏目，提供多种形式的分类或高级查询</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办公室牵头，市机动车排气监控中心</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政策文件</w:t>
            </w: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公开形式</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围绕社会热点整合梳理形成政策汇编、政策库或政策专题</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规范性文件</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按季度发布规范性文件备案信息，及时公开政府规章和规范性文件清理情况</w:t>
            </w:r>
          </w:p>
        </w:tc>
        <w:tc>
          <w:tcPr>
            <w:tcW w:w="269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应急与督查科牵头，各科室、直属单位配合</w:t>
            </w:r>
          </w:p>
        </w:tc>
      </w:tr>
      <w:tr>
        <w:tblPrEx>
          <w:shd w:val="clear" w:color="auto" w:fill="auto"/>
          <w:tblCellMar>
            <w:top w:w="0" w:type="dxa"/>
            <w:left w:w="0" w:type="dxa"/>
            <w:bottom w:w="0" w:type="dxa"/>
            <w:right w:w="0" w:type="dxa"/>
          </w:tblCellMar>
        </w:tblPrEx>
        <w:trPr>
          <w:trHeight w:val="288"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在清理完成的规范性文件上标注“失效”“废止”等字样</w:t>
            </w:r>
          </w:p>
        </w:tc>
        <w:tc>
          <w:tcPr>
            <w:tcW w:w="26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r>
      <w:tr>
        <w:tblPrEx>
          <w:shd w:val="clear" w:color="auto" w:fill="auto"/>
          <w:tblCellMar>
            <w:top w:w="0" w:type="dxa"/>
            <w:left w:w="0" w:type="dxa"/>
            <w:bottom w:w="0" w:type="dxa"/>
            <w:right w:w="0" w:type="dxa"/>
          </w:tblCellMar>
        </w:tblPrEx>
        <w:trPr>
          <w:trHeight w:val="864"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管理和服务公开</w:t>
            </w: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权责清单</w:t>
            </w: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清单目录</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全面梳理编写公布各级政府行政机关机构职能目录，更新完善权责清单</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污染物排放总量控制科牵头，各科室、直属单位配合</w:t>
            </w:r>
          </w:p>
        </w:tc>
      </w:tr>
      <w:tr>
        <w:tblPrEx>
          <w:shd w:val="clear" w:color="auto" w:fill="auto"/>
          <w:tblCellMar>
            <w:top w:w="0" w:type="dxa"/>
            <w:left w:w="0" w:type="dxa"/>
            <w:bottom w:w="0" w:type="dxa"/>
            <w:right w:w="0" w:type="dxa"/>
          </w:tblCellMar>
        </w:tblPrEx>
        <w:trPr>
          <w:trHeight w:val="86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动态调整</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对权责清单实行动态管理，统一规范权责事项名称、类型、设定依据、编码等要素，并向社会公布</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污染物排放总量控制科牵头，各科室、直属单位配合</w:t>
            </w:r>
          </w:p>
        </w:tc>
      </w:tr>
      <w:tr>
        <w:tblPrEx>
          <w:shd w:val="clear" w:color="auto" w:fill="auto"/>
          <w:tblCellMar>
            <w:top w:w="0" w:type="dxa"/>
            <w:left w:w="0" w:type="dxa"/>
            <w:bottom w:w="0" w:type="dxa"/>
            <w:right w:w="0" w:type="dxa"/>
          </w:tblCellMar>
        </w:tblPrEx>
        <w:trPr>
          <w:trHeight w:val="920"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“双随机、一公开”监管</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随机抽查事项清单抽查情况和查处结果</w:t>
            </w:r>
          </w:p>
        </w:tc>
        <w:tc>
          <w:tcPr>
            <w:tcW w:w="818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全面公开市场监管规则和标准，及时发布本部门随机抽查事项清单，涵盖抽查依据、对象、内容、方式、比例和频次等信息</w:t>
            </w:r>
          </w:p>
        </w:tc>
        <w:tc>
          <w:tcPr>
            <w:tcW w:w="269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生态环境综合执法支队</w:t>
            </w:r>
          </w:p>
        </w:tc>
      </w:tr>
      <w:tr>
        <w:tblPrEx>
          <w:shd w:val="clear" w:color="auto" w:fill="auto"/>
          <w:tblCellMar>
            <w:top w:w="0" w:type="dxa"/>
            <w:left w:w="0" w:type="dxa"/>
            <w:bottom w:w="0" w:type="dxa"/>
            <w:right w:w="0" w:type="dxa"/>
          </w:tblCellMar>
        </w:tblPrEx>
        <w:trPr>
          <w:trHeight w:val="312"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6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r>
      <w:tr>
        <w:tblPrEx>
          <w:shd w:val="clear" w:color="auto" w:fill="auto"/>
          <w:tblCellMar>
            <w:top w:w="0" w:type="dxa"/>
            <w:left w:w="0" w:type="dxa"/>
            <w:bottom w:w="0" w:type="dxa"/>
            <w:right w:w="0" w:type="dxa"/>
          </w:tblCellMar>
        </w:tblPrEx>
        <w:trPr>
          <w:trHeight w:val="312"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集中公开抽取情况和抽查结果，并按相关规定公开对抽查发现的违法违规行为的查处结果</w:t>
            </w:r>
          </w:p>
        </w:tc>
        <w:tc>
          <w:tcPr>
            <w:tcW w:w="269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生态环境综合执法支队</w:t>
            </w:r>
          </w:p>
        </w:tc>
      </w:tr>
      <w:tr>
        <w:tblPrEx>
          <w:shd w:val="clear" w:color="auto" w:fill="auto"/>
          <w:tblCellMar>
            <w:top w:w="0" w:type="dxa"/>
            <w:left w:w="0" w:type="dxa"/>
            <w:bottom w:w="0" w:type="dxa"/>
            <w:right w:w="0" w:type="dxa"/>
          </w:tblCellMar>
        </w:tblPrEx>
        <w:trPr>
          <w:trHeight w:val="312"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6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行政执法</w:t>
            </w: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事前公开</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统筹公开本机关权责清单、随机抽查事项清单、“一次办好”事项清单、服务指南和执法流程图，并动态调整</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生态环境综合执法支队牵头、污染物排放总量控制科配合</w:t>
            </w:r>
          </w:p>
        </w:tc>
      </w:tr>
      <w:tr>
        <w:tblPrEx>
          <w:shd w:val="clear" w:color="auto" w:fill="auto"/>
          <w:tblCellMar>
            <w:top w:w="0" w:type="dxa"/>
            <w:left w:w="0" w:type="dxa"/>
            <w:bottom w:w="0" w:type="dxa"/>
            <w:right w:w="0" w:type="dxa"/>
          </w:tblCellMar>
        </w:tblPrEx>
        <w:trPr>
          <w:trHeight w:val="86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公示制度</w:t>
            </w: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事后公开</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作出执法决定之日起</w:t>
            </w:r>
            <w:r>
              <w:rPr>
                <w:rStyle w:val="9"/>
                <w:rFonts w:hint="eastAsia" w:ascii="宋体" w:hAnsi="宋体" w:eastAsia="宋体" w:cs="宋体"/>
                <w:color w:val="auto"/>
                <w:kern w:val="21"/>
                <w:sz w:val="24"/>
                <w:szCs w:val="24"/>
                <w:lang w:val="en-US" w:eastAsia="zh-CN" w:bidi="ar"/>
              </w:rPr>
              <w:t>20</w:t>
            </w:r>
            <w:r>
              <w:rPr>
                <w:rStyle w:val="7"/>
                <w:rFonts w:hint="eastAsia" w:ascii="宋体" w:hAnsi="宋体" w:eastAsia="宋体" w:cs="宋体"/>
                <w:color w:val="auto"/>
                <w:kern w:val="21"/>
                <w:sz w:val="24"/>
                <w:szCs w:val="24"/>
                <w:lang w:val="en-US" w:eastAsia="zh-CN" w:bidi="ar"/>
              </w:rPr>
              <w:t>个工作日内公示执法决定信息，行政许可、行政处罚决定信息要在</w:t>
            </w:r>
            <w:r>
              <w:rPr>
                <w:rStyle w:val="9"/>
                <w:rFonts w:hint="eastAsia" w:ascii="宋体" w:hAnsi="宋体" w:eastAsia="宋体" w:cs="宋体"/>
                <w:color w:val="auto"/>
                <w:kern w:val="21"/>
                <w:sz w:val="24"/>
                <w:szCs w:val="24"/>
                <w:lang w:val="en-US" w:eastAsia="zh-CN" w:bidi="ar"/>
              </w:rPr>
              <w:t>7</w:t>
            </w:r>
            <w:r>
              <w:rPr>
                <w:rStyle w:val="7"/>
                <w:rFonts w:hint="eastAsia" w:ascii="宋体" w:hAnsi="宋体" w:eastAsia="宋体" w:cs="宋体"/>
                <w:color w:val="auto"/>
                <w:kern w:val="21"/>
                <w:sz w:val="24"/>
                <w:szCs w:val="24"/>
                <w:lang w:val="en-US" w:eastAsia="zh-CN" w:bidi="ar"/>
              </w:rPr>
              <w:t>个工作日内公开（另有规定的除外）</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生态环境综合执法支队</w:t>
            </w:r>
          </w:p>
        </w:tc>
      </w:tr>
      <w:tr>
        <w:tblPrEx>
          <w:shd w:val="clear" w:color="auto" w:fill="auto"/>
          <w:tblCellMar>
            <w:top w:w="0" w:type="dxa"/>
            <w:left w:w="0" w:type="dxa"/>
            <w:bottom w:w="0" w:type="dxa"/>
            <w:right w:w="0" w:type="dxa"/>
          </w:tblCellMar>
        </w:tblPrEx>
        <w:trPr>
          <w:trHeight w:val="860"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社会信用体系</w:t>
            </w:r>
          </w:p>
        </w:tc>
        <w:tc>
          <w:tcPr>
            <w:tcW w:w="1319"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信用信息“双公示”</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作出决定之日起</w:t>
            </w:r>
            <w:r>
              <w:rPr>
                <w:rStyle w:val="9"/>
                <w:rFonts w:hint="eastAsia" w:ascii="宋体" w:hAnsi="宋体" w:eastAsia="宋体" w:cs="宋体"/>
                <w:color w:val="auto"/>
                <w:kern w:val="21"/>
                <w:sz w:val="24"/>
                <w:szCs w:val="24"/>
                <w:lang w:val="en-US" w:eastAsia="zh-CN" w:bidi="ar"/>
              </w:rPr>
              <w:t>7</w:t>
            </w:r>
            <w:r>
              <w:rPr>
                <w:rStyle w:val="7"/>
                <w:rFonts w:hint="eastAsia" w:ascii="宋体" w:hAnsi="宋体" w:eastAsia="宋体" w:cs="宋体"/>
                <w:color w:val="auto"/>
                <w:kern w:val="21"/>
                <w:sz w:val="24"/>
                <w:szCs w:val="24"/>
                <w:lang w:val="en-US" w:eastAsia="zh-CN" w:bidi="ar"/>
              </w:rPr>
              <w:t>个工作日内公示（另有规定的除外）</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生态环境综合执法支队</w:t>
            </w:r>
          </w:p>
        </w:tc>
      </w:tr>
      <w:tr>
        <w:tblPrEx>
          <w:shd w:val="clear" w:color="auto" w:fill="auto"/>
          <w:tblCellMar>
            <w:top w:w="0" w:type="dxa"/>
            <w:left w:w="0" w:type="dxa"/>
            <w:bottom w:w="0" w:type="dxa"/>
            <w:right w:w="0" w:type="dxa"/>
          </w:tblCellMar>
        </w:tblPrEx>
        <w:trPr>
          <w:trHeight w:val="312"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信用“红黑名单”</w:t>
            </w:r>
          </w:p>
        </w:tc>
        <w:tc>
          <w:tcPr>
            <w:tcW w:w="818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通过政府门户网站、本区域信用网站发布信用“红黑名单”，公布相关主体的基本信息、列入名单的事由、相关主体受到联合奖惩、信用修复、退出名单的相关情况等名单内容</w:t>
            </w:r>
          </w:p>
        </w:tc>
        <w:tc>
          <w:tcPr>
            <w:tcW w:w="269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生态环境综合执法支队</w:t>
            </w:r>
          </w:p>
        </w:tc>
      </w:tr>
      <w:tr>
        <w:tblPrEx>
          <w:shd w:val="clear" w:color="auto" w:fill="auto"/>
          <w:tblCellMar>
            <w:top w:w="0" w:type="dxa"/>
            <w:left w:w="0" w:type="dxa"/>
            <w:bottom w:w="0" w:type="dxa"/>
            <w:right w:w="0" w:type="dxa"/>
          </w:tblCellMar>
        </w:tblPrEx>
        <w:trPr>
          <w:trHeight w:val="312"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6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r>
      <w:tr>
        <w:tblPrEx>
          <w:shd w:val="clear" w:color="auto" w:fill="auto"/>
          <w:tblCellMar>
            <w:top w:w="0" w:type="dxa"/>
            <w:left w:w="0" w:type="dxa"/>
            <w:bottom w:w="0" w:type="dxa"/>
            <w:right w:w="0" w:type="dxa"/>
          </w:tblCellMar>
        </w:tblPrEx>
        <w:trPr>
          <w:trHeight w:val="735"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政务服务事项</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继续做好全省统一的三级政务服务事项标准化实施清单公开工作</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污染物排放总量控制科牵头，各科室、直属单位配合</w:t>
            </w:r>
          </w:p>
        </w:tc>
      </w:tr>
      <w:tr>
        <w:tblPrEx>
          <w:shd w:val="clear" w:color="auto" w:fill="auto"/>
          <w:tblCellMar>
            <w:top w:w="0" w:type="dxa"/>
            <w:left w:w="0" w:type="dxa"/>
            <w:bottom w:w="0" w:type="dxa"/>
            <w:right w:w="0" w:type="dxa"/>
          </w:tblCellMar>
        </w:tblPrEx>
        <w:trPr>
          <w:trHeight w:val="86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做好政务服务“一网通办”、政务大厅“一窗受理”、民生服务“一链办理”、重点高频民生事项“掌上办”等方面信息公开</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污染物排放总量控制科牵头，各科室、直属单位配合</w:t>
            </w:r>
          </w:p>
        </w:tc>
      </w:tr>
      <w:tr>
        <w:tblPrEx>
          <w:shd w:val="clear" w:color="auto" w:fill="auto"/>
          <w:tblCellMar>
            <w:top w:w="0" w:type="dxa"/>
            <w:left w:w="0" w:type="dxa"/>
            <w:bottom w:w="0" w:type="dxa"/>
            <w:right w:w="0" w:type="dxa"/>
          </w:tblCellMar>
        </w:tblPrEx>
        <w:trPr>
          <w:trHeight w:val="86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在政务服务大厅、便民服务中心等场所设立政务公开专区，公开政务服务事项，并提供政府信息公开申请、办事咨询答复等服务</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污染物排放总量控制科牵头，各科室、直属单位配合</w:t>
            </w:r>
          </w:p>
        </w:tc>
      </w:tr>
      <w:tr>
        <w:tblPrEx>
          <w:shd w:val="clear" w:color="auto" w:fill="auto"/>
          <w:tblCellMar>
            <w:top w:w="0" w:type="dxa"/>
            <w:left w:w="0" w:type="dxa"/>
            <w:bottom w:w="0" w:type="dxa"/>
            <w:right w:w="0" w:type="dxa"/>
          </w:tblCellMar>
        </w:tblPrEx>
        <w:trPr>
          <w:trHeight w:val="397"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建立健全政务服务“好差评”制度，定期公开政务服务情况、企业群众评价和差评处理结果</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污染物排放总量控制科牵头，各科室、直属单位配合</w:t>
            </w:r>
          </w:p>
        </w:tc>
      </w:tr>
      <w:tr>
        <w:tblPrEx>
          <w:shd w:val="clear" w:color="auto" w:fill="auto"/>
          <w:tblCellMar>
            <w:top w:w="0" w:type="dxa"/>
            <w:left w:w="0" w:type="dxa"/>
            <w:bottom w:w="0" w:type="dxa"/>
            <w:right w:w="0" w:type="dxa"/>
          </w:tblCellMar>
        </w:tblPrEx>
        <w:trPr>
          <w:trHeight w:val="625"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推进执行和结果公开</w:t>
            </w:r>
          </w:p>
        </w:tc>
        <w:tc>
          <w:tcPr>
            <w:tcW w:w="1190" w:type="dxa"/>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重要部署执行公开</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政府工作报告重点任务、民生实</w:t>
            </w:r>
            <w:bookmarkStart w:id="0" w:name="_GoBack"/>
            <w:bookmarkEnd w:id="0"/>
            <w:r>
              <w:rPr>
                <w:rFonts w:hint="eastAsia" w:ascii="宋体" w:hAnsi="宋体" w:eastAsia="宋体" w:cs="宋体"/>
                <w:i w:val="0"/>
                <w:color w:val="auto"/>
                <w:kern w:val="21"/>
                <w:sz w:val="24"/>
                <w:szCs w:val="24"/>
                <w:u w:val="none"/>
                <w:lang w:val="en-US" w:eastAsia="zh-CN" w:bidi="ar"/>
              </w:rPr>
              <w:t>事项目执行情况</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执行措施、实施步骤、责任分工、监督方式</w:t>
            </w:r>
          </w:p>
        </w:tc>
        <w:tc>
          <w:tcPr>
            <w:tcW w:w="269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90"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left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定期公开工作进展、取得成效、后续举措等</w:t>
            </w:r>
          </w:p>
        </w:tc>
        <w:tc>
          <w:tcPr>
            <w:tcW w:w="26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r>
      <w:tr>
        <w:tblPrEx>
          <w:shd w:val="clear" w:color="auto" w:fill="auto"/>
          <w:tblCellMar>
            <w:top w:w="0" w:type="dxa"/>
            <w:left w:w="0" w:type="dxa"/>
            <w:bottom w:w="0" w:type="dxa"/>
            <w:right w:w="0" w:type="dxa"/>
          </w:tblCellMar>
        </w:tblPrEx>
        <w:trPr>
          <w:trHeight w:val="497"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left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督查发现问题及整改落实</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公布督查发现问题及整改落实情况</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135"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left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执行效果评估</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建立重大行政决策执行效果评估跟踪反馈和后评估机制，跟踪重大行政决策实施情况，开展决策执行效果评估并向社会公开</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应急与督查科牵头，各科室、直属单位配合</w:t>
            </w:r>
          </w:p>
        </w:tc>
      </w:tr>
      <w:tr>
        <w:tblPrEx>
          <w:shd w:val="clear" w:color="auto" w:fill="auto"/>
          <w:tblCellMar>
            <w:top w:w="0" w:type="dxa"/>
            <w:left w:w="0" w:type="dxa"/>
            <w:bottom w:w="0" w:type="dxa"/>
            <w:right w:w="0" w:type="dxa"/>
          </w:tblCellMar>
        </w:tblPrEx>
        <w:trPr>
          <w:trHeight w:val="312"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190" w:type="dxa"/>
            <w:vMerge w:val="continue"/>
            <w:tcBorders>
              <w:left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办理结果</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公开建议提案办理复文全文或摘要，发布建议提案办理的总体情况、人大代表和政协委员意见建议吸收采纳情况，以及有关工作动态等内容</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基层政务公开标准化规范化</w:t>
            </w:r>
          </w:p>
        </w:tc>
        <w:tc>
          <w:tcPr>
            <w:tcW w:w="250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推进基层政务公开</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全面梳理细化相关领域政务公开事项，</w:t>
            </w:r>
            <w:r>
              <w:rPr>
                <w:rStyle w:val="9"/>
                <w:rFonts w:hint="eastAsia" w:ascii="宋体" w:hAnsi="宋体" w:eastAsia="宋体" w:cs="宋体"/>
                <w:color w:val="auto"/>
                <w:kern w:val="21"/>
                <w:sz w:val="24"/>
                <w:szCs w:val="24"/>
                <w:lang w:val="en-US" w:eastAsia="zh-CN" w:bidi="ar"/>
              </w:rPr>
              <w:t>2020</w:t>
            </w:r>
            <w:r>
              <w:rPr>
                <w:rStyle w:val="7"/>
                <w:rFonts w:hint="eastAsia" w:ascii="宋体" w:hAnsi="宋体" w:eastAsia="宋体" w:cs="宋体"/>
                <w:color w:val="auto"/>
                <w:kern w:val="21"/>
                <w:sz w:val="24"/>
                <w:szCs w:val="24"/>
                <w:lang w:val="en-US" w:eastAsia="zh-CN" w:bidi="ar"/>
              </w:rPr>
              <w:t>年</w:t>
            </w:r>
            <w:r>
              <w:rPr>
                <w:rStyle w:val="9"/>
                <w:rFonts w:hint="eastAsia" w:ascii="宋体" w:hAnsi="宋体" w:eastAsia="宋体" w:cs="宋体"/>
                <w:color w:val="auto"/>
                <w:kern w:val="21"/>
                <w:sz w:val="24"/>
                <w:szCs w:val="24"/>
                <w:lang w:val="en-US" w:eastAsia="zh-CN" w:bidi="ar"/>
              </w:rPr>
              <w:t>9</w:t>
            </w:r>
            <w:r>
              <w:rPr>
                <w:rStyle w:val="7"/>
                <w:rFonts w:hint="eastAsia" w:ascii="宋体" w:hAnsi="宋体" w:eastAsia="宋体" w:cs="宋体"/>
                <w:color w:val="auto"/>
                <w:kern w:val="21"/>
                <w:sz w:val="24"/>
                <w:szCs w:val="24"/>
                <w:lang w:val="en-US" w:eastAsia="zh-CN" w:bidi="ar"/>
              </w:rPr>
              <w:t>月底前编制完成本级政务公开事项标准目录，并通过政府网站向社会公布</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86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restart"/>
            <w:tcBorders>
              <w:top w:val="single" w:color="000000" w:sz="4" w:space="0"/>
              <w:left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标准化规范化建设</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市级指导部门要积极履行业务指导责任，为本系统基层单位提供有力支持；各级标准化主管部门要发挥专业优势，协助做好标准目录编制指导工作</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把推进基层政务公开标准化规范化作为评价政务公开工作成效的重要内容，列入绩效考核指标体系</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1071"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规范政府信息公开专栏设置</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将政府网站政府信息公开专栏统一设置并命名为“政府信息公开”，在网站首页位置展示，专栏需涵盖政府信息公开指南、政府信息公开制度、法定主动公开内容和政府信息公开工作年度报告四部分，页面设计根据中国政府网运行中心的参考方案实施</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按照《中华人民共和国政府信息公开条例》和上级要求，及时调整和落实法定主动公开内容</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702"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规范依申请公开工作</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注重程序规范和实体规范，推动依申请办理的程序化、规范化、标准化，完善疑难件办理的会商机制，加强与相关部门的会商，提高答复精准度</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93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落实《威海市人民政府办公室关于进一步加强和规范政府信息依申请公开协助调查办理工作的通知》要求，提高协查的准确性、及时性和全面性，防止出现因协查不力而引发被纠错和败诉的情况</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659"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做好依申请公开接收、登记、办理、调查、答复等各环节工作，积极探索依申请办理的新做法，总结新经验，不断提升工作实效</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政务信息管理和平台建设</w:t>
            </w:r>
          </w:p>
        </w:tc>
        <w:tc>
          <w:tcPr>
            <w:tcW w:w="25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全链条加强政务信息管理</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建立完善政务信息制作、获取、保存、处理等方面的制度，对政务信息进行全生命周期的规范管理</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60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建立法律、法规、规章、规范性文件等集中发布平台，并根据立改废情况动态调整更新</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应急与督查牵头，各科室、直属单位配合</w:t>
            </w:r>
          </w:p>
        </w:tc>
      </w:tr>
      <w:tr>
        <w:tblPrEx>
          <w:shd w:val="clear" w:color="auto" w:fill="auto"/>
          <w:tblCellMar>
            <w:top w:w="0" w:type="dxa"/>
            <w:left w:w="0" w:type="dxa"/>
            <w:bottom w:w="0" w:type="dxa"/>
            <w:right w:w="0" w:type="dxa"/>
          </w:tblCellMar>
        </w:tblPrEx>
        <w:trPr>
          <w:trHeight w:val="864"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政务信息管理和平台建设</w:t>
            </w:r>
          </w:p>
        </w:tc>
        <w:tc>
          <w:tcPr>
            <w:tcW w:w="25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网站集约化建设</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按要求做好政府网站重点领域信息公开、政策解读、公众参与、建议提案办理、会议公开等专栏建设和内容维护，聚焦法定主动公开内容，创新政务公开多元展现模式</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完成</w:t>
            </w:r>
            <w:r>
              <w:rPr>
                <w:rStyle w:val="9"/>
                <w:rFonts w:hint="eastAsia" w:ascii="宋体" w:hAnsi="宋体" w:eastAsia="宋体" w:cs="宋体"/>
                <w:color w:val="auto"/>
                <w:kern w:val="21"/>
                <w:sz w:val="24"/>
                <w:szCs w:val="24"/>
                <w:lang w:val="en-US" w:eastAsia="zh-CN" w:bidi="ar"/>
              </w:rPr>
              <w:t>IPv6</w:t>
            </w:r>
            <w:r>
              <w:rPr>
                <w:rStyle w:val="7"/>
                <w:rFonts w:hint="eastAsia" w:ascii="宋体" w:hAnsi="宋体" w:eastAsia="宋体" w:cs="宋体"/>
                <w:color w:val="auto"/>
                <w:kern w:val="21"/>
                <w:sz w:val="24"/>
                <w:szCs w:val="24"/>
                <w:lang w:val="en-US" w:eastAsia="zh-CN" w:bidi="ar"/>
              </w:rPr>
              <w:t>升级改造，市级以上政府门户网站全面支持</w:t>
            </w:r>
            <w:r>
              <w:rPr>
                <w:rStyle w:val="9"/>
                <w:rFonts w:hint="eastAsia" w:ascii="宋体" w:hAnsi="宋体" w:eastAsia="宋体" w:cs="宋体"/>
                <w:color w:val="auto"/>
                <w:kern w:val="21"/>
                <w:sz w:val="24"/>
                <w:szCs w:val="24"/>
                <w:lang w:val="en-US" w:eastAsia="zh-CN" w:bidi="ar"/>
              </w:rPr>
              <w:t>IPv6</w:t>
            </w:r>
            <w:r>
              <w:rPr>
                <w:rStyle w:val="7"/>
                <w:rFonts w:hint="eastAsia" w:ascii="宋体" w:hAnsi="宋体" w:eastAsia="宋体" w:cs="宋体"/>
                <w:color w:val="auto"/>
                <w:kern w:val="21"/>
                <w:sz w:val="24"/>
                <w:szCs w:val="24"/>
                <w:lang w:val="en-US" w:eastAsia="zh-CN" w:bidi="ar"/>
              </w:rPr>
              <w:t>访问接入，加强各级政府网站无障碍访问能力建设</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市机动车排气监控中心</w:t>
            </w:r>
          </w:p>
        </w:tc>
      </w:tr>
      <w:tr>
        <w:tblPrEx>
          <w:shd w:val="clear" w:color="auto" w:fill="auto"/>
          <w:tblCellMar>
            <w:top w:w="0" w:type="dxa"/>
            <w:left w:w="0" w:type="dxa"/>
            <w:bottom w:w="0" w:type="dxa"/>
            <w:right w:w="0" w:type="dxa"/>
          </w:tblCellMar>
        </w:tblPrEx>
        <w:trPr>
          <w:trHeight w:val="86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政务新媒体</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加快各级各部门政务新媒体的清理整合进度，严格内容发布审核制度，严把政治关、法律关、保密关、文字关，统筹推进政务新媒体与政府网站的协同联动、融合发展</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市环境宣教信息中心牵头，各科室、直属单位配合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积极报送“政务公开看山东”稿件，各科室、直属单位每年不少于</w:t>
            </w:r>
            <w:r>
              <w:rPr>
                <w:rStyle w:val="8"/>
                <w:rFonts w:hint="eastAsia" w:ascii="宋体" w:hAnsi="宋体" w:eastAsia="宋体" w:cs="宋体"/>
                <w:color w:val="auto"/>
                <w:kern w:val="21"/>
                <w:sz w:val="24"/>
                <w:szCs w:val="24"/>
                <w:lang w:val="en-US" w:eastAsia="zh-CN" w:bidi="ar"/>
              </w:rPr>
              <w:t>1</w:t>
            </w:r>
            <w:r>
              <w:rPr>
                <w:rStyle w:val="6"/>
                <w:rFonts w:hint="eastAsia" w:ascii="宋体" w:hAnsi="宋体" w:eastAsia="宋体" w:cs="宋体"/>
                <w:color w:val="auto"/>
                <w:kern w:val="21"/>
                <w:sz w:val="24"/>
                <w:szCs w:val="24"/>
                <w:lang w:val="en-US" w:eastAsia="zh-CN" w:bidi="ar"/>
              </w:rPr>
              <w:t>篇</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各科室、直属单位配合</w:t>
            </w:r>
          </w:p>
        </w:tc>
      </w:tr>
      <w:tr>
        <w:tblPrEx>
          <w:shd w:val="clear" w:color="auto" w:fill="auto"/>
          <w:tblCellMar>
            <w:top w:w="0" w:type="dxa"/>
            <w:left w:w="0" w:type="dxa"/>
            <w:bottom w:w="0" w:type="dxa"/>
            <w:right w:w="0" w:type="dxa"/>
          </w:tblCellMar>
        </w:tblPrEx>
        <w:trPr>
          <w:trHeight w:val="760"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新闻媒体平台</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加强与宣传、网信等部门以及新闻媒体的沟通联系，充分运用广播、电视、报纸、新闻网站等各级各类新闻媒体资源，做好政务公开工作</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市环境宣教信息中心牵头，各科室、直属单位配合</w:t>
            </w:r>
          </w:p>
        </w:tc>
      </w:tr>
      <w:tr>
        <w:tblPrEx>
          <w:shd w:val="clear" w:color="auto" w:fill="auto"/>
          <w:tblCellMar>
            <w:top w:w="0" w:type="dxa"/>
            <w:left w:w="0" w:type="dxa"/>
            <w:bottom w:w="0" w:type="dxa"/>
            <w:right w:w="0" w:type="dxa"/>
          </w:tblCellMar>
        </w:tblPrEx>
        <w:trPr>
          <w:trHeight w:val="263"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新闻发布会</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充分发挥新闻发布会作用，增强政府信息发布的主动性、权威性</w:t>
            </w:r>
            <w:r>
              <w:rPr>
                <w:rStyle w:val="6"/>
                <w:rFonts w:hint="eastAsia" w:ascii="宋体" w:hAnsi="宋体" w:eastAsia="宋体" w:cs="宋体"/>
                <w:color w:val="auto"/>
                <w:kern w:val="21"/>
                <w:sz w:val="24"/>
                <w:szCs w:val="24"/>
                <w:lang w:val="en-US" w:eastAsia="zh-CN" w:bidi="ar"/>
              </w:rPr>
              <w:t>和时效性。</w:t>
            </w:r>
            <w:r>
              <w:rPr>
                <w:rStyle w:val="7"/>
                <w:rFonts w:hint="eastAsia" w:ascii="宋体" w:hAnsi="宋体" w:eastAsia="宋体" w:cs="宋体"/>
                <w:color w:val="auto"/>
                <w:kern w:val="21"/>
                <w:sz w:val="24"/>
                <w:szCs w:val="24"/>
                <w:lang w:val="en-US" w:eastAsia="zh-CN" w:bidi="ar"/>
              </w:rPr>
              <w:t>通过主动向媒体提供素材，召开媒体通气会，推荐掌握相关政策、熟悉相关领域业务的专家学者接受媒体访谈等方式，畅通媒体采访渠道，更好发挥新闻媒体的公开平台作用</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市环境宣教信息中心牵头，各科室、直属单位配合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强化组织管理和基础工作</w:t>
            </w:r>
          </w:p>
        </w:tc>
        <w:tc>
          <w:tcPr>
            <w:tcW w:w="25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加强组织领导</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高度重视政务公开工作，整合力量，进一步理顺完善领导体制、工作机制，明确专门工作机构，配齐配强专职工作人员</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强化各级各部门办公室政务公开主管部门职责，加大组织协调、指导推进、监督检查力度</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w:t>
            </w:r>
          </w:p>
        </w:tc>
      </w:tr>
      <w:tr>
        <w:tblPrEx>
          <w:shd w:val="clear" w:color="auto" w:fill="auto"/>
          <w:tblCellMar>
            <w:top w:w="0" w:type="dxa"/>
            <w:left w:w="0" w:type="dxa"/>
            <w:bottom w:w="0" w:type="dxa"/>
            <w:right w:w="0" w:type="dxa"/>
          </w:tblCellMar>
        </w:tblPrEx>
        <w:trPr>
          <w:trHeight w:val="86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建立完善与宣传、网信、政务服务、大数据管理、融媒体中心等单位的协调联动机制，共同推进政务公开工作提质增效</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市环境宣教信息中心牵头，各科室、直属单位配合</w:t>
            </w:r>
          </w:p>
        </w:tc>
      </w:tr>
      <w:tr>
        <w:tblPrEx>
          <w:shd w:val="clear" w:color="auto" w:fill="auto"/>
          <w:tblCellMar>
            <w:top w:w="0" w:type="dxa"/>
            <w:left w:w="0" w:type="dxa"/>
            <w:bottom w:w="0" w:type="dxa"/>
            <w:right w:w="0" w:type="dxa"/>
          </w:tblCellMar>
        </w:tblPrEx>
        <w:trPr>
          <w:trHeight w:val="86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完善制度规范</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按照统一格式、法定时限和要求，高质量做好政府信息公开工作年度报告的编制、报送和发布工作；及时更新政府信息公开指南，并明确标注更新日期</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继续完善各级各部门主动公开基本目录，并动态调整更新</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定期对本单位不予公开的信息以及依申请公开较为集中的信息进行全面自查，对于可以转换为主动公开的要及时主动公开</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86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探索建立详细具体的政务公开负面清单，细化明确不予公开范围，及时进行调整更新，负面清单外的事项原则上都要依法依规予以公开</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r>
        <w:tblPrEx>
          <w:shd w:val="clear" w:color="auto" w:fill="auto"/>
          <w:tblCellMar>
            <w:top w:w="0" w:type="dxa"/>
            <w:left w:w="0" w:type="dxa"/>
            <w:bottom w:w="0" w:type="dxa"/>
            <w:right w:w="0" w:type="dxa"/>
          </w:tblCellMar>
        </w:tblPrEx>
        <w:trPr>
          <w:trHeight w:val="576"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完善各级公共企事业单位信息公开制度，提升公开水平，行业主管部门要加强分类指导，履行好组织协调和监督指导职责</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办公室牵头，各直属单位配合</w:t>
            </w:r>
          </w:p>
        </w:tc>
      </w:tr>
      <w:tr>
        <w:tblPrEx>
          <w:shd w:val="clear" w:color="auto" w:fill="auto"/>
          <w:tblCellMar>
            <w:top w:w="0" w:type="dxa"/>
            <w:left w:w="0" w:type="dxa"/>
            <w:bottom w:w="0" w:type="dxa"/>
            <w:right w:w="0" w:type="dxa"/>
          </w:tblCellMar>
        </w:tblPrEx>
        <w:trPr>
          <w:trHeight w:val="864" w:hRule="atLeast"/>
        </w:trPr>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auto"/>
                <w:kern w:val="21"/>
                <w:sz w:val="24"/>
                <w:szCs w:val="24"/>
                <w:u w:val="none"/>
              </w:rPr>
            </w:pPr>
          </w:p>
        </w:tc>
        <w:tc>
          <w:tcPr>
            <w:tcW w:w="250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强化考核培训</w:t>
            </w:r>
          </w:p>
        </w:tc>
        <w:tc>
          <w:tcPr>
            <w:tcW w:w="81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对《中共中央办公厅 国务院办公厅关于全面推进政务公开工作的意见》及其实施细则安排部署的各项工作开展“回头看”，逐项对照自查落实情况</w:t>
            </w:r>
          </w:p>
        </w:tc>
        <w:tc>
          <w:tcPr>
            <w:tcW w:w="26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auto"/>
                <w:kern w:val="21"/>
                <w:sz w:val="24"/>
                <w:szCs w:val="24"/>
                <w:u w:val="none"/>
              </w:rPr>
            </w:pPr>
            <w:r>
              <w:rPr>
                <w:rFonts w:hint="eastAsia" w:ascii="宋体" w:hAnsi="宋体" w:eastAsia="宋体" w:cs="宋体"/>
                <w:i w:val="0"/>
                <w:color w:val="auto"/>
                <w:kern w:val="21"/>
                <w:sz w:val="24"/>
                <w:szCs w:val="24"/>
                <w:u w:val="none"/>
                <w:lang w:val="en-US" w:eastAsia="zh-CN" w:bidi="ar"/>
              </w:rPr>
              <w:t>办公室牵头，各科室、直属单位配合</w:t>
            </w:r>
          </w:p>
        </w:tc>
      </w:tr>
    </w:tbl>
    <w:p>
      <w:pPr>
        <w:rPr>
          <w:rFonts w:ascii="宋体" w:hAnsi="宋体"/>
          <w:kern w:val="21"/>
        </w:rPr>
      </w:pPr>
    </w:p>
    <w:sectPr>
      <w:footerReference r:id="rId3" w:type="default"/>
      <w:pgSz w:w="16838" w:h="11906" w:orient="landscape"/>
      <w:pgMar w:top="1440" w:right="1080" w:bottom="1440" w:left="1080" w:header="851" w:footer="850" w:gutter="0"/>
      <w:pgNumType w:fmt="numberInDash"/>
      <w:cols w:space="0" w:num="1"/>
      <w:rtlGutter w:val="0"/>
      <w:docGrid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7D5E5F"/>
    <w:rsid w:val="01002B0A"/>
    <w:rsid w:val="080B40EA"/>
    <w:rsid w:val="0C8C2374"/>
    <w:rsid w:val="185463F7"/>
    <w:rsid w:val="19F656F5"/>
    <w:rsid w:val="22B665DE"/>
    <w:rsid w:val="2A7D5E5F"/>
    <w:rsid w:val="2C2A2B3B"/>
    <w:rsid w:val="3AA37F31"/>
    <w:rsid w:val="3BBA424E"/>
    <w:rsid w:val="3E347335"/>
    <w:rsid w:val="3E7C4A46"/>
    <w:rsid w:val="4EF50FCB"/>
    <w:rsid w:val="658E2877"/>
    <w:rsid w:val="6DBE449A"/>
    <w:rsid w:val="73DCEB98"/>
    <w:rsid w:val="770D66A4"/>
    <w:rsid w:val="7CA25DE0"/>
    <w:rsid w:val="7D701D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font51"/>
    <w:basedOn w:val="5"/>
    <w:qFormat/>
    <w:uiPriority w:val="0"/>
    <w:rPr>
      <w:rFonts w:hint="eastAsia" w:ascii="仿宋_GB2312" w:eastAsia="仿宋_GB2312" w:cs="仿宋_GB2312"/>
      <w:color w:val="000000"/>
      <w:sz w:val="22"/>
      <w:szCs w:val="22"/>
      <w:u w:val="none"/>
    </w:rPr>
  </w:style>
  <w:style w:type="character" w:customStyle="1" w:styleId="7">
    <w:name w:val="font61"/>
    <w:basedOn w:val="5"/>
    <w:qFormat/>
    <w:uiPriority w:val="0"/>
    <w:rPr>
      <w:rFonts w:hint="eastAsia" w:ascii="仿宋_GB2312" w:eastAsia="仿宋_GB2312" w:cs="仿宋_GB2312"/>
      <w:color w:val="000000"/>
      <w:sz w:val="22"/>
      <w:szCs w:val="22"/>
      <w:u w:val="none"/>
    </w:rPr>
  </w:style>
  <w:style w:type="character" w:customStyle="1" w:styleId="8">
    <w:name w:val="font21"/>
    <w:basedOn w:val="5"/>
    <w:qFormat/>
    <w:uiPriority w:val="0"/>
    <w:rPr>
      <w:rFonts w:hint="default" w:ascii="Times New Roman" w:hAnsi="Times New Roman" w:cs="Times New Roman"/>
      <w:color w:val="000000"/>
      <w:sz w:val="22"/>
      <w:szCs w:val="22"/>
      <w:u w:val="none"/>
    </w:rPr>
  </w:style>
  <w:style w:type="character" w:customStyle="1" w:styleId="9">
    <w:name w:val="font11"/>
    <w:basedOn w:val="5"/>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2020-08-03T14:03:00Z</dcterms:created>
  <dc:creator>牛晓琳</dc:creator>
  <cp:lastModifiedBy>user</cp:lastModifiedBy>
  <cp:lastPrinted>2020-08-25T09:29:00Z</cp:lastPrinted>
  <dcterms:modified xsi:type="dcterms:W3CDTF">2022-08-09T17:14:50Z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